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6AE1C">
      <w:pPr>
        <w:rPr>
          <w:rFonts w:hint="default" w:ascii="Times New Roman" w:hAnsi="Times New Roman" w:eastAsia="仿宋_GB2312" w:cs="Times New Roman"/>
          <w:color w:val="000000" w:themeColor="text1"/>
          <w:sz w:val="36"/>
          <w:szCs w:val="36"/>
          <w14:textFill>
            <w14:solidFill>
              <w14:schemeClr w14:val="tx1"/>
            </w14:solidFill>
          </w14:textFill>
        </w:rPr>
      </w:pPr>
    </w:p>
    <w:p w14:paraId="6DA8AC3A">
      <w:pPr>
        <w:rPr>
          <w:rFonts w:hint="eastAsia" w:ascii="Times New Roman" w:hAnsi="Times New Roman" w:eastAsia="仿宋_GB2312" w:cs="Times New Roman"/>
          <w:color w:val="000000" w:themeColor="text1"/>
          <w:sz w:val="36"/>
          <w:szCs w:val="36"/>
          <w:lang w:eastAsia="zh-CN"/>
          <w14:textFill>
            <w14:solidFill>
              <w14:schemeClr w14:val="tx1"/>
            </w14:solidFill>
          </w14:textFill>
        </w:rPr>
      </w:pPr>
    </w:p>
    <w:p w14:paraId="49E070C2">
      <w:pPr>
        <w:rPr>
          <w:rFonts w:hint="default" w:ascii="Times New Roman" w:hAnsi="Times New Roman" w:eastAsia="仿宋_GB2312" w:cs="Times New Roman"/>
          <w:color w:val="000000" w:themeColor="text1"/>
          <w:sz w:val="36"/>
          <w:szCs w:val="36"/>
          <w14:textFill>
            <w14:solidFill>
              <w14:schemeClr w14:val="tx1"/>
            </w14:solidFill>
          </w14:textFill>
        </w:rPr>
      </w:pPr>
    </w:p>
    <w:p w14:paraId="2611F2FF">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0907591A">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0AED30F7">
      <w:pPr>
        <w:adjustRightInd w:val="0"/>
        <w:snapToGrid w:val="0"/>
        <w:spacing w:line="288" w:lineRule="auto"/>
        <w:jc w:val="center"/>
        <w:outlineLvl w:val="0"/>
        <w:rPr>
          <w:rFonts w:hint="default" w:ascii="Times New Roman" w:hAnsi="Times New Roman" w:eastAsia="华文仿宋" w:cs="Times New Roman"/>
          <w:color w:val="000000" w:themeColor="text1"/>
          <w:kern w:val="44"/>
          <w:sz w:val="44"/>
          <w:szCs w:val="44"/>
          <w14:textFill>
            <w14:solidFill>
              <w14:schemeClr w14:val="tx1"/>
            </w14:solidFill>
          </w14:textFill>
        </w:rPr>
      </w:pPr>
    </w:p>
    <w:p w14:paraId="471BB639">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2D027343">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79063469">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619B92E1">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3CB1CF5D">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6C2FC722">
      <w:pPr>
        <w:adjustRightInd w:val="0"/>
        <w:snapToGrid w:val="0"/>
        <w:spacing w:line="360" w:lineRule="auto"/>
        <w:ind w:firstLine="640" w:firstLineChars="200"/>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项目名称：</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u w:val="single"/>
          <w:lang w:eastAsia="zh-CN"/>
          <w14:textFill>
            <w14:solidFill>
              <w14:schemeClr w14:val="tx1"/>
            </w14:solidFill>
          </w14:textFill>
        </w:rPr>
        <w:t>生物质锅炉改造项目</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p>
    <w:p w14:paraId="2D0E656F">
      <w:pPr>
        <w:adjustRightInd w:val="0"/>
        <w:snapToGrid w:val="0"/>
        <w:spacing w:line="360" w:lineRule="auto"/>
        <w:ind w:firstLine="640" w:firstLineChars="200"/>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建设单位：</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陕西</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万凤</w:t>
      </w:r>
      <w:r>
        <w:rPr>
          <w:rFonts w:hint="default" w:ascii="Times New Roman" w:hAnsi="Times New Roman" w:eastAsia="仿宋_GB2312" w:cs="Times New Roman"/>
          <w:color w:val="000000" w:themeColor="text1"/>
          <w:sz w:val="32"/>
          <w:szCs w:val="32"/>
          <w:u w:val="single"/>
          <w:lang w:eastAsia="zh-CN"/>
          <w14:textFill>
            <w14:solidFill>
              <w14:schemeClr w14:val="tx1"/>
            </w14:solidFill>
          </w14:textFill>
        </w:rPr>
        <w:t>酒业有限公司</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p>
    <w:p w14:paraId="55C5822A">
      <w:pPr>
        <w:adjustRightInd w:val="0"/>
        <w:snapToGrid w:val="0"/>
        <w:spacing w:line="360" w:lineRule="auto"/>
        <w:ind w:firstLine="640" w:firstLineChars="200"/>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编制日期：</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202</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u w:val="single"/>
          <w14:textFill>
            <w14:solidFill>
              <w14:schemeClr w14:val="tx1"/>
            </w14:solidFill>
          </w14:textFill>
        </w:rPr>
        <w:t>年</w:t>
      </w:r>
      <w:r>
        <w:rPr>
          <w:rFonts w:hint="eastAsia" w:eastAsia="仿宋_GB2312" w:cs="Times New Roman"/>
          <w:color w:val="000000" w:themeColor="text1"/>
          <w:sz w:val="32"/>
          <w:szCs w:val="32"/>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月     </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p>
    <w:p w14:paraId="13AAEC26">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bookmarkStart w:id="0" w:name="_Hlk57884087"/>
    </w:p>
    <w:p w14:paraId="6BB4B4BE">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697C8865">
      <w:pPr>
        <w:pStyle w:val="23"/>
        <w:rPr>
          <w:rFonts w:hint="default" w:ascii="Times New Roman" w:hAnsi="Times New Roman" w:eastAsia="仿宋_GB2312" w:cs="Times New Roman"/>
          <w:color w:val="000000" w:themeColor="text1"/>
          <w:sz w:val="36"/>
          <w:szCs w:val="36"/>
          <w14:textFill>
            <w14:solidFill>
              <w14:schemeClr w14:val="tx1"/>
            </w14:solidFill>
          </w14:textFill>
        </w:rPr>
      </w:pPr>
    </w:p>
    <w:p w14:paraId="4D4F9987">
      <w:pPr>
        <w:rPr>
          <w:rFonts w:hint="default" w:ascii="Times New Roman" w:hAnsi="Times New Roman" w:eastAsia="仿宋_GB2312" w:cs="Times New Roman"/>
          <w:color w:val="000000" w:themeColor="text1"/>
          <w:sz w:val="36"/>
          <w:szCs w:val="36"/>
          <w14:textFill>
            <w14:solidFill>
              <w14:schemeClr w14:val="tx1"/>
            </w14:solidFill>
          </w14:textFill>
        </w:rPr>
      </w:pPr>
    </w:p>
    <w:p w14:paraId="37AB7F2C">
      <w:pPr>
        <w:rPr>
          <w:rFonts w:hint="default" w:ascii="Times New Roman" w:hAnsi="Times New Roman" w:eastAsia="仿宋_GB2312" w:cs="Times New Roman"/>
          <w:color w:val="000000" w:themeColor="text1"/>
          <w:sz w:val="36"/>
          <w:szCs w:val="36"/>
          <w14:textFill>
            <w14:solidFill>
              <w14:schemeClr w14:val="tx1"/>
            </w14:solidFill>
          </w14:textFill>
        </w:rPr>
      </w:pPr>
    </w:p>
    <w:p w14:paraId="7B43C031">
      <w:pPr>
        <w:rPr>
          <w:rFonts w:hint="default"/>
          <w:color w:val="000000" w:themeColor="text1"/>
          <w14:textFill>
            <w14:solidFill>
              <w14:schemeClr w14:val="tx1"/>
            </w14:solidFill>
          </w14:textFill>
        </w:rPr>
      </w:pPr>
    </w:p>
    <w:bookmarkEnd w:id="0"/>
    <w:p w14:paraId="43814C9B">
      <w:pPr>
        <w:adjustRightInd w:val="0"/>
        <w:snapToGrid w:val="0"/>
        <w:spacing w:line="288" w:lineRule="auto"/>
        <w:jc w:val="center"/>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11FAD1AD">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46ECEB21">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4"/>
        <w:gridCol w:w="2623"/>
        <w:gridCol w:w="2312"/>
        <w:gridCol w:w="3041"/>
      </w:tblGrid>
      <w:tr w14:paraId="4E6AA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1C3A98E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7976" w:type="dxa"/>
            <w:gridSpan w:val="3"/>
            <w:noWrap w:val="0"/>
            <w:vAlign w:val="center"/>
          </w:tcPr>
          <w:p w14:paraId="3F0889D1">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生物质锅炉改造项目</w:t>
            </w:r>
          </w:p>
        </w:tc>
      </w:tr>
      <w:tr w14:paraId="71C9D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52A7221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w:t>
            </w:r>
          </w:p>
          <w:p w14:paraId="5E328BD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代码</w:t>
            </w:r>
          </w:p>
        </w:tc>
        <w:tc>
          <w:tcPr>
            <w:tcW w:w="7976" w:type="dxa"/>
            <w:gridSpan w:val="3"/>
            <w:noWrap w:val="0"/>
            <w:vAlign w:val="center"/>
          </w:tcPr>
          <w:p w14:paraId="2E14A11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03C87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1FD1F6C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建设单位联系人</w:t>
            </w:r>
          </w:p>
        </w:tc>
        <w:tc>
          <w:tcPr>
            <w:tcW w:w="2623" w:type="dxa"/>
            <w:noWrap w:val="0"/>
            <w:vAlign w:val="center"/>
          </w:tcPr>
          <w:p w14:paraId="62A8D79B">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312" w:type="dxa"/>
            <w:noWrap w:val="0"/>
            <w:vAlign w:val="center"/>
          </w:tcPr>
          <w:p w14:paraId="0805571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3041" w:type="dxa"/>
            <w:noWrap w:val="0"/>
            <w:vAlign w:val="center"/>
          </w:tcPr>
          <w:p w14:paraId="31F11B7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434BB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64AC907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w:t>
            </w:r>
          </w:p>
          <w:p w14:paraId="086EBE3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地点</w:t>
            </w:r>
          </w:p>
        </w:tc>
        <w:tc>
          <w:tcPr>
            <w:tcW w:w="7976" w:type="dxa"/>
            <w:gridSpan w:val="3"/>
            <w:noWrap w:val="0"/>
            <w:vAlign w:val="center"/>
          </w:tcPr>
          <w:p w14:paraId="7139C01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u w:val="single"/>
                <w14:textFill>
                  <w14:solidFill>
                    <w14:schemeClr w14:val="tx1"/>
                  </w14:solidFill>
                </w14:textFill>
              </w:rPr>
              <w:t xml:space="preserve"> 陕西 </w:t>
            </w:r>
            <w:r>
              <w:rPr>
                <w:rFonts w:hint="default" w:ascii="Times New Roman" w:hAnsi="Times New Roman" w:cs="Times New Roman"/>
                <w:color w:val="000000" w:themeColor="text1"/>
                <w:szCs w:val="21"/>
                <w14:textFill>
                  <w14:solidFill>
                    <w14:schemeClr w14:val="tx1"/>
                  </w14:solidFill>
                </w14:textFill>
              </w:rPr>
              <w:t>省（自治区）</w:t>
            </w:r>
            <w:r>
              <w:rPr>
                <w:rFonts w:hint="default" w:ascii="Times New Roman" w:hAnsi="Times New Roman" w:cs="Times New Roman"/>
                <w:color w:val="000000" w:themeColor="text1"/>
                <w:szCs w:val="21"/>
                <w:u w:val="single"/>
                <w14:textFill>
                  <w14:solidFill>
                    <w14:schemeClr w14:val="tx1"/>
                  </w14:solidFill>
                </w14:textFill>
              </w:rPr>
              <w:t xml:space="preserve"> 宝鸡 </w:t>
            </w:r>
            <w:r>
              <w:rPr>
                <w:rFonts w:hint="default" w:ascii="Times New Roman" w:hAnsi="Times New Roman" w:cs="Times New Roman"/>
                <w:color w:val="000000" w:themeColor="text1"/>
                <w:szCs w:val="21"/>
                <w14:textFill>
                  <w14:solidFill>
                    <w14:schemeClr w14:val="tx1"/>
                  </w14:solidFill>
                </w14:textFill>
              </w:rPr>
              <w:t>市</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凤翔</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县（区）</w:t>
            </w:r>
            <w:r>
              <w:rPr>
                <w:rFonts w:hint="eastAsia" w:ascii="Times New Roman" w:hAnsi="Times New Roman" w:cs="Times New Roman"/>
                <w:color w:val="000000" w:themeColor="text1"/>
                <w:szCs w:val="21"/>
                <w:u w:val="single"/>
                <w:lang w:val="en-US" w:eastAsia="zh-CN"/>
                <w14:textFill>
                  <w14:solidFill>
                    <w14:schemeClr w14:val="tx1"/>
                  </w14:solidFill>
                </w14:textFill>
              </w:rPr>
              <w:t>陈村镇小海子村</w:t>
            </w:r>
          </w:p>
        </w:tc>
      </w:tr>
      <w:tr w14:paraId="08B6A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4FD9A98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w:t>
            </w:r>
          </w:p>
          <w:p w14:paraId="20DB706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坐标</w:t>
            </w:r>
          </w:p>
        </w:tc>
        <w:tc>
          <w:tcPr>
            <w:tcW w:w="7976" w:type="dxa"/>
            <w:gridSpan w:val="3"/>
            <w:noWrap w:val="0"/>
            <w:vAlign w:val="center"/>
          </w:tcPr>
          <w:p w14:paraId="464C8C5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14:textFill>
                  <w14:solidFill>
                    <w14:schemeClr w14:val="tx1"/>
                  </w14:solidFill>
                </w14:textFill>
              </w:rPr>
              <w:t>107</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分</w:t>
            </w:r>
            <w:r>
              <w:rPr>
                <w:rFonts w:hint="eastAsia" w:ascii="Times New Roman" w:hAnsi="Times New Roman" w:cs="Times New Roman"/>
                <w:color w:val="000000" w:themeColor="text1"/>
                <w:szCs w:val="21"/>
                <w:u w:val="single"/>
                <w:lang w:val="en-US" w:eastAsia="zh-CN"/>
                <w14:textFill>
                  <w14:solidFill>
                    <w14:schemeClr w14:val="tx1"/>
                  </w14:solidFill>
                </w14:textFill>
              </w:rPr>
              <w:t>47</w:t>
            </w:r>
            <w:r>
              <w:rPr>
                <w:rFonts w:hint="default" w:ascii="Times New Roman" w:hAnsi="Times New Roman" w:cs="Times New Roman"/>
                <w:color w:val="000000" w:themeColor="text1"/>
                <w:szCs w:val="21"/>
                <w:u w:val="single"/>
                <w:lang w:val="en-US" w:eastAsia="zh-CN"/>
                <w14:textFill>
                  <w14:solidFill>
                    <w14:schemeClr w14:val="tx1"/>
                  </w14:solidFill>
                </w14:textFill>
              </w:rPr>
              <w:t>.</w:t>
            </w:r>
            <w:r>
              <w:rPr>
                <w:rFonts w:hint="eastAsia" w:ascii="Times New Roman" w:hAnsi="Times New Roman" w:cs="Times New Roman"/>
                <w:color w:val="000000" w:themeColor="text1"/>
                <w:szCs w:val="21"/>
                <w:u w:val="single"/>
                <w:lang w:val="en-US" w:eastAsia="zh-CN"/>
                <w14:textFill>
                  <w14:solidFill>
                    <w14:schemeClr w14:val="tx1"/>
                  </w14:solidFill>
                </w14:textFill>
              </w:rPr>
              <w:t>372</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14:textFill>
                  <w14:solidFill>
                    <w14:schemeClr w14:val="tx1"/>
                  </w14:solidFill>
                </w14:textFill>
              </w:rPr>
              <w:t>34</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2</w:t>
            </w:r>
            <w:r>
              <w:rPr>
                <w:rFonts w:hint="eastAsia" w:ascii="Times New Roman" w:hAnsi="Times New Roman" w:cs="Times New Roman"/>
                <w:color w:val="000000" w:themeColor="text1"/>
                <w:szCs w:val="21"/>
                <w:u w:val="single"/>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分</w:t>
            </w:r>
            <w:r>
              <w:rPr>
                <w:rFonts w:hint="eastAsia" w:ascii="Times New Roman" w:hAnsi="Times New Roman" w:cs="Times New Roman"/>
                <w:color w:val="000000" w:themeColor="text1"/>
                <w:szCs w:val="21"/>
                <w:u w:val="single"/>
                <w:lang w:val="en-US" w:eastAsia="zh-CN"/>
                <w14:textFill>
                  <w14:solidFill>
                    <w14:schemeClr w14:val="tx1"/>
                  </w14:solidFill>
                </w14:textFill>
              </w:rPr>
              <w:t>2</w:t>
            </w:r>
            <w:r>
              <w:rPr>
                <w:rFonts w:hint="default" w:ascii="Times New Roman" w:hAnsi="Times New Roman" w:cs="Times New Roman"/>
                <w:color w:val="000000" w:themeColor="text1"/>
                <w:szCs w:val="21"/>
                <w:u w:val="single"/>
                <w:lang w:val="en-US" w:eastAsia="zh-CN"/>
                <w14:textFill>
                  <w14:solidFill>
                    <w14:schemeClr w14:val="tx1"/>
                  </w14:solidFill>
                </w14:textFill>
              </w:rPr>
              <w:t>4.</w:t>
            </w:r>
            <w:r>
              <w:rPr>
                <w:rFonts w:hint="eastAsia" w:ascii="Times New Roman" w:hAnsi="Times New Roman" w:cs="Times New Roman"/>
                <w:color w:val="000000" w:themeColor="text1"/>
                <w:szCs w:val="21"/>
                <w:u w:val="single"/>
                <w:lang w:val="en-US" w:eastAsia="zh-CN"/>
                <w14:textFill>
                  <w14:solidFill>
                    <w14:schemeClr w14:val="tx1"/>
                  </w14:solidFill>
                </w14:textFill>
              </w:rPr>
              <w:t>319</w:t>
            </w:r>
            <w:r>
              <w:rPr>
                <w:rFonts w:hint="default" w:ascii="Times New Roman" w:hAnsi="Times New Roman" w:cs="Times New Roman"/>
                <w:color w:val="000000" w:themeColor="text1"/>
                <w:szCs w:val="21"/>
                <w14:textFill>
                  <w14:solidFill>
                    <w14:schemeClr w14:val="tx1"/>
                  </w14:solidFill>
                </w14:textFill>
              </w:rPr>
              <w:t>秒）</w:t>
            </w:r>
          </w:p>
        </w:tc>
      </w:tr>
      <w:tr w14:paraId="17552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94" w:type="dxa"/>
            <w:noWrap w:val="0"/>
            <w:tcMar>
              <w:top w:w="16" w:type="dxa"/>
              <w:left w:w="16" w:type="dxa"/>
              <w:right w:w="16" w:type="dxa"/>
            </w:tcMar>
            <w:vAlign w:val="center"/>
          </w:tcPr>
          <w:p w14:paraId="6A4825E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国民经济</w:t>
            </w:r>
          </w:p>
          <w:p w14:paraId="4D099E8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p>
        </w:tc>
        <w:tc>
          <w:tcPr>
            <w:tcW w:w="2623" w:type="dxa"/>
            <w:noWrap w:val="0"/>
            <w:vAlign w:val="center"/>
          </w:tcPr>
          <w:p w14:paraId="1FC12203">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D4430 热力生产和供应</w:t>
            </w:r>
          </w:p>
        </w:tc>
        <w:tc>
          <w:tcPr>
            <w:tcW w:w="2312" w:type="dxa"/>
            <w:noWrap w:val="0"/>
            <w:vAlign w:val="center"/>
          </w:tcPr>
          <w:p w14:paraId="4E8C293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bookmarkStart w:id="1" w:name="_Hlk49843745"/>
            <w:r>
              <w:rPr>
                <w:rFonts w:hint="default" w:ascii="Times New Roman" w:hAnsi="Times New Roman" w:cs="Times New Roman"/>
                <w:color w:val="000000" w:themeColor="text1"/>
                <w:szCs w:val="21"/>
                <w14:textFill>
                  <w14:solidFill>
                    <w14:schemeClr w14:val="tx1"/>
                  </w14:solidFill>
                </w14:textFill>
              </w:rPr>
              <w:t>建设项目</w:t>
            </w:r>
          </w:p>
          <w:p w14:paraId="668F38A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bookmarkEnd w:id="1"/>
          </w:p>
        </w:tc>
        <w:tc>
          <w:tcPr>
            <w:tcW w:w="3041" w:type="dxa"/>
            <w:noWrap w:val="0"/>
            <w:vAlign w:val="center"/>
          </w:tcPr>
          <w:p w14:paraId="0CA45CF2">
            <w:pPr>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四十一、电力、热力生产和供应业 91.热力生产和供应工程（包括建设单位自建自用的供热工程）</w:t>
            </w:r>
          </w:p>
        </w:tc>
      </w:tr>
      <w:tr w14:paraId="26369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94" w:type="dxa"/>
            <w:noWrap w:val="0"/>
            <w:tcMar>
              <w:top w:w="16" w:type="dxa"/>
              <w:left w:w="16" w:type="dxa"/>
              <w:right w:w="16" w:type="dxa"/>
            </w:tcMar>
            <w:vAlign w:val="center"/>
          </w:tcPr>
          <w:p w14:paraId="1B99B00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w:t>
            </w:r>
          </w:p>
          <w:p w14:paraId="12D3A6B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性质</w:t>
            </w:r>
          </w:p>
        </w:tc>
        <w:tc>
          <w:tcPr>
            <w:tcW w:w="2623" w:type="dxa"/>
            <w:noWrap w:val="0"/>
            <w:vAlign w:val="center"/>
          </w:tcPr>
          <w:p w14:paraId="129888C9">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新建（迁建）</w:t>
            </w:r>
          </w:p>
          <w:p w14:paraId="00E599F3">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改建</w:t>
            </w:r>
          </w:p>
          <w:p w14:paraId="7D869437">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扩建</w:t>
            </w:r>
          </w:p>
          <w:p w14:paraId="55C8B2A9">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技术改造</w:t>
            </w:r>
          </w:p>
        </w:tc>
        <w:tc>
          <w:tcPr>
            <w:tcW w:w="2312" w:type="dxa"/>
            <w:noWrap w:val="0"/>
            <w:vAlign w:val="center"/>
          </w:tcPr>
          <w:p w14:paraId="19DAECA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w:t>
            </w:r>
          </w:p>
          <w:p w14:paraId="0702418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申报情形</w:t>
            </w:r>
          </w:p>
        </w:tc>
        <w:tc>
          <w:tcPr>
            <w:tcW w:w="3041" w:type="dxa"/>
            <w:noWrap w:val="0"/>
            <w:vAlign w:val="center"/>
          </w:tcPr>
          <w:p w14:paraId="451450E3">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52"/>
            </w:r>
            <w:r>
              <w:rPr>
                <w:rFonts w:hint="default" w:ascii="Times New Roman" w:hAnsi="Times New Roman" w:cs="Times New Roman"/>
                <w:color w:val="000000" w:themeColor="text1"/>
                <w:szCs w:val="21"/>
                <w14:textFill>
                  <w14:solidFill>
                    <w14:schemeClr w14:val="tx1"/>
                  </w14:solidFill>
                </w14:textFill>
              </w:rPr>
              <w:t xml:space="preserve">首次申报项目             </w:t>
            </w:r>
          </w:p>
          <w:p w14:paraId="22661900">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不予批准后再次申报项目</w:t>
            </w:r>
          </w:p>
          <w:p w14:paraId="7A441C18">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超五年重新审核项目     </w:t>
            </w:r>
          </w:p>
          <w:p w14:paraId="2D4120FD">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重大变动重新报批项目</w:t>
            </w:r>
          </w:p>
        </w:tc>
      </w:tr>
      <w:tr w14:paraId="7219C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94" w:type="dxa"/>
            <w:noWrap w:val="0"/>
            <w:tcMar>
              <w:top w:w="16" w:type="dxa"/>
              <w:left w:w="16" w:type="dxa"/>
              <w:right w:w="16" w:type="dxa"/>
            </w:tcMar>
            <w:vAlign w:val="center"/>
          </w:tcPr>
          <w:p w14:paraId="52A3ED3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项目备案部门</w:t>
            </w:r>
          </w:p>
        </w:tc>
        <w:tc>
          <w:tcPr>
            <w:tcW w:w="2623" w:type="dxa"/>
            <w:noWrap w:val="0"/>
            <w:vAlign w:val="center"/>
          </w:tcPr>
          <w:p w14:paraId="57022BF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312" w:type="dxa"/>
            <w:noWrap w:val="0"/>
            <w:vAlign w:val="center"/>
          </w:tcPr>
          <w:p w14:paraId="1845C1C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项目审批（核准/备案）文号（选填）</w:t>
            </w:r>
          </w:p>
        </w:tc>
        <w:tc>
          <w:tcPr>
            <w:tcW w:w="3041" w:type="dxa"/>
            <w:noWrap w:val="0"/>
            <w:vAlign w:val="center"/>
          </w:tcPr>
          <w:p w14:paraId="43EF3E2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C235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0C04474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总投资（万元）</w:t>
            </w:r>
          </w:p>
        </w:tc>
        <w:tc>
          <w:tcPr>
            <w:tcW w:w="2623" w:type="dxa"/>
            <w:noWrap w:val="0"/>
            <w:vAlign w:val="center"/>
          </w:tcPr>
          <w:p w14:paraId="4DE4866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25</w:t>
            </w:r>
          </w:p>
        </w:tc>
        <w:tc>
          <w:tcPr>
            <w:tcW w:w="2312" w:type="dxa"/>
            <w:noWrap w:val="0"/>
            <w:tcMar>
              <w:top w:w="16" w:type="dxa"/>
              <w:left w:w="16" w:type="dxa"/>
              <w:right w:w="16" w:type="dxa"/>
            </w:tcMar>
            <w:vAlign w:val="center"/>
          </w:tcPr>
          <w:p w14:paraId="327430D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环保投资（万元）</w:t>
            </w:r>
          </w:p>
        </w:tc>
        <w:tc>
          <w:tcPr>
            <w:tcW w:w="3041" w:type="dxa"/>
            <w:noWrap w:val="0"/>
            <w:vAlign w:val="center"/>
          </w:tcPr>
          <w:p w14:paraId="6874A25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p>
        </w:tc>
      </w:tr>
      <w:tr w14:paraId="41C5A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317FC6B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环保投资占比（%）</w:t>
            </w:r>
          </w:p>
        </w:tc>
        <w:tc>
          <w:tcPr>
            <w:tcW w:w="2623" w:type="dxa"/>
            <w:noWrap w:val="0"/>
            <w:vAlign w:val="center"/>
          </w:tcPr>
          <w:p w14:paraId="5F97D9A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w:t>
            </w:r>
          </w:p>
        </w:tc>
        <w:tc>
          <w:tcPr>
            <w:tcW w:w="2312" w:type="dxa"/>
            <w:noWrap w:val="0"/>
            <w:tcMar>
              <w:top w:w="16" w:type="dxa"/>
              <w:left w:w="16" w:type="dxa"/>
              <w:right w:w="16" w:type="dxa"/>
            </w:tcMar>
            <w:vAlign w:val="center"/>
          </w:tcPr>
          <w:p w14:paraId="22D04C3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施工工期</w:t>
            </w:r>
          </w:p>
        </w:tc>
        <w:tc>
          <w:tcPr>
            <w:tcW w:w="3041" w:type="dxa"/>
            <w:noWrap w:val="0"/>
            <w:vAlign w:val="center"/>
          </w:tcPr>
          <w:p w14:paraId="06560B8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个月</w:t>
            </w:r>
          </w:p>
        </w:tc>
      </w:tr>
      <w:tr w14:paraId="35744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4" w:type="dxa"/>
            <w:noWrap w:val="0"/>
            <w:tcMar>
              <w:top w:w="16" w:type="dxa"/>
              <w:left w:w="16" w:type="dxa"/>
              <w:right w:w="16" w:type="dxa"/>
            </w:tcMar>
            <w:vAlign w:val="center"/>
          </w:tcPr>
          <w:p w14:paraId="5A6A5BC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是否开工建设</w:t>
            </w:r>
          </w:p>
        </w:tc>
        <w:tc>
          <w:tcPr>
            <w:tcW w:w="2623" w:type="dxa"/>
            <w:noWrap w:val="0"/>
            <w:vAlign w:val="center"/>
          </w:tcPr>
          <w:p w14:paraId="708C76BF">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52"/>
            </w:r>
            <w:r>
              <w:rPr>
                <w:rFonts w:hint="default" w:ascii="Times New Roman" w:hAnsi="Times New Roman" w:cs="Times New Roman"/>
                <w:color w:val="000000" w:themeColor="text1"/>
                <w:szCs w:val="21"/>
                <w14:textFill>
                  <w14:solidFill>
                    <w14:schemeClr w14:val="tx1"/>
                  </w14:solidFill>
                </w14:textFill>
              </w:rPr>
              <w:t>否</w:t>
            </w:r>
          </w:p>
          <w:p w14:paraId="7B49FA6B">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是：</w:t>
            </w:r>
            <w:r>
              <w:rPr>
                <w:rFonts w:hint="default" w:ascii="Times New Roman" w:hAnsi="Times New Roman" w:cs="Times New Roman"/>
                <w:color w:val="000000" w:themeColor="text1"/>
                <w:szCs w:val="21"/>
                <w:u w:val="single"/>
                <w14:textFill>
                  <w14:solidFill>
                    <w14:schemeClr w14:val="tx1"/>
                  </w14:solidFill>
                </w14:textFill>
              </w:rPr>
              <w:t xml:space="preserve">             </w:t>
            </w:r>
          </w:p>
        </w:tc>
        <w:tc>
          <w:tcPr>
            <w:tcW w:w="2312" w:type="dxa"/>
            <w:noWrap w:val="0"/>
            <w:tcMar>
              <w:top w:w="16" w:type="dxa"/>
              <w:left w:w="16" w:type="dxa"/>
              <w:right w:w="16" w:type="dxa"/>
            </w:tcMar>
            <w:vAlign w:val="center"/>
          </w:tcPr>
          <w:p w14:paraId="00DE6549">
            <w:pPr>
              <w:adjustRightInd w:val="0"/>
              <w:snapToGrid w:val="0"/>
              <w:jc w:val="center"/>
              <w:rPr>
                <w:rFonts w:hint="default" w:ascii="Times New Roman" w:hAnsi="Times New Roman" w:cs="Times New Roman"/>
                <w:color w:val="000000" w:themeColor="text1"/>
                <w:spacing w:val="-6"/>
                <w:szCs w:val="21"/>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用地（用海）</w:t>
            </w:r>
          </w:p>
          <w:p w14:paraId="41F4AB3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面积（m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w:t>
            </w:r>
          </w:p>
        </w:tc>
        <w:tc>
          <w:tcPr>
            <w:tcW w:w="3041" w:type="dxa"/>
            <w:noWrap w:val="0"/>
            <w:vAlign w:val="center"/>
          </w:tcPr>
          <w:p w14:paraId="402C321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8"/>
                <w:lang w:val="en-US" w:eastAsia="zh-CN"/>
                <w14:textFill>
                  <w14:solidFill>
                    <w14:schemeClr w14:val="tx1"/>
                  </w14:solidFill>
                </w14:textFill>
              </w:rPr>
              <w:t>原有厂区占地150</w:t>
            </w:r>
            <w:r>
              <w:rPr>
                <w:rFonts w:hint="default" w:ascii="Times New Roman" w:hAnsi="Times New Roman" w:cs="Times New Roman"/>
                <w:color w:val="000000" w:themeColor="text1"/>
                <w:szCs w:val="28"/>
                <w:lang w:val="en-US" w:eastAsia="zh-CN"/>
                <w14:textFill>
                  <w14:solidFill>
                    <w14:schemeClr w14:val="tx1"/>
                  </w14:solidFill>
                </w14:textFill>
              </w:rPr>
              <w:t>00</w:t>
            </w:r>
            <w:r>
              <w:rPr>
                <w:rFonts w:hint="default" w:ascii="Times New Roman" w:hAnsi="Times New Roman" w:cs="Times New Roman"/>
                <w:color w:val="000000" w:themeColor="text1"/>
                <w:szCs w:val="28"/>
                <w14:textFill>
                  <w14:solidFill>
                    <w14:schemeClr w14:val="tx1"/>
                  </w14:solidFill>
                </w14:textFill>
              </w:rPr>
              <w:t>m</w:t>
            </w:r>
            <w:r>
              <w:rPr>
                <w:rFonts w:hint="default" w:ascii="Times New Roman" w:hAnsi="Times New Roman" w:cs="Times New Roman"/>
                <w:color w:val="000000" w:themeColor="text1"/>
                <w:szCs w:val="28"/>
                <w:vertAlign w:val="superscript"/>
                <w14:textFill>
                  <w14:solidFill>
                    <w14:schemeClr w14:val="tx1"/>
                  </w14:solidFill>
                </w14:textFill>
              </w:rPr>
              <w:t>2</w:t>
            </w:r>
            <w:r>
              <w:rPr>
                <w:rFonts w:hint="eastAsia" w:ascii="Times New Roman" w:hAnsi="Times New Roman" w:cs="Times New Roman"/>
                <w:color w:val="000000" w:themeColor="text1"/>
                <w:szCs w:val="28"/>
                <w:vertAlign w:val="baseline"/>
                <w:lang w:eastAsia="zh-CN"/>
                <w14:textFill>
                  <w14:solidFill>
                    <w14:schemeClr w14:val="tx1"/>
                  </w14:solidFill>
                </w14:textFill>
              </w:rPr>
              <w:t>，</w:t>
            </w:r>
            <w:r>
              <w:rPr>
                <w:rFonts w:hint="eastAsia" w:ascii="Times New Roman" w:hAnsi="Times New Roman" w:cs="Times New Roman"/>
                <w:color w:val="000000" w:themeColor="text1"/>
                <w:szCs w:val="28"/>
                <w:vertAlign w:val="baseline"/>
                <w:lang w:val="en-US" w:eastAsia="zh-CN"/>
                <w14:textFill>
                  <w14:solidFill>
                    <w14:schemeClr w14:val="tx1"/>
                  </w14:solidFill>
                </w14:textFill>
              </w:rPr>
              <w:t>本次</w:t>
            </w:r>
            <w:r>
              <w:rPr>
                <w:rFonts w:hint="eastAsia" w:ascii="Times New Roman" w:hAnsi="Times New Roman" w:cs="Times New Roman"/>
                <w:color w:val="000000" w:themeColor="text1"/>
                <w:szCs w:val="21"/>
                <w:lang w:val="en-US" w:eastAsia="zh-CN"/>
                <w14:textFill>
                  <w14:solidFill>
                    <w14:schemeClr w14:val="tx1"/>
                  </w14:solidFill>
                </w14:textFill>
              </w:rPr>
              <w:t>不新增用地</w:t>
            </w:r>
          </w:p>
        </w:tc>
      </w:tr>
      <w:tr w14:paraId="09EC1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94" w:type="dxa"/>
            <w:noWrap w:val="0"/>
            <w:vAlign w:val="center"/>
          </w:tcPr>
          <w:p w14:paraId="0B072C12">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专项评价设置情况</w:t>
            </w:r>
          </w:p>
        </w:tc>
        <w:tc>
          <w:tcPr>
            <w:tcW w:w="7976" w:type="dxa"/>
            <w:gridSpan w:val="3"/>
            <w:noWrap w:val="0"/>
            <w:vAlign w:val="center"/>
          </w:tcPr>
          <w:p w14:paraId="1424D7AF">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无</w:t>
            </w:r>
          </w:p>
        </w:tc>
      </w:tr>
      <w:tr w14:paraId="7C638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4" w:type="dxa"/>
            <w:noWrap w:val="0"/>
            <w:vAlign w:val="center"/>
          </w:tcPr>
          <w:p w14:paraId="66F25FD8">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规划情况</w:t>
            </w:r>
          </w:p>
        </w:tc>
        <w:tc>
          <w:tcPr>
            <w:tcW w:w="7976" w:type="dxa"/>
            <w:gridSpan w:val="3"/>
            <w:noWrap w:val="0"/>
            <w:vAlign w:val="center"/>
          </w:tcPr>
          <w:p w14:paraId="650A62DE">
            <w:pPr>
              <w:pStyle w:val="1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right="0" w:right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文件名称：《</w:t>
            </w:r>
            <w:r>
              <w:rPr>
                <w:rFonts w:hint="default" w:ascii="Times New Roman" w:hAnsi="Times New Roman" w:eastAsia="宋体" w:cs="Times New Roman"/>
                <w:color w:val="000000" w:themeColor="text1"/>
                <w:kern w:val="0"/>
                <w:sz w:val="21"/>
                <w:szCs w:val="21"/>
                <w14:textFill>
                  <w14:solidFill>
                    <w14:schemeClr w14:val="tx1"/>
                  </w14:solidFill>
                </w14:textFill>
              </w:rPr>
              <w:t>凤翔高新技术产业开发区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总体</w:t>
            </w:r>
            <w:r>
              <w:rPr>
                <w:rFonts w:hint="default" w:ascii="Times New Roman" w:hAnsi="Times New Roman" w:eastAsia="宋体" w:cs="Times New Roman"/>
                <w:color w:val="000000" w:themeColor="text1"/>
                <w:kern w:val="0"/>
                <w:sz w:val="21"/>
                <w:szCs w:val="21"/>
                <w14:textFill>
                  <w14:solidFill>
                    <w14:schemeClr w14:val="tx1"/>
                  </w14:solidFill>
                </w14:textFill>
              </w:rPr>
              <w:t>规划</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》（修编）；</w:t>
            </w:r>
          </w:p>
          <w:p w14:paraId="2CFEAA9E">
            <w:pPr>
              <w:pStyle w:val="1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right="0" w:right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审批机关：</w:t>
            </w:r>
            <w:r>
              <w:rPr>
                <w:rFonts w:hint="default" w:ascii="Times New Roman" w:hAnsi="Times New Roman" w:eastAsia="宋体" w:cs="Times New Roman"/>
                <w:color w:val="000000" w:themeColor="text1"/>
                <w:kern w:val="0"/>
                <w:sz w:val="21"/>
                <w:szCs w:val="21"/>
                <w14:textFill>
                  <w14:solidFill>
                    <w14:schemeClr w14:val="tx1"/>
                  </w14:solidFill>
                </w14:textFill>
              </w:rPr>
              <w:t>陕西省</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科学技术厅；</w:t>
            </w:r>
          </w:p>
          <w:p w14:paraId="5CE37A6F">
            <w:pPr>
              <w:pStyle w:val="12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default"/>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审批文件名称及文号：《陕西省科学技术厅关于凤翔高新技术产业开发区总体规划（修编）的批复》（陕科办发</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86号）。</w:t>
            </w:r>
          </w:p>
        </w:tc>
      </w:tr>
      <w:tr w14:paraId="45D67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4" w:type="dxa"/>
            <w:noWrap w:val="0"/>
            <w:vAlign w:val="center"/>
          </w:tcPr>
          <w:p w14:paraId="02BBA30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规划环境影响</w:t>
            </w:r>
          </w:p>
          <w:p w14:paraId="01CDC33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评价情况</w:t>
            </w:r>
          </w:p>
        </w:tc>
        <w:tc>
          <w:tcPr>
            <w:tcW w:w="7976" w:type="dxa"/>
            <w:gridSpan w:val="3"/>
            <w:noWrap w:val="0"/>
            <w:vAlign w:val="center"/>
          </w:tcPr>
          <w:p w14:paraId="77943E70">
            <w:pPr>
              <w:keepNext w:val="0"/>
              <w:keepLines w:val="0"/>
              <w:widowControl w:val="0"/>
              <w:numPr>
                <w:ilvl w:val="0"/>
                <w:numId w:val="0"/>
              </w:numPr>
              <w:suppressLineNumbers w:val="0"/>
              <w:autoSpaceDE w:val="0"/>
              <w:autoSpaceDN w:val="0"/>
              <w:adjustRightInd w:val="0"/>
              <w:snapToGrid w:val="0"/>
              <w:spacing w:before="0" w:beforeAutospacing="0" w:after="0" w:afterAutospacing="0" w:line="360" w:lineRule="auto"/>
              <w:ind w:right="0" w:right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文件名称：</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《凤翔高新技术产业开发区规划（2019-2035）（修编）环境影响报告书》；</w:t>
            </w:r>
          </w:p>
          <w:p w14:paraId="6F7B6476">
            <w:pPr>
              <w:keepNext w:val="0"/>
              <w:keepLines w:val="0"/>
              <w:widowControl w:val="0"/>
              <w:numPr>
                <w:ilvl w:val="0"/>
                <w:numId w:val="0"/>
              </w:numPr>
              <w:suppressLineNumbers w:val="0"/>
              <w:autoSpaceDE w:val="0"/>
              <w:autoSpaceDN w:val="0"/>
              <w:adjustRightInd w:val="0"/>
              <w:snapToGrid w:val="0"/>
              <w:spacing w:before="0" w:beforeAutospacing="0" w:after="0" w:afterAutospacing="0" w:line="360" w:lineRule="auto"/>
              <w:ind w:right="0" w:right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审批文件以及文号：《陕西省生态环境厅关于凤翔高新技术产业开发区规划（2019-2035）（修编）环境影响报告书审查意见的函》（陕环环评函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54号）；</w:t>
            </w:r>
          </w:p>
          <w:p w14:paraId="2F1E8F66">
            <w:pPr>
              <w:autoSpaceDE w:val="0"/>
              <w:autoSpaceDN w:val="0"/>
              <w:adjustRightInd w:val="0"/>
              <w:snapToGrid w:val="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审批机关：陕西省生态环境厅。</w:t>
            </w:r>
          </w:p>
        </w:tc>
      </w:tr>
      <w:tr w14:paraId="0A992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4" w:type="dxa"/>
            <w:noWrap w:val="0"/>
            <w:vAlign w:val="center"/>
          </w:tcPr>
          <w:p w14:paraId="6609ECAA">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规划及规划环境</w:t>
            </w:r>
          </w:p>
          <w:p w14:paraId="70DCF361">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影响评价符合性分析</w:t>
            </w:r>
          </w:p>
        </w:tc>
        <w:tc>
          <w:tcPr>
            <w:tcW w:w="7976" w:type="dxa"/>
            <w:gridSpan w:val="3"/>
            <w:noWrap w:val="0"/>
            <w:vAlign w:val="center"/>
          </w:tcPr>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3348"/>
              <w:gridCol w:w="2545"/>
            </w:tblGrid>
            <w:tr w14:paraId="2DA2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center"/>
                </w:tcPr>
                <w:p w14:paraId="6F914A5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关于凤翔高新技术产业开发区规划</w:t>
                  </w:r>
                  <w:r>
                    <w:rPr>
                      <w:color w:val="000000" w:themeColor="text1"/>
                      <w:szCs w:val="21"/>
                      <w14:textFill>
                        <w14:solidFill>
                          <w14:schemeClr w14:val="tx1"/>
                        </w14:solidFill>
                      </w14:textFill>
                    </w:rPr>
                    <w:t>（2019-2035）</w:t>
                  </w:r>
                  <w:r>
                    <w:rPr>
                      <w:rFonts w:hint="eastAsia"/>
                      <w:color w:val="000000" w:themeColor="text1"/>
                      <w:szCs w:val="21"/>
                      <w14:textFill>
                        <w14:solidFill>
                          <w14:schemeClr w14:val="tx1"/>
                        </w14:solidFill>
                      </w14:textFill>
                    </w:rPr>
                    <w:t>（修编）环境影响报告书</w:t>
                  </w:r>
                </w:p>
              </w:tc>
              <w:tc>
                <w:tcPr>
                  <w:tcW w:w="3348" w:type="dxa"/>
                  <w:noWrap w:val="0"/>
                  <w:vAlign w:val="center"/>
                </w:tcPr>
                <w:p w14:paraId="288026EC">
                  <w:pPr>
                    <w:autoSpaceDE w:val="0"/>
                    <w:autoSpaceDN w:val="0"/>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szCs w:val="21"/>
                      <w:shd w:val="clear" w:color="auto" w:fill="FFFFFF"/>
                      <w14:textFill>
                        <w14:solidFill>
                          <w14:schemeClr w14:val="tx1"/>
                        </w14:solidFill>
                      </w14:textFill>
                    </w:rPr>
                    <w:t>凤翔高新区规划科技生态新城、西凤酒城</w:t>
                  </w:r>
                  <w:r>
                    <w:rPr>
                      <w:rFonts w:hint="eastAsia"/>
                      <w:color w:val="000000" w:themeColor="text1"/>
                      <w:szCs w:val="21"/>
                      <w:shd w:val="clear" w:color="auto" w:fill="FFFFFF"/>
                      <w:lang w:eastAsia="zh-CN"/>
                      <w14:textFill>
                        <w14:solidFill>
                          <w14:schemeClr w14:val="tx1"/>
                        </w14:solidFill>
                      </w14:textFill>
                    </w:rPr>
                    <w:t>（</w:t>
                  </w:r>
                  <w:r>
                    <w:rPr>
                      <w:rFonts w:hint="eastAsia"/>
                      <w:color w:val="000000" w:themeColor="text1"/>
                      <w:szCs w:val="21"/>
                      <w:shd w:val="clear" w:color="auto" w:fill="FFFFFF"/>
                      <w14:textFill>
                        <w14:solidFill>
                          <w14:schemeClr w14:val="tx1"/>
                        </w14:solidFill>
                      </w14:textFill>
                    </w:rPr>
                    <w:t>上版规划称为“柳林工业园”</w:t>
                  </w:r>
                  <w:r>
                    <w:rPr>
                      <w:rFonts w:hint="eastAsia"/>
                      <w:color w:val="000000" w:themeColor="text1"/>
                      <w:szCs w:val="21"/>
                      <w:shd w:val="clear" w:color="auto" w:fill="FFFFFF"/>
                      <w:lang w:eastAsia="zh-CN"/>
                      <w14:textFill>
                        <w14:solidFill>
                          <w14:schemeClr w14:val="tx1"/>
                        </w14:solidFill>
                      </w14:textFill>
                    </w:rPr>
                    <w:t>）</w:t>
                  </w:r>
                  <w:r>
                    <w:rPr>
                      <w:rFonts w:hint="eastAsia"/>
                      <w:color w:val="000000" w:themeColor="text1"/>
                      <w:szCs w:val="21"/>
                      <w:shd w:val="clear" w:color="auto" w:fill="FFFFFF"/>
                      <w14:textFill>
                        <w14:solidFill>
                          <w14:schemeClr w14:val="tx1"/>
                        </w14:solidFill>
                      </w14:textFill>
                    </w:rPr>
                    <w:t>、长青工业园三个片区。其中，科技生态新城东至秦公路，西至秦正路，北至凤北路，南至西府大道，总面积3.64km；西凤酒城东至合凤高速，北临小韩庄和罗家庄，西临唐家山和塬村，南临大唐村，总面积为8.48km；长青工业园东至西府大道，西至千河东岸，北至凤陈公路，南至宝麟铁路，总面积为16.45km。</w:t>
                  </w:r>
                  <w:r>
                    <w:rPr>
                      <w:rFonts w:hint="eastAsia"/>
                      <w:color w:val="000000" w:themeColor="text1"/>
                      <w:szCs w:val="21"/>
                      <w:shd w:val="clear" w:color="auto" w:fill="FFFFFF"/>
                      <w:lang w:val="en-US" w:eastAsia="zh-CN"/>
                      <w14:textFill>
                        <w14:solidFill>
                          <w14:schemeClr w14:val="tx1"/>
                        </w14:solidFill>
                      </w14:textFill>
                    </w:rPr>
                    <w:t>规划控制区范围包括城关镇、长青镇、陈村镇全域和柳林镇南部部分镇域，东至城关镇马村，西至长青镇长青村，南至陈村镇海子村，北至柳林镇屯头村。</w:t>
                  </w:r>
                </w:p>
              </w:tc>
              <w:tc>
                <w:tcPr>
                  <w:tcW w:w="2545" w:type="dxa"/>
                  <w:noWrap w:val="0"/>
                  <w:vAlign w:val="center"/>
                </w:tcPr>
                <w:p w14:paraId="19FFF9C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本项目位于陈村镇小海子村，位于陈村镇范围内，因此项目在规划区控制范围内，但本项目不在科技生态新城、西凤酒城、长青工业园规划区范围内（项目与规划范围位置关系图详见附图）</w:t>
                  </w:r>
                </w:p>
              </w:tc>
            </w:tr>
            <w:tr w14:paraId="1D74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center"/>
                </w:tcPr>
                <w:p w14:paraId="542C3231">
                  <w:pPr>
                    <w:autoSpaceDE w:val="0"/>
                    <w:autoSpaceDN w:val="0"/>
                    <w:adjustRightInd w:val="0"/>
                    <w:snapToGrid w:val="0"/>
                    <w:jc w:val="center"/>
                    <w:rPr>
                      <w:rFonts w:hint="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《凤翔高新技术产业开发区规划（2019-2035）（修编）环境影响报告书》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评价结论</w:t>
                  </w:r>
                </w:p>
              </w:tc>
              <w:tc>
                <w:tcPr>
                  <w:tcW w:w="3348" w:type="dxa"/>
                  <w:noWrap w:val="0"/>
                  <w:vAlign w:val="center"/>
                </w:tcPr>
                <w:p w14:paraId="6801A4E5">
                  <w:pPr>
                    <w:autoSpaceDE w:val="0"/>
                    <w:autoSpaceDN w:val="0"/>
                    <w:adjustRightInd w:val="0"/>
                    <w:snapToGrid w:val="0"/>
                    <w:jc w:val="both"/>
                    <w:rPr>
                      <w:rFonts w:hint="eastAsia"/>
                      <w:color w:val="000000" w:themeColor="text1"/>
                      <w:szCs w:val="21"/>
                      <w:shd w:val="clear" w:color="auto" w:fill="FFFFFF"/>
                      <w14:textFill>
                        <w14:solidFill>
                          <w14:schemeClr w14:val="tx1"/>
                        </w14:solidFill>
                      </w14:textFill>
                    </w:rPr>
                  </w:pPr>
                  <w:r>
                    <w:rPr>
                      <w:rFonts w:hint="eastAsia"/>
                      <w:color w:val="000000" w:themeColor="text1"/>
                      <w:szCs w:val="21"/>
                      <w:shd w:val="clear" w:color="auto" w:fill="FFFFFF"/>
                      <w14:textFill>
                        <w14:solidFill>
                          <w14:schemeClr w14:val="tx1"/>
                        </w14:solidFill>
                      </w14:textFill>
                    </w:rPr>
                    <w:t>凤翔高新区规划区范围包括科技生态新城、西凤酒城、长青工业园三个片区，总面积为28.57km</w:t>
                  </w:r>
                  <w:r>
                    <w:rPr>
                      <w:rFonts w:hint="eastAsia"/>
                      <w:color w:val="000000" w:themeColor="text1"/>
                      <w:szCs w:val="21"/>
                      <w:shd w:val="clear" w:color="auto" w:fill="FFFFFF"/>
                      <w:vertAlign w:val="superscript"/>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。其中，科技生态新城面积为3.64km</w:t>
                  </w:r>
                  <w:r>
                    <w:rPr>
                      <w:rFonts w:hint="eastAsia"/>
                      <w:color w:val="000000" w:themeColor="text1"/>
                      <w:szCs w:val="21"/>
                      <w:shd w:val="clear" w:color="auto" w:fill="FFFFFF"/>
                      <w:vertAlign w:val="superscript"/>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；西凤酒城面积为8.48km</w:t>
                  </w:r>
                  <w:r>
                    <w:rPr>
                      <w:rFonts w:hint="eastAsia"/>
                      <w:color w:val="000000" w:themeColor="text1"/>
                      <w:szCs w:val="21"/>
                      <w:shd w:val="clear" w:color="auto" w:fill="FFFFFF"/>
                      <w:vertAlign w:val="superscript"/>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；长青工业园面积为16.45km</w:t>
                  </w:r>
                  <w:r>
                    <w:rPr>
                      <w:rFonts w:hint="eastAsia"/>
                      <w:color w:val="000000" w:themeColor="text1"/>
                      <w:szCs w:val="21"/>
                      <w:shd w:val="clear" w:color="auto" w:fill="FFFFFF"/>
                      <w:vertAlign w:val="superscript"/>
                      <w14:textFill>
                        <w14:solidFill>
                          <w14:schemeClr w14:val="tx1"/>
                        </w14:solidFill>
                      </w14:textFill>
                    </w:rPr>
                    <w:t>2</w:t>
                  </w:r>
                  <w:r>
                    <w:rPr>
                      <w:rFonts w:hint="eastAsia"/>
                      <w:color w:val="000000" w:themeColor="text1"/>
                      <w:szCs w:val="21"/>
                      <w:shd w:val="clear" w:color="auto" w:fill="FFFFFF"/>
                      <w14:textFill>
                        <w14:solidFill>
                          <w14:schemeClr w14:val="tx1"/>
                        </w14:solidFill>
                      </w14:textFill>
                    </w:rPr>
                    <w:t>。凤翔高新区以白酒及食品加工产业、新材料产业和先进制造业为主导，以文化旅游业、现代服务业和电力能源产业为辅助，构建凤翔高新区“三主三辅”的产业体系，以“电力</w:t>
                  </w:r>
                  <w:r>
                    <w:rPr>
                      <w:rFonts w:hint="eastAsia"/>
                      <w:color w:val="000000" w:themeColor="text1"/>
                      <w:szCs w:val="21"/>
                      <w:shd w:val="clear" w:color="auto" w:fill="FFFFFF"/>
                      <w:lang w:eastAsia="zh-CN"/>
                      <w14:textFill>
                        <w14:solidFill>
                          <w14:schemeClr w14:val="tx1"/>
                        </w14:solidFill>
                      </w14:textFill>
                    </w:rPr>
                    <w:t>－</w:t>
                  </w:r>
                  <w:r>
                    <w:rPr>
                      <w:rFonts w:hint="eastAsia"/>
                      <w:color w:val="000000" w:themeColor="text1"/>
                      <w:szCs w:val="21"/>
                      <w:shd w:val="clear" w:color="auto" w:fill="FFFFFF"/>
                      <w14:textFill>
                        <w14:solidFill>
                          <w14:schemeClr w14:val="tx1"/>
                        </w14:solidFill>
                      </w14:textFill>
                    </w:rPr>
                    <w:t>热力</w:t>
                  </w:r>
                  <w:r>
                    <w:rPr>
                      <w:rFonts w:hint="eastAsia"/>
                      <w:color w:val="000000" w:themeColor="text1"/>
                      <w:szCs w:val="21"/>
                      <w:shd w:val="clear" w:color="auto" w:fill="FFFFFF"/>
                      <w:lang w:eastAsia="zh-CN"/>
                      <w14:textFill>
                        <w14:solidFill>
                          <w14:schemeClr w14:val="tx1"/>
                        </w14:solidFill>
                      </w14:textFill>
                    </w:rPr>
                    <w:t>－</w:t>
                  </w:r>
                  <w:r>
                    <w:rPr>
                      <w:rFonts w:hint="eastAsia"/>
                      <w:color w:val="000000" w:themeColor="text1"/>
                      <w:szCs w:val="21"/>
                      <w:shd w:val="clear" w:color="auto" w:fill="FFFFFF"/>
                      <w14:textFill>
                        <w14:solidFill>
                          <w14:schemeClr w14:val="tx1"/>
                        </w14:solidFill>
                      </w14:textFill>
                    </w:rPr>
                    <w:t>化工</w:t>
                  </w:r>
                  <w:r>
                    <w:rPr>
                      <w:rFonts w:hint="eastAsia"/>
                      <w:color w:val="000000" w:themeColor="text1"/>
                      <w:szCs w:val="21"/>
                      <w:shd w:val="clear" w:color="auto" w:fill="FFFFFF"/>
                      <w:lang w:eastAsia="zh-CN"/>
                      <w14:textFill>
                        <w14:solidFill>
                          <w14:schemeClr w14:val="tx1"/>
                        </w14:solidFill>
                      </w14:textFill>
                    </w:rPr>
                    <w:t>－</w:t>
                  </w:r>
                  <w:r>
                    <w:rPr>
                      <w:rFonts w:hint="eastAsia"/>
                      <w:color w:val="000000" w:themeColor="text1"/>
                      <w:szCs w:val="21"/>
                      <w:shd w:val="clear" w:color="auto" w:fill="FFFFFF"/>
                      <w14:textFill>
                        <w14:solidFill>
                          <w14:schemeClr w14:val="tx1"/>
                        </w14:solidFill>
                      </w14:textFill>
                    </w:rPr>
                    <w:t>金属”综合发展和循环经济为方向，将凤翔高新区建设成为享誉世界的中国名酒文化城，陕西省有色金属和化工新材料产业基地，关中平原城市群城乡融合发展示范区。</w:t>
                  </w:r>
                </w:p>
              </w:tc>
              <w:tc>
                <w:tcPr>
                  <w:tcW w:w="2545" w:type="dxa"/>
                  <w:noWrap w:val="0"/>
                  <w:vAlign w:val="center"/>
                </w:tcPr>
                <w:p w14:paraId="0CFF65CE">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本项目位于陈村镇小海子村，不属于凤翔高新区规划范围但属于凤翔高新区规划控制区范围，本项目主要为白酒酿造项目配套的锅炉房内生物质锅炉进行提升改造，符合区域规划。</w:t>
                  </w:r>
                </w:p>
              </w:tc>
            </w:tr>
            <w:tr w14:paraId="0AB0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center"/>
                </w:tcPr>
                <w:p w14:paraId="51ABCCAA">
                  <w:pPr>
                    <w:autoSpaceDE w:val="0"/>
                    <w:autoSpaceDN w:val="0"/>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《凤翔高新技术产业开发区规划（2019-2035）（修编）环境影响报告书》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审查意见</w:t>
                  </w:r>
                </w:p>
              </w:tc>
              <w:tc>
                <w:tcPr>
                  <w:tcW w:w="3348" w:type="dxa"/>
                  <w:noWrap w:val="0"/>
                  <w:vAlign w:val="center"/>
                </w:tcPr>
                <w:p w14:paraId="4B7F0227">
                  <w:pPr>
                    <w:autoSpaceDE w:val="0"/>
                    <w:autoSpaceDN w:val="0"/>
                    <w:adjustRightInd w:val="0"/>
                    <w:snapToGrid w:val="0"/>
                    <w:jc w:val="both"/>
                    <w:rPr>
                      <w:rFonts w:hint="default" w:eastAsia="宋体"/>
                      <w:color w:val="000000" w:themeColor="text1"/>
                      <w:szCs w:val="21"/>
                      <w:shd w:val="clear" w:color="auto" w:fill="FFFFFF"/>
                      <w:lang w:val="en-US" w:eastAsia="zh-CN"/>
                      <w14:textFill>
                        <w14:solidFill>
                          <w14:schemeClr w14:val="tx1"/>
                        </w14:solidFill>
                      </w14:textFill>
                    </w:rPr>
                  </w:pPr>
                  <w:r>
                    <w:rPr>
                      <w:rFonts w:hint="eastAsia"/>
                      <w:color w:val="000000" w:themeColor="text1"/>
                      <w:szCs w:val="21"/>
                      <w:shd w:val="clear" w:color="auto" w:fill="FFFFFF"/>
                      <w:lang w:val="en-US" w:eastAsia="zh-CN"/>
                      <w14:textFill>
                        <w14:solidFill>
                          <w14:schemeClr w14:val="tx1"/>
                        </w14:solidFill>
                      </w14:textFill>
                    </w:rPr>
                    <w:t>落实生态环境管控要求，强化减排措施。结合目前高新区发展煤化工、白酒酿造、电力能源等产业带来的区域环境问题，以及现状环境空气、地表水超标问题，按照汾渭平原大气污染防治重点区域的相关要求，优化产业结构，提高治理和管理水平，夯实减排责任，细化减排措施，确保区域环境指标达标。</w:t>
                  </w:r>
                </w:p>
              </w:tc>
              <w:tc>
                <w:tcPr>
                  <w:tcW w:w="2545" w:type="dxa"/>
                  <w:noWrap w:val="0"/>
                  <w:vAlign w:val="center"/>
                </w:tcPr>
                <w:p w14:paraId="51AA825E">
                  <w:pPr>
                    <w:autoSpaceDE w:val="0"/>
                    <w:autoSpaceDN w:val="0"/>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本项目为白酒酿造企业配套的锅炉房生物质锅炉进行提升改造，采用专业生物质锅炉及专业生物质燃料，并配套SNCR和高效袋式除尘器对废气进行处理，可有效减少废气外排。</w:t>
                  </w:r>
                </w:p>
              </w:tc>
            </w:tr>
          </w:tbl>
          <w:p w14:paraId="4191386B">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14:paraId="682B8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4" w:type="dxa"/>
            <w:noWrap w:val="0"/>
            <w:vAlign w:val="center"/>
          </w:tcPr>
          <w:p w14:paraId="188A9B0C">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其他符合性分析</w:t>
            </w:r>
          </w:p>
        </w:tc>
        <w:tc>
          <w:tcPr>
            <w:tcW w:w="7976" w:type="dxa"/>
            <w:gridSpan w:val="3"/>
            <w:noWrap w:val="0"/>
            <w:vAlign w:val="center"/>
          </w:tcPr>
          <w:p w14:paraId="08327054">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1</w:t>
            </w:r>
            <w:r>
              <w:rPr>
                <w:rFonts w:hint="eastAsia" w:cs="Times New Roman"/>
                <w:b/>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14:textFill>
                  <w14:solidFill>
                    <w14:schemeClr w14:val="tx1"/>
                  </w14:solidFill>
                </w14:textFill>
              </w:rPr>
              <w:t>建设项目所在地“三线一单”符合性分析</w:t>
            </w:r>
          </w:p>
          <w:p w14:paraId="1A3D0F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根据宝鸡市“三线一单”生态环境分区管控方案，通过在陕西省“三线一单”数据应用系统（V1.0）中查询本项目，本项目所在区域为“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重点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管控单元”，本项目</w:t>
            </w:r>
            <w:r>
              <w:rPr>
                <w:rFonts w:hint="default" w:ascii="Times New Roman" w:hAnsi="Times New Roman" w:cs="Times New Roman"/>
                <w:color w:val="000000" w:themeColor="text1"/>
                <w:sz w:val="24"/>
                <w:szCs w:val="24"/>
                <w:lang w:val="en-US" w:eastAsia="zh-CN"/>
                <w14:textFill>
                  <w14:solidFill>
                    <w14:schemeClr w14:val="tx1"/>
                  </w14:solidFill>
                </w14:textFill>
              </w:rPr>
              <w:t>具体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“三线一单”符合性判定如下：</w:t>
            </w:r>
          </w:p>
          <w:p w14:paraId="5A784120">
            <w:pPr>
              <w:keepNext/>
              <w:keepLines/>
              <w:pageBreakBefore w:val="0"/>
              <w:widowControl/>
              <w:numPr>
                <w:ilvl w:val="0"/>
                <w:numId w:val="1"/>
              </w:numPr>
              <w:kinsoku/>
              <w:wordWrap/>
              <w:overflowPunct/>
              <w:topLinePunct w:val="0"/>
              <w:autoSpaceDE/>
              <w:autoSpaceDN/>
              <w:bidi w:val="0"/>
              <w:adjustRightInd w:val="0"/>
              <w:snapToGrid w:val="0"/>
              <w:spacing w:line="360" w:lineRule="auto"/>
              <w:ind w:firstLine="482" w:firstLineChars="200"/>
              <w:jc w:val="both"/>
              <w:textAlignment w:val="auto"/>
              <w:outlineLvl w:val="1"/>
              <w:rPr>
                <w:rFonts w:hint="default" w:ascii="Times New Roman" w:hAnsi="Times New Roman" w:cs="Times New Roman"/>
                <w:b/>
                <w:color w:val="000000" w:themeColor="text1"/>
                <w:sz w:val="24"/>
                <w:szCs w:val="24"/>
                <w:lang w:eastAsia="zh-CN"/>
                <w14:textFill>
                  <w14:solidFill>
                    <w14:schemeClr w14:val="tx1"/>
                  </w14:solidFill>
                </w14:textFill>
              </w:rPr>
            </w:pPr>
            <w:r>
              <w:rPr>
                <w:rFonts w:hint="default" w:ascii="Times New Roman" w:hAnsi="Times New Roman" w:cs="Times New Roman"/>
                <w:b/>
                <w:color w:val="000000" w:themeColor="text1"/>
                <w:sz w:val="24"/>
                <w:szCs w:val="24"/>
                <w:lang w:eastAsia="zh-CN"/>
                <w14:textFill>
                  <w14:solidFill>
                    <w14:schemeClr w14:val="tx1"/>
                  </w14:solidFill>
                </w14:textFill>
              </w:rPr>
              <w:t>项目与环境管控单元对照分析示意图</w:t>
            </w:r>
          </w:p>
          <w:p w14:paraId="7254BC3F">
            <w:pPr>
              <w:keepNext/>
              <w:keepLines/>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1"/>
              <w:rPr>
                <w:rFonts w:hint="default" w:ascii="Times New Roman" w:hAnsi="Times New Roman" w:eastAsia="黑体" w:cs="Times New Roman"/>
                <w:bCs/>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1238250</wp:posOffset>
                      </wp:positionH>
                      <wp:positionV relativeFrom="paragraph">
                        <wp:posOffset>2908935</wp:posOffset>
                      </wp:positionV>
                      <wp:extent cx="706120" cy="288290"/>
                      <wp:effectExtent l="0" t="0" r="0" b="0"/>
                      <wp:wrapNone/>
                      <wp:docPr id="2" name="文本框 6"/>
                      <wp:cNvGraphicFramePr/>
                      <a:graphic xmlns:a="http://schemas.openxmlformats.org/drawingml/2006/main">
                        <a:graphicData uri="http://schemas.microsoft.com/office/word/2010/wordprocessingShape">
                          <wps:wsp>
                            <wps:cNvSpPr txBox="1"/>
                            <wps:spPr>
                              <a:xfrm>
                                <a:off x="0" y="0"/>
                                <a:ext cx="706120" cy="288290"/>
                              </a:xfrm>
                              <a:prstGeom prst="rect">
                                <a:avLst/>
                              </a:prstGeom>
                              <a:noFill/>
                              <a:ln>
                                <a:noFill/>
                              </a:ln>
                            </wps:spPr>
                            <wps:txbx>
                              <w:txbxContent>
                                <w:p w14:paraId="3E652451">
                                  <w:pPr>
                                    <w:rPr>
                                      <w:rFonts w:hint="eastAsia" w:eastAsia="宋体"/>
                                      <w:lang w:eastAsia="zh-CN"/>
                                    </w:rPr>
                                  </w:pPr>
                                  <w:r>
                                    <w:rPr>
                                      <w:rFonts w:hint="eastAsia"/>
                                      <w:lang w:eastAsia="zh-CN"/>
                                    </w:rPr>
                                    <w:t>本项目</w:t>
                                  </w:r>
                                </w:p>
                              </w:txbxContent>
                            </wps:txbx>
                            <wps:bodyPr vert="horz" wrap="square" anchor="t" anchorCtr="0" upright="1"/>
                          </wps:wsp>
                        </a:graphicData>
                      </a:graphic>
                    </wp:anchor>
                  </w:drawing>
                </mc:Choice>
                <mc:Fallback>
                  <w:pict>
                    <v:shape id="文本框 6" o:spid="_x0000_s1026" o:spt="202" type="#_x0000_t202" style="position:absolute;left:0pt;margin-left:97.5pt;margin-top:229.05pt;height:22.7pt;width:55.6pt;z-index:251660288;mso-width-relative:page;mso-height-relative:page;" filled="f" stroked="f" coordsize="21600,21600" o:gfxdata="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L2GLfYAAAACwEAAA8AAAAAAAAAAQAgAAAAIgAAAGRycy9k&#10;b3ducmV2LnhtbFBLAQIUABQAAAAIAIdO4kA7lANeyQEAAIADAAAOAAAAAAAAAAEAIAAAACcBAABk&#10;cnMvZTJvRG9jLnhtbFBLBQYAAAAABgAGAFkBAABiBQAAAAA=&#10;">
                      <v:fill on="f" focussize="0,0"/>
                      <v:stroke on="f"/>
                      <v:imagedata o:title=""/>
                      <o:lock v:ext="edit" aspectratio="f"/>
                      <v:textbox>
                        <w:txbxContent>
                          <w:p w14:paraId="3E652451">
                            <w:pPr>
                              <w:rPr>
                                <w:rFonts w:hint="eastAsia" w:eastAsia="宋体"/>
                                <w:lang w:eastAsia="zh-CN"/>
                              </w:rPr>
                            </w:pPr>
                            <w:r>
                              <w:rPr>
                                <w:rFonts w:hint="eastAsia"/>
                                <w:lang w:eastAsia="zh-CN"/>
                              </w:rPr>
                              <w:t>本项目</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1036320</wp:posOffset>
                      </wp:positionH>
                      <wp:positionV relativeFrom="paragraph">
                        <wp:posOffset>2921000</wp:posOffset>
                      </wp:positionV>
                      <wp:extent cx="287020" cy="86995"/>
                      <wp:effectExtent l="1270" t="4445" r="16510" b="22860"/>
                      <wp:wrapNone/>
                      <wp:docPr id="1" name="直线 5"/>
                      <wp:cNvGraphicFramePr/>
                      <a:graphic xmlns:a="http://schemas.openxmlformats.org/drawingml/2006/main">
                        <a:graphicData uri="http://schemas.microsoft.com/office/word/2010/wordprocessingShape">
                          <wps:wsp>
                            <wps:cNvCnPr/>
                            <wps:spPr>
                              <a:xfrm>
                                <a:off x="0" y="0"/>
                                <a:ext cx="287020" cy="869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 o:spid="_x0000_s1026" o:spt="20" style="position:absolute;left:0pt;margin-left:81.6pt;margin-top:230pt;height:6.85pt;width:22.6pt;z-index:251659264;mso-width-relative:page;mso-height-relative:page;" filled="f" stroked="t" coordsize="21600,21600" o:gfxdata="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A0h72wAAAAsBAAAPAAAAAAAAAAEAIAAAACIAAABkcnMvZG93bnJldi54bWxQSwEC&#10;FAAUAAAACACHTuJAofHjbvEBAADfAwAADgAAAAAAAAABACAAAAAqAQAAZHJzL2Uyb0RvYy54bWxQ&#10;SwUGAAAAAAYABgBZAQAAjQUAAAAA&#10;">
                      <v:fill on="f" focussize="0,0"/>
                      <v:stroke color="#000000" joinstyle="round" endarrow="open"/>
                      <v:imagedata o:title=""/>
                      <o:lock v:ext="edit" aspectratio="f"/>
                    </v:line>
                  </w:pict>
                </mc:Fallback>
              </mc:AlternateContent>
            </w:r>
            <w:r>
              <w:rPr>
                <w:color w:val="000000" w:themeColor="text1"/>
                <w14:textFill>
                  <w14:solidFill>
                    <w14:schemeClr w14:val="tx1"/>
                  </w14:solidFill>
                </w14:textFill>
              </w:rPr>
              <w:drawing>
                <wp:inline distT="0" distB="0" distL="114300" distR="114300">
                  <wp:extent cx="4900930" cy="6483985"/>
                  <wp:effectExtent l="0" t="0" r="13970" b="12065"/>
                  <wp:docPr id="1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9"/>
                          <pic:cNvPicPr>
                            <a:picLocks noChangeAspect="1"/>
                          </pic:cNvPicPr>
                        </pic:nvPicPr>
                        <pic:blipFill>
                          <a:blip r:embed="rId10"/>
                          <a:stretch>
                            <a:fillRect/>
                          </a:stretch>
                        </pic:blipFill>
                        <pic:spPr>
                          <a:xfrm>
                            <a:off x="0" y="0"/>
                            <a:ext cx="4900930" cy="6483985"/>
                          </a:xfrm>
                          <a:prstGeom prst="rect">
                            <a:avLst/>
                          </a:prstGeom>
                          <a:noFill/>
                          <a:ln>
                            <a:noFill/>
                          </a:ln>
                        </pic:spPr>
                      </pic:pic>
                    </a:graphicData>
                  </a:graphic>
                </wp:inline>
              </w:drawing>
            </w:r>
          </w:p>
          <w:p w14:paraId="72FC6F50">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1"/>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图1-1  项目与环境管控单元示意图</w:t>
            </w:r>
          </w:p>
          <w:p w14:paraId="6DC6BCF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val="0"/>
                <w:bCs/>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（2）环境管控单元</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涉及</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情况</w:t>
            </w:r>
          </w:p>
          <w:p w14:paraId="22F05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1-1  </w:t>
            </w:r>
            <w:r>
              <w:rPr>
                <w:rFonts w:hint="default" w:ascii="Times New Roman" w:hAnsi="Times New Roman" w:eastAsia="宋体" w:cs="Times New Roman"/>
                <w:b/>
                <w:color w:val="000000" w:themeColor="text1"/>
                <w:sz w:val="21"/>
                <w:szCs w:val="21"/>
                <w14:textFill>
                  <w14:solidFill>
                    <w14:schemeClr w14:val="tx1"/>
                  </w14:solidFill>
                </w14:textFill>
              </w:rPr>
              <w:t>项目与环境管控单元</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涉及情况</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1932"/>
              <w:gridCol w:w="1932"/>
              <w:gridCol w:w="1932"/>
            </w:tblGrid>
            <w:tr w14:paraId="7F892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noWrap w:val="0"/>
                  <w:vAlign w:val="top"/>
                </w:tcPr>
                <w:p w14:paraId="3BF3E819">
                  <w:pPr>
                    <w:adjustRightInd w:val="0"/>
                    <w:snapToGrid w:val="0"/>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 xml:space="preserve">环境管控单元分类 </w:t>
                  </w:r>
                </w:p>
              </w:tc>
              <w:tc>
                <w:tcPr>
                  <w:tcW w:w="1250" w:type="pct"/>
                  <w:tcBorders>
                    <w:tl2br w:val="nil"/>
                    <w:tr2bl w:val="nil"/>
                  </w:tcBorders>
                  <w:noWrap w:val="0"/>
                  <w:vAlign w:val="top"/>
                </w:tcPr>
                <w:p w14:paraId="54DACF89">
                  <w:pPr>
                    <w:adjustRightInd w:val="0"/>
                    <w:snapToGrid w:val="0"/>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是否涉及</w:t>
                  </w:r>
                </w:p>
              </w:tc>
              <w:tc>
                <w:tcPr>
                  <w:tcW w:w="1250" w:type="pct"/>
                  <w:tcBorders>
                    <w:tl2br w:val="nil"/>
                    <w:tr2bl w:val="nil"/>
                  </w:tcBorders>
                  <w:noWrap w:val="0"/>
                  <w:vAlign w:val="top"/>
                </w:tcPr>
                <w:p w14:paraId="6314BE52">
                  <w:pPr>
                    <w:adjustRightInd w:val="0"/>
                    <w:snapToGrid w:val="0"/>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面积</w:t>
                  </w:r>
                </w:p>
              </w:tc>
              <w:tc>
                <w:tcPr>
                  <w:tcW w:w="1250" w:type="pct"/>
                  <w:tcBorders>
                    <w:tl2br w:val="nil"/>
                    <w:tr2bl w:val="nil"/>
                  </w:tcBorders>
                  <w:noWrap w:val="0"/>
                  <w:vAlign w:val="top"/>
                </w:tcPr>
                <w:p w14:paraId="49AC603A">
                  <w:pPr>
                    <w:adjustRightInd w:val="0"/>
                    <w:snapToGrid w:val="0"/>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占比</w:t>
                  </w:r>
                </w:p>
              </w:tc>
            </w:tr>
            <w:tr w14:paraId="7CEAF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noWrap w:val="0"/>
                  <w:vAlign w:val="top"/>
                </w:tcPr>
                <w:p w14:paraId="63A6D4B9">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优先保护单元</w:t>
                  </w:r>
                </w:p>
              </w:tc>
              <w:tc>
                <w:tcPr>
                  <w:tcW w:w="1250" w:type="pct"/>
                  <w:tcBorders>
                    <w:tl2br w:val="nil"/>
                    <w:tr2bl w:val="nil"/>
                  </w:tcBorders>
                  <w:noWrap w:val="0"/>
                  <w:vAlign w:val="top"/>
                </w:tcPr>
                <w:p w14:paraId="2B3130F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否</w:t>
                  </w:r>
                </w:p>
              </w:tc>
              <w:tc>
                <w:tcPr>
                  <w:tcW w:w="1250" w:type="pct"/>
                  <w:tcBorders>
                    <w:tl2br w:val="nil"/>
                    <w:tr2bl w:val="nil"/>
                  </w:tcBorders>
                  <w:noWrap w:val="0"/>
                  <w:vAlign w:val="top"/>
                </w:tcPr>
                <w:p w14:paraId="04E85BD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0平方米</w:t>
                  </w:r>
                </w:p>
              </w:tc>
              <w:tc>
                <w:tcPr>
                  <w:tcW w:w="1250" w:type="pct"/>
                  <w:tcBorders>
                    <w:tl2br w:val="nil"/>
                    <w:tr2bl w:val="nil"/>
                  </w:tcBorders>
                  <w:noWrap w:val="0"/>
                  <w:vAlign w:val="top"/>
                </w:tcPr>
                <w:p w14:paraId="48B5D49C">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r>
            <w:tr w14:paraId="1A99F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50" w:type="pct"/>
                  <w:tcBorders>
                    <w:tl2br w:val="nil"/>
                    <w:tr2bl w:val="nil"/>
                  </w:tcBorders>
                  <w:noWrap w:val="0"/>
                  <w:vAlign w:val="top"/>
                </w:tcPr>
                <w:p w14:paraId="5966D616">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一般管控单元</w:t>
                  </w:r>
                </w:p>
              </w:tc>
              <w:tc>
                <w:tcPr>
                  <w:tcW w:w="1250" w:type="pct"/>
                  <w:tcBorders>
                    <w:tl2br w:val="nil"/>
                    <w:tr2bl w:val="nil"/>
                  </w:tcBorders>
                  <w:noWrap w:val="0"/>
                  <w:vAlign w:val="top"/>
                </w:tcPr>
                <w:p w14:paraId="56597F4B">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否</w:t>
                  </w:r>
                </w:p>
              </w:tc>
              <w:tc>
                <w:tcPr>
                  <w:tcW w:w="1250" w:type="pct"/>
                  <w:tcBorders>
                    <w:tl2br w:val="nil"/>
                    <w:tr2bl w:val="nil"/>
                  </w:tcBorders>
                  <w:noWrap w:val="0"/>
                  <w:vAlign w:val="top"/>
                </w:tcPr>
                <w:p w14:paraId="7A4AA58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0平方米</w:t>
                  </w:r>
                </w:p>
              </w:tc>
              <w:tc>
                <w:tcPr>
                  <w:tcW w:w="1250" w:type="pct"/>
                  <w:tcBorders>
                    <w:tl2br w:val="nil"/>
                    <w:tr2bl w:val="nil"/>
                  </w:tcBorders>
                  <w:noWrap w:val="0"/>
                  <w:vAlign w:val="top"/>
                </w:tcPr>
                <w:p w14:paraId="49B2C0D9">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r>
            <w:tr w14:paraId="62F29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noWrap w:val="0"/>
                  <w:vAlign w:val="top"/>
                </w:tcPr>
                <w:p w14:paraId="17C1FE01">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重点管控单元</w:t>
                  </w:r>
                </w:p>
              </w:tc>
              <w:tc>
                <w:tcPr>
                  <w:tcW w:w="1250" w:type="pct"/>
                  <w:tcBorders>
                    <w:tl2br w:val="nil"/>
                    <w:tr2bl w:val="nil"/>
                  </w:tcBorders>
                  <w:noWrap w:val="0"/>
                  <w:vAlign w:val="top"/>
                </w:tcPr>
                <w:p w14:paraId="58AF3759">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是</w:t>
                  </w:r>
                </w:p>
              </w:tc>
              <w:tc>
                <w:tcPr>
                  <w:tcW w:w="1250" w:type="pct"/>
                  <w:tcBorders>
                    <w:tl2br w:val="nil"/>
                    <w:tr2bl w:val="nil"/>
                  </w:tcBorders>
                  <w:noWrap w:val="0"/>
                  <w:vAlign w:val="top"/>
                </w:tcPr>
                <w:p w14:paraId="3124B9A2">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5168.58</w:t>
                  </w:r>
                  <w:r>
                    <w:rPr>
                      <w:rFonts w:hint="default" w:ascii="Times New Roman" w:hAnsi="Times New Roman" w:eastAsia="宋体" w:cs="Times New Roman"/>
                      <w:bCs/>
                      <w:color w:val="000000" w:themeColor="text1"/>
                      <w:sz w:val="21"/>
                      <w:szCs w:val="21"/>
                      <w14:textFill>
                        <w14:solidFill>
                          <w14:schemeClr w14:val="tx1"/>
                        </w14:solidFill>
                      </w14:textFill>
                    </w:rPr>
                    <w:t>平方米</w:t>
                  </w:r>
                </w:p>
              </w:tc>
              <w:tc>
                <w:tcPr>
                  <w:tcW w:w="1250" w:type="pct"/>
                  <w:tcBorders>
                    <w:tl2br w:val="nil"/>
                    <w:tr2bl w:val="nil"/>
                  </w:tcBorders>
                  <w:noWrap w:val="0"/>
                  <w:vAlign w:val="top"/>
                </w:tcPr>
                <w:p w14:paraId="27A9ADDF">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100%</w:t>
                  </w:r>
                </w:p>
              </w:tc>
            </w:tr>
          </w:tbl>
          <w:p w14:paraId="53A193C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w:t>
            </w:r>
            <w:r>
              <w:rPr>
                <w:rFonts w:hint="default" w:ascii="Times New Roman" w:hAnsi="Times New Roman" w:cs="Times New Roman"/>
                <w:b/>
                <w:color w:val="000000" w:themeColor="text1"/>
                <w:sz w:val="24"/>
                <w:szCs w:val="24"/>
                <w:lang w:val="en-US" w:eastAsia="zh-CN"/>
                <w14:textFill>
                  <w14:solidFill>
                    <w14:schemeClr w14:val="tx1"/>
                  </w14:solidFill>
                </w14:textFill>
              </w:rPr>
              <w:t>项目与</w:t>
            </w:r>
            <w:r>
              <w:rPr>
                <w:rFonts w:hint="default" w:ascii="Times New Roman" w:hAnsi="Times New Roman" w:cs="Times New Roman"/>
                <w:b/>
                <w:color w:val="000000" w:themeColor="text1"/>
                <w:sz w:val="24"/>
                <w:szCs w:val="24"/>
                <w:lang w:eastAsia="zh-CN"/>
                <w14:textFill>
                  <w14:solidFill>
                    <w14:schemeClr w14:val="tx1"/>
                  </w14:solidFill>
                </w14:textFill>
              </w:rPr>
              <w:t>环境管控单元管控要求</w:t>
            </w:r>
            <w:r>
              <w:rPr>
                <w:rFonts w:hint="default" w:ascii="Times New Roman" w:hAnsi="Times New Roman" w:cs="Times New Roman"/>
                <w:b/>
                <w:color w:val="000000" w:themeColor="text1"/>
                <w:sz w:val="24"/>
                <w:szCs w:val="24"/>
                <w:lang w:val="en-US" w:eastAsia="zh-CN"/>
                <w14:textFill>
                  <w14:solidFill>
                    <w14:schemeClr w14:val="tx1"/>
                  </w14:solidFill>
                </w14:textFill>
              </w:rPr>
              <w:t>符合性分析</w:t>
            </w:r>
          </w:p>
          <w:p w14:paraId="38F09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表1-</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“三线一单”符合性分析表</w:t>
            </w:r>
          </w:p>
          <w:tbl>
            <w:tblPr>
              <w:tblStyle w:val="3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17"/>
              <w:gridCol w:w="518"/>
              <w:gridCol w:w="518"/>
              <w:gridCol w:w="755"/>
              <w:gridCol w:w="695"/>
              <w:gridCol w:w="3005"/>
              <w:gridCol w:w="1718"/>
            </w:tblGrid>
            <w:tr w14:paraId="225CDE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34" w:type="pct"/>
                  <w:tcBorders>
                    <w:tl2br w:val="nil"/>
                    <w:tr2bl w:val="nil"/>
                  </w:tcBorders>
                  <w:noWrap w:val="0"/>
                  <w:vAlign w:val="center"/>
                </w:tcPr>
                <w:p w14:paraId="15ECF9E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335" w:type="pct"/>
                  <w:tcBorders>
                    <w:tl2br w:val="nil"/>
                    <w:tr2bl w:val="nil"/>
                  </w:tcBorders>
                  <w:noWrap w:val="0"/>
                  <w:vAlign w:val="center"/>
                </w:tcPr>
                <w:p w14:paraId="417AC5E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市区</w:t>
                  </w:r>
                </w:p>
              </w:tc>
              <w:tc>
                <w:tcPr>
                  <w:tcW w:w="335" w:type="pct"/>
                  <w:tcBorders>
                    <w:tl2br w:val="nil"/>
                    <w:tr2bl w:val="nil"/>
                  </w:tcBorders>
                  <w:noWrap w:val="0"/>
                  <w:vAlign w:val="center"/>
                </w:tcPr>
                <w:p w14:paraId="403AF65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区县</w:t>
                  </w:r>
                </w:p>
              </w:tc>
              <w:tc>
                <w:tcPr>
                  <w:tcW w:w="488" w:type="pct"/>
                  <w:tcBorders>
                    <w:tl2br w:val="nil"/>
                    <w:tr2bl w:val="nil"/>
                  </w:tcBorders>
                  <w:noWrap w:val="0"/>
                  <w:vAlign w:val="center"/>
                </w:tcPr>
                <w:p w14:paraId="2682F66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单元要素属性</w:t>
                  </w:r>
                </w:p>
              </w:tc>
              <w:tc>
                <w:tcPr>
                  <w:tcW w:w="449" w:type="pct"/>
                  <w:tcBorders>
                    <w:tl2br w:val="nil"/>
                    <w:tr2bl w:val="nil"/>
                  </w:tcBorders>
                  <w:noWrap w:val="0"/>
                  <w:vAlign w:val="center"/>
                </w:tcPr>
                <w:p w14:paraId="3619FE4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管控要求分类</w:t>
                  </w:r>
                </w:p>
              </w:tc>
              <w:tc>
                <w:tcPr>
                  <w:tcW w:w="1944" w:type="pct"/>
                  <w:tcBorders>
                    <w:tl2br w:val="nil"/>
                    <w:tr2bl w:val="nil"/>
                  </w:tcBorders>
                  <w:noWrap w:val="0"/>
                  <w:vAlign w:val="center"/>
                </w:tcPr>
                <w:p w14:paraId="355E3F6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管控要求</w:t>
                  </w:r>
                </w:p>
              </w:tc>
              <w:tc>
                <w:tcPr>
                  <w:tcW w:w="1111" w:type="pct"/>
                  <w:tcBorders>
                    <w:tl2br w:val="nil"/>
                    <w:tr2bl w:val="nil"/>
                  </w:tcBorders>
                  <w:noWrap/>
                  <w:vAlign w:val="center"/>
                </w:tcPr>
                <w:p w14:paraId="0359078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项目情况</w:t>
                  </w:r>
                </w:p>
              </w:tc>
            </w:tr>
            <w:tr w14:paraId="4F3D6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334" w:type="pct"/>
                  <w:vMerge w:val="restart"/>
                  <w:tcBorders>
                    <w:tl2br w:val="nil"/>
                    <w:tr2bl w:val="nil"/>
                  </w:tcBorders>
                  <w:noWrap w:val="0"/>
                  <w:vAlign w:val="center"/>
                </w:tcPr>
                <w:p w14:paraId="3E8637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335" w:type="pct"/>
                  <w:vMerge w:val="restart"/>
                  <w:tcBorders>
                    <w:tl2br w:val="nil"/>
                    <w:tr2bl w:val="nil"/>
                  </w:tcBorders>
                  <w:noWrap w:val="0"/>
                  <w:vAlign w:val="center"/>
                </w:tcPr>
                <w:p w14:paraId="3621F6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宝鸡市</w:t>
                  </w:r>
                </w:p>
              </w:tc>
              <w:tc>
                <w:tcPr>
                  <w:tcW w:w="335" w:type="pct"/>
                  <w:vMerge w:val="restart"/>
                  <w:tcBorders>
                    <w:tl2br w:val="nil"/>
                    <w:tr2bl w:val="nil"/>
                  </w:tcBorders>
                  <w:noWrap w:val="0"/>
                  <w:vAlign w:val="center"/>
                </w:tcPr>
                <w:p w14:paraId="48A469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凤翔区</w:t>
                  </w:r>
                </w:p>
              </w:tc>
              <w:tc>
                <w:tcPr>
                  <w:tcW w:w="488" w:type="pct"/>
                  <w:vMerge w:val="restart"/>
                  <w:tcBorders>
                    <w:tl2br w:val="nil"/>
                    <w:tr2bl w:val="nil"/>
                  </w:tcBorders>
                  <w:noWrap w:val="0"/>
                  <w:vAlign w:val="center"/>
                </w:tcPr>
                <w:p w14:paraId="39135D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大气环境高排放重点管控区</w:t>
                  </w:r>
                </w:p>
              </w:tc>
              <w:tc>
                <w:tcPr>
                  <w:tcW w:w="449" w:type="pct"/>
                  <w:tcBorders>
                    <w:tl2br w:val="nil"/>
                    <w:tr2bl w:val="nil"/>
                  </w:tcBorders>
                  <w:noWrap w:val="0"/>
                  <w:vAlign w:val="center"/>
                </w:tcPr>
                <w:p w14:paraId="3D987D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空间布局</w:t>
                  </w:r>
                </w:p>
              </w:tc>
              <w:tc>
                <w:tcPr>
                  <w:tcW w:w="1944" w:type="pct"/>
                  <w:tcBorders>
                    <w:tl2br w:val="nil"/>
                    <w:tr2bl w:val="nil"/>
                  </w:tcBorders>
                  <w:noWrap w:val="0"/>
                  <w:vAlign w:val="center"/>
                </w:tcPr>
                <w:p w14:paraId="2849B80E">
                  <w:pPr>
                    <w:keepNext w:val="0"/>
                    <w:keepLines w:val="0"/>
                    <w:widowControl/>
                    <w:suppressLineNumbers w:val="0"/>
                    <w:spacing w:line="240" w:lineRule="auto"/>
                    <w:jc w:val="both"/>
                    <w:textAlignment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大气环境高排放重点管控区：</w:t>
                  </w:r>
                </w:p>
                <w:p w14:paraId="6E98B94F">
                  <w:pPr>
                    <w:keepNext w:val="0"/>
                    <w:keepLines w:val="0"/>
                    <w:widowControl/>
                    <w:numPr>
                      <w:ilvl w:val="0"/>
                      <w:numId w:val="0"/>
                    </w:numPr>
                    <w:suppressLineNumbers w:val="0"/>
                    <w:spacing w:line="240" w:lineRule="auto"/>
                    <w:jc w:val="both"/>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调整结构强化领域绿色低碳发展。2.严禁新增钢铁、焦化、水泥熟料、平板玻璃、电解铝、氧化铝、煤化工产能，合理控制煤制油气产能规模，严控新增炼油产能。推动水泥、焦化行业开展全流程超低排放改造。3.推动传统产业绿色转型升级。采用先进节能低碳环保技术改造提升传统产业，提高清洁生产和污染治理水平。重点发展新能源、新材料、生物技术和新医药、节能环保等战略性新兴产业，引导战略性新兴产业与现有产业融合发展。</w:t>
                  </w:r>
                </w:p>
              </w:tc>
              <w:tc>
                <w:tcPr>
                  <w:tcW w:w="1111" w:type="pct"/>
                  <w:tcBorders>
                    <w:tl2br w:val="nil"/>
                    <w:tr2bl w:val="nil"/>
                  </w:tcBorders>
                  <w:noWrap w:val="0"/>
                  <w:vAlign w:val="center"/>
                </w:tcPr>
                <w:p w14:paraId="227FF1F8">
                  <w:pPr>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本项目为生物质锅炉改造项目，不属于严禁类和严控类项目；本项目在</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原有</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项目锅炉房内进行建设，不新增土地，不涉及禁止建设区。</w:t>
                  </w:r>
                </w:p>
              </w:tc>
            </w:tr>
            <w:tr w14:paraId="060109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334" w:type="pct"/>
                  <w:vMerge w:val="continue"/>
                  <w:tcBorders>
                    <w:tl2br w:val="nil"/>
                    <w:tr2bl w:val="nil"/>
                  </w:tcBorders>
                  <w:noWrap w:val="0"/>
                  <w:vAlign w:val="center"/>
                </w:tcPr>
                <w:p w14:paraId="52FE67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35" w:type="pct"/>
                  <w:vMerge w:val="continue"/>
                  <w:tcBorders>
                    <w:tl2br w:val="nil"/>
                    <w:tr2bl w:val="nil"/>
                  </w:tcBorders>
                  <w:noWrap w:val="0"/>
                  <w:vAlign w:val="center"/>
                </w:tcPr>
                <w:p w14:paraId="17D3FE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35" w:type="pct"/>
                  <w:vMerge w:val="continue"/>
                  <w:tcBorders>
                    <w:tl2br w:val="nil"/>
                    <w:tr2bl w:val="nil"/>
                  </w:tcBorders>
                  <w:noWrap w:val="0"/>
                  <w:vAlign w:val="center"/>
                </w:tcPr>
                <w:p w14:paraId="03A10E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488" w:type="pct"/>
                  <w:vMerge w:val="continue"/>
                  <w:tcBorders>
                    <w:tl2br w:val="nil"/>
                    <w:tr2bl w:val="nil"/>
                  </w:tcBorders>
                  <w:noWrap w:val="0"/>
                  <w:vAlign w:val="center"/>
                </w:tcPr>
                <w:p w14:paraId="20C64C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49" w:type="pct"/>
                  <w:tcBorders>
                    <w:tl2br w:val="nil"/>
                    <w:tr2bl w:val="nil"/>
                  </w:tcBorders>
                  <w:noWrap w:val="0"/>
                  <w:vAlign w:val="center"/>
                </w:tcPr>
                <w:p w14:paraId="7F5B7F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污染排放管控</w:t>
                  </w:r>
                </w:p>
              </w:tc>
              <w:tc>
                <w:tcPr>
                  <w:tcW w:w="1944" w:type="pct"/>
                  <w:tcBorders>
                    <w:tl2br w:val="nil"/>
                    <w:tr2bl w:val="nil"/>
                  </w:tcBorders>
                  <w:noWrap w:val="0"/>
                  <w:vAlign w:val="center"/>
                </w:tcPr>
                <w:p w14:paraId="7703A92E">
                  <w:pPr>
                    <w:keepNext w:val="0"/>
                    <w:keepLines w:val="0"/>
                    <w:widowControl/>
                    <w:suppressLineNumbers w:val="0"/>
                    <w:spacing w:line="240" w:lineRule="auto"/>
                    <w:jc w:val="both"/>
                    <w:textAlignment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大气环境高排放重点管控区：</w:t>
                  </w:r>
                </w:p>
                <w:p w14:paraId="7C88FEA1">
                  <w:pPr>
                    <w:keepNext w:val="0"/>
                    <w:keepLines w:val="0"/>
                    <w:widowControl/>
                    <w:numPr>
                      <w:ilvl w:val="0"/>
                      <w:numId w:val="2"/>
                    </w:numPr>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w:t>
                  </w:r>
                  <w:r>
                    <w:rPr>
                      <w:rFonts w:hint="eastAsia" w:cs="Times New Roman"/>
                      <w:i w:val="0"/>
                      <w:iCs w:val="0"/>
                      <w:color w:val="000000" w:themeColor="text1"/>
                      <w:sz w:val="21"/>
                      <w:szCs w:val="21"/>
                      <w:u w:val="none"/>
                      <w:lang w:val="en-US" w:eastAsia="zh-CN"/>
                      <w14:textFill>
                        <w14:solidFill>
                          <w14:schemeClr w14:val="tx1"/>
                        </w14:solidFill>
                      </w14:textFill>
                    </w:rPr>
                    <w:t>。</w:t>
                  </w:r>
                </w:p>
                <w:p w14:paraId="716E3FB0">
                  <w:pPr>
                    <w:keepNext w:val="0"/>
                    <w:keepLines w:val="0"/>
                    <w:widowControl/>
                    <w:numPr>
                      <w:ilvl w:val="0"/>
                      <w:numId w:val="2"/>
                    </w:numPr>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在工业园区、企业集群推广建设涉挥发性有机物“绿岛”项目。在工业涂装和包装印刷等行业全面推进源头替代，严格落实国家和地方产品挥发性有机物含量限值质量标准。</w:t>
                  </w:r>
                </w:p>
                <w:p w14:paraId="388D0EF2">
                  <w:pPr>
                    <w:keepNext w:val="0"/>
                    <w:keepLines w:val="0"/>
                    <w:widowControl/>
                    <w:numPr>
                      <w:ilvl w:val="0"/>
                      <w:numId w:val="2"/>
                    </w:numPr>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持续实施重点行业提标改造。降低电力、水泥、玻璃、石油、化工、有色金属、纺织印染、建材等行业大气污染排放。</w:t>
                  </w:r>
                </w:p>
                <w:p w14:paraId="05E6FA5C">
                  <w:pPr>
                    <w:keepNext w:val="0"/>
                    <w:keepLines w:val="0"/>
                    <w:widowControl/>
                    <w:numPr>
                      <w:ilvl w:val="0"/>
                      <w:numId w:val="2"/>
                    </w:numPr>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强化挥发性有机污染物（VOCs）治理。综合治理石化、化工、工业涂装、包装印刷、油品储运销、工业园区和产业集群等六大重点行业VOCs，全面推动企业VOCs 治理设施升级改造。</w:t>
                  </w:r>
                </w:p>
                <w:p w14:paraId="5006BB67">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111" w:type="pct"/>
                  <w:tcBorders>
                    <w:tl2br w:val="nil"/>
                    <w:tr2bl w:val="nil"/>
                  </w:tcBorders>
                  <w:noWrap w:val="0"/>
                  <w:vAlign w:val="center"/>
                </w:tcPr>
                <w:p w14:paraId="145C3D49">
                  <w:pPr>
                    <w:numPr>
                      <w:ilvl w:val="0"/>
                      <w:numId w:val="3"/>
                    </w:numPr>
                    <w:spacing w:line="240" w:lineRule="auto"/>
                    <w:jc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本项目为生物质锅炉改造项目，产生的</w:t>
                  </w:r>
                  <w:r>
                    <w:rPr>
                      <w:rFonts w:hint="eastAsia" w:cs="Times New Roman"/>
                      <w:i w:val="0"/>
                      <w:iCs w:val="0"/>
                      <w:color w:val="000000" w:themeColor="text1"/>
                      <w:sz w:val="21"/>
                      <w:szCs w:val="21"/>
                      <w:u w:val="none"/>
                      <w:lang w:val="en-US" w:eastAsia="zh-CN"/>
                      <w14:textFill>
                        <w14:solidFill>
                          <w14:schemeClr w14:val="tx1"/>
                        </w14:solidFill>
                      </w14:textFill>
                    </w:rPr>
                    <w:t>氮氧化物</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经</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SNCR高温脱硝设施（炉内脱硝）</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处理后由15米排气筒有组织排放</w:t>
                  </w:r>
                  <w:r>
                    <w:rPr>
                      <w:rFonts w:hint="eastAsia" w:cs="Times New Roman"/>
                      <w:i w:val="0"/>
                      <w:iCs w:val="0"/>
                      <w:color w:val="000000" w:themeColor="text1"/>
                      <w:sz w:val="21"/>
                      <w:szCs w:val="21"/>
                      <w:u w:val="none"/>
                      <w:lang w:val="en-US" w:eastAsia="zh-CN"/>
                      <w14:textFill>
                        <w14:solidFill>
                          <w14:schemeClr w14:val="tx1"/>
                        </w14:solidFill>
                      </w14:textFill>
                    </w:rPr>
                    <w:t>。</w:t>
                  </w:r>
                </w:p>
                <w:p w14:paraId="1FAE545A">
                  <w:pPr>
                    <w:numPr>
                      <w:ilvl w:val="0"/>
                      <w:numId w:val="3"/>
                    </w:numPr>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本项目无挥发性有机物产生。</w:t>
                  </w:r>
                </w:p>
                <w:p w14:paraId="10E3FDC2">
                  <w:pPr>
                    <w:numPr>
                      <w:ilvl w:val="0"/>
                      <w:numId w:val="3"/>
                    </w:numPr>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本项目属于热力生产和供应，不属于重点行业，故不涉及此项内容。</w:t>
                  </w:r>
                </w:p>
                <w:p w14:paraId="470E74B2">
                  <w:pPr>
                    <w:numPr>
                      <w:ilvl w:val="0"/>
                      <w:numId w:val="3"/>
                    </w:numPr>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本项目无挥发性有机污染物产生。</w:t>
                  </w:r>
                </w:p>
              </w:tc>
            </w:tr>
            <w:tr w14:paraId="3F956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334" w:type="pct"/>
                  <w:vMerge w:val="continue"/>
                  <w:tcBorders>
                    <w:tl2br w:val="nil"/>
                    <w:tr2bl w:val="nil"/>
                  </w:tcBorders>
                  <w:noWrap w:val="0"/>
                  <w:vAlign w:val="center"/>
                </w:tcPr>
                <w:p w14:paraId="0686DD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35" w:type="pct"/>
                  <w:vMerge w:val="continue"/>
                  <w:tcBorders>
                    <w:tl2br w:val="nil"/>
                    <w:tr2bl w:val="nil"/>
                  </w:tcBorders>
                  <w:noWrap w:val="0"/>
                  <w:vAlign w:val="center"/>
                </w:tcPr>
                <w:p w14:paraId="0D1EDD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35" w:type="pct"/>
                  <w:vMerge w:val="continue"/>
                  <w:tcBorders>
                    <w:tl2br w:val="nil"/>
                    <w:tr2bl w:val="nil"/>
                  </w:tcBorders>
                  <w:noWrap w:val="0"/>
                  <w:vAlign w:val="center"/>
                </w:tcPr>
                <w:p w14:paraId="5B0A7C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488" w:type="pct"/>
                  <w:vMerge w:val="continue"/>
                  <w:tcBorders>
                    <w:tl2br w:val="nil"/>
                    <w:tr2bl w:val="nil"/>
                  </w:tcBorders>
                  <w:noWrap w:val="0"/>
                  <w:vAlign w:val="center"/>
                </w:tcPr>
                <w:p w14:paraId="7B780B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49" w:type="pct"/>
                  <w:tcBorders>
                    <w:tl2br w:val="nil"/>
                    <w:tr2bl w:val="nil"/>
                  </w:tcBorders>
                  <w:noWrap w:val="0"/>
                  <w:vAlign w:val="center"/>
                </w:tcPr>
                <w:p w14:paraId="1E3E5E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环境风险防控</w:t>
                  </w:r>
                </w:p>
              </w:tc>
              <w:tc>
                <w:tcPr>
                  <w:tcW w:w="1944" w:type="pct"/>
                  <w:tcBorders>
                    <w:tl2br w:val="nil"/>
                    <w:tr2bl w:val="nil"/>
                  </w:tcBorders>
                  <w:noWrap w:val="0"/>
                  <w:vAlign w:val="center"/>
                </w:tcPr>
                <w:p w14:paraId="6105CA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1111" w:type="pct"/>
                  <w:tcBorders>
                    <w:tl2br w:val="nil"/>
                    <w:tr2bl w:val="nil"/>
                  </w:tcBorders>
                  <w:noWrap w:val="0"/>
                  <w:vAlign w:val="center"/>
                </w:tcPr>
                <w:p w14:paraId="329DFA2F">
                  <w:pPr>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r>
            <w:tr w14:paraId="0607CC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334" w:type="pct"/>
                  <w:vMerge w:val="continue"/>
                  <w:tcBorders>
                    <w:tl2br w:val="nil"/>
                    <w:tr2bl w:val="nil"/>
                  </w:tcBorders>
                  <w:noWrap w:val="0"/>
                  <w:vAlign w:val="center"/>
                </w:tcPr>
                <w:p w14:paraId="62B3E9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35" w:type="pct"/>
                  <w:vMerge w:val="continue"/>
                  <w:tcBorders>
                    <w:tl2br w:val="nil"/>
                    <w:tr2bl w:val="nil"/>
                  </w:tcBorders>
                  <w:noWrap w:val="0"/>
                  <w:vAlign w:val="center"/>
                </w:tcPr>
                <w:p w14:paraId="6CD4C4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35" w:type="pct"/>
                  <w:vMerge w:val="continue"/>
                  <w:tcBorders>
                    <w:tl2br w:val="nil"/>
                    <w:tr2bl w:val="nil"/>
                  </w:tcBorders>
                  <w:noWrap w:val="0"/>
                  <w:vAlign w:val="center"/>
                </w:tcPr>
                <w:p w14:paraId="32D15E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488" w:type="pct"/>
                  <w:vMerge w:val="continue"/>
                  <w:tcBorders>
                    <w:tl2br w:val="nil"/>
                    <w:tr2bl w:val="nil"/>
                  </w:tcBorders>
                  <w:noWrap w:val="0"/>
                  <w:vAlign w:val="center"/>
                </w:tcPr>
                <w:p w14:paraId="48329D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49" w:type="pct"/>
                  <w:tcBorders>
                    <w:tl2br w:val="nil"/>
                    <w:tr2bl w:val="nil"/>
                  </w:tcBorders>
                  <w:noWrap w:val="0"/>
                  <w:vAlign w:val="center"/>
                </w:tcPr>
                <w:p w14:paraId="414CA1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资源开发效率要求</w:t>
                  </w:r>
                </w:p>
              </w:tc>
              <w:tc>
                <w:tcPr>
                  <w:tcW w:w="1944" w:type="pct"/>
                  <w:tcBorders>
                    <w:tl2br w:val="nil"/>
                    <w:tr2bl w:val="nil"/>
                  </w:tcBorders>
                  <w:noWrap w:val="0"/>
                  <w:vAlign w:val="center"/>
                </w:tcPr>
                <w:p w14:paraId="49BBE4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1111" w:type="pct"/>
                  <w:tcBorders>
                    <w:tl2br w:val="nil"/>
                    <w:tr2bl w:val="nil"/>
                  </w:tcBorders>
                  <w:noWrap w:val="0"/>
                  <w:vAlign w:val="center"/>
                </w:tcPr>
                <w:p w14:paraId="05684F13">
                  <w:pPr>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r>
          </w:tbl>
          <w:p w14:paraId="294E4E0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）“一说明”</w:t>
            </w:r>
            <w:r>
              <w:rPr>
                <w:rFonts w:hint="eastAsia" w:cs="Times New Roman"/>
                <w:b/>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项目与</w:t>
            </w:r>
            <w:r>
              <w:rPr>
                <w:rFonts w:hint="eastAsia" w:cs="Times New Roman"/>
                <w:b/>
                <w:color w:val="000000" w:themeColor="text1"/>
                <w:sz w:val="24"/>
                <w:szCs w:val="24"/>
                <w:lang w:val="en-US" w:eastAsia="zh-CN"/>
                <w14:textFill>
                  <w14:solidFill>
                    <w14:schemeClr w14:val="tx1"/>
                  </w14:solidFill>
                </w14:textFill>
              </w:rPr>
              <w:t>“三线一单”符合</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性说明</w:t>
            </w:r>
          </w:p>
          <w:p w14:paraId="1D7C9527">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根据上文“一图”“一表”的分析，</w:t>
            </w:r>
            <w:r>
              <w:rPr>
                <w:rFonts w:hint="default" w:ascii="Times New Roman" w:hAnsi="Times New Roman" w:cs="Times New Roman"/>
                <w:color w:val="000000" w:themeColor="text1"/>
                <w:sz w:val="24"/>
                <w14:textFill>
                  <w14:solidFill>
                    <w14:schemeClr w14:val="tx1"/>
                  </w14:solidFill>
                </w14:textFill>
              </w:rPr>
              <w:t>本项目位于陕西省宝鸡市凤翔区</w:t>
            </w:r>
            <w:r>
              <w:rPr>
                <w:rFonts w:hint="default" w:ascii="Times New Roman" w:hAnsi="Times New Roman" w:cs="Times New Roman"/>
                <w:color w:val="000000" w:themeColor="text1"/>
                <w:sz w:val="24"/>
                <w:lang w:val="en-US" w:eastAsia="zh-CN"/>
                <w14:textFill>
                  <w14:solidFill>
                    <w14:schemeClr w14:val="tx1"/>
                  </w14:solidFill>
                </w14:textFill>
              </w:rPr>
              <w:t>陈村镇</w:t>
            </w:r>
            <w:r>
              <w:rPr>
                <w:rFonts w:hint="eastAsia" w:ascii="Times New Roman" w:hAnsi="Times New Roman" w:cs="Times New Roman"/>
                <w:color w:val="000000" w:themeColor="text1"/>
                <w:sz w:val="24"/>
                <w:lang w:val="en-US" w:eastAsia="zh-CN"/>
                <w14:textFill>
                  <w14:solidFill>
                    <w14:schemeClr w14:val="tx1"/>
                  </w14:solidFill>
                </w14:textFill>
              </w:rPr>
              <w:t>小海子村</w:t>
            </w:r>
            <w:r>
              <w:rPr>
                <w:rFonts w:hint="default" w:ascii="Times New Roman" w:hAnsi="Times New Roman" w:cs="Times New Roman"/>
                <w:color w:val="000000" w:themeColor="text1"/>
                <w:sz w:val="24"/>
                <w14:textFill>
                  <w14:solidFill>
                    <w14:schemeClr w14:val="tx1"/>
                  </w14:solidFill>
                </w14:textFill>
              </w:rPr>
              <w:t>，属于重点管控单元，</w:t>
            </w:r>
            <w:r>
              <w:rPr>
                <w:rFonts w:hint="default" w:ascii="Times New Roman" w:hAnsi="Times New Roman" w:cs="Times New Roman"/>
                <w:color w:val="000000" w:themeColor="text1"/>
                <w:sz w:val="24"/>
                <w:shd w:val="clear" w:color="auto" w:fill="FFFFFF"/>
                <w14:textFill>
                  <w14:solidFill>
                    <w14:schemeClr w14:val="tx1"/>
                  </w14:solidFill>
                </w14:textFill>
              </w:rPr>
              <w:t>以优化空间布局提升资源利用效率、加强污染物减排治理和环境风险防控为重点，解决突出生态环境问题</w:t>
            </w:r>
            <w:r>
              <w:rPr>
                <w:rFonts w:hint="default" w:ascii="Times New Roman" w:hAnsi="Times New Roman" w:cs="Times New Roman"/>
                <w:color w:val="000000" w:themeColor="text1"/>
                <w:sz w:val="24"/>
                <w:szCs w:val="32"/>
                <w14:textFill>
                  <w14:solidFill>
                    <w14:schemeClr w14:val="tx1"/>
                  </w14:solidFill>
                </w14:textFill>
              </w:rPr>
              <w:t>。本项目运营期严格落实生产过程中</w:t>
            </w:r>
            <w:r>
              <w:rPr>
                <w:rFonts w:hint="default" w:ascii="Times New Roman" w:hAnsi="Times New Roman" w:cs="Times New Roman"/>
                <w:color w:val="000000" w:themeColor="text1"/>
                <w:sz w:val="24"/>
                <w:shd w:val="clear" w:color="auto" w:fill="FFFFFF"/>
                <w14:textFill>
                  <w14:solidFill>
                    <w14:schemeClr w14:val="tx1"/>
                  </w14:solidFill>
                </w14:textFill>
              </w:rPr>
              <w:t>污染物减排治理</w:t>
            </w:r>
            <w:r>
              <w:rPr>
                <w:rFonts w:hint="default" w:ascii="Times New Roman" w:hAnsi="Times New Roman" w:cs="Times New Roman"/>
                <w:color w:val="000000" w:themeColor="text1"/>
                <w:sz w:val="24"/>
                <w:szCs w:val="32"/>
                <w14:textFill>
                  <w14:solidFill>
                    <w14:schemeClr w14:val="tx1"/>
                  </w14:solidFill>
                </w14:textFill>
              </w:rPr>
              <w:t>措施</w:t>
            </w:r>
            <w:r>
              <w:rPr>
                <w:rFonts w:hint="eastAsia" w:cs="Times New Roman"/>
                <w:color w:val="000000" w:themeColor="text1"/>
                <w:sz w:val="24"/>
                <w:szCs w:val="32"/>
                <w:lang w:eastAsia="zh-CN"/>
                <w14:textFill>
                  <w14:solidFill>
                    <w14:schemeClr w14:val="tx1"/>
                  </w14:solidFill>
                </w14:textFill>
              </w:rPr>
              <w:t>、</w:t>
            </w:r>
            <w:r>
              <w:rPr>
                <w:rFonts w:hint="default" w:ascii="Times New Roman" w:hAnsi="Times New Roman" w:cs="Times New Roman"/>
                <w:color w:val="000000" w:themeColor="text1"/>
                <w:sz w:val="24"/>
                <w:shd w:val="clear" w:color="auto" w:fill="FFFFFF"/>
                <w14:textFill>
                  <w14:solidFill>
                    <w14:schemeClr w14:val="tx1"/>
                  </w14:solidFill>
                </w14:textFill>
              </w:rPr>
              <w:t>环境风险防控</w:t>
            </w:r>
            <w:r>
              <w:rPr>
                <w:rFonts w:hint="default" w:ascii="Times New Roman" w:hAnsi="Times New Roman" w:cs="Times New Roman"/>
                <w:color w:val="000000" w:themeColor="text1"/>
                <w:sz w:val="24"/>
                <w:szCs w:val="32"/>
                <w14:textFill>
                  <w14:solidFill>
                    <w14:schemeClr w14:val="tx1"/>
                  </w14:solidFill>
                </w14:textFill>
              </w:rPr>
              <w:t>措施</w:t>
            </w:r>
            <w:r>
              <w:rPr>
                <w:rFonts w:hint="eastAsia" w:cs="Times New Roman"/>
                <w:color w:val="000000" w:themeColor="text1"/>
                <w:sz w:val="24"/>
                <w:szCs w:val="32"/>
                <w:lang w:eastAsia="zh-CN"/>
                <w14:textFill>
                  <w14:solidFill>
                    <w14:schemeClr w14:val="tx1"/>
                  </w14:solidFill>
                </w14:textFill>
              </w:rPr>
              <w:t>，确保</w:t>
            </w:r>
            <w:r>
              <w:rPr>
                <w:rFonts w:hint="default" w:ascii="Times New Roman" w:hAnsi="Times New Roman" w:cs="Times New Roman"/>
                <w:color w:val="000000" w:themeColor="text1"/>
                <w:sz w:val="24"/>
                <w14:textFill>
                  <w14:solidFill>
                    <w14:schemeClr w14:val="tx1"/>
                  </w14:solidFill>
                </w14:textFill>
              </w:rPr>
              <w:t>污染物排放满足相关环保要求，建设项目符合宝鸡市“三线一单”管控要求。</w:t>
            </w:r>
          </w:p>
          <w:p w14:paraId="1F97D0C1">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w:t>
            </w:r>
            <w:r>
              <w:rPr>
                <w:rFonts w:hint="eastAsia" w:cs="Times New Roman"/>
                <w:b/>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14:textFill>
                  <w14:solidFill>
                    <w14:schemeClr w14:val="tx1"/>
                  </w14:solidFill>
                </w14:textFill>
              </w:rPr>
              <w:t>项目相关生态环境保护法律法</w:t>
            </w:r>
            <w:r>
              <w:rPr>
                <w:rFonts w:hint="eastAsia" w:cs="Times New Roman"/>
                <w:b/>
                <w:bCs w:val="0"/>
                <w:color w:val="000000" w:themeColor="text1"/>
                <w:sz w:val="24"/>
                <w:szCs w:val="24"/>
                <w:lang w:eastAsia="zh-CN"/>
                <w14:textFill>
                  <w14:solidFill>
                    <w14:schemeClr w14:val="tx1"/>
                  </w14:solidFill>
                </w14:textFill>
              </w:rPr>
              <w:t>规和</w:t>
            </w:r>
            <w:r>
              <w:rPr>
                <w:rFonts w:hint="default" w:ascii="Times New Roman" w:hAnsi="Times New Roman" w:eastAsia="宋体" w:cs="Times New Roman"/>
                <w:b/>
                <w:bCs w:val="0"/>
                <w:color w:val="000000" w:themeColor="text1"/>
                <w:sz w:val="24"/>
                <w:szCs w:val="24"/>
                <w14:textFill>
                  <w14:solidFill>
                    <w14:schemeClr w14:val="tx1"/>
                  </w14:solidFill>
                </w14:textFill>
              </w:rPr>
              <w:t>政策、生态环境保护规划</w:t>
            </w:r>
            <w:r>
              <w:rPr>
                <w:rFonts w:hint="eastAsia" w:cs="Times New Roman"/>
                <w:b/>
                <w:bCs w:val="0"/>
                <w:color w:val="000000" w:themeColor="text1"/>
                <w:sz w:val="24"/>
                <w:szCs w:val="24"/>
                <w:lang w:val="en-US" w:eastAsia="zh-CN"/>
                <w14:textFill>
                  <w14:solidFill>
                    <w14:schemeClr w14:val="tx1"/>
                  </w14:solidFill>
                </w14:textFill>
              </w:rPr>
              <w:t>等的</w:t>
            </w:r>
            <w:r>
              <w:rPr>
                <w:rFonts w:hint="default" w:ascii="Times New Roman" w:hAnsi="Times New Roman" w:eastAsia="宋体" w:cs="Times New Roman"/>
                <w:b/>
                <w:bCs w:val="0"/>
                <w:color w:val="000000" w:themeColor="text1"/>
                <w:sz w:val="24"/>
                <w:szCs w:val="24"/>
                <w14:textFill>
                  <w14:solidFill>
                    <w14:schemeClr w14:val="tx1"/>
                  </w14:solidFill>
                </w14:textFill>
              </w:rPr>
              <w:t>符合性：</w:t>
            </w:r>
          </w:p>
          <w:p w14:paraId="13C087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本工程与相关</w:t>
            </w:r>
            <w:r>
              <w:rPr>
                <w:rFonts w:hint="default" w:ascii="Times New Roman" w:hAnsi="Times New Roman" w:cs="Times New Roman"/>
                <w:color w:val="000000" w:themeColor="text1"/>
                <w:sz w:val="24"/>
                <w:lang w:eastAsia="zh-CN"/>
                <w14:textFill>
                  <w14:solidFill>
                    <w14:schemeClr w14:val="tx1"/>
                  </w14:solidFill>
                </w14:textFill>
              </w:rPr>
              <w:t>生态环境保护法律法</w:t>
            </w:r>
            <w:r>
              <w:rPr>
                <w:rFonts w:hint="eastAsia" w:cs="Times New Roman"/>
                <w:color w:val="000000" w:themeColor="text1"/>
                <w:sz w:val="24"/>
                <w:lang w:eastAsia="zh-CN"/>
                <w14:textFill>
                  <w14:solidFill>
                    <w14:schemeClr w14:val="tx1"/>
                  </w14:solidFill>
                </w14:textFill>
              </w:rPr>
              <w:t>规和</w:t>
            </w:r>
            <w:r>
              <w:rPr>
                <w:rFonts w:hint="default" w:ascii="Times New Roman" w:hAnsi="Times New Roman" w:cs="Times New Roman"/>
                <w:color w:val="000000" w:themeColor="text1"/>
                <w:sz w:val="24"/>
                <w:lang w:eastAsia="zh-CN"/>
                <w14:textFill>
                  <w14:solidFill>
                    <w14:schemeClr w14:val="tx1"/>
                  </w14:solidFill>
                </w14:textFill>
              </w:rPr>
              <w:t>政策、生态环境保护规划的</w:t>
            </w:r>
            <w:r>
              <w:rPr>
                <w:rFonts w:hint="default" w:ascii="Times New Roman" w:hAnsi="Times New Roman" w:cs="Times New Roman"/>
                <w:color w:val="000000" w:themeColor="text1"/>
                <w:sz w:val="24"/>
                <w14:textFill>
                  <w14:solidFill>
                    <w14:schemeClr w14:val="tx1"/>
                  </w14:solidFill>
                </w14:textFill>
              </w:rPr>
              <w:t>符合性分析见表1-</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14:paraId="297F86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表1-</w:t>
            </w:r>
            <w:r>
              <w:rPr>
                <w:rFonts w:hint="eastAsia" w:ascii="Times New Roman" w:hAnsi="Times New Roman" w:cs="Times New Roman"/>
                <w:b/>
                <w:color w:val="000000" w:themeColor="text1"/>
                <w:sz w:val="21"/>
                <w:szCs w:val="21"/>
                <w:lang w:val="en-US" w:eastAsia="zh-CN"/>
                <w14:textFill>
                  <w14:solidFill>
                    <w14:schemeClr w14:val="tx1"/>
                  </w14:solidFill>
                </w14:textFill>
              </w:rPr>
              <w:t>3</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项目相关生态环境保护法律法规政策、保护规划的符合性一览表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39"/>
              <w:gridCol w:w="2587"/>
            </w:tblGrid>
            <w:tr w14:paraId="3E289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53AAC6AF">
                  <w:pPr>
                    <w:spacing w:line="360" w:lineRule="auto"/>
                    <w:ind w:firstLine="420" w:firstLineChars="20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2095" w:type="pct"/>
                  <w:tcBorders>
                    <w:tl2br w:val="nil"/>
                    <w:tr2bl w:val="nil"/>
                  </w:tcBorders>
                  <w:noWrap w:val="0"/>
                  <w:vAlign w:val="center"/>
                </w:tcPr>
                <w:p w14:paraId="2988A74A">
                  <w:pPr>
                    <w:spacing w:line="360" w:lineRule="auto"/>
                    <w:ind w:firstLine="420" w:firstLineChars="20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规划内容</w:t>
                  </w:r>
                </w:p>
              </w:tc>
              <w:tc>
                <w:tcPr>
                  <w:tcW w:w="1673" w:type="pct"/>
                  <w:tcBorders>
                    <w:tl2br w:val="nil"/>
                    <w:tr2bl w:val="nil"/>
                  </w:tcBorders>
                  <w:noWrap w:val="0"/>
                  <w:vAlign w:val="center"/>
                </w:tcPr>
                <w:p w14:paraId="0A5DF55D">
                  <w:pPr>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与本项目相符性</w:t>
                  </w:r>
                </w:p>
              </w:tc>
            </w:tr>
            <w:tr w14:paraId="3B302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2B701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《陕西省“两高”项目管理暂行目录（2022年版）》（陕发改环资〔2022〕110 号）</w:t>
                  </w:r>
                </w:p>
              </w:tc>
              <w:tc>
                <w:tcPr>
                  <w:tcW w:w="2095" w:type="pct"/>
                  <w:tcBorders>
                    <w:tl2br w:val="nil"/>
                    <w:tr2bl w:val="nil"/>
                  </w:tcBorders>
                  <w:noWrap w:val="0"/>
                  <w:vAlign w:val="center"/>
                </w:tcPr>
                <w:p w14:paraId="44E8E7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热力生产和供应（4430）</w:t>
                  </w:r>
                </w:p>
              </w:tc>
              <w:tc>
                <w:tcPr>
                  <w:tcW w:w="1673" w:type="pct"/>
                  <w:vMerge w:val="restart"/>
                  <w:tcBorders>
                    <w:tl2br w:val="nil"/>
                    <w:tr2bl w:val="nil"/>
                  </w:tcBorders>
                  <w:noWrap w:val="0"/>
                  <w:vAlign w:val="center"/>
                </w:tcPr>
                <w:p w14:paraId="6C432E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“两高”是指高耗能、高排放项目，热力生产行业重点针对以热力生产为主要建设内容且年综合能耗（等价值）5万吨标准煤及以上的项目进行管控。</w:t>
                  </w:r>
                  <w:r>
                    <w:rPr>
                      <w:rFonts w:hint="eastAsia" w:cs="Times New Roman"/>
                      <w:color w:val="000000" w:themeColor="text1"/>
                      <w:szCs w:val="21"/>
                      <w:lang w:val="en-US" w:eastAsia="zh-CN"/>
                      <w14:textFill>
                        <w14:solidFill>
                          <w14:schemeClr w14:val="tx1"/>
                        </w14:solidFill>
                      </w14:textFill>
                    </w:rPr>
                    <w:t>本项目行业类别为热力生产和供应，</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但本项目</w:t>
                  </w:r>
                  <w:r>
                    <w:rPr>
                      <w:rFonts w:hint="eastAsia" w:cs="Times New Roman"/>
                      <w:snapToGrid w:val="0"/>
                      <w:color w:val="000000" w:themeColor="text1"/>
                      <w:sz w:val="21"/>
                      <w:szCs w:val="21"/>
                      <w:highlight w:val="none"/>
                      <w:lang w:val="en-US" w:eastAsia="zh-CN"/>
                      <w14:textFill>
                        <w14:solidFill>
                          <w14:schemeClr w14:val="tx1"/>
                        </w14:solidFill>
                      </w14:textFill>
                    </w:rPr>
                    <w:t>锅炉所用燃料为专用生物质成型燃料，因此本项目锅炉所用燃料不属于高污染燃料</w:t>
                  </w:r>
                  <w:r>
                    <w:rPr>
                      <w:rFonts w:hint="default" w:ascii="Times New Roman" w:hAnsi="Times New Roman"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且本项目</w:t>
                  </w:r>
                  <w:r>
                    <w:rPr>
                      <w:rFonts w:hint="eastAsia" w:cs="Times New Roman"/>
                      <w:snapToGrid w:val="0"/>
                      <w:color w:val="000000" w:themeColor="text1"/>
                      <w:sz w:val="21"/>
                      <w:szCs w:val="21"/>
                      <w:highlight w:val="none"/>
                      <w:lang w:val="en-US" w:eastAsia="zh-CN"/>
                      <w14:textFill>
                        <w14:solidFill>
                          <w14:schemeClr w14:val="tx1"/>
                        </w14:solidFill>
                      </w14:textFill>
                    </w:rPr>
                    <w:t>生物质燃料用量为1081t/a，折合成标准煤为648.6吨，不属于管控范围。</w:t>
                  </w:r>
                </w:p>
              </w:tc>
            </w:tr>
            <w:tr w14:paraId="21C8C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2EBFF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《关于明确“两高”项目类别和环评审批范围的通知》（陕环环</w:t>
                  </w:r>
                  <w:r>
                    <w:rPr>
                      <w:rFonts w:hint="eastAsia" w:ascii="Times New Roman" w:hAnsi="Times New Roman" w:cs="Times New Roman"/>
                      <w:color w:val="000000" w:themeColor="text1"/>
                      <w:szCs w:val="21"/>
                      <w:lang w:val="en-US" w:eastAsia="zh-CN"/>
                      <w14:textFill>
                        <w14:solidFill>
                          <w14:schemeClr w14:val="tx1"/>
                        </w14:solidFill>
                      </w14:textFill>
                    </w:rPr>
                    <w:t>评</w:t>
                  </w:r>
                  <w:r>
                    <w:rPr>
                      <w:rFonts w:hint="default" w:ascii="Times New Roman" w:hAnsi="Times New Roman" w:cs="Times New Roman"/>
                      <w:color w:val="000000" w:themeColor="text1"/>
                      <w:szCs w:val="21"/>
                      <w14:textFill>
                        <w14:solidFill>
                          <w14:schemeClr w14:val="tx1"/>
                        </w14:solidFill>
                      </w14:textFill>
                    </w:rPr>
                    <w:t>函〔2022〕33 号）</w:t>
                  </w:r>
                </w:p>
              </w:tc>
              <w:tc>
                <w:tcPr>
                  <w:tcW w:w="2095" w:type="pct"/>
                  <w:tcBorders>
                    <w:tl2br w:val="nil"/>
                    <w:tr2bl w:val="nil"/>
                  </w:tcBorders>
                  <w:noWrap w:val="0"/>
                  <w:vAlign w:val="center"/>
                </w:tcPr>
                <w:p w14:paraId="26CF97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热力生产和供应（4430）</w:t>
                  </w:r>
                </w:p>
              </w:tc>
              <w:tc>
                <w:tcPr>
                  <w:tcW w:w="1673" w:type="pct"/>
                  <w:vMerge w:val="continue"/>
                  <w:tcBorders>
                    <w:tl2br w:val="nil"/>
                    <w:tr2bl w:val="nil"/>
                  </w:tcBorders>
                  <w:noWrap w:val="0"/>
                  <w:vAlign w:val="center"/>
                </w:tcPr>
                <w:p w14:paraId="130F138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cs="Times New Roman"/>
                      <w:color w:val="000000" w:themeColor="text1"/>
                      <w:szCs w:val="21"/>
                      <w14:textFill>
                        <w14:solidFill>
                          <w14:schemeClr w14:val="tx1"/>
                        </w14:solidFill>
                      </w14:textFill>
                    </w:rPr>
                  </w:pPr>
                </w:p>
              </w:tc>
            </w:tr>
            <w:tr w14:paraId="6FDF5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69E841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《产业结构调整指导目录（2024年本）》</w:t>
                  </w:r>
                </w:p>
              </w:tc>
              <w:tc>
                <w:tcPr>
                  <w:tcW w:w="2095" w:type="pct"/>
                  <w:tcBorders>
                    <w:tl2br w:val="nil"/>
                    <w:tr2bl w:val="nil"/>
                  </w:tcBorders>
                  <w:noWrap w:val="0"/>
                  <w:vAlign w:val="center"/>
                </w:tcPr>
                <w:p w14:paraId="6265B0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第三类 淘汰类</w:t>
                  </w:r>
                </w:p>
                <w:p w14:paraId="227758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（七）机械</w:t>
                  </w:r>
                </w:p>
                <w:p w14:paraId="0B95D9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66.每小时2蒸吨及以下生物质锅炉</w:t>
                  </w:r>
                </w:p>
              </w:tc>
              <w:tc>
                <w:tcPr>
                  <w:tcW w:w="1673" w:type="pct"/>
                  <w:tcBorders>
                    <w:tl2br w:val="nil"/>
                    <w:tr2bl w:val="nil"/>
                  </w:tcBorders>
                  <w:noWrap w:val="0"/>
                  <w:vAlign w:val="center"/>
                </w:tcPr>
                <w:p w14:paraId="475A39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本项目原有锅炉为额定蒸发量1t/h生物质锅炉，不符合《产业结构调整指导目录（2024年本）》要求，因此本项目拟对原有锅炉拆除，安装额定蒸发量为2.5t/h专用生物质锅炉</w:t>
                  </w:r>
                  <w:r>
                    <w:rPr>
                      <w:rFonts w:hint="eastAsia" w:cs="Times New Roman"/>
                      <w:color w:val="000000" w:themeColor="text1"/>
                      <w:szCs w:val="21"/>
                      <w:highlight w:val="none"/>
                      <w:lang w:val="en-US" w:eastAsia="zh-CN"/>
                      <w14:textFill>
                        <w14:solidFill>
                          <w14:schemeClr w14:val="tx1"/>
                        </w14:solidFill>
                      </w14:textFill>
                    </w:rPr>
                    <w:t>。</w:t>
                  </w:r>
                </w:p>
              </w:tc>
            </w:tr>
            <w:tr w14:paraId="47B5F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230BBD8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《陕西省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十</w:t>
                  </w:r>
                  <w:r>
                    <w:rPr>
                      <w:rFonts w:hint="default" w:ascii="Times New Roman" w:hAnsi="Times New Roman" w:eastAsia="宋体" w:cs="Times New Roman"/>
                      <w:color w:val="000000" w:themeColor="text1"/>
                      <w:lang w:eastAsia="zh-CN"/>
                      <w14:textFill>
                        <w14:solidFill>
                          <w14:schemeClr w14:val="tx1"/>
                        </w14:solidFill>
                      </w14:textFill>
                    </w:rPr>
                    <w:t>四</w:t>
                  </w:r>
                  <w:r>
                    <w:rPr>
                      <w:rFonts w:hint="default" w:ascii="Times New Roman" w:hAnsi="Times New Roman" w:eastAsia="宋体" w:cs="Times New Roman"/>
                      <w:color w:val="000000" w:themeColor="text1"/>
                      <w14:textFill>
                        <w14:solidFill>
                          <w14:schemeClr w14:val="tx1"/>
                        </w14:solidFill>
                      </w14:textFill>
                    </w:rPr>
                    <w:t>五</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生态</w:t>
                  </w:r>
                  <w:r>
                    <w:rPr>
                      <w:rFonts w:hint="default" w:ascii="Times New Roman" w:hAnsi="Times New Roman" w:eastAsia="宋体" w:cs="Times New Roman"/>
                      <w:color w:val="000000" w:themeColor="text1"/>
                      <w14:textFill>
                        <w14:solidFill>
                          <w14:schemeClr w14:val="tx1"/>
                        </w14:solidFill>
                      </w14:textFill>
                    </w:rPr>
                    <w:t>环境保护规划》</w:t>
                  </w:r>
                </w:p>
              </w:tc>
              <w:tc>
                <w:tcPr>
                  <w:tcW w:w="2095" w:type="pct"/>
                  <w:tcBorders>
                    <w:tl2br w:val="nil"/>
                    <w:tr2bl w:val="nil"/>
                  </w:tcBorders>
                  <w:noWrap w:val="0"/>
                  <w:vAlign w:val="center"/>
                </w:tcPr>
                <w:p w14:paraId="024860A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加强生物质锅炉燃料品质及排放管控，禁止使用劣质燃料或掺烧垃圾、工业固体废物，对污染物排放不符合要求的生物质锅炉进行整改或淘汰。</w:t>
                  </w:r>
                </w:p>
              </w:tc>
              <w:tc>
                <w:tcPr>
                  <w:tcW w:w="1673" w:type="pct"/>
                  <w:tcBorders>
                    <w:tl2br w:val="nil"/>
                    <w:tr2bl w:val="nil"/>
                  </w:tcBorders>
                  <w:noWrap w:val="0"/>
                  <w:vAlign w:val="center"/>
                </w:tcPr>
                <w:p w14:paraId="12B26E84">
                  <w:pPr>
                    <w:spacing w:line="320" w:lineRule="exac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cs="Times New Roman"/>
                      <w:color w:val="000000" w:themeColor="text1"/>
                      <w:szCs w:val="21"/>
                      <w:lang w:val="en-US" w:eastAsia="zh-CN"/>
                      <w14:textFill>
                        <w14:solidFill>
                          <w14:schemeClr w14:val="tx1"/>
                        </w14:solidFill>
                      </w14:textFill>
                    </w:rPr>
                    <w:t>主要对企业生物质锅炉进行提升改造</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依法依规淘汰落后设备，使用原料为专用生物质燃料</w:t>
                  </w:r>
                  <w:r>
                    <w:rPr>
                      <w:rFonts w:hint="default" w:ascii="Times New Roman" w:hAnsi="Times New Roman" w:eastAsia="宋体" w:cs="Times New Roman"/>
                      <w:color w:val="000000" w:themeColor="text1"/>
                      <w:lang w:eastAsia="zh-CN"/>
                      <w14:textFill>
                        <w14:solidFill>
                          <w14:schemeClr w14:val="tx1"/>
                        </w14:solidFill>
                      </w14:textFill>
                    </w:rPr>
                    <w:t>。</w:t>
                  </w:r>
                </w:p>
              </w:tc>
            </w:tr>
            <w:tr w14:paraId="252FD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restart"/>
                  <w:tcBorders>
                    <w:tl2br w:val="nil"/>
                    <w:tr2bl w:val="nil"/>
                  </w:tcBorders>
                  <w:noWrap w:val="0"/>
                  <w:vAlign w:val="center"/>
                </w:tcPr>
                <w:p w14:paraId="583BF2E9">
                  <w:pPr>
                    <w:spacing w:line="320" w:lineRule="exac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《宝鸡市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十</w:t>
                  </w:r>
                  <w:r>
                    <w:rPr>
                      <w:rFonts w:hint="default" w:ascii="Times New Roman" w:hAnsi="Times New Roman" w:eastAsia="宋体" w:cs="Times New Roman"/>
                      <w:color w:val="000000" w:themeColor="text1"/>
                      <w:lang w:eastAsia="zh-CN"/>
                      <w14:textFill>
                        <w14:solidFill>
                          <w14:schemeClr w14:val="tx1"/>
                        </w14:solidFill>
                      </w14:textFill>
                    </w:rPr>
                    <w:t>四</w:t>
                  </w:r>
                  <w:r>
                    <w:rPr>
                      <w:rFonts w:hint="default" w:ascii="Times New Roman" w:hAnsi="Times New Roman" w:eastAsia="宋体" w:cs="Times New Roman"/>
                      <w:color w:val="000000" w:themeColor="text1"/>
                      <w14:textFill>
                        <w14:solidFill>
                          <w14:schemeClr w14:val="tx1"/>
                        </w14:solidFill>
                      </w14:textFill>
                    </w:rPr>
                    <w:t>五</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生态环境保护规划》</w:t>
                  </w:r>
                </w:p>
              </w:tc>
              <w:tc>
                <w:tcPr>
                  <w:tcW w:w="2095" w:type="pct"/>
                  <w:tcBorders>
                    <w:tl2br w:val="nil"/>
                    <w:tr2bl w:val="nil"/>
                  </w:tcBorders>
                  <w:noWrap w:val="0"/>
                  <w:vAlign w:val="center"/>
                </w:tcPr>
                <w:p w14:paraId="3D8BB239">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实行锅炉和工业炉窑全面管控。加</w:t>
                  </w:r>
                  <w:r>
                    <w:rPr>
                      <w:rFonts w:hint="default" w:ascii="Times New Roman" w:hAnsi="Times New Roman" w:eastAsia="宋体" w:cs="Times New Roman"/>
                      <w:color w:val="000000" w:themeColor="text1"/>
                      <w:szCs w:val="21"/>
                      <w:lang w:val="en-US"/>
                      <w14:textFill>
                        <w14:solidFill>
                          <w14:schemeClr w14:val="tx1"/>
                        </w14:solidFill>
                      </w14:textFill>
                    </w:rPr>
                    <w:t>大落后产能和不达标工业炉窑淘汰力度，加大煤气发生炉淘汰力度。持续巩固燃煤锅炉拆改成效，严格控制新建燃煤锅炉，全面淘汰分散燃煤设施，新建生产经营性锅炉全部使用天然气或其他清洁能源。</w:t>
                  </w:r>
                </w:p>
              </w:tc>
              <w:tc>
                <w:tcPr>
                  <w:tcW w:w="1673" w:type="pct"/>
                  <w:tcBorders>
                    <w:tl2br w:val="nil"/>
                    <w:tr2bl w:val="nil"/>
                  </w:tcBorders>
                  <w:noWrap w:val="0"/>
                  <w:vAlign w:val="center"/>
                </w:tcPr>
                <w:p w14:paraId="420718D9">
                  <w:pPr>
                    <w:adjustRightInd w:val="0"/>
                    <w:snapToGrid w:val="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cs="Times New Roman"/>
                      <w:color w:val="000000" w:themeColor="text1"/>
                      <w:szCs w:val="21"/>
                      <w:lang w:val="en-US" w:eastAsia="zh-CN"/>
                      <w14:textFill>
                        <w14:solidFill>
                          <w14:schemeClr w14:val="tx1"/>
                        </w14:solidFill>
                      </w14:textFill>
                    </w:rPr>
                    <w:t>主要对企业生物质锅炉进行提升改造，淘汰</w:t>
                  </w:r>
                  <w:r>
                    <w:rPr>
                      <w:rFonts w:hint="eastAsia" w:ascii="Times New Roman" w:hAnsi="Times New Roman" w:cs="Times New Roman"/>
                      <w:color w:val="000000" w:themeColor="text1"/>
                      <w:szCs w:val="21"/>
                      <w:lang w:val="en-US" w:eastAsia="zh-CN"/>
                      <w14:textFill>
                        <w14:solidFill>
                          <w14:schemeClr w14:val="tx1"/>
                        </w14:solidFill>
                      </w14:textFill>
                    </w:rPr>
                    <w:t>额定蒸发量</w:t>
                  </w:r>
                  <w:r>
                    <w:rPr>
                      <w:rFonts w:hint="default" w:ascii="Times New Roman" w:hAnsi="Times New Roman" w:cs="Times New Roman"/>
                      <w:color w:val="000000" w:themeColor="text1"/>
                      <w:szCs w:val="21"/>
                      <w:lang w:val="en-US" w:eastAsia="zh-CN"/>
                      <w14:textFill>
                        <w14:solidFill>
                          <w14:schemeClr w14:val="tx1"/>
                        </w14:solidFill>
                      </w14:textFill>
                    </w:rPr>
                    <w:t>1t/h生物质锅炉，使用原料为专用生物质燃料。</w:t>
                  </w:r>
                </w:p>
              </w:tc>
            </w:tr>
            <w:tr w14:paraId="649B8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75E489F6">
                  <w:pPr>
                    <w:spacing w:line="320" w:lineRule="exact"/>
                    <w:rPr>
                      <w:rFonts w:hint="default" w:ascii="Times New Roman" w:hAnsi="Times New Roman" w:eastAsia="宋体" w:cs="Times New Roman"/>
                      <w:color w:val="000000" w:themeColor="text1"/>
                      <w14:textFill>
                        <w14:solidFill>
                          <w14:schemeClr w14:val="tx1"/>
                        </w14:solidFill>
                      </w14:textFill>
                    </w:rPr>
                  </w:pPr>
                </w:p>
              </w:tc>
              <w:tc>
                <w:tcPr>
                  <w:tcW w:w="2095" w:type="pct"/>
                  <w:tcBorders>
                    <w:tl2br w:val="nil"/>
                    <w:tr2bl w:val="nil"/>
                  </w:tcBorders>
                  <w:noWrap w:val="0"/>
                  <w:vAlign w:val="center"/>
                </w:tcPr>
                <w:p w14:paraId="5CB8C88C">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降低电力、水泥、玻璃、石油、化工、有色金属、纺织印染、建材等行业大气污染排放。</w:t>
                  </w:r>
                  <w:r>
                    <w:rPr>
                      <w:rFonts w:hint="default" w:ascii="Times New Roman" w:hAnsi="Times New Roman" w:eastAsia="宋体" w:cs="Times New Roman"/>
                      <w:color w:val="000000" w:themeColor="text1"/>
                      <w:lang w:eastAsia="zh-CN"/>
                      <w14:textFill>
                        <w14:solidFill>
                          <w14:schemeClr w14:val="tx1"/>
                        </w14:solidFill>
                      </w14:textFill>
                    </w:rPr>
                    <w:t>严格执行重点行业主要大气污染物排放标准，倒逼相关企业对烟粉尘、二氧化硫、氮氧化物等主要污染物治理设施进行提标改造。</w:t>
                  </w:r>
                </w:p>
              </w:tc>
              <w:tc>
                <w:tcPr>
                  <w:tcW w:w="1673" w:type="pct"/>
                  <w:tcBorders>
                    <w:tl2br w:val="nil"/>
                    <w:tr2bl w:val="nil"/>
                  </w:tcBorders>
                  <w:noWrap w:val="0"/>
                  <w:vAlign w:val="center"/>
                </w:tcPr>
                <w:p w14:paraId="40BBB695">
                  <w:pPr>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本项目</w:t>
                  </w:r>
                  <w:r>
                    <w:rPr>
                      <w:rFonts w:hint="default" w:ascii="Times New Roman" w:hAnsi="Times New Roman" w:cs="Times New Roman"/>
                      <w:color w:val="000000" w:themeColor="text1"/>
                      <w:szCs w:val="21"/>
                      <w:lang w:val="en-US" w:eastAsia="zh-CN"/>
                      <w14:textFill>
                        <w14:solidFill>
                          <w14:schemeClr w14:val="tx1"/>
                        </w14:solidFill>
                      </w14:textFill>
                    </w:rPr>
                    <w:t>锅炉产生的废气采用</w:t>
                  </w:r>
                  <w:r>
                    <w:rPr>
                      <w:rFonts w:hint="eastAsia" w:ascii="Times New Roman" w:hAnsi="Times New Roman" w:cs="Times New Roman"/>
                      <w:color w:val="000000" w:themeColor="text1"/>
                      <w:szCs w:val="21"/>
                      <w:lang w:val="en-US" w:eastAsia="zh-CN"/>
                      <w14:textFill>
                        <w14:solidFill>
                          <w14:schemeClr w14:val="tx1"/>
                        </w14:solidFill>
                      </w14:textFill>
                    </w:rPr>
                    <w:t>SNCR高温脱硝设施（炉内脱硝）+高效袋式除尘器</w:t>
                  </w:r>
                  <w:r>
                    <w:rPr>
                      <w:rFonts w:hint="default" w:ascii="Times New Roman" w:hAnsi="Times New Roman" w:cs="Times New Roman"/>
                      <w:color w:val="000000" w:themeColor="text1"/>
                      <w:szCs w:val="21"/>
                      <w:lang w:val="en-US" w:eastAsia="zh-CN"/>
                      <w14:textFill>
                        <w14:solidFill>
                          <w14:schemeClr w14:val="tx1"/>
                        </w14:solidFill>
                      </w14:textFill>
                    </w:rPr>
                    <w:t>处理后由1根15m排气筒（DA00</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）高空排放。</w:t>
                  </w:r>
                </w:p>
              </w:tc>
            </w:tr>
            <w:tr w14:paraId="7A292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1" w:type="pct"/>
                  <w:vMerge w:val="continue"/>
                  <w:tcBorders>
                    <w:tl2br w:val="nil"/>
                    <w:tr2bl w:val="nil"/>
                  </w:tcBorders>
                  <w:noWrap w:val="0"/>
                  <w:vAlign w:val="center"/>
                </w:tcPr>
                <w:p w14:paraId="32923FA9">
                  <w:pPr>
                    <w:spacing w:line="320" w:lineRule="exact"/>
                    <w:rPr>
                      <w:rFonts w:hint="default" w:ascii="Times New Roman" w:hAnsi="Times New Roman" w:eastAsia="宋体" w:cs="Times New Roman"/>
                      <w:color w:val="000000" w:themeColor="text1"/>
                      <w14:textFill>
                        <w14:solidFill>
                          <w14:schemeClr w14:val="tx1"/>
                        </w14:solidFill>
                      </w14:textFill>
                    </w:rPr>
                  </w:pPr>
                </w:p>
              </w:tc>
              <w:tc>
                <w:tcPr>
                  <w:tcW w:w="2095" w:type="pct"/>
                  <w:tcBorders>
                    <w:tl2br w:val="nil"/>
                    <w:tr2bl w:val="nil"/>
                  </w:tcBorders>
                  <w:noWrap w:val="0"/>
                  <w:vAlign w:val="center"/>
                </w:tcPr>
                <w:p w14:paraId="1F7A0B46">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强化涉固体废物建设项目的环境准入管理，从源头杜绝工业固体废物产生量大且综合利用率低，难以实现经济效益、环境效益和社会效益相协调的项目落地。</w:t>
                  </w:r>
                </w:p>
              </w:tc>
              <w:tc>
                <w:tcPr>
                  <w:tcW w:w="1673" w:type="pct"/>
                  <w:tcBorders>
                    <w:tl2br w:val="nil"/>
                    <w:tr2bl w:val="nil"/>
                  </w:tcBorders>
                  <w:noWrap w:val="0"/>
                  <w:vAlign w:val="center"/>
                </w:tcPr>
                <w:p w14:paraId="32E6414B">
                  <w:pPr>
                    <w:adjustRightInd w:val="0"/>
                    <w:snapToGrid w:val="0"/>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本项目一般固废均收集至一般固废暂存区后</w:t>
                  </w:r>
                  <w:r>
                    <w:rPr>
                      <w:rFonts w:hint="eastAsia" w:ascii="Times New Roman" w:hAnsi="Times New Roman" w:eastAsia="宋体" w:cs="Times New Roman"/>
                      <w:color w:val="000000" w:themeColor="text1"/>
                      <w:lang w:val="en-US" w:eastAsia="zh-CN"/>
                      <w14:textFill>
                        <w14:solidFill>
                          <w14:schemeClr w14:val="tx1"/>
                        </w14:solidFill>
                      </w14:textFill>
                    </w:rPr>
                    <w:t>用于农田改良</w:t>
                  </w:r>
                  <w:r>
                    <w:rPr>
                      <w:rFonts w:hint="default" w:ascii="Times New Roman" w:hAnsi="Times New Roman" w:eastAsia="宋体" w:cs="Times New Roman"/>
                      <w:color w:val="000000" w:themeColor="text1"/>
                      <w:lang w:val="en-US" w:eastAsia="zh-CN"/>
                      <w14:textFill>
                        <w14:solidFill>
                          <w14:schemeClr w14:val="tx1"/>
                        </w14:solidFill>
                      </w14:textFill>
                    </w:rPr>
                    <w:t>及</w:t>
                  </w:r>
                  <w:r>
                    <w:rPr>
                      <w:rFonts w:hint="default" w:ascii="Times New Roman" w:hAnsi="Times New Roman" w:eastAsia="宋体" w:cs="Times New Roman"/>
                      <w:color w:val="000000" w:themeColor="text1"/>
                      <w:lang w:eastAsia="zh-CN"/>
                      <w14:textFill>
                        <w14:solidFill>
                          <w14:schemeClr w14:val="tx1"/>
                        </w14:solidFill>
                      </w14:textFill>
                    </w:rPr>
                    <w:t>外售利用，实现一般固废“资源化”利用，严格落实本评价提出的措施后，固体废物处置率达</w:t>
                  </w:r>
                  <w:r>
                    <w:rPr>
                      <w:rFonts w:hint="default" w:ascii="Times New Roman" w:hAnsi="Times New Roman" w:eastAsia="宋体" w:cs="Times New Roman"/>
                      <w:color w:val="000000" w:themeColor="text1"/>
                      <w:lang w:val="en-US" w:eastAsia="zh-CN"/>
                      <w14:textFill>
                        <w14:solidFill>
                          <w14:schemeClr w14:val="tx1"/>
                        </w14:solidFill>
                      </w14:textFill>
                    </w:rPr>
                    <w:t>100%。</w:t>
                  </w:r>
                </w:p>
              </w:tc>
            </w:tr>
            <w:tr w14:paraId="2FE43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5957B70F">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snapToGrid w:val="0"/>
                      <w:color w:val="000000" w:themeColor="text1"/>
                      <w:szCs w:val="21"/>
                      <w14:textFill>
                        <w14:solidFill>
                          <w14:schemeClr w14:val="tx1"/>
                        </w14:solidFill>
                      </w14:textFill>
                    </w:rPr>
                    <w:t>《宝鸡市大气污染防治条例》</w:t>
                  </w:r>
                </w:p>
              </w:tc>
              <w:tc>
                <w:tcPr>
                  <w:tcW w:w="2095" w:type="pct"/>
                  <w:tcBorders>
                    <w:tl2br w:val="nil"/>
                    <w:tr2bl w:val="nil"/>
                  </w:tcBorders>
                  <w:noWrap w:val="0"/>
                  <w:vAlign w:val="center"/>
                </w:tcPr>
                <w:p w14:paraId="071B7B63">
                  <w:pPr>
                    <w:adjustRightInd w:val="0"/>
                    <w:snapToGrid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钢铁、建材、有色金属、石油、化工、制药、矿产开采等企业，应当加强精细化管理，采取集中收集处理等措施，严格控制粉尘和气态污染物的排放。</w:t>
                  </w:r>
                </w:p>
              </w:tc>
              <w:tc>
                <w:tcPr>
                  <w:tcW w:w="1673" w:type="pct"/>
                  <w:tcBorders>
                    <w:tl2br w:val="nil"/>
                    <w:tr2bl w:val="nil"/>
                  </w:tcBorders>
                  <w:noWrap w:val="0"/>
                  <w:vAlign w:val="center"/>
                </w:tcPr>
                <w:p w14:paraId="04779857">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本项目废气污染物主</w:t>
                  </w:r>
                  <w:r>
                    <w:rPr>
                      <w:rFonts w:hint="eastAsia" w:cs="Times New Roman"/>
                      <w:color w:val="000000" w:themeColor="text1"/>
                      <w:szCs w:val="21"/>
                      <w:lang w:eastAsia="zh-CN"/>
                      <w14:textFill>
                        <w14:solidFill>
                          <w14:schemeClr w14:val="tx1"/>
                        </w14:solidFill>
                      </w14:textFill>
                    </w:rPr>
                    <w:t>要是</w:t>
                  </w:r>
                  <w:r>
                    <w:rPr>
                      <w:rFonts w:hint="default" w:ascii="Times New Roman" w:hAnsi="Times New Roman" w:cs="Times New Roman"/>
                      <w:color w:val="000000" w:themeColor="text1"/>
                      <w:szCs w:val="21"/>
                      <w:lang w:val="en-US" w:eastAsia="zh-CN"/>
                      <w14:textFill>
                        <w14:solidFill>
                          <w14:schemeClr w14:val="tx1"/>
                        </w14:solidFill>
                      </w14:textFill>
                    </w:rPr>
                    <w:t>锅炉运行产生的废气，经</w:t>
                  </w:r>
                  <w:r>
                    <w:rPr>
                      <w:rFonts w:hint="eastAsia" w:ascii="Times New Roman" w:hAnsi="Times New Roman" w:cs="Times New Roman"/>
                      <w:color w:val="000000" w:themeColor="text1"/>
                      <w:szCs w:val="21"/>
                      <w:lang w:val="en-US" w:eastAsia="zh-CN"/>
                      <w14:textFill>
                        <w14:solidFill>
                          <w14:schemeClr w14:val="tx1"/>
                        </w14:solidFill>
                      </w14:textFill>
                    </w:rPr>
                    <w:t>SNCR高温脱硝设施（炉内脱硝）+高效袋式除尘器</w:t>
                  </w:r>
                  <w:r>
                    <w:rPr>
                      <w:rFonts w:hint="default" w:ascii="Times New Roman" w:hAnsi="Times New Roman" w:cs="Times New Roman"/>
                      <w:color w:val="000000" w:themeColor="text1"/>
                      <w:szCs w:val="21"/>
                      <w:lang w:val="en-US" w:eastAsia="zh-CN"/>
                      <w14:textFill>
                        <w14:solidFill>
                          <w14:schemeClr w14:val="tx1"/>
                        </w14:solidFill>
                      </w14:textFill>
                    </w:rPr>
                    <w:t>处理后由1根15m排气筒（DA00</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）高空排放。</w:t>
                  </w:r>
                </w:p>
              </w:tc>
            </w:tr>
            <w:tr w14:paraId="38B9E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restart"/>
                  <w:tcBorders>
                    <w:tl2br w:val="nil"/>
                    <w:tr2bl w:val="nil"/>
                  </w:tcBorders>
                  <w:noWrap w:val="0"/>
                  <w:vAlign w:val="center"/>
                </w:tcPr>
                <w:p w14:paraId="4162B9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《宝鸡市大气污染治理专项行动方案》（2023—2027年）</w:t>
                  </w:r>
                </w:p>
              </w:tc>
              <w:tc>
                <w:tcPr>
                  <w:tcW w:w="2095" w:type="pct"/>
                  <w:tcBorders>
                    <w:tl2br w:val="nil"/>
                    <w:tr2bl w:val="nil"/>
                  </w:tcBorders>
                  <w:noWrap w:val="0"/>
                  <w:vAlign w:val="center"/>
                </w:tcPr>
                <w:p w14:paraId="7C77A7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严格执行《产业结构调整指导目录》，坚决遏制“两高”项目盲目发展，严格落实国家产业规划、产业政策、“三线一单”、规划环评一级产能置换、煤炭消费减量替代、区域污染物削减等要求，严禁不符合规定的项目建设。</w:t>
                  </w:r>
                </w:p>
              </w:tc>
              <w:tc>
                <w:tcPr>
                  <w:tcW w:w="1673" w:type="pct"/>
                  <w:vMerge w:val="restart"/>
                  <w:tcBorders>
                    <w:tl2br w:val="nil"/>
                    <w:tr2bl w:val="nil"/>
                  </w:tcBorders>
                  <w:noWrap w:val="0"/>
                  <w:vAlign w:val="center"/>
                </w:tcPr>
                <w:p w14:paraId="575AEA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highlight w:val="none"/>
                      <w:lang w:eastAsia="zh-CN"/>
                      <w14:textFill>
                        <w14:solidFill>
                          <w14:schemeClr w14:val="tx1"/>
                        </w14:solidFill>
                      </w14:textFill>
                    </w:rPr>
                    <w:t>本项目原有锅炉为</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t/h生物质锅炉</w:t>
                  </w:r>
                  <w:r>
                    <w:rPr>
                      <w:rFonts w:hint="eastAsia" w:cs="Times New Roman"/>
                      <w:b w:val="0"/>
                      <w:bCs/>
                      <w:color w:val="000000" w:themeColor="text1"/>
                      <w:kern w:val="0"/>
                      <w:sz w:val="21"/>
                      <w:szCs w:val="21"/>
                      <w:highlight w:val="none"/>
                      <w:lang w:val="en-US" w:eastAsia="zh-CN"/>
                      <w14:textFill>
                        <w14:solidFill>
                          <w14:schemeClr w14:val="tx1"/>
                        </w14:solidFill>
                      </w14:textFill>
                    </w:rPr>
                    <w:t>，不符合</w:t>
                  </w:r>
                  <w:r>
                    <w:rPr>
                      <w:rFonts w:hint="eastAsia" w:cs="Times New Roman"/>
                      <w:b w:val="0"/>
                      <w:bCs/>
                      <w:color w:val="000000" w:themeColor="text1"/>
                      <w:kern w:val="0"/>
                      <w:sz w:val="21"/>
                      <w:szCs w:val="21"/>
                      <w:highlight w:val="none"/>
                      <w:lang w:eastAsia="zh-CN"/>
                      <w14:textFill>
                        <w14:solidFill>
                          <w14:schemeClr w14:val="tx1"/>
                        </w14:solidFill>
                      </w14:textFill>
                    </w:rPr>
                    <w:t>《产业结构调整指导目录（</w:t>
                  </w:r>
                  <w:r>
                    <w:rPr>
                      <w:rFonts w:hint="eastAsia" w:cs="Times New Roman"/>
                      <w:b w:val="0"/>
                      <w:bCs/>
                      <w:color w:val="000000" w:themeColor="text1"/>
                      <w:kern w:val="0"/>
                      <w:sz w:val="21"/>
                      <w:szCs w:val="21"/>
                      <w:highlight w:val="none"/>
                      <w:lang w:val="en-US" w:eastAsia="zh-CN"/>
                      <w14:textFill>
                        <w14:solidFill>
                          <w14:schemeClr w14:val="tx1"/>
                        </w14:solidFill>
                      </w14:textFill>
                    </w:rPr>
                    <w:t>2024年本</w:t>
                  </w:r>
                  <w:r>
                    <w:rPr>
                      <w:rFonts w:hint="eastAsia" w:cs="Times New Roman"/>
                      <w:b w:val="0"/>
                      <w:bCs/>
                      <w:color w:val="000000" w:themeColor="text1"/>
                      <w:kern w:val="0"/>
                      <w:sz w:val="21"/>
                      <w:szCs w:val="21"/>
                      <w:highlight w:val="none"/>
                      <w:lang w:eastAsia="zh-CN"/>
                      <w14:textFill>
                        <w14:solidFill>
                          <w14:schemeClr w14:val="tx1"/>
                        </w14:solidFill>
                      </w14:textFill>
                    </w:rPr>
                    <w:t>）》要求，因此本项目拟对原有锅炉拆除，安装</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锅炉</w:t>
                  </w:r>
                  <w:r>
                    <w:rPr>
                      <w:rFonts w:hint="eastAsia" w:cs="Times New Roman"/>
                      <w:b w:val="0"/>
                      <w:bCs/>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本项目在禁燃区范围内，</w:t>
                  </w:r>
                  <w:r>
                    <w:rPr>
                      <w:rFonts w:hint="eastAsia" w:cs="Times New Roman"/>
                      <w:snapToGrid w:val="0"/>
                      <w:color w:val="000000" w:themeColor="text1"/>
                      <w:sz w:val="21"/>
                      <w:szCs w:val="21"/>
                      <w:highlight w:val="none"/>
                      <w:lang w:val="en-US" w:eastAsia="zh-CN"/>
                      <w14:textFill>
                        <w14:solidFill>
                          <w14:schemeClr w14:val="tx1"/>
                        </w14:solidFill>
                      </w14:textFill>
                    </w:rPr>
                    <w:t>项目拟设锅炉为专用生物质锅炉，所用燃料为专用生物质成型燃料，因此本项目锅炉所用燃料不属于高污染燃料</w:t>
                  </w:r>
                  <w:r>
                    <w:rPr>
                      <w:rFonts w:hint="eastAsia"/>
                      <w:color w:val="000000" w:themeColor="text1"/>
                      <w:lang w:val="en-US" w:eastAsia="zh-CN"/>
                      <w14:textFill>
                        <w14:solidFill>
                          <w14:schemeClr w14:val="tx1"/>
                        </w14:solidFill>
                      </w14:textFill>
                    </w:rPr>
                    <w:t>。</w:t>
                  </w:r>
                </w:p>
              </w:tc>
            </w:tr>
            <w:tr w14:paraId="0EAF6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335521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p>
              </w:tc>
              <w:tc>
                <w:tcPr>
                  <w:tcW w:w="2095" w:type="pct"/>
                  <w:tcBorders>
                    <w:tl2br w:val="nil"/>
                    <w:tr2bl w:val="nil"/>
                  </w:tcBorders>
                  <w:noWrap w:val="0"/>
                  <w:vAlign w:val="center"/>
                </w:tcPr>
                <w:p w14:paraId="069E4D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以城市建成区为重点，逐步扩大禁燃区范围，2024年底前，各县（区）应依法将平原地区划定为高污染燃料禁燃区。禁燃区禁止销售、使用高污染燃料（35蒸吨及以上锅炉、火力发电企业机组除外）。</w:t>
                  </w:r>
                </w:p>
              </w:tc>
              <w:tc>
                <w:tcPr>
                  <w:tcW w:w="1673" w:type="pct"/>
                  <w:vMerge w:val="continue"/>
                  <w:tcBorders>
                    <w:tl2br w:val="nil"/>
                    <w:tr2bl w:val="nil"/>
                  </w:tcBorders>
                  <w:noWrap w:val="0"/>
                  <w:vAlign w:val="center"/>
                </w:tcPr>
                <w:p w14:paraId="288334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14:paraId="6C3CC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1A3112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关于印发《凤翔区大气污染治理专项行动方案（2023—2027年）》的通知</w:t>
                  </w:r>
                </w:p>
              </w:tc>
              <w:tc>
                <w:tcPr>
                  <w:tcW w:w="2095" w:type="pct"/>
                  <w:tcBorders>
                    <w:tl2br w:val="nil"/>
                    <w:tr2bl w:val="nil"/>
                  </w:tcBorders>
                  <w:noWrap w:val="0"/>
                  <w:vAlign w:val="center"/>
                </w:tcPr>
                <w:p w14:paraId="5FFCC2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新、改、扩建涉气重点行业企业应达到环保绩效A级、绩效引领水平。</w:t>
                  </w:r>
                </w:p>
              </w:tc>
              <w:tc>
                <w:tcPr>
                  <w:tcW w:w="1673" w:type="pct"/>
                  <w:tcBorders>
                    <w:tl2br w:val="nil"/>
                    <w:tr2bl w:val="nil"/>
                  </w:tcBorders>
                  <w:noWrap w:val="0"/>
                  <w:vAlign w:val="center"/>
                </w:tcPr>
                <w:p w14:paraId="676FEA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本项目主要对企业内生物质锅炉进行提升改造，不属于涉气重点行业。</w:t>
                  </w:r>
                </w:p>
              </w:tc>
            </w:tr>
            <w:tr w14:paraId="13B48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78BDF5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《陕西省噪声污染防治行动计划》（2023—2025年）</w:t>
                  </w:r>
                </w:p>
              </w:tc>
              <w:tc>
                <w:tcPr>
                  <w:tcW w:w="2095" w:type="pct"/>
                  <w:tcBorders>
                    <w:tl2br w:val="nil"/>
                    <w:tr2bl w:val="nil"/>
                  </w:tcBorders>
                  <w:noWrap w:val="0"/>
                  <w:vAlign w:val="center"/>
                </w:tcPr>
                <w:p w14:paraId="046A2B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推进工业噪声实施排污许可管理。依据工业噪声排污许可证申请与核发技术规范，依法开展工业噪声排污许可证核发及排污登记工作，严格执行排污许可证、环评及批复文件的噪声排放管理要求；实行排污许可管理的单位依证排污，按照规定开展自行监测并向社会公开。</w:t>
                  </w:r>
                </w:p>
              </w:tc>
              <w:tc>
                <w:tcPr>
                  <w:tcW w:w="1673" w:type="pct"/>
                  <w:tcBorders>
                    <w:tl2br w:val="nil"/>
                    <w:tr2bl w:val="nil"/>
                  </w:tcBorders>
                  <w:noWrap w:val="0"/>
                  <w:vAlign w:val="center"/>
                </w:tcPr>
                <w:p w14:paraId="6D932E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本项目建成后按照工业噪声排污许可证申请与核发技术规范填报排污许可证，严格执行排污许可证、环评及批复文件的噪声排放管理要求。</w:t>
                  </w:r>
                </w:p>
              </w:tc>
            </w:tr>
            <w:tr w14:paraId="4A815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tcBorders>
                    <w:tl2br w:val="nil"/>
                    <w:tr2bl w:val="nil"/>
                  </w:tcBorders>
                  <w:noWrap w:val="0"/>
                  <w:vAlign w:val="center"/>
                </w:tcPr>
                <w:p w14:paraId="4B6FBE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《空气质量持续改善行动计划》（国发〔2023〕24号）</w:t>
                  </w:r>
                </w:p>
              </w:tc>
              <w:tc>
                <w:tcPr>
                  <w:tcW w:w="2095" w:type="pct"/>
                  <w:tcBorders>
                    <w:tl2br w:val="nil"/>
                    <w:tr2bl w:val="nil"/>
                  </w:tcBorders>
                  <w:noWrap w:val="0"/>
                  <w:vAlign w:val="center"/>
                </w:tcPr>
                <w:p w14:paraId="5EA0911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确保工业企业全面稳定达标排放。推进玻璃、石灰、矿棉、有色等行业深度治理。全面开展锅炉和工业炉窑简易低效污染治理设施排查，通过清洁能源替代、升级改造、整合退出等方式实施分类处置。推进燃气锅炉低氮燃烧改造。生物质锅炉采用专用锅炉，配套布袋等高效除尘设施，禁止掺烧煤炭、生活垃圾等其他物料。推进整合小型生物质锅炉，积极引导城市建成区内生物质锅炉（含电力）超低排放改造。强化治污设施运行维护，减少非正常工况排放</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w:t>
                  </w:r>
                </w:p>
              </w:tc>
              <w:tc>
                <w:tcPr>
                  <w:tcW w:w="1673" w:type="pct"/>
                  <w:tcBorders>
                    <w:tl2br w:val="nil"/>
                    <w:tr2bl w:val="nil"/>
                  </w:tcBorders>
                  <w:noWrap w:val="0"/>
                  <w:vAlign w:val="center"/>
                </w:tcPr>
                <w:p w14:paraId="529939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本项目</w:t>
                  </w:r>
                  <w:r>
                    <w:rPr>
                      <w:rFonts w:hint="default" w:ascii="Times New Roman" w:hAnsi="Times New Roman" w:eastAsia="宋体" w:cs="Times New Roman"/>
                      <w:color w:val="000000" w:themeColor="text1"/>
                      <w:szCs w:val="21"/>
                      <w:lang w:val="en-US" w:eastAsia="zh-CN"/>
                      <w14:textFill>
                        <w14:solidFill>
                          <w14:schemeClr w14:val="tx1"/>
                        </w14:solidFill>
                      </w14:textFill>
                    </w:rPr>
                    <w:t>主要对生物质锅炉进行提升改造，</w:t>
                  </w:r>
                  <w:r>
                    <w:rPr>
                      <w:rFonts w:hint="default" w:ascii="Times New Roman" w:hAnsi="Times New Roman" w:cs="Times New Roman"/>
                      <w:color w:val="000000" w:themeColor="text1"/>
                      <w14:textFill>
                        <w14:solidFill>
                          <w14:schemeClr w14:val="tx1"/>
                        </w14:solidFill>
                      </w14:textFill>
                    </w:rPr>
                    <w:t>拟对原有</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t/h生物质锅炉进行拆除，并安装</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锅炉；且配备布袋除尘器、SNCR高温脱硝设施对燃烧废气进行处理</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r w14:paraId="22E41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restart"/>
                  <w:tcBorders>
                    <w:tl2br w:val="nil"/>
                    <w:tr2bl w:val="nil"/>
                  </w:tcBorders>
                  <w:noWrap w:val="0"/>
                  <w:vAlign w:val="center"/>
                </w:tcPr>
                <w:p w14:paraId="6823C5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宝鸡市凤翔区大气污染治理专项行动领导小组办公室</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印发</w:t>
                  </w: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《关于开展锅炉大气污染专项治理工作的通知》</w:t>
                  </w:r>
                </w:p>
              </w:tc>
              <w:tc>
                <w:tcPr>
                  <w:tcW w:w="2095" w:type="pct"/>
                  <w:tcBorders>
                    <w:tl2br w:val="nil"/>
                    <w:tr2bl w:val="nil"/>
                  </w:tcBorders>
                  <w:noWrap w:val="0"/>
                  <w:vAlign w:val="center"/>
                </w:tcPr>
                <w:p w14:paraId="31994B7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依据《产业结构调整指导目录》（2024 年本）第三类“淘汰类”里面的“落后产品”第（七）机械第66条规定，从2024年2月1日起淘汰每小时2蒸吨及以下生物质锅炉</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w:t>
                  </w:r>
                </w:p>
              </w:tc>
              <w:tc>
                <w:tcPr>
                  <w:tcW w:w="1673" w:type="pct"/>
                  <w:vMerge w:val="restart"/>
                  <w:tcBorders>
                    <w:tl2br w:val="nil"/>
                    <w:tr2bl w:val="nil"/>
                  </w:tcBorders>
                  <w:noWrap w:val="0"/>
                  <w:vAlign w:val="center"/>
                </w:tcPr>
                <w:p w14:paraId="29D316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w:t>
                  </w:r>
                  <w:r>
                    <w:rPr>
                      <w:rFonts w:hint="eastAsia"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拟对原有</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t/h</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1.4蒸吨</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生物质锅炉进行拆除，并安装</w:t>
                  </w:r>
                  <w:r>
                    <w:rPr>
                      <w:rFonts w:hint="eastAsia" w:ascii="Times New Roman" w:hAnsi="Times New Roman" w:cs="Times New Roman"/>
                      <w:color w:val="000000" w:themeColor="text1"/>
                      <w:szCs w:val="21"/>
                      <w:lang w:val="en-US" w:eastAsia="zh-CN"/>
                      <w14:textFill>
                        <w14:solidFill>
                          <w14:schemeClr w14:val="tx1"/>
                        </w14:solidFill>
                      </w14:textFill>
                    </w:rPr>
                    <w:t>额定蒸发量</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val="en-US" w:eastAsia="zh-CN"/>
                      <w14:textFill>
                        <w14:solidFill>
                          <w14:schemeClr w14:val="tx1"/>
                        </w14:solidFill>
                      </w14:textFill>
                    </w:rPr>
                    <w:t>/h生物质</w:t>
                  </w:r>
                  <w:r>
                    <w:rPr>
                      <w:rFonts w:hint="default" w:ascii="Times New Roman" w:hAnsi="Times New Roman" w:cs="Times New Roman"/>
                      <w:color w:val="000000" w:themeColor="text1"/>
                      <w14:textFill>
                        <w14:solidFill>
                          <w14:schemeClr w14:val="tx1"/>
                        </w14:solidFill>
                      </w14:textFill>
                    </w:rPr>
                    <w:t>锅炉；且配备布袋除尘器、SNCR高温脱硝设施对燃烧废气进行处理</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最终经</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5m排气筒有组织排放，经</w:t>
                  </w:r>
                  <w:r>
                    <w:rPr>
                      <w:rFonts w:hint="eastAsia" w:cs="Times New Roman"/>
                      <w:color w:val="000000" w:themeColor="text1"/>
                      <w:lang w:eastAsia="zh-CN"/>
                      <w14:textFill>
                        <w14:solidFill>
                          <w14:schemeClr w14:val="tx1"/>
                        </w14:solidFill>
                      </w14:textFill>
                    </w:rPr>
                    <w:t>后续</w:t>
                  </w:r>
                  <w:r>
                    <w:rPr>
                      <w:rFonts w:hint="default" w:ascii="Times New Roman" w:hAnsi="Times New Roman" w:cs="Times New Roman"/>
                      <w:color w:val="000000" w:themeColor="text1"/>
                      <w14:textFill>
                        <w14:solidFill>
                          <w14:schemeClr w14:val="tx1"/>
                        </w14:solidFill>
                      </w14:textFill>
                    </w:rPr>
                    <w:t>核算，颗粒物、二氧化硫、氮氧化物均能满足《陕西省锅炉大气污染物排放标准》（DB</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61/1226-2018）生物质锅炉排放限值</w:t>
                  </w:r>
                  <w:r>
                    <w:rPr>
                      <w:rFonts w:hint="eastAsia" w:ascii="Times New Roman" w:hAnsi="Times New Roman" w:cs="Times New Roman"/>
                      <w:color w:val="000000" w:themeColor="text1"/>
                      <w:lang w:eastAsia="zh-CN"/>
                      <w14:textFill>
                        <w14:solidFill>
                          <w14:schemeClr w14:val="tx1"/>
                        </w14:solidFill>
                      </w14:textFill>
                    </w:rPr>
                    <w:t>。</w:t>
                  </w:r>
                </w:p>
              </w:tc>
            </w:tr>
            <w:tr w14:paraId="525F4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0A4AF7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p>
              </w:tc>
              <w:tc>
                <w:tcPr>
                  <w:tcW w:w="2095" w:type="pct"/>
                  <w:tcBorders>
                    <w:tl2br w:val="nil"/>
                    <w:tr2bl w:val="nil"/>
                  </w:tcBorders>
                  <w:noWrap w:val="0"/>
                  <w:vAlign w:val="center"/>
                </w:tcPr>
                <w:p w14:paraId="7BBA2CA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使用每小时2蒸吨以上生物质锅炉的企业必须采用专用生物质锅炉，使用专用生物质燃料，并配套布袋等高效除尘设施；氮氧化物排放难以达标的应配套脱硝设施。禁止掺烧煤炭、垃圾、工业固体废物等其他物料。对标《陕西省锅炉大气污染物排放标准》</w:t>
                  </w:r>
                </w:p>
                <w:p w14:paraId="42AACED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（DB</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 xml:space="preserve"> </w:t>
                  </w: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61/1226-2018）生物质锅炉排放限值</w:t>
                  </w:r>
                </w:p>
              </w:tc>
              <w:tc>
                <w:tcPr>
                  <w:tcW w:w="1673" w:type="pct"/>
                  <w:vMerge w:val="continue"/>
                  <w:tcBorders>
                    <w:tl2br w:val="nil"/>
                    <w:tr2bl w:val="nil"/>
                  </w:tcBorders>
                  <w:noWrap w:val="0"/>
                  <w:vAlign w:val="center"/>
                </w:tcPr>
                <w:p w14:paraId="30A838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p>
              </w:tc>
            </w:tr>
            <w:tr w14:paraId="745FB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restart"/>
                  <w:tcBorders>
                    <w:tl2br w:val="nil"/>
                    <w:tr2bl w:val="nil"/>
                  </w:tcBorders>
                  <w:noWrap w:val="0"/>
                  <w:vAlign w:val="center"/>
                </w:tcPr>
                <w:p w14:paraId="49CC65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《关于调整市区高污染燃料禁燃区和做好高污染燃料禁燃区管控工作的通知》（宝政函〔2023〕48号</w:t>
                  </w:r>
                  <w:r>
                    <w:rPr>
                      <w:rFonts w:hint="eastAsia"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《高污染燃料目录》</w:t>
                  </w:r>
                </w:p>
              </w:tc>
              <w:tc>
                <w:tcPr>
                  <w:tcW w:w="2095" w:type="pct"/>
                  <w:tcBorders>
                    <w:tl2br w:val="nil"/>
                    <w:tr2bl w:val="nil"/>
                  </w:tcBorders>
                  <w:noWrap w:val="0"/>
                  <w:vAlign w:val="center"/>
                </w:tcPr>
                <w:p w14:paraId="53AF419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凤翔区禁燃区范围：全区除糜杆桥镇五曲湾村、范家寨镇老女沟村、陈村镇蔡阳山村、姚家沟镇全域4个村以及柳林镇北斗坊村、会山村、关村、汉封村、程家塬村、洛城村总共13个山区行政村以外的147个平原行政村为禁燃区；东至横水镇尹稼坞村，北至范家寨镇临阵坡村，西至长青镇长青村，南至虢王镇万丰村，不含糜杆桥镇西关村以北、省道S210东侧占地约180亩的储煤区和横水镇横水村占地约100亩的凤翔县胜利煤业有限公司，禁燃区总面积610平方公里。</w:t>
                  </w:r>
                </w:p>
              </w:tc>
              <w:tc>
                <w:tcPr>
                  <w:tcW w:w="1673" w:type="pct"/>
                  <w:tcBorders>
                    <w:tl2br w:val="nil"/>
                    <w:tr2bl w:val="nil"/>
                  </w:tcBorders>
                  <w:noWrap w:val="0"/>
                  <w:vAlign w:val="center"/>
                </w:tcPr>
                <w:p w14:paraId="5FC1D5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本项目位于凤翔区陈村镇小海子村，属于禁燃区范围内。</w:t>
                  </w:r>
                </w:p>
              </w:tc>
            </w:tr>
            <w:tr w14:paraId="179DD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1A752D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p>
              </w:tc>
              <w:tc>
                <w:tcPr>
                  <w:tcW w:w="2095" w:type="pct"/>
                  <w:tcBorders>
                    <w:tl2br w:val="nil"/>
                    <w:tr2bl w:val="nil"/>
                  </w:tcBorders>
                  <w:noWrap w:val="0"/>
                  <w:vAlign w:val="center"/>
                </w:tcPr>
                <w:p w14:paraId="12EF702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根据原环保部发布的《高污染燃料目录》，我市市区高污染燃料禁燃区执行Ⅲ类（严格）要求，禁止使用下列高污染燃料：</w:t>
                  </w:r>
                </w:p>
                <w:p w14:paraId="6D40722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（一）煤炭及其制品（包括原煤、散煤、煤矸石、煤泥、煤粉、水煤浆、型煤、焦炭、兰炭等）。</w:t>
                  </w:r>
                </w:p>
                <w:p w14:paraId="44F1311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（二）石油焦、油页岩、原油、重油、渣油、煤焦油。</w:t>
                  </w:r>
                </w:p>
                <w:p w14:paraId="4E37B29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（三）非专用锅炉或未配置高效除尘设施的专用锅炉燃用的生物质成型燃料。</w:t>
                  </w:r>
                </w:p>
              </w:tc>
              <w:tc>
                <w:tcPr>
                  <w:tcW w:w="1673" w:type="pct"/>
                  <w:tcBorders>
                    <w:tl2br w:val="nil"/>
                    <w:tr2bl w:val="nil"/>
                  </w:tcBorders>
                  <w:noWrap w:val="0"/>
                  <w:vAlign w:val="center"/>
                </w:tcPr>
                <w:p w14:paraId="26F963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本项目为生物质锅炉，采用专用生物质成型燃料，并配套SNCR高温脱硝设施（炉内脱硝）+高效袋式除尘器进行废气处理，</w:t>
                  </w:r>
                  <w:r>
                    <w:rPr>
                      <w:rFonts w:hint="eastAsia" w:cs="Times New Roman"/>
                      <w:color w:val="000000" w:themeColor="text1"/>
                      <w:szCs w:val="21"/>
                      <w:lang w:val="en-US" w:eastAsia="zh-CN"/>
                      <w14:textFill>
                        <w14:solidFill>
                          <w14:schemeClr w14:val="tx1"/>
                        </w14:solidFill>
                      </w14:textFill>
                    </w:rPr>
                    <w:t>所用燃料</w:t>
                  </w:r>
                  <w:r>
                    <w:rPr>
                      <w:rFonts w:hint="eastAsia" w:ascii="Times New Roman" w:hAnsi="Times New Roman" w:eastAsia="宋体" w:cs="Times New Roman"/>
                      <w:color w:val="000000" w:themeColor="text1"/>
                      <w:szCs w:val="21"/>
                      <w:lang w:val="en-US" w:eastAsia="zh-CN"/>
                      <w14:textFill>
                        <w14:solidFill>
                          <w14:schemeClr w14:val="tx1"/>
                        </w14:solidFill>
                      </w14:textFill>
                    </w:rPr>
                    <w:t>不属于高污染燃料。</w:t>
                  </w:r>
                </w:p>
              </w:tc>
            </w:tr>
            <w:tr w14:paraId="03B42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5E9380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p>
              </w:tc>
              <w:tc>
                <w:tcPr>
                  <w:tcW w:w="2095" w:type="pct"/>
                  <w:tcBorders>
                    <w:tl2br w:val="nil"/>
                    <w:tr2bl w:val="nil"/>
                  </w:tcBorders>
                  <w:noWrap w:val="0"/>
                  <w:vAlign w:val="center"/>
                </w:tcPr>
                <w:p w14:paraId="7B73D33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禁燃区内禁止新建、扩建燃用高污染燃料的锅炉、窑炉、炉灶等设施，不得将其他燃料燃用设施改造为高污染燃料燃用设施</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w:t>
                  </w:r>
                </w:p>
              </w:tc>
              <w:tc>
                <w:tcPr>
                  <w:tcW w:w="1673" w:type="pct"/>
                  <w:tcBorders>
                    <w:tl2br w:val="nil"/>
                    <w:tr2bl w:val="nil"/>
                  </w:tcBorders>
                  <w:noWrap w:val="0"/>
                  <w:vAlign w:val="center"/>
                </w:tcPr>
                <w:p w14:paraId="643044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本项目为生物质锅炉提升改造，改建后使用专用生物质锅炉和专用生物质成型燃料，不属于高污染燃料。</w:t>
                  </w:r>
                </w:p>
              </w:tc>
            </w:tr>
            <w:tr w14:paraId="54252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restart"/>
                  <w:tcBorders>
                    <w:tl2br w:val="nil"/>
                    <w:tr2bl w:val="nil"/>
                  </w:tcBorders>
                  <w:noWrap w:val="0"/>
                  <w:vAlign w:val="center"/>
                </w:tcPr>
                <w:p w14:paraId="2EF832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《宝鸡市锅炉大气污染专项整治行动方案</w:t>
                  </w:r>
                  <w:r>
                    <w:rPr>
                      <w:rFonts w:hint="default" w:ascii="Times New Roman" w:hAnsi="Times New Roman" w:cs="Times New Roman"/>
                      <w:color w:val="000000" w:themeColor="text1"/>
                      <w:sz w:val="21"/>
                      <w:szCs w:val="21"/>
                      <w:highlight w:val="none"/>
                      <w:lang w:eastAsia="zh-CN"/>
                      <w14:textFill>
                        <w14:solidFill>
                          <w14:schemeClr w14:val="tx1"/>
                        </w14:solidFill>
                      </w14:textFill>
                    </w:rPr>
                    <w:t>（2023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2027</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t>》</w:t>
                  </w:r>
                </w:p>
              </w:tc>
              <w:tc>
                <w:tcPr>
                  <w:tcW w:w="2095" w:type="pct"/>
                  <w:tcBorders>
                    <w:tl2br w:val="nil"/>
                    <w:tr2bl w:val="nil"/>
                  </w:tcBorders>
                  <w:noWrap w:val="0"/>
                  <w:vAlign w:val="center"/>
                </w:tcPr>
                <w:p w14:paraId="6EE2E9C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强化生物质锅炉达标排放。生物质锅炉应采用专用锅炉，使用专用燃料，并配套布袋等高效除尘设施；氮氧化物排放难以达标的应配套脱硝设施。禁止掺烧煤炭、垃圾、工业固</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体</w:t>
                  </w:r>
                  <w:r>
                    <w:rPr>
                      <w:rFonts w:hint="eastAsia"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废物等其他物料。对标《陕西省锅炉大气污染物排放标准》（DB</w:t>
                  </w:r>
                  <w:r>
                    <w:rPr>
                      <w:rFonts w:hint="eastAsia" w:cs="Times New Roman"/>
                      <w:i w:val="0"/>
                      <w:iCs w:val="0"/>
                      <w:caps w:val="0"/>
                      <w:color w:val="000000" w:themeColor="text1"/>
                      <w:spacing w:val="0"/>
                      <w:sz w:val="21"/>
                      <w:szCs w:val="21"/>
                      <w:shd w:val="clear" w:color="auto" w:fill="FFFFFF"/>
                      <w:lang w:val="en-US" w:eastAsia="zh-CN"/>
                      <w14:textFill>
                        <w14:solidFill>
                          <w14:schemeClr w14:val="tx1"/>
                        </w14:solidFill>
                      </w14:textFill>
                    </w:rPr>
                    <w:t xml:space="preserve"> </w:t>
                  </w:r>
                  <w:r>
                    <w:rPr>
                      <w:rFonts w:hint="eastAsia" w:ascii="Times New Roman" w:hAnsi="Times New Roman" w:cs="Times New Roman"/>
                      <w:i w:val="0"/>
                      <w:iCs w:val="0"/>
                      <w:caps w:val="0"/>
                      <w:color w:val="000000" w:themeColor="text1"/>
                      <w:spacing w:val="0"/>
                      <w:sz w:val="21"/>
                      <w:szCs w:val="21"/>
                      <w:shd w:val="clear" w:color="auto" w:fill="FFFFFF"/>
                      <w:lang w:val="en-US" w:eastAsia="zh-CN"/>
                      <w14:textFill>
                        <w14:solidFill>
                          <w14:schemeClr w14:val="tx1"/>
                        </w14:solidFill>
                      </w14:textFill>
                    </w:rPr>
                    <w:t>61/1226-2018）生物质锅炉排放限值，开展生物质锅炉污染物专项治理。</w:t>
                  </w:r>
                </w:p>
              </w:tc>
              <w:tc>
                <w:tcPr>
                  <w:tcW w:w="1673" w:type="pct"/>
                  <w:tcBorders>
                    <w:tl2br w:val="nil"/>
                    <w:tr2bl w:val="nil"/>
                  </w:tcBorders>
                  <w:noWrap w:val="0"/>
                  <w:vAlign w:val="center"/>
                </w:tcPr>
                <w:p w14:paraId="48C733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w:t>
                  </w:r>
                  <w:r>
                    <w:rPr>
                      <w:rFonts w:hint="eastAsia"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拟对原有</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t/h生物质锅炉进行拆除，并安装</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锅炉；且配备布袋除尘器、SNCR高温脱硝设施对燃烧废气进行处理</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最终经</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5m排气筒有组织排放，经</w:t>
                  </w:r>
                  <w:r>
                    <w:rPr>
                      <w:rFonts w:hint="eastAsia" w:cs="Times New Roman"/>
                      <w:color w:val="000000" w:themeColor="text1"/>
                      <w:lang w:eastAsia="zh-CN"/>
                      <w14:textFill>
                        <w14:solidFill>
                          <w14:schemeClr w14:val="tx1"/>
                        </w14:solidFill>
                      </w14:textFill>
                    </w:rPr>
                    <w:t>后续</w:t>
                  </w:r>
                  <w:r>
                    <w:rPr>
                      <w:rFonts w:hint="default" w:ascii="Times New Roman" w:hAnsi="Times New Roman" w:cs="Times New Roman"/>
                      <w:color w:val="000000" w:themeColor="text1"/>
                      <w14:textFill>
                        <w14:solidFill>
                          <w14:schemeClr w14:val="tx1"/>
                        </w14:solidFill>
                      </w14:textFill>
                    </w:rPr>
                    <w:t>核算，颗粒物、二氧化硫、氮氧化物均能满足《陕西省锅炉大气污染物排放标准》（DB</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61/1226-2018）生物质锅炉排放限值</w:t>
                  </w:r>
                  <w:r>
                    <w:rPr>
                      <w:rFonts w:hint="eastAsia" w:ascii="Times New Roman" w:hAnsi="Times New Roman" w:cs="Times New Roman"/>
                      <w:color w:val="000000" w:themeColor="text1"/>
                      <w:lang w:eastAsia="zh-CN"/>
                      <w14:textFill>
                        <w14:solidFill>
                          <w14:schemeClr w14:val="tx1"/>
                        </w14:solidFill>
                      </w14:textFill>
                    </w:rPr>
                    <w:t>。</w:t>
                  </w:r>
                </w:p>
              </w:tc>
            </w:tr>
            <w:tr w14:paraId="0C2B4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3AC1A9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p>
              </w:tc>
              <w:tc>
                <w:tcPr>
                  <w:tcW w:w="2095" w:type="pct"/>
                  <w:tcBorders>
                    <w:tl2br w:val="nil"/>
                    <w:tr2bl w:val="nil"/>
                  </w:tcBorders>
                  <w:noWrap w:val="0"/>
                  <w:vAlign w:val="center"/>
                </w:tcPr>
                <w:p w14:paraId="28B65387">
                  <w:pPr>
                    <w:pBdr>
                      <w:top w:val="none" w:color="auto" w:sz="0" w:space="1"/>
                      <w:left w:val="none" w:color="auto" w:sz="0" w:space="4"/>
                      <w:bottom w:val="none" w:color="auto" w:sz="0" w:space="1"/>
                      <w:right w:val="none" w:color="auto" w:sz="0" w:space="4"/>
                    </w:pBd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严格执行《产业结构调整指导目录》，坚决遏制“两高”项目盲目发展，严格落实国家产业规划、产业政策、“三线一单”、规划环评以及产能置换、煤炭消费减量替代、区域污染物削减等要求，严禁不符合规定的项目建设。</w:t>
                  </w:r>
                </w:p>
              </w:tc>
              <w:tc>
                <w:tcPr>
                  <w:tcW w:w="1673" w:type="pct"/>
                  <w:vMerge w:val="restart"/>
                  <w:tcBorders>
                    <w:tl2br w:val="nil"/>
                    <w:tr2bl w:val="nil"/>
                  </w:tcBorders>
                  <w:noWrap w:val="0"/>
                  <w:vAlign w:val="center"/>
                </w:tcPr>
                <w:p w14:paraId="4FBDC2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b w:val="0"/>
                      <w:bCs/>
                      <w:color w:val="000000" w:themeColor="text1"/>
                      <w:kern w:val="0"/>
                      <w:sz w:val="21"/>
                      <w:szCs w:val="21"/>
                      <w:highlight w:val="none"/>
                      <w:lang w:eastAsia="zh-CN"/>
                      <w14:textFill>
                        <w14:solidFill>
                          <w14:schemeClr w14:val="tx1"/>
                        </w14:solidFill>
                      </w14:textFill>
                    </w:rPr>
                    <w:t>本项目原有锅炉为</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t/h生物质锅炉</w:t>
                  </w:r>
                  <w:r>
                    <w:rPr>
                      <w:rFonts w:hint="eastAsia" w:cs="Times New Roman"/>
                      <w:b w:val="0"/>
                      <w:bCs/>
                      <w:color w:val="000000" w:themeColor="text1"/>
                      <w:kern w:val="0"/>
                      <w:sz w:val="21"/>
                      <w:szCs w:val="21"/>
                      <w:highlight w:val="none"/>
                      <w:lang w:val="en-US" w:eastAsia="zh-CN"/>
                      <w14:textFill>
                        <w14:solidFill>
                          <w14:schemeClr w14:val="tx1"/>
                        </w14:solidFill>
                      </w14:textFill>
                    </w:rPr>
                    <w:t>，不符合</w:t>
                  </w:r>
                  <w:r>
                    <w:rPr>
                      <w:rFonts w:hint="eastAsia" w:cs="Times New Roman"/>
                      <w:b w:val="0"/>
                      <w:bCs/>
                      <w:color w:val="000000" w:themeColor="text1"/>
                      <w:kern w:val="0"/>
                      <w:sz w:val="21"/>
                      <w:szCs w:val="21"/>
                      <w:highlight w:val="none"/>
                      <w:lang w:eastAsia="zh-CN"/>
                      <w14:textFill>
                        <w14:solidFill>
                          <w14:schemeClr w14:val="tx1"/>
                        </w14:solidFill>
                      </w14:textFill>
                    </w:rPr>
                    <w:t>《产业结构调整指导目录（</w:t>
                  </w:r>
                  <w:r>
                    <w:rPr>
                      <w:rFonts w:hint="eastAsia" w:cs="Times New Roman"/>
                      <w:b w:val="0"/>
                      <w:bCs/>
                      <w:color w:val="000000" w:themeColor="text1"/>
                      <w:kern w:val="0"/>
                      <w:sz w:val="21"/>
                      <w:szCs w:val="21"/>
                      <w:highlight w:val="none"/>
                      <w:lang w:val="en-US" w:eastAsia="zh-CN"/>
                      <w14:textFill>
                        <w14:solidFill>
                          <w14:schemeClr w14:val="tx1"/>
                        </w14:solidFill>
                      </w14:textFill>
                    </w:rPr>
                    <w:t>2024年本</w:t>
                  </w:r>
                  <w:r>
                    <w:rPr>
                      <w:rFonts w:hint="eastAsia" w:cs="Times New Roman"/>
                      <w:b w:val="0"/>
                      <w:bCs/>
                      <w:color w:val="000000" w:themeColor="text1"/>
                      <w:kern w:val="0"/>
                      <w:sz w:val="21"/>
                      <w:szCs w:val="21"/>
                      <w:highlight w:val="none"/>
                      <w:lang w:eastAsia="zh-CN"/>
                      <w14:textFill>
                        <w14:solidFill>
                          <w14:schemeClr w14:val="tx1"/>
                        </w14:solidFill>
                      </w14:textFill>
                    </w:rPr>
                    <w:t>）》要求，因此本项目拟对原有锅炉拆除，安装</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锅炉</w:t>
                  </w:r>
                  <w:r>
                    <w:rPr>
                      <w:rFonts w:hint="eastAsia" w:cs="Times New Roman"/>
                      <w:b w:val="0"/>
                      <w:bCs/>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本项目在禁燃区范围内，</w:t>
                  </w:r>
                  <w:r>
                    <w:rPr>
                      <w:rFonts w:hint="eastAsia" w:cs="Times New Roman"/>
                      <w:snapToGrid w:val="0"/>
                      <w:color w:val="000000" w:themeColor="text1"/>
                      <w:sz w:val="21"/>
                      <w:szCs w:val="21"/>
                      <w:highlight w:val="none"/>
                      <w:lang w:val="en-US" w:eastAsia="zh-CN"/>
                      <w14:textFill>
                        <w14:solidFill>
                          <w14:schemeClr w14:val="tx1"/>
                        </w14:solidFill>
                      </w14:textFill>
                    </w:rPr>
                    <w:t>项目拟设锅炉为专用生物质锅炉，所用燃料为专用生物质成型燃料，因此本项目锅炉所用燃料不属于高污染燃料</w:t>
                  </w:r>
                  <w:r>
                    <w:rPr>
                      <w:rFonts w:hint="eastAsia"/>
                      <w:color w:val="000000" w:themeColor="text1"/>
                      <w:lang w:val="en-US" w:eastAsia="zh-CN"/>
                      <w14:textFill>
                        <w14:solidFill>
                          <w14:schemeClr w14:val="tx1"/>
                        </w14:solidFill>
                      </w14:textFill>
                    </w:rPr>
                    <w:t>。</w:t>
                  </w:r>
                </w:p>
              </w:tc>
            </w:tr>
            <w:tr w14:paraId="1EBFE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31" w:type="pct"/>
                  <w:vMerge w:val="continue"/>
                  <w:tcBorders>
                    <w:tl2br w:val="nil"/>
                    <w:tr2bl w:val="nil"/>
                  </w:tcBorders>
                  <w:noWrap w:val="0"/>
                  <w:vAlign w:val="center"/>
                </w:tcPr>
                <w:p w14:paraId="160F6D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caps w:val="0"/>
                      <w:color w:val="000000" w:themeColor="text1"/>
                      <w:spacing w:val="0"/>
                      <w:sz w:val="21"/>
                      <w:szCs w:val="21"/>
                      <w:shd w:val="clear" w:color="auto" w:fill="FFFFFF"/>
                      <w:lang w:val="en-US" w:eastAsia="zh-CN"/>
                      <w14:textFill>
                        <w14:solidFill>
                          <w14:schemeClr w14:val="tx1"/>
                        </w14:solidFill>
                      </w14:textFill>
                    </w:rPr>
                  </w:pPr>
                </w:p>
              </w:tc>
              <w:tc>
                <w:tcPr>
                  <w:tcW w:w="2095" w:type="pct"/>
                  <w:tcBorders>
                    <w:tl2br w:val="nil"/>
                    <w:tr2bl w:val="nil"/>
                  </w:tcBorders>
                  <w:noWrap w:val="0"/>
                  <w:vAlign w:val="center"/>
                </w:tcPr>
                <w:p w14:paraId="32476DF4">
                  <w:pPr>
                    <w:pBdr>
                      <w:top w:val="none" w:color="auto" w:sz="0" w:space="1"/>
                      <w:left w:val="none" w:color="auto" w:sz="0" w:space="4"/>
                      <w:bottom w:val="none" w:color="auto" w:sz="0" w:space="1"/>
                      <w:right w:val="none" w:color="auto" w:sz="0" w:space="4"/>
                    </w:pBdr>
                    <w:jc w:val="center"/>
                    <w:rPr>
                      <w:rFonts w:hint="eastAsia"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以城市建成区为重点，逐步扩大禁燃区范围，2024年底前，各县（区）应依法将平原地区划定为高污染燃料禁燃区。禁燃区禁止销售、使用高污染燃料（35蒸吨及以上锅炉、火力发电企业机组除外）。</w:t>
                  </w:r>
                </w:p>
              </w:tc>
              <w:tc>
                <w:tcPr>
                  <w:tcW w:w="1673" w:type="pct"/>
                  <w:vMerge w:val="continue"/>
                  <w:tcBorders>
                    <w:tl2br w:val="nil"/>
                    <w:tr2bl w:val="nil"/>
                  </w:tcBorders>
                  <w:noWrap w:val="0"/>
                  <w:vAlign w:val="center"/>
                </w:tcPr>
                <w:p w14:paraId="0996C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14:textFill>
                        <w14:solidFill>
                          <w14:schemeClr w14:val="tx1"/>
                        </w14:solidFill>
                      </w14:textFill>
                    </w:rPr>
                  </w:pPr>
                </w:p>
              </w:tc>
            </w:tr>
          </w:tbl>
          <w:p w14:paraId="3C0FBA2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陕西省“十四五”生态环境保护规划</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宝鸡市“十四五”生态环境保护规划</w:t>
            </w:r>
            <w:r>
              <w:rPr>
                <w:rFonts w:hint="default" w:ascii="Times New Roman" w:hAnsi="Times New Roman" w:eastAsia="宋体" w:cs="Times New Roman"/>
                <w:color w:val="000000" w:themeColor="text1"/>
                <w:sz w:val="24"/>
                <w:lang w:eastAsia="zh-CN"/>
                <w14:textFill>
                  <w14:solidFill>
                    <w14:schemeClr w14:val="tx1"/>
                  </w14:solidFill>
                </w14:textFill>
              </w:rPr>
              <w:t>》《宝鸡市大气污染防治条例》</w:t>
            </w:r>
            <w:r>
              <w:rPr>
                <w:rFonts w:hint="default" w:ascii="Times New Roman" w:hAnsi="Times New Roman" w:eastAsia="宋体" w:cs="Times New Roman"/>
                <w:color w:val="000000" w:themeColor="text1"/>
                <w:sz w:val="24"/>
                <w:lang w:val="en-US" w:eastAsia="zh-CN"/>
                <w14:textFill>
                  <w14:solidFill>
                    <w14:schemeClr w14:val="tx1"/>
                  </w14:solidFill>
                </w14:textFill>
              </w:rPr>
              <w:t>《凤翔区大气污染治理专项行动方案（2023—2027年）》、宝鸡市凤翔区大气污染治理专项行动领导小组办公室《关于开展锅炉大气污染专项治理工作的通知》《空气质量持续改善行动计划》</w:t>
            </w:r>
            <w:r>
              <w:rPr>
                <w:rFonts w:hint="eastAsia" w:ascii="Times New Roman" w:hAnsi="Times New Roman" w:eastAsia="宋体" w:cs="Times New Roman"/>
                <w:color w:val="000000" w:themeColor="text1"/>
                <w:sz w:val="24"/>
                <w:lang w:val="en-US" w:eastAsia="zh-CN"/>
                <w14:textFill>
                  <w14:solidFill>
                    <w14:schemeClr w14:val="tx1"/>
                  </w14:solidFill>
                </w14:textFill>
              </w:rPr>
              <w:t>《宝鸡市锅炉大气污染专项整治行动方案</w:t>
            </w:r>
            <w:r>
              <w:rPr>
                <w:rFonts w:hint="default" w:ascii="Times New Roman" w:hAnsi="Times New Roman" w:eastAsia="宋体" w:cs="Times New Roman"/>
                <w:color w:val="000000" w:themeColor="text1"/>
                <w:sz w:val="24"/>
                <w:lang w:val="en-US" w:eastAsia="zh-CN"/>
                <w14:textFill>
                  <w14:solidFill>
                    <w14:schemeClr w14:val="tx1"/>
                  </w14:solidFill>
                </w14:textFill>
              </w:rPr>
              <w:t>（2023</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2027年）</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等相关政策和环保政策</w:t>
            </w:r>
            <w:r>
              <w:rPr>
                <w:rFonts w:hint="eastAsia"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lang w:val="en-US" w:eastAsia="zh-CN"/>
                <w14:textFill>
                  <w14:solidFill>
                    <w14:schemeClr w14:val="tx1"/>
                  </w14:solidFill>
                </w14:textFill>
              </w:rPr>
              <w:t>符合性分析</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项目建设内容和污染防治措施与以上规划、相</w:t>
            </w:r>
            <w:r>
              <w:rPr>
                <w:rFonts w:hint="default" w:ascii="Times New Roman" w:hAnsi="Times New Roman" w:cs="Times New Roman"/>
                <w:color w:val="000000" w:themeColor="text1"/>
                <w:sz w:val="24"/>
                <w14:textFill>
                  <w14:solidFill>
                    <w14:schemeClr w14:val="tx1"/>
                  </w14:solidFill>
                </w14:textFill>
              </w:rPr>
              <w:t>关政策相符。</w:t>
            </w:r>
          </w:p>
          <w:p w14:paraId="75C434C2">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黑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3</w:t>
            </w:r>
            <w:r>
              <w:rPr>
                <w:rFonts w:hint="eastAsia" w:cs="Times New Roman"/>
                <w:b/>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项目选址合理性分析：</w:t>
            </w:r>
          </w:p>
          <w:p w14:paraId="686DE12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（1）本项目选址位于陕西省宝鸡市</w:t>
            </w:r>
            <w:r>
              <w:rPr>
                <w:rFonts w:hint="default" w:ascii="Times New Roman" w:hAnsi="Times New Roman" w:eastAsia="宋体" w:cs="Times New Roman"/>
                <w:bCs/>
                <w:color w:val="000000" w:themeColor="text1"/>
                <w:sz w:val="24"/>
                <w:lang w:val="en-US" w:eastAsia="zh-CN"/>
                <w14:textFill>
                  <w14:solidFill>
                    <w14:schemeClr w14:val="tx1"/>
                  </w14:solidFill>
                </w14:textFill>
              </w:rPr>
              <w:t>凤翔区陈村镇</w:t>
            </w:r>
            <w:r>
              <w:rPr>
                <w:rFonts w:hint="eastAsia" w:ascii="Times New Roman" w:hAnsi="Times New Roman" w:eastAsia="宋体" w:cs="Times New Roman"/>
                <w:bCs/>
                <w:color w:val="000000" w:themeColor="text1"/>
                <w:sz w:val="24"/>
                <w:lang w:val="en-US" w:eastAsia="zh-CN"/>
                <w14:textFill>
                  <w14:solidFill>
                    <w14:schemeClr w14:val="tx1"/>
                  </w14:solidFill>
                </w14:textFill>
              </w:rPr>
              <w:t>小海子村</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根据</w:t>
            </w:r>
            <w:r>
              <w:rPr>
                <w:rFonts w:hint="eastAsia" w:ascii="Times New Roman" w:hAnsi="Times New Roman" w:eastAsia="宋体" w:cs="Times New Roman"/>
                <w:bCs/>
                <w:color w:val="000000" w:themeColor="text1"/>
                <w:sz w:val="24"/>
                <w:lang w:val="en-US" w:eastAsia="zh-CN"/>
                <w14:textFill>
                  <w14:solidFill>
                    <w14:schemeClr w14:val="tx1"/>
                  </w14:solidFill>
                </w14:textFill>
              </w:rPr>
              <w:t>陈村镇人民政府出具的</w:t>
            </w:r>
            <w:r>
              <w:rPr>
                <w:rFonts w:hint="default" w:ascii="Times New Roman" w:hAnsi="Times New Roman" w:eastAsia="宋体" w:cs="Times New Roman"/>
                <w:bCs/>
                <w:color w:val="000000" w:themeColor="text1"/>
                <w:sz w:val="24"/>
                <w:lang w:val="en-US" w:eastAsia="zh-CN"/>
                <w14:textFill>
                  <w14:solidFill>
                    <w14:schemeClr w14:val="tx1"/>
                  </w14:solidFill>
                </w14:textFill>
              </w:rPr>
              <w:t>用地情况</w:t>
            </w:r>
            <w:r>
              <w:rPr>
                <w:rFonts w:hint="eastAsia" w:ascii="Times New Roman" w:hAnsi="Times New Roman" w:eastAsia="宋体" w:cs="Times New Roman"/>
                <w:bCs/>
                <w:color w:val="000000" w:themeColor="text1"/>
                <w:sz w:val="24"/>
                <w:lang w:val="en-US" w:eastAsia="zh-CN"/>
                <w14:textFill>
                  <w14:solidFill>
                    <w14:schemeClr w14:val="tx1"/>
                  </w14:solidFill>
                </w14:textFill>
              </w:rPr>
              <w:t>说明</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项目地用途为</w:t>
            </w:r>
            <w:r>
              <w:rPr>
                <w:rFonts w:hint="eastAsia" w:ascii="Times New Roman" w:hAnsi="Times New Roman" w:eastAsia="宋体" w:cs="Times New Roman"/>
                <w:bCs/>
                <w:color w:val="000000" w:themeColor="text1"/>
                <w:sz w:val="24"/>
                <w:lang w:val="en-US" w:eastAsia="zh-CN"/>
                <w14:textFill>
                  <w14:solidFill>
                    <w14:schemeClr w14:val="tx1"/>
                  </w14:solidFill>
                </w14:textFill>
              </w:rPr>
              <w:t>工业</w:t>
            </w:r>
            <w:r>
              <w:rPr>
                <w:rFonts w:hint="default" w:ascii="Times New Roman" w:hAnsi="Times New Roman" w:eastAsia="宋体" w:cs="Times New Roman"/>
                <w:bCs/>
                <w:color w:val="000000" w:themeColor="text1"/>
                <w:sz w:val="24"/>
                <w:lang w:val="en-US" w:eastAsia="zh-CN"/>
                <w14:textFill>
                  <w14:solidFill>
                    <w14:schemeClr w14:val="tx1"/>
                  </w14:solidFill>
                </w14:textFill>
              </w:rPr>
              <w:t>用地</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本项目只针对企业</w:t>
            </w:r>
            <w:r>
              <w:rPr>
                <w:rFonts w:hint="eastAsia" w:ascii="Times New Roman" w:hAnsi="Times New Roman" w:eastAsia="宋体" w:cs="Times New Roman"/>
                <w:bCs/>
                <w:color w:val="000000" w:themeColor="text1"/>
                <w:sz w:val="24"/>
                <w:lang w:val="en-US" w:eastAsia="zh-CN"/>
                <w14:textFill>
                  <w14:solidFill>
                    <w14:schemeClr w14:val="tx1"/>
                  </w14:solidFill>
                </w14:textFill>
              </w:rPr>
              <w:t>原有</w:t>
            </w:r>
            <w:r>
              <w:rPr>
                <w:rFonts w:hint="default" w:ascii="Times New Roman" w:hAnsi="Times New Roman" w:eastAsia="宋体" w:cs="Times New Roman"/>
                <w:bCs/>
                <w:color w:val="000000" w:themeColor="text1"/>
                <w:sz w:val="24"/>
                <w:lang w:val="en-US" w:eastAsia="zh-CN"/>
                <w14:textFill>
                  <w14:solidFill>
                    <w14:schemeClr w14:val="tx1"/>
                  </w14:solidFill>
                </w14:textFill>
              </w:rPr>
              <w:t>厂区内锅炉房的生物质锅炉进行改造，不新增土地。</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项目</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厂区东侧及西侧紧邻乡村道路，东侧隔乡村道路20米为小海子村村民，北侧距离35m为西府大道，南侧为小海子村村民，</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周边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路网</w:t>
            </w:r>
            <w:r>
              <w:rPr>
                <w:rFonts w:hint="default" w:ascii="Times New Roman" w:hAnsi="Times New Roman" w:eastAsia="宋体" w:cs="Times New Roman"/>
                <w:color w:val="000000" w:themeColor="text1"/>
                <w:sz w:val="24"/>
                <w:lang w:val="en-US" w:eastAsia="zh-CN"/>
                <w14:textFill>
                  <w14:solidFill>
                    <w14:schemeClr w14:val="tx1"/>
                  </w14:solidFill>
                </w14:textFill>
              </w:rPr>
              <w:t>完善</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交通便利，具体见附图。</w:t>
            </w:r>
          </w:p>
          <w:p w14:paraId="05188770">
            <w:pPr>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lang w:val="en-US" w:eastAsia="zh-CN"/>
                <w14:textFill>
                  <w14:solidFill>
                    <w14:schemeClr w14:val="tx1"/>
                  </w14:solidFill>
                </w14:textFill>
              </w:rPr>
              <w:t>项目锅炉产生的废气经</w:t>
            </w:r>
            <w:r>
              <w:rPr>
                <w:rFonts w:hint="eastAsia" w:ascii="Times New Roman" w:hAnsi="Times New Roman" w:eastAsia="宋体" w:cs="Times New Roman"/>
                <w:bCs/>
                <w:color w:val="000000" w:themeColor="text1"/>
                <w:sz w:val="24"/>
                <w:lang w:val="en-US" w:eastAsia="zh-CN"/>
                <w14:textFill>
                  <w14:solidFill>
                    <w14:schemeClr w14:val="tx1"/>
                  </w14:solidFill>
                </w14:textFill>
              </w:rPr>
              <w:t>SNCR高温脱硝设施（炉内脱硝）+高效袋式除尘器</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15m高</w:t>
            </w:r>
            <w:r>
              <w:rPr>
                <w:rFonts w:hint="default" w:ascii="Times New Roman" w:hAnsi="Times New Roman" w:eastAsia="宋体" w:cs="Times New Roman"/>
                <w:bCs/>
                <w:color w:val="000000" w:themeColor="text1"/>
                <w:sz w:val="24"/>
                <w:lang w:val="en-US" w:eastAsia="zh-CN"/>
                <w14:textFill>
                  <w14:solidFill>
                    <w14:schemeClr w14:val="tx1"/>
                  </w14:solidFill>
                </w14:textFill>
              </w:rPr>
              <w:t>排气筒（</w:t>
            </w:r>
            <w:r>
              <w:rPr>
                <w:rFonts w:hint="default" w:ascii="Times New Roman" w:hAnsi="Times New Roman" w:eastAsia="宋体" w:cs="Times New Roman"/>
                <w:color w:val="000000" w:themeColor="text1"/>
                <w:sz w:val="24"/>
                <w:lang w:val="en-US" w:eastAsia="zh-CN"/>
                <w14:textFill>
                  <w14:solidFill>
                    <w14:schemeClr w14:val="tx1"/>
                  </w14:solidFill>
                </w14:textFill>
              </w:rPr>
              <w:t>DA00</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lang w:val="en-US" w:eastAsia="zh-CN"/>
                <w14:textFill>
                  <w14:solidFill>
                    <w14:schemeClr w14:val="tx1"/>
                  </w14:solidFill>
                </w14:textFill>
              </w:rPr>
              <w:t>）高空排放；设备均设置在厂房内，厂房为钢结构</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项目四周为企业厂区，通过墙体隔声、距离衰减进行降噪后</w:t>
            </w:r>
            <w:r>
              <w:rPr>
                <w:rFonts w:hint="eastAsia" w:cs="Times New Roman"/>
                <w:bCs/>
                <w:color w:val="000000" w:themeColor="text1"/>
                <w:sz w:val="24"/>
                <w:lang w:val="en-US" w:eastAsia="zh-CN"/>
                <w14:textFill>
                  <w14:solidFill>
                    <w14:schemeClr w14:val="tx1"/>
                  </w14:solidFill>
                </w14:textFill>
              </w:rPr>
              <w:t>，厂</w:t>
            </w:r>
            <w:r>
              <w:rPr>
                <w:rFonts w:hint="default" w:ascii="Times New Roman" w:hAnsi="Times New Roman" w:eastAsia="宋体" w:cs="Times New Roman"/>
                <w:bCs/>
                <w:color w:val="000000" w:themeColor="text1"/>
                <w:sz w:val="24"/>
                <w:lang w:val="en-US" w:eastAsia="zh-CN"/>
                <w14:textFill>
                  <w14:solidFill>
                    <w14:schemeClr w14:val="tx1"/>
                  </w14:solidFill>
                </w14:textFill>
              </w:rPr>
              <w:t>界能够实现达标排放</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；运行期固废采取妥善处置，不会造成二次污染。</w:t>
            </w:r>
            <w:r>
              <w:rPr>
                <w:rFonts w:hint="default" w:ascii="Times New Roman" w:hAnsi="Times New Roman" w:cs="Times New Roman"/>
                <w:bCs/>
                <w:color w:val="000000" w:themeColor="text1"/>
                <w:sz w:val="24"/>
                <w:lang w:val="en-US" w:eastAsia="zh-CN"/>
                <w14:textFill>
                  <w14:solidFill>
                    <w14:schemeClr w14:val="tx1"/>
                  </w14:solidFill>
                </w14:textFill>
              </w:rPr>
              <w:t>对周边环境不会产生明显不利影响。</w:t>
            </w:r>
          </w:p>
          <w:p w14:paraId="1398277C">
            <w:pPr>
              <w:spacing w:line="360" w:lineRule="auto"/>
              <w:ind w:firstLine="480" w:firstLineChars="200"/>
              <w:rPr>
                <w:rFonts w:hint="eastAsia"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w:t>
            </w:r>
            <w:r>
              <w:rPr>
                <w:rFonts w:hint="default" w:ascii="Times New Roman" w:hAnsi="Times New Roman" w:cs="Times New Roman"/>
                <w:color w:val="000000" w:themeColor="text1"/>
                <w:sz w:val="24"/>
                <w:lang w:eastAsia="zh-CN"/>
                <w14:textFill>
                  <w14:solidFill>
                    <w14:schemeClr w14:val="tx1"/>
                  </w14:solidFill>
                </w14:textFill>
              </w:rPr>
              <w:t>从环境保护方面分析，</w:t>
            </w:r>
            <w:r>
              <w:rPr>
                <w:rFonts w:hint="default" w:ascii="Times New Roman" w:hAnsi="Times New Roman" w:cs="Times New Roman"/>
                <w:color w:val="000000" w:themeColor="text1"/>
                <w:sz w:val="24"/>
                <w14:textFill>
                  <w14:solidFill>
                    <w14:schemeClr w14:val="tx1"/>
                  </w14:solidFill>
                </w14:textFill>
              </w:rPr>
              <w:t>项目选址基本合理</w:t>
            </w:r>
            <w:r>
              <w:rPr>
                <w:rFonts w:hint="eastAsia" w:cs="Times New Roman"/>
                <w:color w:val="000000" w:themeColor="text1"/>
                <w:sz w:val="24"/>
                <w:lang w:eastAsia="zh-CN"/>
                <w14:textFill>
                  <w14:solidFill>
                    <w14:schemeClr w14:val="tx1"/>
                  </w14:solidFill>
                </w14:textFill>
              </w:rPr>
              <w:t>。</w:t>
            </w:r>
          </w:p>
          <w:p w14:paraId="6BFE30C5">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1B590EA5">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4E0F16BE">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1B8E443">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364AF565">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8198167">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00902F52">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573CA3E9">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6E47749">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6D2F3E6">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2CE57F78">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106BF115">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580CBCFC">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2F56DDC">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641175FF">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10E4F4EE">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381181E4">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4AA5AAD7">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3189B6D3">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FA230D3">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1E93A944">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AA0CD15">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7FB04A9A">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485A96C7">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40B83E43">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288BCF99">
            <w:pPr>
              <w:spacing w:line="360" w:lineRule="auto"/>
              <w:ind w:firstLine="480" w:firstLineChars="200"/>
              <w:rPr>
                <w:rFonts w:hint="eastAsia" w:cs="Times New Roman"/>
                <w:color w:val="000000" w:themeColor="text1"/>
                <w:sz w:val="24"/>
                <w:lang w:eastAsia="zh-CN"/>
                <w14:textFill>
                  <w14:solidFill>
                    <w14:schemeClr w14:val="tx1"/>
                  </w14:solidFill>
                </w14:textFill>
              </w:rPr>
            </w:pPr>
          </w:p>
          <w:p w14:paraId="4F84C16F">
            <w:pPr>
              <w:spacing w:line="36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p>
        </w:tc>
      </w:tr>
    </w:tbl>
    <w:p w14:paraId="25B4A0FC">
      <w:pPr>
        <w:spacing w:line="360" w:lineRule="auto"/>
        <w:outlineLvl w:val="0"/>
        <w:rPr>
          <w:rFonts w:hint="default" w:ascii="Times New Roman" w:hAnsi="Times New Roman" w:eastAsia="黑体" w:cs="Times New Roman"/>
          <w:color w:val="000000" w:themeColor="text1"/>
          <w:sz w:val="30"/>
          <w14:textFill>
            <w14:solidFill>
              <w14:schemeClr w14:val="tx1"/>
            </w14:solidFill>
          </w14:textFill>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905057A">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二、建设项目工程分析</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14:paraId="384DF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noWrap w:val="0"/>
            <w:vAlign w:val="center"/>
          </w:tcPr>
          <w:p w14:paraId="3225D383">
            <w:pPr>
              <w:pStyle w:val="26"/>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建设内容</w:t>
            </w:r>
          </w:p>
        </w:tc>
        <w:tc>
          <w:tcPr>
            <w:tcW w:w="8512" w:type="dxa"/>
            <w:noWrap w:val="0"/>
            <w:vAlign w:val="top"/>
          </w:tcPr>
          <w:p w14:paraId="2DB9E88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项目由来</w:t>
            </w:r>
          </w:p>
          <w:p w14:paraId="103CD4DD">
            <w:pPr>
              <w:keepNext w:val="0"/>
              <w:keepLines w:val="0"/>
              <w:pageBreakBefore w:val="0"/>
              <w:kinsoku/>
              <w:wordWrap w:val="0"/>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陕西万凤酒业有限公司</w:t>
            </w:r>
            <w:r>
              <w:rPr>
                <w:rFonts w:hint="default" w:ascii="Times New Roman" w:hAnsi="Times New Roman" w:cs="Times New Roman"/>
                <w:color w:val="000000" w:themeColor="text1"/>
                <w:sz w:val="24"/>
                <w:lang w:val="en-US" w:eastAsia="zh-CN"/>
                <w14:textFill>
                  <w14:solidFill>
                    <w14:schemeClr w14:val="tx1"/>
                  </w14:solidFill>
                </w14:textFill>
              </w:rPr>
              <w:t>主要进行白酒生产，于20</w:t>
            </w:r>
            <w:r>
              <w:rPr>
                <w:rFonts w:hint="eastAsia"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lang w:val="en-US" w:eastAsia="zh-CN"/>
                <w14:textFill>
                  <w14:solidFill>
                    <w14:schemeClr w14:val="tx1"/>
                  </w14:solidFill>
                </w14:textFill>
              </w:rPr>
              <w:t>年1</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月对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凤香型白酒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生产线技改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进行环境影响评价，20</w:t>
            </w:r>
            <w:r>
              <w:rPr>
                <w:rFonts w:hint="eastAsia"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lang w:val="en-US" w:eastAsia="zh-CN"/>
                <w14:textFill>
                  <w14:solidFill>
                    <w14:schemeClr w14:val="tx1"/>
                  </w14:solidFill>
                </w14:textFill>
              </w:rPr>
              <w:t>月</w:t>
            </w:r>
            <w:r>
              <w:rPr>
                <w:rFonts w:hint="eastAsia" w:ascii="Times New Roman" w:hAnsi="Times New Roman" w:cs="Times New Roman"/>
                <w:color w:val="000000" w:themeColor="text1"/>
                <w:sz w:val="24"/>
                <w:lang w:val="en-US" w:eastAsia="zh-CN"/>
                <w14:textFill>
                  <w14:solidFill>
                    <w14:schemeClr w14:val="tx1"/>
                  </w14:solidFill>
                </w14:textFill>
              </w:rPr>
              <w:t>28</w:t>
            </w:r>
            <w:r>
              <w:rPr>
                <w:rFonts w:hint="default" w:ascii="Times New Roman" w:hAnsi="Times New Roman" w:cs="Times New Roman"/>
                <w:color w:val="000000" w:themeColor="text1"/>
                <w:sz w:val="24"/>
                <w:lang w:val="en-US" w:eastAsia="zh-CN"/>
                <w14:textFill>
                  <w14:solidFill>
                    <w14:schemeClr w14:val="tx1"/>
                  </w14:solidFill>
                </w14:textFill>
              </w:rPr>
              <w:t>日取得</w:t>
            </w:r>
            <w:r>
              <w:rPr>
                <w:rFonts w:hint="eastAsia" w:ascii="Times New Roman" w:hAnsi="Times New Roman" w:cs="Times New Roman"/>
                <w:color w:val="000000" w:themeColor="text1"/>
                <w:sz w:val="24"/>
                <w:lang w:val="en-US" w:eastAsia="zh-CN"/>
                <w14:textFill>
                  <w14:solidFill>
                    <w14:schemeClr w14:val="tx1"/>
                  </w14:solidFill>
                </w14:textFill>
              </w:rPr>
              <w:t>原宝鸡市环境保护局关于</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陕西万凤酒业有限公司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凤香型白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酒生产线技改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环境影响报告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书</w:t>
            </w:r>
            <w:r>
              <w:rPr>
                <w:rFonts w:hint="default" w:ascii="Times New Roman" w:hAnsi="Times New Roman" w:eastAsia="宋体" w:cs="Times New Roman"/>
                <w:color w:val="000000" w:themeColor="text1"/>
                <w:sz w:val="24"/>
                <w:szCs w:val="24"/>
                <w14:textFill>
                  <w14:solidFill>
                    <w14:schemeClr w14:val="tx1"/>
                  </w14:solidFill>
                </w14:textFill>
              </w:rPr>
              <w:t>的批复》（</w:t>
            </w:r>
            <w:r>
              <w:rPr>
                <w:rFonts w:hint="default" w:ascii="Times New Roman" w:hAnsi="Times New Roman" w:eastAsia="宋体" w:cs="Times New Roman"/>
                <w:color w:val="000000" w:themeColor="text1"/>
                <w:sz w:val="24"/>
                <w:szCs w:val="24"/>
                <w:lang w:eastAsia="zh-CN"/>
                <w14:textFill>
                  <w14:solidFill>
                    <w14:schemeClr w14:val="tx1"/>
                  </w14:solidFill>
                </w14:textFill>
              </w:rPr>
              <w:t>宝</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市环</w:t>
            </w:r>
            <w:r>
              <w:rPr>
                <w:rFonts w:hint="default" w:ascii="Times New Roman" w:hAnsi="Times New Roman" w:eastAsia="宋体" w:cs="Times New Roman"/>
                <w:color w:val="000000" w:themeColor="text1"/>
                <w:sz w:val="24"/>
                <w:szCs w:val="24"/>
                <w:lang w:eastAsia="zh-CN"/>
                <w14:textFill>
                  <w14:solidFill>
                    <w14:schemeClr w14:val="tx1"/>
                  </w14:solidFill>
                </w14:textFill>
              </w:rPr>
              <w:t>函</w:t>
            </w:r>
            <w:r>
              <w:rPr>
                <w:rFonts w:hint="eastAsia" w:ascii="Times New Roman" w:hAnsi="Times New Roman" w:eastAsia="宋体" w:cs="Times New Roman"/>
                <w:color w:val="000000" w:themeColor="text1"/>
                <w:sz w:val="24"/>
                <w:szCs w:val="24"/>
                <w:lang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471</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对该项目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进行竣工环境保护验收。</w:t>
            </w:r>
          </w:p>
          <w:p w14:paraId="6E5F7B65">
            <w:pPr>
              <w:keepNext w:val="0"/>
              <w:keepLines w:val="0"/>
              <w:pageBreakBefore w:val="0"/>
              <w:kinsoku/>
              <w:wordWrap w:val="0"/>
              <w:overflowPunct/>
              <w:topLinePunct w:val="0"/>
              <w:autoSpaceDE/>
              <w:autoSpaceDN/>
              <w:bidi w:val="0"/>
              <w:spacing w:beforeAutospacing="0" w:afterAutospacing="0" w:line="360" w:lineRule="auto"/>
              <w:ind w:firstLine="480" w:firstLineChars="200"/>
              <w:textAlignment w:val="auto"/>
              <w:rPr>
                <w:rFonts w:hint="eastAsia" w:cs="Times New Roman"/>
                <w:color w:val="000000" w:themeColor="text1"/>
                <w:kern w:val="2"/>
                <w:sz w:val="24"/>
                <w:szCs w:val="32"/>
                <w:highlight w:val="none"/>
                <w:lang w:val="en-US" w:eastAsia="zh-CN" w:bidi="ar-SA"/>
                <w14:textFill>
                  <w14:solidFill>
                    <w14:schemeClr w14:val="tx1"/>
                  </w14:solidFill>
                </w14:textFill>
              </w:rPr>
            </w:pPr>
            <w:r>
              <w:rPr>
                <w:rFonts w:hint="eastAsia" w:cs="Times New Roman"/>
                <w:color w:val="000000" w:themeColor="text1"/>
                <w:kern w:val="2"/>
                <w:sz w:val="24"/>
                <w:szCs w:val="32"/>
                <w:highlight w:val="none"/>
                <w:lang w:val="en-US" w:eastAsia="zh-CN" w:bidi="ar-SA"/>
                <w14:textFill>
                  <w14:solidFill>
                    <w14:schemeClr w14:val="tx1"/>
                  </w14:solidFill>
                </w14:textFill>
              </w:rPr>
              <w:t>该项目运营过程中，使用1t/h生物质锅炉为制酒工序提供热源。根据《产业结构调整指导目录（2024年本）》及宝鸡市凤翔区大气污染治理专项行动领导小组办公室《关于开展锅炉大气污染专项治理工作的通知》要求“从2024年2月1日起淘汰每小时2蒸吨及以下生物质锅炉”，因此，本项目需对原有1t/h生物质锅炉进行淘汰，并安装2.5t/h专用生物质锅炉，一方面响应国家政策，另一方面为企业后续扩建提供热源。</w:t>
            </w:r>
          </w:p>
          <w:p w14:paraId="4E46B4A9">
            <w:pPr>
              <w:keepNext w:val="0"/>
              <w:keepLines w:val="0"/>
              <w:pageBreakBefore w:val="0"/>
              <w:kinsoku/>
              <w:wordWrap w:val="0"/>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现</w:t>
            </w:r>
            <w:r>
              <w:rPr>
                <w:rFonts w:hint="eastAsia" w:ascii="Times New Roman" w:hAnsi="Times New Roman" w:eastAsia="宋体" w:cs="Times New Roman"/>
                <w:color w:val="000000" w:themeColor="text1"/>
                <w:sz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lang w:val="en-US" w:eastAsia="zh-CN"/>
                <w14:textFill>
                  <w14:solidFill>
                    <w14:schemeClr w14:val="tx1"/>
                  </w14:solidFill>
                </w14:textFill>
              </w:rPr>
              <w:t>响应政策，</w:t>
            </w:r>
            <w:r>
              <w:rPr>
                <w:rFonts w:hint="eastAsia" w:cs="Times New Roman"/>
                <w:color w:val="000000" w:themeColor="text1"/>
                <w:sz w:val="24"/>
                <w:lang w:val="en-US" w:eastAsia="zh-CN"/>
                <w14:textFill>
                  <w14:solidFill>
                    <w14:schemeClr w14:val="tx1"/>
                  </w14:solidFill>
                </w14:textFill>
              </w:rPr>
              <w:t>投资25万</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拆除原有燃生物质锅炉，</w:t>
            </w:r>
            <w:r>
              <w:rPr>
                <w:rFonts w:hint="default" w:ascii="Times New Roman" w:hAnsi="Times New Roman" w:cs="Times New Roman"/>
                <w:color w:val="000000" w:themeColor="text1"/>
                <w:sz w:val="24"/>
                <w:lang w:val="en-US" w:eastAsia="zh-CN"/>
                <w14:textFill>
                  <w14:solidFill>
                    <w14:schemeClr w14:val="tx1"/>
                  </w14:solidFill>
                </w14:textFill>
              </w:rPr>
              <w:t>利用厂区内</w:t>
            </w:r>
            <w:r>
              <w:rPr>
                <w:rFonts w:hint="eastAsia" w:ascii="Times New Roman" w:hAnsi="Times New Roman" w:cs="Times New Roman"/>
                <w:color w:val="000000" w:themeColor="text1"/>
                <w:sz w:val="24"/>
                <w:lang w:val="en-US" w:eastAsia="zh-CN"/>
                <w14:textFill>
                  <w14:solidFill>
                    <w14:schemeClr w14:val="tx1"/>
                  </w14:solidFill>
                </w14:textFill>
              </w:rPr>
              <w:t>原有</w:t>
            </w:r>
            <w:r>
              <w:rPr>
                <w:rFonts w:hint="default" w:ascii="Times New Roman" w:hAnsi="Times New Roman" w:cs="Times New Roman"/>
                <w:color w:val="000000" w:themeColor="text1"/>
                <w:sz w:val="24"/>
                <w:lang w:val="en-US" w:eastAsia="zh-CN"/>
                <w14:textFill>
                  <w14:solidFill>
                    <w14:schemeClr w14:val="tx1"/>
                  </w14:solidFill>
                </w14:textFill>
              </w:rPr>
              <w:t>锅炉房建设</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生物质锅炉改造项目</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更换原有生物质锅炉为生物质蒸汽发生器，</w:t>
            </w:r>
            <w:r>
              <w:rPr>
                <w:rFonts w:hint="default" w:ascii="Times New Roman" w:hAnsi="Times New Roman" w:cs="Times New Roman"/>
                <w:color w:val="000000" w:themeColor="text1"/>
                <w:sz w:val="24"/>
                <w:lang w:val="en-US" w:eastAsia="zh-CN"/>
                <w14:textFill>
                  <w14:solidFill>
                    <w14:schemeClr w14:val="tx1"/>
                  </w14:solidFill>
                </w14:textFill>
              </w:rPr>
              <w:t>并配套环保设施。</w:t>
            </w:r>
          </w:p>
          <w:p w14:paraId="748B4EEF">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根据《中华人民共和国环境影响评价法</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建设项目环境保护管理条例》</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对照《建设项目环境影响评价分类管理目录（2021年版）》</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部令第16号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及</w:t>
            </w:r>
            <w:r>
              <w:rPr>
                <w:rFonts w:hint="eastAsia" w:ascii="Times New Roman" w:hAnsi="Times New Roman" w:eastAsia="宋体" w:cs="Times New Roman"/>
                <w:color w:val="000000" w:themeColor="text1"/>
                <w:sz w:val="24"/>
                <w:lang w:val="en-US" w:eastAsia="zh-CN"/>
                <w14:textFill>
                  <w14:solidFill>
                    <w14:schemeClr w14:val="tx1"/>
                  </w14:solidFill>
                </w14:textFill>
              </w:rPr>
              <w:t>常见问题解答，P16生物质锅炉供热类项目，仅使用生物质成型燃料或非成型燃料的，根据名录“91热力生产和供应工程（包括建设单位自建自用的供热工程）”相关规定，编制环境影响报告表，</w:t>
            </w:r>
            <w:r>
              <w:rPr>
                <w:rFonts w:hint="default" w:ascii="Times New Roman" w:hAnsi="Times New Roman" w:eastAsia="宋体" w:cs="Times New Roman"/>
                <w:color w:val="000000" w:themeColor="text1"/>
                <w:sz w:val="24"/>
                <w:lang w:eastAsia="zh-CN"/>
                <w14:textFill>
                  <w14:solidFill>
                    <w14:schemeClr w14:val="tx1"/>
                  </w14:solidFill>
                </w14:textFill>
              </w:rPr>
              <w:t>故</w:t>
            </w:r>
            <w:r>
              <w:rPr>
                <w:rFonts w:hint="default" w:ascii="Times New Roman" w:hAnsi="Times New Roman" w:eastAsia="宋体" w:cs="Times New Roman"/>
                <w:color w:val="000000" w:themeColor="text1"/>
                <w:sz w:val="24"/>
                <w14:textFill>
                  <w14:solidFill>
                    <w14:schemeClr w14:val="tx1"/>
                  </w14:solidFill>
                </w14:textFill>
              </w:rPr>
              <w:t>该项目需编制环境影响报告表。</w:t>
            </w:r>
          </w:p>
          <w:p w14:paraId="0F441C46">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表2-1  项目类别划分</w:t>
            </w:r>
            <w:r>
              <w:rPr>
                <w:rFonts w:hint="eastAsia" w:cs="Times New Roman"/>
                <w:b/>
                <w:bCs/>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b/>
                <w:bCs/>
                <w:color w:val="000000" w:themeColor="text1"/>
                <w:sz w:val="21"/>
                <w:szCs w:val="21"/>
                <w14:textFill>
                  <w14:solidFill>
                    <w14:schemeClr w14:val="tx1"/>
                  </w14:solidFill>
                </w14:textFill>
              </w:rPr>
              <w:t>判定依据</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1685"/>
              <w:gridCol w:w="3541"/>
              <w:gridCol w:w="1089"/>
            </w:tblGrid>
            <w:tr w14:paraId="031E1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noWrap w:val="0"/>
                  <w:vAlign w:val="center"/>
                </w:tcPr>
                <w:p w14:paraId="6C6F52CC">
                  <w:pPr>
                    <w:adjustRightInd w:val="0"/>
                    <w:snapToGrid w:val="0"/>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项目类别</w:t>
                  </w:r>
                  <w:r>
                    <w:rPr>
                      <w:rFonts w:hint="eastAsia" w:cs="Times New Roman"/>
                      <w:b/>
                      <w:color w:val="000000" w:themeColor="text1"/>
                      <w:szCs w:val="21"/>
                      <w:lang w:val="en-US" w:eastAsia="zh-CN"/>
                      <w14:textFill>
                        <w14:solidFill>
                          <w14:schemeClr w14:val="tx1"/>
                        </w14:solidFill>
                      </w14:textFill>
                    </w:rPr>
                    <w:t>的判断</w:t>
                  </w:r>
                  <w:r>
                    <w:rPr>
                      <w:rFonts w:hint="default" w:ascii="Times New Roman" w:hAnsi="Times New Roman" w:eastAsia="宋体" w:cs="Times New Roman"/>
                      <w:b/>
                      <w:color w:val="000000" w:themeColor="text1"/>
                      <w:szCs w:val="21"/>
                      <w14:textFill>
                        <w14:solidFill>
                          <w14:schemeClr w14:val="tx1"/>
                        </w14:solidFill>
                      </w14:textFill>
                    </w:rPr>
                    <w:t>依据</w:t>
                  </w:r>
                </w:p>
              </w:tc>
              <w:tc>
                <w:tcPr>
                  <w:tcW w:w="1685" w:type="dxa"/>
                  <w:noWrap w:val="0"/>
                  <w:vAlign w:val="center"/>
                </w:tcPr>
                <w:p w14:paraId="075E2513">
                  <w:pPr>
                    <w:adjustRightInd w:val="0"/>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报告书</w:t>
                  </w:r>
                </w:p>
              </w:tc>
              <w:tc>
                <w:tcPr>
                  <w:tcW w:w="3541" w:type="dxa"/>
                  <w:noWrap w:val="0"/>
                  <w:vAlign w:val="center"/>
                </w:tcPr>
                <w:p w14:paraId="3B70AF04">
                  <w:pPr>
                    <w:adjustRightInd w:val="0"/>
                    <w:snapToGrid w:val="0"/>
                    <w:jc w:val="center"/>
                    <w:rPr>
                      <w:rFonts w:hint="default" w:ascii="Times New Roman" w:hAnsi="Times New Roman" w:eastAsia="宋体" w:cs="Times New Roman"/>
                      <w:b/>
                      <w:bCs w:val="0"/>
                      <w:color w:val="000000" w:themeColor="text1"/>
                      <w:szCs w:val="21"/>
                      <w:lang w:eastAsia="zh-CN"/>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报告表</w:t>
                  </w:r>
                  <w:r>
                    <w:rPr>
                      <w:rFonts w:hint="default" w:ascii="Times New Roman" w:hAnsi="Times New Roman" w:eastAsia="宋体" w:cs="Times New Roman"/>
                      <w:b/>
                      <w:bCs w:val="0"/>
                      <w:color w:val="000000" w:themeColor="text1"/>
                      <w:szCs w:val="21"/>
                      <w:lang w:eastAsia="zh-CN"/>
                      <w14:textFill>
                        <w14:solidFill>
                          <w14:schemeClr w14:val="tx1"/>
                        </w14:solidFill>
                      </w14:textFill>
                    </w:rPr>
                    <w:t>（</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b/>
                      <w:bCs w:val="0"/>
                      <w:color w:val="000000" w:themeColor="text1"/>
                      <w:szCs w:val="21"/>
                      <w:lang w:eastAsia="zh-CN"/>
                      <w14:textFill>
                        <w14:solidFill>
                          <w14:schemeClr w14:val="tx1"/>
                        </w14:solidFill>
                      </w14:textFill>
                    </w:rPr>
                    <w:t>）</w:t>
                  </w:r>
                </w:p>
              </w:tc>
              <w:tc>
                <w:tcPr>
                  <w:tcW w:w="1089" w:type="dxa"/>
                  <w:noWrap w:val="0"/>
                  <w:vAlign w:val="center"/>
                </w:tcPr>
                <w:p w14:paraId="7DBB062F">
                  <w:pPr>
                    <w:adjustRightInd w:val="0"/>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登记表</w:t>
                  </w:r>
                </w:p>
              </w:tc>
            </w:tr>
            <w:tr w14:paraId="2413C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noWrap w:val="0"/>
                  <w:vAlign w:val="center"/>
                </w:tcPr>
                <w:p w14:paraId="208655A1">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91.热力生产和供应工程（包括建设单位自建自用的供热工程）</w:t>
                  </w:r>
                </w:p>
              </w:tc>
              <w:tc>
                <w:tcPr>
                  <w:tcW w:w="1685" w:type="dxa"/>
                  <w:noWrap w:val="0"/>
                  <w:vAlign w:val="center"/>
                </w:tcPr>
                <w:p w14:paraId="2E53CF95">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燃煤、燃油锅炉总容量65t/h（45.5兆瓦）以上的</w:t>
                  </w:r>
                </w:p>
              </w:tc>
              <w:tc>
                <w:tcPr>
                  <w:tcW w:w="3541" w:type="dxa"/>
                  <w:noWrap w:val="0"/>
                  <w:vAlign w:val="center"/>
                </w:tcPr>
                <w:p w14:paraId="38647436">
                  <w:pPr>
                    <w:adjustRightInd w:val="0"/>
                    <w:snapToGrid w:val="0"/>
                    <w:jc w:val="center"/>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燃煤、燃油锅炉总容量65t/h（45.5兆瓦）及以下的；天然气锅炉总容量1t/h（0.7兆瓦）以上的；使用其他高污染燃料的（高污染燃料指国环规大气〔2017〕2号《高污染燃料目录》中规定的燃料）</w:t>
                  </w:r>
                </w:p>
              </w:tc>
              <w:tc>
                <w:tcPr>
                  <w:tcW w:w="1089" w:type="dxa"/>
                  <w:noWrap w:val="0"/>
                  <w:vAlign w:val="center"/>
                </w:tcPr>
                <w:p w14:paraId="2EBD4AD8">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r>
          </w:tbl>
          <w:p w14:paraId="563B765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项目概况</w:t>
            </w:r>
          </w:p>
          <w:p w14:paraId="1644FC99">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项目名称：</w:t>
            </w:r>
            <w:r>
              <w:rPr>
                <w:rFonts w:hint="eastAsia" w:ascii="Times New Roman" w:hAnsi="Times New Roman" w:cs="Times New Roman"/>
                <w:color w:val="000000" w:themeColor="text1"/>
                <w:sz w:val="24"/>
                <w:lang w:eastAsia="zh-CN"/>
                <w14:textFill>
                  <w14:solidFill>
                    <w14:schemeClr w14:val="tx1"/>
                  </w14:solidFill>
                </w14:textFill>
              </w:rPr>
              <w:t>生物质锅炉改造项目</w:t>
            </w:r>
          </w:p>
          <w:p w14:paraId="21B14B91">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建设单位：</w:t>
            </w:r>
            <w:r>
              <w:rPr>
                <w:rFonts w:hint="eastAsia" w:ascii="Times New Roman" w:hAnsi="Times New Roman" w:cs="Times New Roman"/>
                <w:color w:val="000000" w:themeColor="text1"/>
                <w:sz w:val="24"/>
                <w:lang w:eastAsia="zh-CN"/>
                <w14:textFill>
                  <w14:solidFill>
                    <w14:schemeClr w14:val="tx1"/>
                  </w14:solidFill>
                </w14:textFill>
              </w:rPr>
              <w:t>陕西万凤酒业有限公司</w:t>
            </w:r>
          </w:p>
          <w:p w14:paraId="39A68A9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r>
              <w:rPr>
                <w:rFonts w:hint="default" w:ascii="Times New Roman" w:hAnsi="Times New Roman" w:cs="Times New Roman"/>
                <w:color w:val="000000" w:themeColor="text1"/>
                <w:sz w:val="24"/>
                <w:lang w:val="en-US" w:eastAsia="zh-CN"/>
                <w14:textFill>
                  <w14:solidFill>
                    <w14:schemeClr w14:val="tx1"/>
                  </w14:solidFill>
                </w14:textFill>
              </w:rPr>
              <w:t>改</w:t>
            </w:r>
            <w:r>
              <w:rPr>
                <w:rFonts w:hint="default" w:ascii="Times New Roman" w:hAnsi="Times New Roman" w:cs="Times New Roman"/>
                <w:color w:val="000000" w:themeColor="text1"/>
                <w:sz w:val="24"/>
                <w:lang w:eastAsia="zh-CN"/>
                <w14:textFill>
                  <w14:solidFill>
                    <w14:schemeClr w14:val="tx1"/>
                  </w14:solidFill>
                </w14:textFill>
              </w:rPr>
              <w:t>建</w:t>
            </w:r>
          </w:p>
          <w:p w14:paraId="2AAF7E2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建设地点：本项目位</w:t>
            </w:r>
            <w:r>
              <w:rPr>
                <w:rFonts w:hint="default" w:ascii="Times New Roman" w:hAnsi="Times New Roman" w:eastAsia="宋体" w:cs="Times New Roman"/>
                <w:color w:val="000000" w:themeColor="text1"/>
                <w:sz w:val="24"/>
                <w14:textFill>
                  <w14:solidFill>
                    <w14:schemeClr w14:val="tx1"/>
                  </w14:solidFill>
                </w14:textFill>
              </w:rPr>
              <w:t>于</w:t>
            </w:r>
            <w:r>
              <w:rPr>
                <w:rFonts w:hint="default" w:ascii="Times New Roman" w:hAnsi="Times New Roman" w:eastAsia="宋体" w:cs="Times New Roman"/>
                <w:color w:val="000000" w:themeColor="text1"/>
                <w:sz w:val="24"/>
                <w:lang w:val="en-US" w:eastAsia="zh-CN"/>
                <w14:textFill>
                  <w14:solidFill>
                    <w14:schemeClr w14:val="tx1"/>
                  </w14:solidFill>
                </w14:textFill>
              </w:rPr>
              <w:t>宝鸡市凤翔区陈村镇</w:t>
            </w:r>
            <w:r>
              <w:rPr>
                <w:rFonts w:hint="eastAsia" w:ascii="Times New Roman" w:hAnsi="Times New Roman" w:eastAsia="宋体" w:cs="Times New Roman"/>
                <w:color w:val="000000" w:themeColor="text1"/>
                <w:sz w:val="24"/>
                <w:lang w:val="en-US" w:eastAsia="zh-CN"/>
                <w14:textFill>
                  <w14:solidFill>
                    <w14:schemeClr w14:val="tx1"/>
                  </w14:solidFill>
                </w14:textFill>
              </w:rPr>
              <w:t>小海子村</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项目中心地理坐标为</w:t>
            </w:r>
            <w:r>
              <w:rPr>
                <w:rFonts w:hint="default" w:ascii="Times New Roman" w:hAnsi="Times New Roman" w:cs="Times New Roman"/>
                <w:color w:val="000000" w:themeColor="text1"/>
                <w:sz w:val="24"/>
                <w:lang w:eastAsia="zh-CN"/>
                <w14:textFill>
                  <w14:solidFill>
                    <w14:schemeClr w14:val="tx1"/>
                  </w14:solidFill>
                </w14:textFill>
              </w:rPr>
              <w:t>东经107°15′</w:t>
            </w:r>
            <w:r>
              <w:rPr>
                <w:rFonts w:hint="eastAsia" w:ascii="Times New Roman" w:hAnsi="Times New Roman" w:cs="Times New Roman"/>
                <w:color w:val="000000" w:themeColor="text1"/>
                <w:sz w:val="24"/>
                <w:lang w:eastAsia="zh-CN"/>
                <w14:textFill>
                  <w14:solidFill>
                    <w14:schemeClr w14:val="tx1"/>
                  </w14:solidFill>
                </w14:textFill>
              </w:rPr>
              <w:t>47.372</w:t>
            </w:r>
            <w:r>
              <w:rPr>
                <w:rFonts w:hint="default" w:ascii="Times New Roman" w:hAnsi="Times New Roman" w:cs="Times New Roman"/>
                <w:color w:val="000000" w:themeColor="text1"/>
                <w:sz w:val="24"/>
                <w:lang w:eastAsia="zh-CN"/>
                <w14:textFill>
                  <w14:solidFill>
                    <w14:schemeClr w14:val="tx1"/>
                  </w14:solidFill>
                </w14:textFill>
              </w:rPr>
              <w:t>″，北纬34°2</w:t>
            </w:r>
            <w:r>
              <w:rPr>
                <w:rFonts w:hint="eastAsia"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24.319</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具体建设地理位置如附图1所示。</w:t>
            </w:r>
          </w:p>
          <w:p w14:paraId="0EC572A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建设工程内容及规模</w:t>
            </w:r>
          </w:p>
          <w:p w14:paraId="0571B6F1">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本项目主要对厂区锅炉房内</w:t>
            </w:r>
            <w:r>
              <w:rPr>
                <w:rFonts w:hint="default" w:ascii="Times New Roman" w:hAnsi="Times New Roman" w:eastAsia="宋体" w:cs="Times New Roman"/>
                <w:color w:val="000000" w:themeColor="text1"/>
                <w:sz w:val="24"/>
                <w:lang w:val="en-US" w:eastAsia="zh-CN"/>
                <w14:textFill>
                  <w14:solidFill>
                    <w14:schemeClr w14:val="tx1"/>
                  </w14:solidFill>
                </w14:textFill>
              </w:rPr>
              <w:t>1台</w:t>
            </w:r>
            <w:r>
              <w:rPr>
                <w:rFonts w:hint="eastAsia" w:ascii="Times New Roman" w:hAnsi="Times New Roman" w:eastAsia="宋体" w:cs="Times New Roman"/>
                <w:color w:val="000000" w:themeColor="text1"/>
                <w:sz w:val="24"/>
                <w:lang w:val="en-US" w:eastAsia="zh-CN"/>
                <w14:textFill>
                  <w14:solidFill>
                    <w14:schemeClr w14:val="tx1"/>
                  </w14:solidFill>
                </w14:textFill>
              </w:rPr>
              <w:t>额定蒸发量为</w:t>
            </w:r>
            <w:r>
              <w:rPr>
                <w:rFonts w:hint="default" w:ascii="Times New Roman" w:hAnsi="Times New Roman" w:eastAsia="宋体" w:cs="Times New Roman"/>
                <w:color w:val="000000" w:themeColor="text1"/>
                <w:sz w:val="24"/>
                <w:lang w:val="en-US" w:eastAsia="zh-CN"/>
                <w14:textFill>
                  <w14:solidFill>
                    <w14:schemeClr w14:val="tx1"/>
                  </w14:solidFill>
                </w14:textFill>
              </w:rPr>
              <w:t>1t/h</w:t>
            </w:r>
            <w:r>
              <w:rPr>
                <w:rFonts w:hint="eastAsia" w:ascii="Times New Roman" w:hAnsi="Times New Roman" w:eastAsia="宋体"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lang w:val="en-US" w:eastAsia="zh-CN"/>
                <w14:textFill>
                  <w14:solidFill>
                    <w14:schemeClr w14:val="tx1"/>
                  </w14:solidFill>
                </w14:textFill>
              </w:rPr>
              <w:t>生物质</w:t>
            </w:r>
            <w:r>
              <w:rPr>
                <w:rFonts w:hint="eastAsia" w:ascii="Times New Roman" w:hAnsi="Times New Roman" w:eastAsia="宋体" w:cs="Times New Roman"/>
                <w:color w:val="000000" w:themeColor="text1"/>
                <w:sz w:val="24"/>
                <w:lang w:val="en-US" w:eastAsia="zh-CN"/>
                <w14:textFill>
                  <w14:solidFill>
                    <w14:schemeClr w14:val="tx1"/>
                  </w14:solidFill>
                </w14:textFill>
              </w:rPr>
              <w:t>锅炉</w:t>
            </w:r>
            <w:r>
              <w:rPr>
                <w:rFonts w:hint="default" w:ascii="Times New Roman" w:hAnsi="Times New Roman" w:eastAsia="宋体" w:cs="Times New Roman"/>
                <w:color w:val="000000" w:themeColor="text1"/>
                <w:sz w:val="24"/>
                <w:lang w:val="en-US" w:eastAsia="zh-CN"/>
                <w14:textFill>
                  <w14:solidFill>
                    <w14:schemeClr w14:val="tx1"/>
                  </w14:solidFill>
                </w14:textFill>
              </w:rPr>
              <w:t>进行淘汰拆除，外购安装一台</w:t>
            </w:r>
            <w:r>
              <w:rPr>
                <w:rFonts w:hint="eastAsia" w:ascii="Times New Roman" w:hAnsi="Times New Roman" w:eastAsia="宋体" w:cs="Times New Roman"/>
                <w:color w:val="000000" w:themeColor="text1"/>
                <w:sz w:val="24"/>
                <w:lang w:val="en-US" w:eastAsia="zh-CN"/>
                <w14:textFill>
                  <w14:solidFill>
                    <w14:schemeClr w14:val="tx1"/>
                  </w14:solidFill>
                </w14:textFill>
              </w:rPr>
              <w:t>额定蒸发量</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t/h的生物质</w:t>
            </w:r>
            <w:r>
              <w:rPr>
                <w:rFonts w:hint="eastAsia" w:ascii="Times New Roman" w:hAnsi="Times New Roman" w:eastAsia="宋体" w:cs="Times New Roman"/>
                <w:color w:val="000000" w:themeColor="text1"/>
                <w:sz w:val="24"/>
                <w:lang w:val="en-US" w:eastAsia="zh-CN"/>
                <w14:textFill>
                  <w14:solidFill>
                    <w14:schemeClr w14:val="tx1"/>
                  </w14:solidFill>
                </w14:textFill>
              </w:rPr>
              <w:t>锅炉</w:t>
            </w:r>
            <w:r>
              <w:rPr>
                <w:rFonts w:hint="default" w:ascii="Times New Roman" w:hAnsi="Times New Roman" w:cs="Times New Roman"/>
                <w:color w:val="000000" w:themeColor="text1"/>
                <w:sz w:val="24"/>
                <w14:textFill>
                  <w14:solidFill>
                    <w14:schemeClr w14:val="tx1"/>
                  </w14:solidFill>
                </w14:textFill>
              </w:rPr>
              <w:t>，并配套相应的环保设施。</w:t>
            </w:r>
            <w:r>
              <w:rPr>
                <w:rFonts w:hint="default" w:ascii="Times New Roman" w:hAnsi="Times New Roman" w:cs="Times New Roman"/>
                <w:color w:val="000000" w:themeColor="text1"/>
                <w:sz w:val="24"/>
                <w:lang w:val="en-US" w:eastAsia="zh-CN"/>
                <w14:textFill>
                  <w14:solidFill>
                    <w14:schemeClr w14:val="tx1"/>
                  </w14:solidFill>
                </w14:textFill>
              </w:rPr>
              <w:t>本项目建设后现有项目生产工艺及生产规模均不发生变化，锅炉房位置、占地面积不变，无新增员工，供水及污水处理依托原有设施，仅进行锅炉更换。</w:t>
            </w:r>
            <w:r>
              <w:rPr>
                <w:rFonts w:hint="default" w:ascii="Times New Roman" w:hAnsi="Times New Roman" w:cs="Times New Roman"/>
                <w:color w:val="000000" w:themeColor="text1"/>
                <w:sz w:val="24"/>
                <w14:textFill>
                  <w14:solidFill>
                    <w14:schemeClr w14:val="tx1"/>
                  </w14:solidFill>
                </w14:textFill>
              </w:rPr>
              <w:t>本项目组成详见表2-</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14:paraId="70152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cs="Times New Roman"/>
                <w:b/>
                <w:color w:val="000000" w:themeColor="text1"/>
                <w:sz w:val="21"/>
                <w:szCs w:val="21"/>
                <w14:textFill>
                  <w14:solidFill>
                    <w14:schemeClr w14:val="tx1"/>
                  </w14:solidFill>
                </w14:textFill>
              </w:rPr>
              <w:t xml:space="preserve">  项目组成一览表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643"/>
              <w:gridCol w:w="648"/>
              <w:gridCol w:w="5240"/>
              <w:gridCol w:w="965"/>
            </w:tblGrid>
            <w:tr w14:paraId="35B39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noWrap w:val="0"/>
                  <w:vAlign w:val="center"/>
                </w:tcPr>
                <w:p w14:paraId="35A6A16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类别</w:t>
                  </w:r>
                </w:p>
              </w:tc>
              <w:tc>
                <w:tcPr>
                  <w:tcW w:w="769" w:type="pct"/>
                  <w:gridSpan w:val="2"/>
                  <w:noWrap w:val="0"/>
                  <w:vAlign w:val="center"/>
                </w:tcPr>
                <w:p w14:paraId="5004B95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项目名称</w:t>
                  </w:r>
                </w:p>
              </w:tc>
              <w:tc>
                <w:tcPr>
                  <w:tcW w:w="3123" w:type="pct"/>
                  <w:noWrap w:val="0"/>
                  <w:vAlign w:val="center"/>
                </w:tcPr>
                <w:p w14:paraId="5A0F8C2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项目组成</w:t>
                  </w:r>
                </w:p>
              </w:tc>
              <w:tc>
                <w:tcPr>
                  <w:tcW w:w="575" w:type="pct"/>
                  <w:noWrap w:val="0"/>
                  <w:vAlign w:val="center"/>
                </w:tcPr>
                <w:p w14:paraId="3FE6D21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14:paraId="677A7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noWrap w:val="0"/>
                  <w:vAlign w:val="center"/>
                </w:tcPr>
                <w:p w14:paraId="2990368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主体</w:t>
                  </w:r>
                </w:p>
                <w:p w14:paraId="0545D75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769" w:type="pct"/>
                  <w:gridSpan w:val="2"/>
                  <w:noWrap w:val="0"/>
                  <w:vAlign w:val="center"/>
                </w:tcPr>
                <w:p w14:paraId="1471CC8B">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锅炉房</w:t>
                  </w:r>
                </w:p>
              </w:tc>
              <w:tc>
                <w:tcPr>
                  <w:tcW w:w="3123" w:type="pct"/>
                  <w:noWrap w:val="0"/>
                  <w:vAlign w:val="center"/>
                </w:tcPr>
                <w:p w14:paraId="485084E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现有一间一层钢结构</w:t>
                  </w:r>
                  <w:r>
                    <w:rPr>
                      <w:rFonts w:hint="eastAsia" w:cs="Times New Roman"/>
                      <w:color w:val="000000" w:themeColor="text1"/>
                      <w:szCs w:val="21"/>
                      <w:lang w:val="en-US" w:eastAsia="zh-CN"/>
                      <w14:textFill>
                        <w14:solidFill>
                          <w14:schemeClr w14:val="tx1"/>
                        </w14:solidFill>
                      </w14:textFill>
                    </w:rPr>
                    <w:t>锅炉房，</w:t>
                  </w:r>
                  <w:r>
                    <w:rPr>
                      <w:rFonts w:hint="default" w:ascii="Times New Roman" w:hAnsi="Times New Roman" w:eastAsia="宋体" w:cs="Times New Roman"/>
                      <w:color w:val="000000" w:themeColor="text1"/>
                      <w:szCs w:val="21"/>
                      <w:lang w:val="en-US" w:eastAsia="zh-CN"/>
                      <w14:textFill>
                        <w14:solidFill>
                          <w14:schemeClr w14:val="tx1"/>
                        </w14:solidFill>
                      </w14:textFill>
                    </w:rPr>
                    <w:t>占地面积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约为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m*3.5m），安装1台</w:t>
                  </w:r>
                  <w:r>
                    <w:rPr>
                      <w:rFonts w:hint="eastAsia" w:ascii="Times New Roman" w:hAnsi="Times New Roman" w:cs="Times New Roman"/>
                      <w:color w:val="000000" w:themeColor="text1"/>
                      <w:szCs w:val="21"/>
                      <w:lang w:val="en-US" w:eastAsia="zh-CN"/>
                      <w14:textFill>
                        <w14:solidFill>
                          <w14:schemeClr w14:val="tx1"/>
                        </w14:solidFill>
                      </w14:textFill>
                    </w:rPr>
                    <w:t>额定蒸发量为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t/h</w:t>
                  </w:r>
                  <w:r>
                    <w:rPr>
                      <w:rFonts w:hint="eastAsia" w:ascii="Times New Roman" w:hAnsi="Times New Roman" w:eastAsia="宋体" w:cs="Times New Roman"/>
                      <w:color w:val="000000" w:themeColor="text1"/>
                      <w:szCs w:val="21"/>
                      <w:lang w:val="en-US" w:eastAsia="zh-CN"/>
                      <w14:textFill>
                        <w14:solidFill>
                          <w14:schemeClr w14:val="tx1"/>
                        </w14:solidFill>
                      </w14:textFill>
                    </w:rPr>
                    <w:t>的</w:t>
                  </w:r>
                  <w:r>
                    <w:rPr>
                      <w:rFonts w:hint="default" w:ascii="Times New Roman" w:hAnsi="Times New Roman" w:eastAsia="宋体" w:cs="Times New Roman"/>
                      <w:color w:val="000000" w:themeColor="text1"/>
                      <w:szCs w:val="21"/>
                      <w:lang w:val="en-US" w:eastAsia="zh-CN"/>
                      <w14:textFill>
                        <w14:solidFill>
                          <w14:schemeClr w14:val="tx1"/>
                        </w14:solidFill>
                      </w14:textFill>
                    </w:rPr>
                    <w:t>生物质</w:t>
                  </w:r>
                  <w:r>
                    <w:rPr>
                      <w:rFonts w:hint="eastAsia" w:ascii="Times New Roman" w:hAnsi="Times New Roman" w:eastAsia="宋体" w:cs="Times New Roman"/>
                      <w:color w:val="000000" w:themeColor="text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Cs w:val="21"/>
                      <w:lang w:val="en-US" w:eastAsia="zh-CN"/>
                      <w14:textFill>
                        <w14:solidFill>
                          <w14:schemeClr w14:val="tx1"/>
                        </w14:solidFill>
                      </w14:textFill>
                    </w:rPr>
                    <w:t>，配套</w:t>
                  </w:r>
                  <w:r>
                    <w:rPr>
                      <w:rFonts w:hint="eastAsia" w:ascii="Times New Roman" w:hAnsi="Times New Roman" w:eastAsia="宋体" w:cs="Times New Roman"/>
                      <w:color w:val="000000" w:themeColor="text1"/>
                      <w:szCs w:val="21"/>
                      <w:lang w:val="en-US" w:eastAsia="zh-CN"/>
                      <w14:textFill>
                        <w14:solidFill>
                          <w14:schemeClr w14:val="tx1"/>
                        </w14:solidFill>
                      </w14:textFill>
                    </w:rPr>
                    <w:t>高效</w:t>
                  </w:r>
                  <w:r>
                    <w:rPr>
                      <w:rFonts w:hint="default" w:ascii="Times New Roman" w:hAnsi="Times New Roman" w:eastAsia="宋体" w:cs="Times New Roman"/>
                      <w:color w:val="000000" w:themeColor="text1"/>
                      <w:szCs w:val="21"/>
                      <w:lang w:val="en-US" w:eastAsia="zh-CN"/>
                      <w14:textFill>
                        <w14:solidFill>
                          <w14:schemeClr w14:val="tx1"/>
                        </w14:solidFill>
                      </w14:textFill>
                    </w:rPr>
                    <w:t>袋式除尘器、SNCR设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备</w:t>
                  </w:r>
                  <w:r>
                    <w:rPr>
                      <w:rFonts w:hint="eastAsia" w:cs="Times New Roman"/>
                      <w:color w:val="000000" w:themeColor="text1"/>
                      <w:sz w:val="21"/>
                      <w:szCs w:val="21"/>
                      <w:highlight w:val="none"/>
                      <w:lang w:val="en-US" w:eastAsia="zh-CN"/>
                      <w14:textFill>
                        <w14:solidFill>
                          <w14:schemeClr w14:val="tx1"/>
                        </w14:solidFill>
                      </w14:textFill>
                    </w:rPr>
                    <w:t>。</w:t>
                  </w:r>
                </w:p>
              </w:tc>
              <w:tc>
                <w:tcPr>
                  <w:tcW w:w="575" w:type="pct"/>
                  <w:noWrap w:val="0"/>
                  <w:vAlign w:val="center"/>
                </w:tcPr>
                <w:p w14:paraId="6BFE0A1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依托</w:t>
                  </w:r>
                  <w:r>
                    <w:rPr>
                      <w:rFonts w:hint="eastAsia" w:ascii="Times New Roman" w:hAnsi="Times New Roman" w:cs="Times New Roman"/>
                      <w:color w:val="000000" w:themeColor="text1"/>
                      <w:szCs w:val="21"/>
                      <w:lang w:val="en-US" w:eastAsia="zh-CN"/>
                      <w14:textFill>
                        <w14:solidFill>
                          <w14:schemeClr w14:val="tx1"/>
                        </w14:solidFill>
                      </w14:textFill>
                    </w:rPr>
                    <w:t>锅炉房</w:t>
                  </w:r>
                  <w:r>
                    <w:rPr>
                      <w:rFonts w:hint="default" w:ascii="Times New Roman" w:hAnsi="Times New Roman" w:cs="Times New Roman"/>
                      <w:color w:val="000000" w:themeColor="text1"/>
                      <w:szCs w:val="21"/>
                      <w:lang w:val="en-US" w:eastAsia="zh-CN"/>
                      <w14:textFill>
                        <w14:solidFill>
                          <w14:schemeClr w14:val="tx1"/>
                        </w14:solidFill>
                      </w14:textFill>
                    </w:rPr>
                    <w:t>，新增设备</w:t>
                  </w:r>
                </w:p>
              </w:tc>
            </w:tr>
            <w:tr w14:paraId="2AFE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noWrap w:val="0"/>
                  <w:vAlign w:val="center"/>
                </w:tcPr>
                <w:p w14:paraId="0ED91AB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储运</w:t>
                  </w:r>
                </w:p>
                <w:p w14:paraId="2983AA6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769" w:type="pct"/>
                  <w:gridSpan w:val="2"/>
                  <w:noWrap w:val="0"/>
                  <w:vAlign w:val="center"/>
                </w:tcPr>
                <w:p w14:paraId="4CE9789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燃料存放</w:t>
                  </w:r>
                  <w:r>
                    <w:rPr>
                      <w:rFonts w:hint="default" w:ascii="Times New Roman" w:hAnsi="Times New Roman" w:cs="Times New Roman"/>
                      <w:color w:val="000000" w:themeColor="text1"/>
                      <w:szCs w:val="21"/>
                      <w14:textFill>
                        <w14:solidFill>
                          <w14:schemeClr w14:val="tx1"/>
                        </w14:solidFill>
                      </w14:textFill>
                    </w:rPr>
                    <w:t>区</w:t>
                  </w:r>
                </w:p>
              </w:tc>
              <w:tc>
                <w:tcPr>
                  <w:tcW w:w="3123" w:type="pct"/>
                  <w:noWrap w:val="0"/>
                  <w:vAlign w:val="center"/>
                </w:tcPr>
                <w:p w14:paraId="342D14A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1层，钢结构，占地面积</w:t>
                  </w:r>
                  <w:r>
                    <w:rPr>
                      <w:rFonts w:hint="eastAsia"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m*3</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，用于本项目原料的堆放，</w:t>
                  </w:r>
                  <w:r>
                    <w:rPr>
                      <w:rFonts w:hint="default" w:ascii="Times New Roman" w:hAnsi="Times New Roman" w:cs="Times New Roman"/>
                      <w:color w:val="000000" w:themeColor="text1"/>
                      <w:szCs w:val="21"/>
                      <w:lang w:eastAsia="zh-CN"/>
                      <w14:textFill>
                        <w14:solidFill>
                          <w14:schemeClr w14:val="tx1"/>
                        </w14:solidFill>
                      </w14:textFill>
                    </w:rPr>
                    <w:t>位于</w:t>
                  </w:r>
                  <w:r>
                    <w:rPr>
                      <w:rFonts w:hint="default" w:ascii="Times New Roman" w:hAnsi="Times New Roman" w:cs="Times New Roman"/>
                      <w:color w:val="000000" w:themeColor="text1"/>
                      <w:szCs w:val="21"/>
                      <w:lang w:val="en-US" w:eastAsia="zh-CN"/>
                      <w14:textFill>
                        <w14:solidFill>
                          <w14:schemeClr w14:val="tx1"/>
                        </w14:solidFill>
                      </w14:textFill>
                    </w:rPr>
                    <w:t>锅炉房</w:t>
                  </w:r>
                  <w:r>
                    <w:rPr>
                      <w:rFonts w:hint="eastAsia" w:ascii="Times New Roman" w:hAnsi="Times New Roman" w:cs="Times New Roman"/>
                      <w:color w:val="000000" w:themeColor="text1"/>
                      <w:szCs w:val="21"/>
                      <w:lang w:val="en-US" w:eastAsia="zh-CN"/>
                      <w14:textFill>
                        <w14:solidFill>
                          <w14:schemeClr w14:val="tx1"/>
                        </w14:solidFill>
                      </w14:textFill>
                    </w:rPr>
                    <w:t>南</w:t>
                  </w:r>
                  <w:r>
                    <w:rPr>
                      <w:rFonts w:hint="default" w:ascii="Times New Roman" w:hAnsi="Times New Roman" w:cs="Times New Roman"/>
                      <w:color w:val="000000" w:themeColor="text1"/>
                      <w:szCs w:val="21"/>
                      <w:lang w:val="en-US" w:eastAsia="zh-CN"/>
                      <w14:textFill>
                        <w14:solidFill>
                          <w14:schemeClr w14:val="tx1"/>
                        </w14:solidFill>
                      </w14:textFill>
                    </w:rPr>
                    <w:t>侧</w:t>
                  </w:r>
                  <w:r>
                    <w:rPr>
                      <w:rFonts w:hint="eastAsia" w:cs="Times New Roman"/>
                      <w:color w:val="000000" w:themeColor="text1"/>
                      <w:szCs w:val="21"/>
                      <w:lang w:val="en-US" w:eastAsia="zh-CN"/>
                      <w14:textFill>
                        <w14:solidFill>
                          <w14:schemeClr w14:val="tx1"/>
                        </w14:solidFill>
                      </w14:textFill>
                    </w:rPr>
                    <w:t>。</w:t>
                  </w:r>
                </w:p>
              </w:tc>
              <w:tc>
                <w:tcPr>
                  <w:tcW w:w="575" w:type="pct"/>
                  <w:noWrap w:val="0"/>
                  <w:vAlign w:val="center"/>
                </w:tcPr>
                <w:p w14:paraId="6B6738BD">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依托</w:t>
                  </w:r>
                </w:p>
              </w:tc>
            </w:tr>
            <w:tr w14:paraId="62D13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noWrap w:val="0"/>
                  <w:vAlign w:val="center"/>
                </w:tcPr>
                <w:p w14:paraId="2D4B718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辅助</w:t>
                  </w:r>
                </w:p>
                <w:p w14:paraId="581B7B4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769" w:type="pct"/>
                  <w:gridSpan w:val="2"/>
                  <w:tcBorders>
                    <w:top w:val="single" w:color="auto" w:sz="4" w:space="0"/>
                  </w:tcBorders>
                  <w:noWrap w:val="0"/>
                  <w:vAlign w:val="center"/>
                </w:tcPr>
                <w:p w14:paraId="03AEAD1C">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办公室</w:t>
                  </w:r>
                </w:p>
              </w:tc>
              <w:tc>
                <w:tcPr>
                  <w:tcW w:w="3123" w:type="pct"/>
                  <w:noWrap w:val="0"/>
                  <w:vAlign w:val="center"/>
                </w:tcPr>
                <w:p w14:paraId="7C92D698">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办公地位于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东侧，主要用于行政人员办公</w:t>
                  </w:r>
                  <w:r>
                    <w:rPr>
                      <w:rFonts w:hint="eastAsia" w:cs="Times New Roman"/>
                      <w:color w:val="000000" w:themeColor="text1"/>
                      <w:sz w:val="21"/>
                      <w:szCs w:val="21"/>
                      <w:lang w:val="en-US" w:eastAsia="zh-CN"/>
                      <w14:textFill>
                        <w14:solidFill>
                          <w14:schemeClr w14:val="tx1"/>
                        </w14:solidFill>
                      </w14:textFill>
                    </w:rPr>
                    <w:t>。</w:t>
                  </w:r>
                </w:p>
              </w:tc>
              <w:tc>
                <w:tcPr>
                  <w:tcW w:w="575" w:type="pct"/>
                  <w:noWrap w:val="0"/>
                  <w:vAlign w:val="center"/>
                </w:tcPr>
                <w:p w14:paraId="04D00DB0">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7D686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restart"/>
                  <w:noWrap w:val="0"/>
                  <w:vAlign w:val="center"/>
                </w:tcPr>
                <w:p w14:paraId="2BA5094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公用</w:t>
                  </w:r>
                </w:p>
                <w:p w14:paraId="110E5CF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769" w:type="pct"/>
                  <w:gridSpan w:val="2"/>
                  <w:noWrap w:val="0"/>
                  <w:vAlign w:val="center"/>
                </w:tcPr>
                <w:p w14:paraId="1166F71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供电</w:t>
                  </w:r>
                </w:p>
              </w:tc>
              <w:tc>
                <w:tcPr>
                  <w:tcW w:w="3123" w:type="pct"/>
                  <w:noWrap w:val="0"/>
                  <w:vAlign w:val="center"/>
                </w:tcPr>
                <w:p w14:paraId="01E9E278">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小海子村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供电系统供给</w:t>
                  </w:r>
                  <w:r>
                    <w:rPr>
                      <w:rFonts w:hint="eastAsia" w:cs="Times New Roman"/>
                      <w:color w:val="000000" w:themeColor="text1"/>
                      <w:sz w:val="21"/>
                      <w:szCs w:val="21"/>
                      <w:highlight w:val="none"/>
                      <w:lang w:val="en-US" w:eastAsia="zh-CN"/>
                      <w14:textFill>
                        <w14:solidFill>
                          <w14:schemeClr w14:val="tx1"/>
                        </w14:solidFill>
                      </w14:textFill>
                    </w:rPr>
                    <w:t>。</w:t>
                  </w:r>
                </w:p>
              </w:tc>
              <w:tc>
                <w:tcPr>
                  <w:tcW w:w="575" w:type="pct"/>
                  <w:noWrap w:val="0"/>
                  <w:vAlign w:val="top"/>
                </w:tcPr>
                <w:p w14:paraId="04381F54">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0BFE9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0"/>
                  <w:vAlign w:val="center"/>
                </w:tcPr>
                <w:p w14:paraId="1193CE3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769" w:type="pct"/>
                  <w:gridSpan w:val="2"/>
                  <w:noWrap w:val="0"/>
                  <w:vAlign w:val="center"/>
                </w:tcPr>
                <w:p w14:paraId="724339B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供水</w:t>
                  </w:r>
                </w:p>
              </w:tc>
              <w:tc>
                <w:tcPr>
                  <w:tcW w:w="3123" w:type="pct"/>
                  <w:noWrap w:val="0"/>
                  <w:vAlign w:val="center"/>
                </w:tcPr>
                <w:p w14:paraId="2F4F1C25">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小海子村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供水管网供给</w:t>
                  </w:r>
                  <w:r>
                    <w:rPr>
                      <w:rFonts w:hint="eastAsia" w:cs="Times New Roman"/>
                      <w:color w:val="000000" w:themeColor="text1"/>
                      <w:sz w:val="21"/>
                      <w:szCs w:val="21"/>
                      <w:highlight w:val="none"/>
                      <w:lang w:val="en-US" w:eastAsia="zh-CN"/>
                      <w14:textFill>
                        <w14:solidFill>
                          <w14:schemeClr w14:val="tx1"/>
                        </w14:solidFill>
                      </w14:textFill>
                    </w:rPr>
                    <w:t>。</w:t>
                  </w:r>
                </w:p>
              </w:tc>
              <w:tc>
                <w:tcPr>
                  <w:tcW w:w="575" w:type="pct"/>
                  <w:noWrap w:val="0"/>
                  <w:vAlign w:val="top"/>
                </w:tcPr>
                <w:p w14:paraId="30D3BF5D">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13E7B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0"/>
                  <w:vAlign w:val="center"/>
                </w:tcPr>
                <w:p w14:paraId="4A4928A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769" w:type="pct"/>
                  <w:gridSpan w:val="2"/>
                  <w:tcBorders>
                    <w:bottom w:val="single" w:color="auto" w:sz="4" w:space="0"/>
                  </w:tcBorders>
                  <w:noWrap w:val="0"/>
                  <w:vAlign w:val="center"/>
                </w:tcPr>
                <w:p w14:paraId="088F954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w:t>
                  </w:r>
                </w:p>
              </w:tc>
              <w:tc>
                <w:tcPr>
                  <w:tcW w:w="3123" w:type="pct"/>
                  <w:noWrap w:val="0"/>
                  <w:vAlign w:val="center"/>
                </w:tcPr>
                <w:p w14:paraId="1938D9B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项目用水主要为尿素溶液配比用水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和锅炉用水（软水），产生的废水为软水制备废水及锅炉排污水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尿素溶液配比用水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在设备运行过程中蒸发损耗，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软水制备废水及锅炉排污水经厂内</w:t>
                  </w:r>
                  <w:r>
                    <w:rPr>
                      <w:rFonts w:hint="eastAsia" w:cs="Times New Roman"/>
                      <w:color w:val="000000" w:themeColor="text1"/>
                      <w:sz w:val="21"/>
                      <w:szCs w:val="21"/>
                      <w:highlight w:val="none"/>
                      <w:lang w:val="en-US" w:eastAsia="zh-CN"/>
                      <w14:textFill>
                        <w14:solidFill>
                          <w14:schemeClr w14:val="tx1"/>
                        </w14:solidFill>
                      </w14:textFill>
                    </w:rPr>
                    <w:t>清水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收集后部分用于原有酿造冷却水和绿化用水，剩余部分拉运至上海中耀环保实业陕西有限公司进行处理。</w:t>
                  </w:r>
                </w:p>
              </w:tc>
              <w:tc>
                <w:tcPr>
                  <w:tcW w:w="575" w:type="pct"/>
                  <w:noWrap w:val="0"/>
                  <w:vAlign w:val="center"/>
                </w:tcPr>
                <w:p w14:paraId="4C843DC9">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0CC67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restart"/>
                  <w:noWrap w:val="0"/>
                  <w:vAlign w:val="center"/>
                </w:tcPr>
                <w:p w14:paraId="1012318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w:t>
                  </w:r>
                </w:p>
                <w:p w14:paraId="0033E5E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769" w:type="pct"/>
                  <w:gridSpan w:val="2"/>
                  <w:noWrap w:val="0"/>
                  <w:vAlign w:val="center"/>
                </w:tcPr>
                <w:p w14:paraId="249C80B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废气处理系统</w:t>
                  </w:r>
                </w:p>
              </w:tc>
              <w:tc>
                <w:tcPr>
                  <w:tcW w:w="3123" w:type="pct"/>
                  <w:noWrap w:val="0"/>
                  <w:vAlign w:val="center"/>
                </w:tcPr>
                <w:p w14:paraId="1D99476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生物质锅炉废气经SNCR</w:t>
                  </w:r>
                  <w:r>
                    <w:rPr>
                      <w:rFonts w:hint="eastAsia" w:ascii="Times New Roman" w:hAnsi="Times New Roman" w:cs="Times New Roman"/>
                      <w:color w:val="000000" w:themeColor="text1"/>
                      <w:szCs w:val="21"/>
                      <w:lang w:val="en-US" w:eastAsia="zh-CN"/>
                      <w14:textFill>
                        <w14:solidFill>
                          <w14:schemeClr w14:val="tx1"/>
                        </w14:solidFill>
                      </w14:textFill>
                    </w:rPr>
                    <w:t>高温脱硝设施（炉内脱硝）</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高效</w:t>
                  </w:r>
                  <w:r>
                    <w:rPr>
                      <w:rFonts w:hint="default" w:ascii="Times New Roman" w:hAnsi="Times New Roman" w:cs="Times New Roman"/>
                      <w:color w:val="000000" w:themeColor="text1"/>
                      <w:szCs w:val="21"/>
                      <w:lang w:val="en-US" w:eastAsia="zh-CN"/>
                      <w14:textFill>
                        <w14:solidFill>
                          <w14:schemeClr w14:val="tx1"/>
                        </w14:solidFill>
                      </w14:textFill>
                    </w:rPr>
                    <w:t>袋式除尘器（TA002）处理，通过15m高排气筒（DA00</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）排放</w:t>
                  </w:r>
                  <w:r>
                    <w:rPr>
                      <w:rFonts w:hint="eastAsia" w:cs="Times New Roman"/>
                      <w:color w:val="000000" w:themeColor="text1"/>
                      <w:szCs w:val="21"/>
                      <w:lang w:val="en-US" w:eastAsia="zh-CN"/>
                      <w14:textFill>
                        <w14:solidFill>
                          <w14:schemeClr w14:val="tx1"/>
                        </w14:solidFill>
                      </w14:textFill>
                    </w:rPr>
                    <w:t>。</w:t>
                  </w:r>
                </w:p>
              </w:tc>
              <w:tc>
                <w:tcPr>
                  <w:tcW w:w="575" w:type="pct"/>
                  <w:noWrap w:val="0"/>
                  <w:vAlign w:val="center"/>
                </w:tcPr>
                <w:p w14:paraId="51EB253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锅炉房内新建锅炉、废气治理设施及排气筒</w:t>
                  </w:r>
                  <w:r>
                    <w:rPr>
                      <w:rFonts w:hint="eastAsia" w:cs="Times New Roman"/>
                      <w:color w:val="000000" w:themeColor="text1"/>
                      <w:szCs w:val="21"/>
                      <w:lang w:val="en-US" w:eastAsia="zh-CN"/>
                      <w14:textFill>
                        <w14:solidFill>
                          <w14:schemeClr w14:val="tx1"/>
                        </w14:solidFill>
                      </w14:textFill>
                    </w:rPr>
                    <w:t>等设施</w:t>
                  </w:r>
                </w:p>
              </w:tc>
            </w:tr>
            <w:tr w14:paraId="07740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0"/>
                  <w:vAlign w:val="center"/>
                </w:tcPr>
                <w:p w14:paraId="3B30585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769" w:type="pct"/>
                  <w:gridSpan w:val="2"/>
                  <w:noWrap w:val="0"/>
                  <w:vAlign w:val="center"/>
                </w:tcPr>
                <w:p w14:paraId="72D168B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废水处理系统</w:t>
                  </w:r>
                </w:p>
              </w:tc>
              <w:tc>
                <w:tcPr>
                  <w:tcW w:w="3123" w:type="pct"/>
                  <w:noWrap w:val="0"/>
                  <w:vAlign w:val="center"/>
                </w:tcPr>
                <w:p w14:paraId="376A3A1A">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项目用水主要为尿素溶液配比用水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和锅炉用水（软水），产生的废水为软水制备废水及锅炉排污水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尿素溶液配比用水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在设备运行过程中蒸发损耗，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软水制备废水及锅炉排污水经厂内</w:t>
                  </w:r>
                  <w:r>
                    <w:rPr>
                      <w:rFonts w:hint="eastAsia" w:cs="Times New Roman"/>
                      <w:color w:val="000000" w:themeColor="text1"/>
                      <w:sz w:val="21"/>
                      <w:szCs w:val="21"/>
                      <w:highlight w:val="none"/>
                      <w:lang w:val="en-US" w:eastAsia="zh-CN"/>
                      <w14:textFill>
                        <w14:solidFill>
                          <w14:schemeClr w14:val="tx1"/>
                        </w14:solidFill>
                      </w14:textFill>
                    </w:rPr>
                    <w:t>清水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收集后部分用于原有酿造冷却水和绿化用水，剩余部分拉运至上海中耀环保实业陕西有限公司进行处理。</w:t>
                  </w:r>
                </w:p>
              </w:tc>
              <w:tc>
                <w:tcPr>
                  <w:tcW w:w="575" w:type="pct"/>
                  <w:noWrap w:val="0"/>
                  <w:vAlign w:val="center"/>
                </w:tcPr>
                <w:p w14:paraId="0FFF7752">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3176D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0"/>
                  <w:vAlign w:val="center"/>
                </w:tcPr>
                <w:p w14:paraId="2F33516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769" w:type="pct"/>
                  <w:gridSpan w:val="2"/>
                  <w:noWrap w:val="0"/>
                  <w:vAlign w:val="center"/>
                </w:tcPr>
                <w:p w14:paraId="66188ED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噪声处理系统</w:t>
                  </w:r>
                </w:p>
              </w:tc>
              <w:tc>
                <w:tcPr>
                  <w:tcW w:w="3123" w:type="pct"/>
                  <w:noWrap w:val="0"/>
                  <w:vAlign w:val="center"/>
                </w:tcPr>
                <w:p w14:paraId="5246481E">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snapToGrid w:val="0"/>
                      <w:color w:val="000000" w:themeColor="text1"/>
                      <w:szCs w:val="21"/>
                      <w:lang w:eastAsia="zh-CN"/>
                      <w14:textFill>
                        <w14:solidFill>
                          <w14:schemeClr w14:val="tx1"/>
                        </w14:solidFill>
                      </w14:textFill>
                    </w:rPr>
                    <w:t>风机与风管处采用橡胶软连接、</w:t>
                  </w:r>
                  <w:r>
                    <w:rPr>
                      <w:rFonts w:hint="default" w:ascii="Times New Roman" w:hAnsi="Times New Roman" w:cs="Times New Roman"/>
                      <w:snapToGrid w:val="0"/>
                      <w:color w:val="000000" w:themeColor="text1"/>
                      <w:szCs w:val="21"/>
                      <w:lang w:val="en-US" w:eastAsia="zh-CN"/>
                      <w14:textFill>
                        <w14:solidFill>
                          <w14:schemeClr w14:val="tx1"/>
                        </w14:solidFill>
                      </w14:textFill>
                    </w:rPr>
                    <w:t>厂房隔声</w:t>
                  </w:r>
                  <w:r>
                    <w:rPr>
                      <w:rFonts w:hint="default" w:ascii="Times New Roman" w:hAnsi="Times New Roman" w:cs="Times New Roman"/>
                      <w:snapToGrid w:val="0"/>
                      <w:color w:val="000000" w:themeColor="text1"/>
                      <w:szCs w:val="21"/>
                      <w14:textFill>
                        <w14:solidFill>
                          <w14:schemeClr w14:val="tx1"/>
                        </w14:solidFill>
                      </w14:textFill>
                    </w:rPr>
                    <w:t>、距离衰减等</w:t>
                  </w:r>
                  <w:r>
                    <w:rPr>
                      <w:rFonts w:hint="eastAsia" w:cs="Times New Roman"/>
                      <w:snapToGrid w:val="0"/>
                      <w:color w:val="000000" w:themeColor="text1"/>
                      <w:szCs w:val="21"/>
                      <w:lang w:eastAsia="zh-CN"/>
                      <w14:textFill>
                        <w14:solidFill>
                          <w14:schemeClr w14:val="tx1"/>
                        </w14:solidFill>
                      </w14:textFill>
                    </w:rPr>
                    <w:t>。</w:t>
                  </w:r>
                </w:p>
              </w:tc>
              <w:tc>
                <w:tcPr>
                  <w:tcW w:w="575" w:type="pct"/>
                  <w:noWrap w:val="0"/>
                  <w:vAlign w:val="center"/>
                </w:tcPr>
                <w:p w14:paraId="6CC3D01A">
                  <w:pPr>
                    <w:adjustRightInd w:val="0"/>
                    <w:snapToGrid w:val="0"/>
                    <w:jc w:val="center"/>
                    <w:rPr>
                      <w:rFonts w:hint="default" w:ascii="Times New Roman" w:hAnsi="Times New Roman" w:cs="Times New Roman"/>
                      <w:snapToGrid w:val="0"/>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2FE77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0"/>
                  <w:vAlign w:val="center"/>
                </w:tcPr>
                <w:p w14:paraId="6B13A7D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83" w:type="pct"/>
                  <w:noWrap w:val="0"/>
                  <w:vAlign w:val="center"/>
                </w:tcPr>
                <w:p w14:paraId="2BF341C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固体废物收集设施</w:t>
                  </w:r>
                </w:p>
              </w:tc>
              <w:tc>
                <w:tcPr>
                  <w:tcW w:w="386" w:type="pct"/>
                  <w:noWrap w:val="0"/>
                  <w:vAlign w:val="center"/>
                </w:tcPr>
                <w:p w14:paraId="0A890EF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一般</w:t>
                  </w:r>
                  <w:r>
                    <w:rPr>
                      <w:rFonts w:hint="eastAsia" w:cs="Times New Roman"/>
                      <w:color w:val="000000" w:themeColor="text1"/>
                      <w:szCs w:val="21"/>
                      <w:lang w:val="en-US" w:eastAsia="zh-CN"/>
                      <w14:textFill>
                        <w14:solidFill>
                          <w14:schemeClr w14:val="tx1"/>
                        </w14:solidFill>
                      </w14:textFill>
                    </w:rPr>
                    <w:t>工业固体废物</w:t>
                  </w:r>
                </w:p>
              </w:tc>
              <w:tc>
                <w:tcPr>
                  <w:tcW w:w="3123" w:type="pct"/>
                  <w:noWrap w:val="0"/>
                  <w:vAlign w:val="center"/>
                </w:tcPr>
                <w:p w14:paraId="330FD647">
                  <w:pPr>
                    <w:adjustRightInd w:val="0"/>
                    <w:snapToGrid w:val="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eastAsia="宋体" w:cs="Times New Roman"/>
                      <w:snapToGrid w:val="0"/>
                      <w:color w:val="000000" w:themeColor="text1"/>
                      <w:szCs w:val="21"/>
                      <w:lang w:eastAsia="zh-CN"/>
                      <w14:textFill>
                        <w14:solidFill>
                          <w14:schemeClr w14:val="tx1"/>
                        </w14:solidFill>
                      </w14:textFill>
                    </w:rPr>
                    <w:t>锅炉收尘灰、锅炉灰渣用于农田改良；</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废包装外售，依托现有一般固废暂存区进行暂存</w:t>
                  </w:r>
                  <w:r>
                    <w:rPr>
                      <w:rFonts w:hint="eastAsia" w:cs="Times New Roman"/>
                      <w:snapToGrid w:val="0"/>
                      <w:color w:val="000000" w:themeColor="text1"/>
                      <w:szCs w:val="21"/>
                      <w:lang w:val="en-US" w:eastAsia="zh-CN"/>
                      <w14:textFill>
                        <w14:solidFill>
                          <w14:schemeClr w14:val="tx1"/>
                        </w14:solidFill>
                      </w14:textFill>
                    </w:rPr>
                    <w:t>。</w:t>
                  </w:r>
                </w:p>
              </w:tc>
              <w:tc>
                <w:tcPr>
                  <w:tcW w:w="575" w:type="pct"/>
                  <w:noWrap w:val="0"/>
                  <w:vAlign w:val="center"/>
                </w:tcPr>
                <w:p w14:paraId="519BD1BD">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依托</w:t>
                  </w:r>
                </w:p>
              </w:tc>
            </w:tr>
          </w:tbl>
          <w:p w14:paraId="713BFA6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4</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本项目主要生产设施</w:t>
            </w:r>
          </w:p>
          <w:p w14:paraId="7B8BCC0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项目主要生产设施见表2-</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14:paraId="789BEC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 xml:space="preserve">  </w:t>
            </w:r>
            <w:r>
              <w:rPr>
                <w:rFonts w:hint="default" w:ascii="Times New Roman" w:hAnsi="Times New Roman" w:cs="Times New Roman"/>
                <w:b/>
                <w:color w:val="000000" w:themeColor="text1"/>
                <w:sz w:val="21"/>
                <w:szCs w:val="21"/>
                <w:lang w:eastAsia="zh-CN"/>
                <w14:textFill>
                  <w14:solidFill>
                    <w14:schemeClr w14:val="tx1"/>
                  </w14:solidFill>
                </w14:textFill>
              </w:rPr>
              <w:t>本项目</w:t>
            </w:r>
            <w:r>
              <w:rPr>
                <w:rFonts w:hint="default" w:ascii="Times New Roman" w:hAnsi="Times New Roman" w:cs="Times New Roman"/>
                <w:b/>
                <w:color w:val="000000" w:themeColor="text1"/>
                <w:sz w:val="21"/>
                <w:szCs w:val="21"/>
                <w14:textFill>
                  <w14:solidFill>
                    <w14:schemeClr w14:val="tx1"/>
                  </w14:solidFill>
                </w14:textFill>
              </w:rPr>
              <w:t>主要生产设施一览表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04"/>
              <w:gridCol w:w="765"/>
              <w:gridCol w:w="1296"/>
              <w:gridCol w:w="1354"/>
              <w:gridCol w:w="769"/>
              <w:gridCol w:w="1057"/>
              <w:gridCol w:w="1057"/>
              <w:gridCol w:w="1058"/>
            </w:tblGrid>
            <w:tr w14:paraId="00E8C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762A694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360" w:type="pct"/>
                  <w:noWrap w:val="0"/>
                  <w:vAlign w:val="center"/>
                </w:tcPr>
                <w:p w14:paraId="3FC5204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设备</w:t>
                  </w:r>
                </w:p>
                <w:p w14:paraId="155A677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类型</w:t>
                  </w:r>
                </w:p>
              </w:tc>
              <w:tc>
                <w:tcPr>
                  <w:tcW w:w="1228" w:type="pct"/>
                  <w:gridSpan w:val="2"/>
                  <w:noWrap w:val="0"/>
                  <w:vAlign w:val="center"/>
                </w:tcPr>
                <w:p w14:paraId="43A1893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设备名称</w:t>
                  </w:r>
                </w:p>
              </w:tc>
              <w:tc>
                <w:tcPr>
                  <w:tcW w:w="807" w:type="pct"/>
                  <w:noWrap w:val="0"/>
                  <w:vAlign w:val="center"/>
                </w:tcPr>
                <w:p w14:paraId="2EB33FA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w:t>
                  </w:r>
                </w:p>
                <w:p w14:paraId="2528C5EB">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参数</w:t>
                  </w:r>
                </w:p>
              </w:tc>
              <w:tc>
                <w:tcPr>
                  <w:tcW w:w="458" w:type="pct"/>
                  <w:noWrap w:val="0"/>
                  <w:vAlign w:val="center"/>
                </w:tcPr>
                <w:p w14:paraId="534CEBA2">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改造前</w:t>
                  </w:r>
                  <w:r>
                    <w:rPr>
                      <w:rFonts w:hint="default" w:ascii="Times New Roman" w:hAnsi="Times New Roman" w:cs="Times New Roman"/>
                      <w:color w:val="000000" w:themeColor="text1"/>
                      <w:szCs w:val="21"/>
                      <w:lang w:eastAsia="zh-CN"/>
                      <w14:textFill>
                        <w14:solidFill>
                          <w14:schemeClr w14:val="tx1"/>
                        </w14:solidFill>
                      </w14:textFill>
                    </w:rPr>
                    <w:t>数量</w:t>
                  </w:r>
                </w:p>
              </w:tc>
              <w:tc>
                <w:tcPr>
                  <w:tcW w:w="630" w:type="pct"/>
                  <w:noWrap w:val="0"/>
                  <w:vAlign w:val="center"/>
                </w:tcPr>
                <w:p w14:paraId="1B414C0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改造后数量</w:t>
                  </w:r>
                </w:p>
              </w:tc>
              <w:tc>
                <w:tcPr>
                  <w:tcW w:w="630" w:type="pct"/>
                  <w:noWrap w:val="0"/>
                  <w:vAlign w:val="center"/>
                </w:tcPr>
                <w:p w14:paraId="4D64E99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变化量</w:t>
                  </w:r>
                </w:p>
              </w:tc>
              <w:tc>
                <w:tcPr>
                  <w:tcW w:w="630" w:type="pct"/>
                  <w:noWrap w:val="0"/>
                  <w:vAlign w:val="center"/>
                </w:tcPr>
                <w:p w14:paraId="3BA52A3B">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备注</w:t>
                  </w:r>
                </w:p>
              </w:tc>
            </w:tr>
            <w:tr w14:paraId="51A3A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restart"/>
                  <w:noWrap w:val="0"/>
                  <w:vAlign w:val="center"/>
                </w:tcPr>
                <w:p w14:paraId="380CDEB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360" w:type="pct"/>
                  <w:vMerge w:val="restart"/>
                  <w:noWrap w:val="0"/>
                  <w:vAlign w:val="center"/>
                </w:tcPr>
                <w:p w14:paraId="0079881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生产</w:t>
                  </w:r>
                </w:p>
                <w:p w14:paraId="6F995B4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设备</w:t>
                  </w:r>
                </w:p>
              </w:tc>
              <w:tc>
                <w:tcPr>
                  <w:tcW w:w="456" w:type="pct"/>
                  <w:vMerge w:val="restart"/>
                  <w:noWrap w:val="0"/>
                  <w:vAlign w:val="center"/>
                </w:tcPr>
                <w:p w14:paraId="74861CB7">
                  <w:p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专用</w:t>
                  </w:r>
                  <w:r>
                    <w:rPr>
                      <w:rFonts w:hint="default" w:ascii="Times New Roman" w:hAnsi="Times New Roman" w:eastAsia="宋体" w:cs="Times New Roman"/>
                      <w:color w:val="000000" w:themeColor="text1"/>
                      <w:szCs w:val="21"/>
                      <w:lang w:val="en-US" w:eastAsia="zh-CN"/>
                      <w14:textFill>
                        <w14:solidFill>
                          <w14:schemeClr w14:val="tx1"/>
                        </w14:solidFill>
                      </w14:textFill>
                    </w:rPr>
                    <w:t>生物质</w:t>
                  </w:r>
                  <w:r>
                    <w:rPr>
                      <w:rFonts w:hint="eastAsia" w:ascii="Times New Roman" w:hAnsi="Times New Roman" w:eastAsia="宋体" w:cs="Times New Roman"/>
                      <w:color w:val="000000" w:themeColor="text1"/>
                      <w:szCs w:val="21"/>
                      <w:lang w:val="en-US" w:eastAsia="zh-CN"/>
                      <w14:textFill>
                        <w14:solidFill>
                          <w14:schemeClr w14:val="tx1"/>
                        </w14:solidFill>
                      </w14:textFill>
                    </w:rPr>
                    <w:t>锅炉</w:t>
                  </w:r>
                </w:p>
              </w:tc>
              <w:tc>
                <w:tcPr>
                  <w:tcW w:w="772" w:type="pct"/>
                  <w:noWrap w:val="0"/>
                  <w:vAlign w:val="center"/>
                </w:tcPr>
                <w:p w14:paraId="304F680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额定蒸发量</w:t>
                  </w:r>
                </w:p>
              </w:tc>
              <w:tc>
                <w:tcPr>
                  <w:tcW w:w="807" w:type="pct"/>
                  <w:noWrap w:val="0"/>
                  <w:vAlign w:val="center"/>
                </w:tcPr>
                <w:p w14:paraId="23E5A9D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t/h</w:t>
                  </w:r>
                </w:p>
              </w:tc>
              <w:tc>
                <w:tcPr>
                  <w:tcW w:w="458" w:type="pct"/>
                  <w:vMerge w:val="restart"/>
                  <w:noWrap w:val="0"/>
                  <w:vAlign w:val="center"/>
                </w:tcPr>
                <w:p w14:paraId="1C9B4D3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630" w:type="pct"/>
                  <w:vMerge w:val="restart"/>
                  <w:noWrap w:val="0"/>
                  <w:vAlign w:val="center"/>
                </w:tcPr>
                <w:p w14:paraId="1F030D3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630" w:type="pct"/>
                  <w:vMerge w:val="restart"/>
                  <w:noWrap w:val="0"/>
                  <w:vAlign w:val="center"/>
                </w:tcPr>
                <w:p w14:paraId="45D172A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630" w:type="pct"/>
                  <w:vMerge w:val="restart"/>
                  <w:noWrap w:val="0"/>
                  <w:vAlign w:val="center"/>
                </w:tcPr>
                <w:p w14:paraId="23C72C7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提供蒸汽</w:t>
                  </w:r>
                </w:p>
                <w:p w14:paraId="68D2F33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302295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712C798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0B16235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7AA78FE9">
                  <w:pPr>
                    <w:adjustRightInd w:val="0"/>
                    <w:snapToGrid w:val="0"/>
                    <w:jc w:val="both"/>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1FC27981">
                  <w:pPr>
                    <w:pStyle w:val="183"/>
                    <w:bidi w:val="0"/>
                    <w:rPr>
                      <w:rFonts w:hint="default"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eastAsia" w:cs="Times New Roman"/>
                      <w:bCs/>
                      <w:color w:val="000000" w:themeColor="text1"/>
                      <w:kern w:val="2"/>
                      <w:sz w:val="21"/>
                      <w:szCs w:val="24"/>
                      <w:lang w:val="en-US" w:eastAsia="zh-CN" w:bidi="ar-SA"/>
                      <w14:textFill>
                        <w14:solidFill>
                          <w14:schemeClr w14:val="tx1"/>
                        </w14:solidFill>
                      </w14:textFill>
                    </w:rPr>
                    <w:t>额定蒸汽压力</w:t>
                  </w:r>
                </w:p>
              </w:tc>
              <w:tc>
                <w:tcPr>
                  <w:tcW w:w="807" w:type="pct"/>
                  <w:noWrap w:val="0"/>
                  <w:vAlign w:val="center"/>
                </w:tcPr>
                <w:p w14:paraId="2711CCEE">
                  <w:pPr>
                    <w:pStyle w:val="183"/>
                    <w:bidi w:val="0"/>
                    <w:rPr>
                      <w:rFonts w:hint="default"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eastAsia" w:cs="Times New Roman"/>
                      <w:bCs/>
                      <w:color w:val="000000" w:themeColor="text1"/>
                      <w:kern w:val="2"/>
                      <w:sz w:val="21"/>
                      <w:szCs w:val="24"/>
                      <w:lang w:val="en-US" w:eastAsia="zh-CN" w:bidi="ar-SA"/>
                      <w14:textFill>
                        <w14:solidFill>
                          <w14:schemeClr w14:val="tx1"/>
                        </w14:solidFill>
                      </w14:textFill>
                    </w:rPr>
                    <w:t>0.09MPa</w:t>
                  </w:r>
                </w:p>
              </w:tc>
              <w:tc>
                <w:tcPr>
                  <w:tcW w:w="458" w:type="pct"/>
                  <w:vMerge w:val="continue"/>
                  <w:noWrap w:val="0"/>
                  <w:vAlign w:val="center"/>
                </w:tcPr>
                <w:p w14:paraId="27D85DB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2643ED9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058B829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2DC71AB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17207C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29D15EA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30CB0D1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5CFDB6D6">
                  <w:pPr>
                    <w:adjustRightInd w:val="0"/>
                    <w:snapToGrid w:val="0"/>
                    <w:jc w:val="both"/>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13905A81">
                  <w:pPr>
                    <w:pStyle w:val="183"/>
                    <w:bidi w:val="0"/>
                    <w:rPr>
                      <w:rFonts w:hint="default" w:ascii="Times New Roman" w:hAnsi="Times New Roman" w:eastAsia="宋体"/>
                      <w:bCs/>
                      <w:color w:val="000000" w:themeColor="text1"/>
                      <w:kern w:val="2"/>
                      <w:sz w:val="21"/>
                      <w:szCs w:val="24"/>
                      <w:lang w:val="en-US" w:eastAsia="zh-CN" w:bidi="ar-SA"/>
                      <w14:textFill>
                        <w14:solidFill>
                          <w14:schemeClr w14:val="tx1"/>
                        </w14:solidFill>
                      </w14:textFill>
                    </w:rPr>
                  </w:pPr>
                  <w:r>
                    <w:rPr>
                      <w:rFonts w:hint="eastAsia"/>
                      <w:bCs/>
                      <w:color w:val="000000" w:themeColor="text1"/>
                      <w:kern w:val="2"/>
                      <w:sz w:val="21"/>
                      <w:szCs w:val="24"/>
                      <w:lang w:val="en-US" w:eastAsia="zh-CN" w:bidi="ar-SA"/>
                      <w14:textFill>
                        <w14:solidFill>
                          <w14:schemeClr w14:val="tx1"/>
                        </w14:solidFill>
                      </w14:textFill>
                    </w:rPr>
                    <w:t>蒸汽温度</w:t>
                  </w:r>
                </w:p>
              </w:tc>
              <w:tc>
                <w:tcPr>
                  <w:tcW w:w="807" w:type="pct"/>
                  <w:noWrap w:val="0"/>
                  <w:vAlign w:val="center"/>
                </w:tcPr>
                <w:p w14:paraId="576B8B26">
                  <w:pPr>
                    <w:pStyle w:val="183"/>
                    <w:bidi w:val="0"/>
                    <w:rPr>
                      <w:rFonts w:hint="default" w:ascii="Times New Roman" w:hAnsi="Times New Roman" w:eastAsia="宋体"/>
                      <w:bCs/>
                      <w:color w:val="000000" w:themeColor="text1"/>
                      <w:kern w:val="2"/>
                      <w:sz w:val="21"/>
                      <w:szCs w:val="24"/>
                      <w:lang w:val="en-US" w:eastAsia="zh-CN" w:bidi="ar-SA"/>
                      <w14:textFill>
                        <w14:solidFill>
                          <w14:schemeClr w14:val="tx1"/>
                        </w14:solidFill>
                      </w14:textFill>
                    </w:rPr>
                  </w:pPr>
                  <w:r>
                    <w:rPr>
                      <w:rFonts w:hint="eastAsia"/>
                      <w:bCs/>
                      <w:color w:val="000000" w:themeColor="text1"/>
                      <w:kern w:val="2"/>
                      <w:sz w:val="21"/>
                      <w:szCs w:val="24"/>
                      <w:lang w:val="en-US" w:eastAsia="zh-CN" w:bidi="ar-SA"/>
                      <w14:textFill>
                        <w14:solidFill>
                          <w14:schemeClr w14:val="tx1"/>
                        </w14:solidFill>
                      </w14:textFill>
                    </w:rPr>
                    <w:t>121℃</w:t>
                  </w:r>
                </w:p>
              </w:tc>
              <w:tc>
                <w:tcPr>
                  <w:tcW w:w="458" w:type="pct"/>
                  <w:vMerge w:val="continue"/>
                  <w:noWrap w:val="0"/>
                  <w:vAlign w:val="center"/>
                </w:tcPr>
                <w:p w14:paraId="4CB43A7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57A0940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5B4BC7D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4566A24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03397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4690071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396CD7D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64C65263">
                  <w:pPr>
                    <w:adjustRightInd w:val="0"/>
                    <w:snapToGrid w:val="0"/>
                    <w:jc w:val="both"/>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25AB1CB3">
                  <w:pPr>
                    <w:pStyle w:val="183"/>
                    <w:bidi w:val="0"/>
                    <w:rPr>
                      <w:rFonts w:hint="default" w:ascii="Times New Roman" w:hAnsi="Times New Roman" w:eastAsia="宋体"/>
                      <w:bCs/>
                      <w:color w:val="000000" w:themeColor="text1"/>
                      <w:kern w:val="2"/>
                      <w:sz w:val="21"/>
                      <w:szCs w:val="24"/>
                      <w:lang w:val="en-US" w:eastAsia="zh-CN" w:bidi="ar-SA"/>
                      <w14:textFill>
                        <w14:solidFill>
                          <w14:schemeClr w14:val="tx1"/>
                        </w14:solidFill>
                      </w14:textFill>
                    </w:rPr>
                  </w:pPr>
                  <w:r>
                    <w:rPr>
                      <w:rFonts w:hint="eastAsia"/>
                      <w:bCs/>
                      <w:color w:val="000000" w:themeColor="text1"/>
                      <w:kern w:val="2"/>
                      <w:sz w:val="21"/>
                      <w:szCs w:val="24"/>
                      <w:lang w:val="en-US" w:eastAsia="zh-CN" w:bidi="ar-SA"/>
                      <w14:textFill>
                        <w14:solidFill>
                          <w14:schemeClr w14:val="tx1"/>
                        </w14:solidFill>
                      </w14:textFill>
                    </w:rPr>
                    <w:t>补水温度</w:t>
                  </w:r>
                </w:p>
              </w:tc>
              <w:tc>
                <w:tcPr>
                  <w:tcW w:w="807" w:type="pct"/>
                  <w:noWrap w:val="0"/>
                  <w:vAlign w:val="center"/>
                </w:tcPr>
                <w:p w14:paraId="4B78877B">
                  <w:pPr>
                    <w:pStyle w:val="183"/>
                    <w:bidi w:val="0"/>
                    <w:rPr>
                      <w:rFonts w:hint="default" w:ascii="Times New Roman" w:hAnsi="Times New Roman" w:eastAsia="宋体"/>
                      <w:bCs/>
                      <w:color w:val="000000" w:themeColor="text1"/>
                      <w:kern w:val="2"/>
                      <w:sz w:val="21"/>
                      <w:szCs w:val="24"/>
                      <w:lang w:val="en-US" w:eastAsia="zh-CN" w:bidi="ar-SA"/>
                      <w14:textFill>
                        <w14:solidFill>
                          <w14:schemeClr w14:val="tx1"/>
                        </w14:solidFill>
                      </w14:textFill>
                    </w:rPr>
                  </w:pPr>
                  <w:r>
                    <w:rPr>
                      <w:rFonts w:hint="eastAsia"/>
                      <w:bCs/>
                      <w:color w:val="000000" w:themeColor="text1"/>
                      <w:kern w:val="2"/>
                      <w:sz w:val="21"/>
                      <w:szCs w:val="24"/>
                      <w:lang w:val="en-US" w:eastAsia="zh-CN" w:bidi="ar-SA"/>
                      <w14:textFill>
                        <w14:solidFill>
                          <w14:schemeClr w14:val="tx1"/>
                        </w14:solidFill>
                      </w14:textFill>
                    </w:rPr>
                    <w:t>20℃</w:t>
                  </w:r>
                </w:p>
              </w:tc>
              <w:tc>
                <w:tcPr>
                  <w:tcW w:w="458" w:type="pct"/>
                  <w:vMerge w:val="continue"/>
                  <w:noWrap w:val="0"/>
                  <w:vAlign w:val="center"/>
                </w:tcPr>
                <w:p w14:paraId="51462D2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67F4914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5B12E84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777D499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14A1B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1A4906D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0337EEF2">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052ABCD9">
                  <w:pPr>
                    <w:adjustRightInd w:val="0"/>
                    <w:snapToGrid w:val="0"/>
                    <w:jc w:val="both"/>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19C442CD">
                  <w:pPr>
                    <w:pStyle w:val="183"/>
                    <w:bidi w:val="0"/>
                    <w:rPr>
                      <w:rFonts w:hint="default" w:ascii="Times New Roman" w:hAnsi="Times New Roman" w:eastAsia="宋体"/>
                      <w:bCs/>
                      <w:color w:val="000000" w:themeColor="text1"/>
                      <w:kern w:val="2"/>
                      <w:sz w:val="21"/>
                      <w:szCs w:val="24"/>
                      <w:lang w:val="en-US" w:eastAsia="zh-CN" w:bidi="ar-SA"/>
                      <w14:textFill>
                        <w14:solidFill>
                          <w14:schemeClr w14:val="tx1"/>
                        </w14:solidFill>
                      </w14:textFill>
                    </w:rPr>
                  </w:pPr>
                  <w:r>
                    <w:rPr>
                      <w:rFonts w:hint="eastAsia"/>
                      <w:bCs/>
                      <w:color w:val="000000" w:themeColor="text1"/>
                      <w:kern w:val="2"/>
                      <w:sz w:val="21"/>
                      <w:szCs w:val="24"/>
                      <w:lang w:val="en-US" w:eastAsia="zh-CN" w:bidi="ar-SA"/>
                      <w14:textFill>
                        <w14:solidFill>
                          <w14:schemeClr w14:val="tx1"/>
                        </w14:solidFill>
                      </w14:textFill>
                    </w:rPr>
                    <w:t>设计热效率</w:t>
                  </w:r>
                </w:p>
              </w:tc>
              <w:tc>
                <w:tcPr>
                  <w:tcW w:w="807" w:type="pct"/>
                  <w:noWrap w:val="0"/>
                  <w:vAlign w:val="center"/>
                </w:tcPr>
                <w:p w14:paraId="7FEFED4B">
                  <w:pPr>
                    <w:pStyle w:val="183"/>
                    <w:bidi w:val="0"/>
                    <w:rPr>
                      <w:rFonts w:hint="default" w:ascii="Times New Roman" w:hAnsi="Times New Roman" w:eastAsia="宋体"/>
                      <w:bCs/>
                      <w:color w:val="000000" w:themeColor="text1"/>
                      <w:kern w:val="2"/>
                      <w:sz w:val="21"/>
                      <w:szCs w:val="24"/>
                      <w:lang w:val="en-US" w:eastAsia="zh-CN" w:bidi="ar-SA"/>
                      <w14:textFill>
                        <w14:solidFill>
                          <w14:schemeClr w14:val="tx1"/>
                        </w14:solidFill>
                      </w14:textFill>
                    </w:rPr>
                  </w:pPr>
                  <w:r>
                    <w:rPr>
                      <w:rFonts w:hint="eastAsia"/>
                      <w:bCs/>
                      <w:color w:val="000000" w:themeColor="text1"/>
                      <w:kern w:val="2"/>
                      <w:sz w:val="21"/>
                      <w:szCs w:val="24"/>
                      <w:lang w:val="en-US" w:eastAsia="zh-CN" w:bidi="ar-SA"/>
                      <w14:textFill>
                        <w14:solidFill>
                          <w14:schemeClr w14:val="tx1"/>
                        </w14:solidFill>
                      </w14:textFill>
                    </w:rPr>
                    <w:t>85%</w:t>
                  </w:r>
                </w:p>
              </w:tc>
              <w:tc>
                <w:tcPr>
                  <w:tcW w:w="458" w:type="pct"/>
                  <w:vMerge w:val="continue"/>
                  <w:noWrap w:val="0"/>
                  <w:vAlign w:val="center"/>
                </w:tcPr>
                <w:p w14:paraId="7D3EF2B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3BEB1D0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24C62D8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50868E8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772AF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6D9002E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360" w:type="pct"/>
                  <w:vMerge w:val="continue"/>
                  <w:noWrap w:val="0"/>
                  <w:vAlign w:val="center"/>
                </w:tcPr>
                <w:p w14:paraId="13526D0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noWrap w:val="0"/>
                  <w:vAlign w:val="center"/>
                </w:tcPr>
                <w:p w14:paraId="5FFC008C">
                  <w:pPr>
                    <w:adjustRightInd w:val="0"/>
                    <w:snapToGrid w:val="0"/>
                    <w:jc w:val="both"/>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锅炉</w:t>
                  </w:r>
                </w:p>
              </w:tc>
              <w:tc>
                <w:tcPr>
                  <w:tcW w:w="772" w:type="pct"/>
                  <w:noWrap w:val="0"/>
                  <w:vAlign w:val="center"/>
                </w:tcPr>
                <w:p w14:paraId="51A7C981">
                  <w:pPr>
                    <w:adjustRightInd w:val="0"/>
                    <w:snapToGrid w:val="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额定蒸发量</w:t>
                  </w:r>
                </w:p>
              </w:tc>
              <w:tc>
                <w:tcPr>
                  <w:tcW w:w="807" w:type="pct"/>
                  <w:noWrap w:val="0"/>
                  <w:vAlign w:val="center"/>
                </w:tcPr>
                <w:p w14:paraId="2A91FD75">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r>
                    <w:rPr>
                      <w:rFonts w:hint="eastAsia" w:cs="Times New Roman"/>
                      <w:color w:val="000000" w:themeColor="text1"/>
                      <w:szCs w:val="21"/>
                      <w:lang w:val="en-US" w:eastAsia="zh-CN"/>
                      <w14:textFill>
                        <w14:solidFill>
                          <w14:schemeClr w14:val="tx1"/>
                        </w14:solidFill>
                      </w14:textFill>
                    </w:rPr>
                    <w:t>t</w:t>
                  </w:r>
                  <w:r>
                    <w:rPr>
                      <w:rFonts w:hint="default" w:ascii="Times New Roman" w:hAnsi="Times New Roman" w:cs="Times New Roman"/>
                      <w:color w:val="000000" w:themeColor="text1"/>
                      <w:szCs w:val="21"/>
                      <w:lang w:val="en-US" w:eastAsia="zh-CN"/>
                      <w14:textFill>
                        <w14:solidFill>
                          <w14:schemeClr w14:val="tx1"/>
                        </w14:solidFill>
                      </w14:textFill>
                    </w:rPr>
                    <w:t>/h</w:t>
                  </w:r>
                </w:p>
              </w:tc>
              <w:tc>
                <w:tcPr>
                  <w:tcW w:w="458" w:type="pct"/>
                  <w:noWrap w:val="0"/>
                  <w:vAlign w:val="center"/>
                </w:tcPr>
                <w:p w14:paraId="4E796EE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1套</w:t>
                  </w:r>
                </w:p>
              </w:tc>
              <w:tc>
                <w:tcPr>
                  <w:tcW w:w="630" w:type="pct"/>
                  <w:noWrap w:val="0"/>
                  <w:vAlign w:val="center"/>
                </w:tcPr>
                <w:p w14:paraId="79BE475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630" w:type="pct"/>
                  <w:noWrap w:val="0"/>
                  <w:vAlign w:val="center"/>
                </w:tcPr>
                <w:p w14:paraId="59CEB68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630" w:type="pct"/>
                  <w:noWrap w:val="0"/>
                  <w:vAlign w:val="center"/>
                </w:tcPr>
                <w:p w14:paraId="7C37CF4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4CC19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restart"/>
                  <w:noWrap w:val="0"/>
                  <w:vAlign w:val="center"/>
                </w:tcPr>
                <w:p w14:paraId="67DD7872">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360" w:type="pct"/>
                  <w:vMerge w:val="restart"/>
                  <w:noWrap w:val="0"/>
                  <w:vAlign w:val="center"/>
                </w:tcPr>
                <w:p w14:paraId="0127AC2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环保</w:t>
                  </w:r>
                </w:p>
                <w:p w14:paraId="1F63E26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设备</w:t>
                  </w:r>
                </w:p>
              </w:tc>
              <w:tc>
                <w:tcPr>
                  <w:tcW w:w="456" w:type="pct"/>
                  <w:vMerge w:val="restart"/>
                  <w:noWrap w:val="0"/>
                  <w:vAlign w:val="center"/>
                </w:tcPr>
                <w:p w14:paraId="15943A6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SNCR</w:t>
                  </w:r>
                  <w:r>
                    <w:rPr>
                      <w:rFonts w:hint="eastAsia" w:ascii="Times New Roman" w:hAnsi="Times New Roman" w:cs="Times New Roman"/>
                      <w:color w:val="000000" w:themeColor="text1"/>
                      <w:szCs w:val="21"/>
                      <w:lang w:val="en-US" w:eastAsia="zh-CN"/>
                      <w14:textFill>
                        <w14:solidFill>
                          <w14:schemeClr w14:val="tx1"/>
                        </w14:solidFill>
                      </w14:textFill>
                    </w:rPr>
                    <w:t>高温脱硝</w:t>
                  </w:r>
                </w:p>
              </w:tc>
              <w:tc>
                <w:tcPr>
                  <w:tcW w:w="772" w:type="pct"/>
                  <w:noWrap w:val="0"/>
                  <w:vAlign w:val="center"/>
                </w:tcPr>
                <w:p w14:paraId="25BB71C9">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加药桶</w:t>
                  </w:r>
                </w:p>
              </w:tc>
              <w:tc>
                <w:tcPr>
                  <w:tcW w:w="807" w:type="pct"/>
                  <w:noWrap w:val="0"/>
                  <w:vAlign w:val="center"/>
                </w:tcPr>
                <w:p w14:paraId="601DC75B">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500L</w:t>
                  </w:r>
                </w:p>
              </w:tc>
              <w:tc>
                <w:tcPr>
                  <w:tcW w:w="458" w:type="pct"/>
                  <w:vMerge w:val="restart"/>
                  <w:noWrap w:val="0"/>
                  <w:vAlign w:val="center"/>
                </w:tcPr>
                <w:p w14:paraId="3D50285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630" w:type="pct"/>
                  <w:vMerge w:val="restart"/>
                  <w:noWrap w:val="0"/>
                  <w:vAlign w:val="center"/>
                </w:tcPr>
                <w:p w14:paraId="364C55C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630" w:type="pct"/>
                  <w:vMerge w:val="restart"/>
                  <w:noWrap w:val="0"/>
                  <w:vAlign w:val="center"/>
                </w:tcPr>
                <w:p w14:paraId="6BAC883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630" w:type="pct"/>
                  <w:vMerge w:val="restart"/>
                  <w:noWrap w:val="0"/>
                  <w:vAlign w:val="center"/>
                </w:tcPr>
                <w:p w14:paraId="4848EB9A">
                  <w:pPr>
                    <w:adjustRightInd w:val="0"/>
                    <w:snapToGrid w:val="0"/>
                    <w:jc w:val="both"/>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废气治理，选用20%尿素溶液作为脱硝剂，喷淋量50L/h</w:t>
                  </w:r>
                  <w:r>
                    <w:rPr>
                      <w:rFonts w:hint="eastAsia" w:ascii="Times New Roman" w:hAnsi="Times New Roman" w:cs="Times New Roman"/>
                      <w:color w:val="000000" w:themeColor="text1"/>
                      <w:szCs w:val="21"/>
                      <w:lang w:val="en-US" w:eastAsia="zh-CN"/>
                      <w14:textFill>
                        <w14:solidFill>
                          <w14:schemeClr w14:val="tx1"/>
                        </w14:solidFill>
                      </w14:textFill>
                    </w:rPr>
                    <w:t>，炉内脱硝</w:t>
                  </w:r>
                  <w:r>
                    <w:rPr>
                      <w:rFonts w:hint="eastAsia" w:cs="Times New Roman"/>
                      <w:color w:val="000000" w:themeColor="text1"/>
                      <w:szCs w:val="21"/>
                      <w:lang w:val="en-US" w:eastAsia="zh-CN"/>
                      <w14:textFill>
                        <w14:solidFill>
                          <w14:schemeClr w14:val="tx1"/>
                        </w14:solidFill>
                      </w14:textFill>
                    </w:rPr>
                    <w:t>。</w:t>
                  </w:r>
                </w:p>
                <w:p w14:paraId="77A9F0F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5560C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016C02A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57039FC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1EB7359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054BFF38">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搅拌机</w:t>
                  </w:r>
                </w:p>
              </w:tc>
              <w:tc>
                <w:tcPr>
                  <w:tcW w:w="807" w:type="pct"/>
                  <w:noWrap w:val="0"/>
                  <w:vAlign w:val="center"/>
                </w:tcPr>
                <w:p w14:paraId="1991FCD9">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0.75kW</w:t>
                  </w:r>
                </w:p>
              </w:tc>
              <w:tc>
                <w:tcPr>
                  <w:tcW w:w="458" w:type="pct"/>
                  <w:vMerge w:val="continue"/>
                  <w:noWrap w:val="0"/>
                  <w:vAlign w:val="center"/>
                </w:tcPr>
                <w:p w14:paraId="0B9DDFA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3569A9A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5128794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70F070C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53A66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0" w:hRule="atLeast"/>
                <w:jc w:val="center"/>
              </w:trPr>
              <w:tc>
                <w:tcPr>
                  <w:tcW w:w="254" w:type="pct"/>
                  <w:vMerge w:val="continue"/>
                  <w:noWrap w:val="0"/>
                  <w:vAlign w:val="center"/>
                </w:tcPr>
                <w:p w14:paraId="68A86DE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4FDB9DE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2176481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6BA4CA58">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计量泵</w:t>
                  </w:r>
                </w:p>
              </w:tc>
              <w:tc>
                <w:tcPr>
                  <w:tcW w:w="807" w:type="pct"/>
                  <w:noWrap w:val="0"/>
                  <w:vAlign w:val="center"/>
                </w:tcPr>
                <w:p w14:paraId="5AC35F3C">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120L-0.5mpa</w:t>
                  </w:r>
                </w:p>
              </w:tc>
              <w:tc>
                <w:tcPr>
                  <w:tcW w:w="458" w:type="pct"/>
                  <w:vMerge w:val="continue"/>
                  <w:noWrap w:val="0"/>
                  <w:vAlign w:val="center"/>
                </w:tcPr>
                <w:p w14:paraId="2E6552D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794D339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6297290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0F8A1C6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2AF83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464EA5F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07710632">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4B1F26C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28E52C37">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脱硝喷枪</w:t>
                  </w:r>
                </w:p>
              </w:tc>
              <w:tc>
                <w:tcPr>
                  <w:tcW w:w="807" w:type="pct"/>
                  <w:noWrap w:val="0"/>
                  <w:vAlign w:val="center"/>
                </w:tcPr>
                <w:p w14:paraId="645C99CF">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458" w:type="pct"/>
                  <w:vMerge w:val="continue"/>
                  <w:noWrap w:val="0"/>
                  <w:vAlign w:val="center"/>
                </w:tcPr>
                <w:p w14:paraId="15218DA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2B14443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76EE77E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02EE25F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13912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27BAE9E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5B46862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56" w:type="pct"/>
                  <w:vMerge w:val="continue"/>
                  <w:noWrap w:val="0"/>
                  <w:vAlign w:val="center"/>
                </w:tcPr>
                <w:p w14:paraId="17B521F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772" w:type="pct"/>
                  <w:noWrap w:val="0"/>
                  <w:vAlign w:val="center"/>
                </w:tcPr>
                <w:p w14:paraId="2FB8D900">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加药桶</w:t>
                  </w:r>
                </w:p>
              </w:tc>
              <w:tc>
                <w:tcPr>
                  <w:tcW w:w="807" w:type="pct"/>
                  <w:noWrap w:val="0"/>
                  <w:vAlign w:val="center"/>
                </w:tcPr>
                <w:p w14:paraId="4BBFE910">
                  <w:pPr>
                    <w:pStyle w:val="183"/>
                    <w:bidi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500L</w:t>
                  </w:r>
                </w:p>
              </w:tc>
              <w:tc>
                <w:tcPr>
                  <w:tcW w:w="458" w:type="pct"/>
                  <w:vMerge w:val="continue"/>
                  <w:noWrap w:val="0"/>
                  <w:vAlign w:val="center"/>
                </w:tcPr>
                <w:p w14:paraId="09F63FA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046BDEA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223F438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30" w:type="pct"/>
                  <w:vMerge w:val="continue"/>
                  <w:noWrap w:val="0"/>
                  <w:vAlign w:val="center"/>
                </w:tcPr>
                <w:p w14:paraId="73BF2D7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43567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vMerge w:val="continue"/>
                  <w:noWrap w:val="0"/>
                  <w:vAlign w:val="center"/>
                </w:tcPr>
                <w:p w14:paraId="2F6F501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60" w:type="pct"/>
                  <w:vMerge w:val="continue"/>
                  <w:noWrap w:val="0"/>
                  <w:vAlign w:val="center"/>
                </w:tcPr>
                <w:p w14:paraId="1E6A3E3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228" w:type="pct"/>
                  <w:gridSpan w:val="2"/>
                  <w:noWrap w:val="0"/>
                  <w:vAlign w:val="center"/>
                </w:tcPr>
                <w:p w14:paraId="05038EB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布袋除尘器</w:t>
                  </w:r>
                </w:p>
              </w:tc>
              <w:tc>
                <w:tcPr>
                  <w:tcW w:w="807" w:type="pct"/>
                  <w:noWrap w:val="0"/>
                  <w:vAlign w:val="center"/>
                </w:tcPr>
                <w:p w14:paraId="6D777B2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58" w:type="pct"/>
                  <w:noWrap w:val="0"/>
                  <w:vAlign w:val="center"/>
                </w:tcPr>
                <w:p w14:paraId="741D183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630" w:type="pct"/>
                  <w:noWrap w:val="0"/>
                  <w:vAlign w:val="center"/>
                </w:tcPr>
                <w:p w14:paraId="56D3B11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1套</w:t>
                  </w:r>
                </w:p>
              </w:tc>
              <w:tc>
                <w:tcPr>
                  <w:tcW w:w="630" w:type="pct"/>
                  <w:noWrap w:val="0"/>
                  <w:vAlign w:val="center"/>
                </w:tcPr>
                <w:p w14:paraId="3EBD652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630" w:type="pct"/>
                  <w:noWrap w:val="0"/>
                  <w:vAlign w:val="center"/>
                </w:tcPr>
                <w:p w14:paraId="60AD34E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废气治理</w:t>
                  </w:r>
                </w:p>
              </w:tc>
            </w:tr>
            <w:tr w14:paraId="53444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2D5DA5B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360" w:type="pct"/>
                  <w:noWrap w:val="0"/>
                  <w:vAlign w:val="center"/>
                </w:tcPr>
                <w:p w14:paraId="2AC069F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软水制备系统</w:t>
                  </w:r>
                </w:p>
              </w:tc>
              <w:tc>
                <w:tcPr>
                  <w:tcW w:w="2035" w:type="pct"/>
                  <w:gridSpan w:val="3"/>
                  <w:noWrap w:val="0"/>
                  <w:vAlign w:val="center"/>
                </w:tcPr>
                <w:p w14:paraId="3E93D34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8000L</w:t>
                  </w:r>
                  <w:r>
                    <w:rPr>
                      <w:rFonts w:hint="eastAsia" w:ascii="Times New Roman" w:hAnsi="Times New Roman" w:cs="Times New Roman"/>
                      <w:color w:val="000000" w:themeColor="text1"/>
                      <w:szCs w:val="21"/>
                      <w:lang w:val="en-US" w:eastAsia="zh-CN"/>
                      <w14:textFill>
                        <w14:solidFill>
                          <w14:schemeClr w14:val="tx1"/>
                        </w14:solidFill>
                      </w14:textFill>
                    </w:rPr>
                    <w:t>/h</w:t>
                  </w:r>
                </w:p>
              </w:tc>
              <w:tc>
                <w:tcPr>
                  <w:tcW w:w="458" w:type="pct"/>
                  <w:noWrap w:val="0"/>
                  <w:vAlign w:val="center"/>
                </w:tcPr>
                <w:p w14:paraId="423A3E3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1套</w:t>
                  </w:r>
                </w:p>
              </w:tc>
              <w:tc>
                <w:tcPr>
                  <w:tcW w:w="630" w:type="pct"/>
                  <w:noWrap w:val="0"/>
                  <w:vAlign w:val="center"/>
                </w:tcPr>
                <w:p w14:paraId="27C2E74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1套</w:t>
                  </w:r>
                </w:p>
              </w:tc>
              <w:tc>
                <w:tcPr>
                  <w:tcW w:w="630" w:type="pct"/>
                  <w:noWrap w:val="0"/>
                  <w:vAlign w:val="center"/>
                </w:tcPr>
                <w:p w14:paraId="3AD7357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630" w:type="pct"/>
                  <w:noWrap w:val="0"/>
                  <w:vAlign w:val="center"/>
                </w:tcPr>
                <w:p w14:paraId="530F110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软水制备</w:t>
                  </w:r>
                </w:p>
              </w:tc>
            </w:tr>
          </w:tbl>
          <w:p w14:paraId="00F80D1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产品方案及原辅材料</w:t>
            </w:r>
          </w:p>
          <w:p w14:paraId="3CA913A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产品方案：锅炉用水量核算均按照270天，每天8h满负荷运行时进行核算，项目年运行2160h，故年产生蒸汽量约为4846t/a（</w:t>
            </w:r>
            <w:r>
              <w:rPr>
                <w:rFonts w:hint="eastAsia" w:ascii="Times New Roman" w:hAnsi="Times New Roman" w:cs="Times New Roman"/>
                <w:b/>
                <w:bCs/>
                <w:color w:val="000000" w:themeColor="text1"/>
                <w:sz w:val="24"/>
                <w:lang w:val="en-US" w:eastAsia="zh-CN"/>
                <w14:textFill>
                  <w14:solidFill>
                    <w14:schemeClr w14:val="tx1"/>
                  </w14:solidFill>
                </w14:textFill>
              </w:rPr>
              <w:t>按10%的</w:t>
            </w:r>
            <w:r>
              <w:rPr>
                <w:rFonts w:hint="eastAsia" w:cs="Times New Roman"/>
                <w:b/>
                <w:bCs/>
                <w:color w:val="000000" w:themeColor="text1"/>
                <w:sz w:val="24"/>
                <w:lang w:val="en-US" w:eastAsia="zh-CN"/>
                <w14:textFill>
                  <w14:solidFill>
                    <w14:schemeClr w14:val="tx1"/>
                  </w14:solidFill>
                </w14:textFill>
              </w:rPr>
              <w:t>蒸汽</w:t>
            </w:r>
            <w:r>
              <w:rPr>
                <w:rFonts w:hint="eastAsia" w:ascii="Times New Roman" w:hAnsi="Times New Roman" w:cs="Times New Roman"/>
                <w:b/>
                <w:bCs/>
                <w:color w:val="000000" w:themeColor="text1"/>
                <w:sz w:val="24"/>
                <w:lang w:val="en-US" w:eastAsia="zh-CN"/>
                <w14:textFill>
                  <w14:solidFill>
                    <w14:schemeClr w14:val="tx1"/>
                  </w14:solidFill>
                </w14:textFill>
              </w:rPr>
              <w:t>损耗计</w:t>
            </w:r>
            <w:r>
              <w:rPr>
                <w:rFonts w:hint="eastAsia" w:cs="Times New Roman"/>
                <w:color w:val="000000" w:themeColor="text1"/>
                <w:sz w:val="24"/>
                <w:lang w:val="en-US" w:eastAsia="zh-CN"/>
                <w14:textFill>
                  <w14:solidFill>
                    <w14:schemeClr w14:val="tx1"/>
                  </w14:solidFill>
                </w14:textFill>
              </w:rPr>
              <w:t>）。</w:t>
            </w:r>
          </w:p>
          <w:p w14:paraId="3CC8AC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主要原辅材料及其消耗量具体用量见表2-</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生物质燃料成分</w:t>
            </w:r>
            <w:r>
              <w:rPr>
                <w:rFonts w:hint="default" w:ascii="Times New Roman" w:hAnsi="Times New Roman" w:cs="Times New Roman"/>
                <w:color w:val="000000" w:themeColor="text1"/>
                <w:sz w:val="24"/>
                <w14:textFill>
                  <w14:solidFill>
                    <w14:schemeClr w14:val="tx1"/>
                  </w14:solidFill>
                </w14:textFill>
              </w:rPr>
              <w:t>见表2-</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p>
          <w:p w14:paraId="57C9A93F">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生物质用量核算：</w:t>
            </w:r>
            <w:r>
              <w:rPr>
                <w:rFonts w:hint="default" w:ascii="Times New Roman" w:hAnsi="Times New Roman" w:cs="Times New Roman"/>
                <w:color w:val="000000" w:themeColor="text1"/>
                <w:sz w:val="24"/>
                <w:lang w:val="en-US" w:eastAsia="zh-CN"/>
                <w14:textFill>
                  <w14:solidFill>
                    <w14:schemeClr w14:val="tx1"/>
                  </w14:solidFill>
                </w14:textFill>
              </w:rPr>
              <w:t>项目采用生物质燃料，</w:t>
            </w:r>
            <w:r>
              <w:rPr>
                <w:rFonts w:hint="eastAsia" w:cs="Times New Roman"/>
                <w:color w:val="000000" w:themeColor="text1"/>
                <w:sz w:val="24"/>
                <w:lang w:val="en-US" w:eastAsia="zh-CN"/>
                <w14:textFill>
                  <w14:solidFill>
                    <w14:schemeClr w14:val="tx1"/>
                  </w14:solidFill>
                </w14:textFill>
              </w:rPr>
              <w:t>按照锅炉满负荷运行核算，</w:t>
            </w:r>
            <w:r>
              <w:rPr>
                <w:rFonts w:hint="eastAsia" w:ascii="Times New Roman" w:hAnsi="Times New Roman" w:cs="Times New Roman"/>
                <w:color w:val="000000" w:themeColor="text1"/>
                <w:sz w:val="24"/>
                <w:lang w:val="en-US" w:eastAsia="zh-CN"/>
                <w14:textFill>
                  <w14:solidFill>
                    <w14:schemeClr w14:val="tx1"/>
                  </w14:solidFill>
                </w14:textFill>
              </w:rPr>
              <w:t>锅炉用软水量约为</w:t>
            </w:r>
            <w:r>
              <w:rPr>
                <w:rFonts w:hint="eastAsia" w:cs="Times New Roman"/>
                <w:color w:val="000000" w:themeColor="text1"/>
                <w:sz w:val="24"/>
                <w:lang w:val="en-US" w:eastAsia="zh-CN"/>
                <w14:textFill>
                  <w14:solidFill>
                    <w14:schemeClr w14:val="tx1"/>
                  </w14:solidFill>
                </w14:textFill>
              </w:rPr>
              <w:t>5400</w:t>
            </w:r>
            <w:r>
              <w:rPr>
                <w:rFonts w:hint="eastAsia" w:ascii="Times New Roman" w:hAnsi="Times New Roman" w:cs="Times New Roman"/>
                <w:color w:val="000000" w:themeColor="text1"/>
                <w:sz w:val="24"/>
                <w:lang w:val="en-US" w:eastAsia="zh-CN"/>
                <w14:textFill>
                  <w14:solidFill>
                    <w14:schemeClr w14:val="tx1"/>
                  </w14:solidFill>
                </w14:textFill>
              </w:rPr>
              <w:t>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/a，生物质成型燃料的热值取15.48MJ/kg，热效率为85%，1kg水从20℃到121℃蒸</w:t>
            </w:r>
            <w:r>
              <w:rPr>
                <w:rFonts w:hint="eastAsia" w:cs="Times New Roman"/>
                <w:color w:val="000000" w:themeColor="text1"/>
                <w:sz w:val="24"/>
                <w:lang w:val="en-US" w:eastAsia="zh-CN"/>
                <w14:textFill>
                  <w14:solidFill>
                    <w14:schemeClr w14:val="tx1"/>
                  </w14:solidFill>
                </w14:textFill>
              </w:rPr>
              <w:t>气</w:t>
            </w:r>
            <w:r>
              <w:rPr>
                <w:rFonts w:hint="eastAsia" w:ascii="Times New Roman" w:hAnsi="Times New Roman" w:cs="Times New Roman"/>
                <w:color w:val="000000" w:themeColor="text1"/>
                <w:sz w:val="24"/>
                <w:lang w:val="en-US" w:eastAsia="zh-CN"/>
                <w14:textFill>
                  <w14:solidFill>
                    <w14:schemeClr w14:val="tx1"/>
                  </w14:solidFill>
                </w14:textFill>
              </w:rPr>
              <w:t>大约需要2634kJ的热量，则</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需</w:t>
            </w:r>
            <w:r>
              <w:rPr>
                <w:rFonts w:hint="default" w:ascii="Times New Roman" w:hAnsi="Times New Roman" w:cs="Times New Roman"/>
                <w:color w:val="000000" w:themeColor="text1"/>
                <w:sz w:val="24"/>
                <w:lang w:val="en-US" w:eastAsia="zh-CN"/>
                <w14:textFill>
                  <w14:solidFill>
                    <w14:schemeClr w14:val="tx1"/>
                  </w14:solidFill>
                </w14:textFill>
              </w:rPr>
              <w:t>生物质量</w:t>
            </w:r>
            <w:r>
              <w:rPr>
                <w:rFonts w:hint="eastAsia" w:ascii="Times New Roman" w:hAnsi="Times New Roman" w:cs="Times New Roman"/>
                <w:color w:val="000000" w:themeColor="text1"/>
                <w:sz w:val="24"/>
                <w:lang w:val="en-US" w:eastAsia="zh-CN"/>
                <w14:textFill>
                  <w14:solidFill>
                    <w14:schemeClr w14:val="tx1"/>
                  </w14:solidFill>
                </w14:textFill>
              </w:rPr>
              <w:t>约</w:t>
            </w:r>
            <w:r>
              <w:rPr>
                <w:rFonts w:hint="default" w:ascii="Times New Roman" w:hAnsi="Times New Roman" w:cs="Times New Roman"/>
                <w:color w:val="000000" w:themeColor="text1"/>
                <w:sz w:val="24"/>
                <w:lang w:val="en-US" w:eastAsia="zh-CN"/>
                <w14:textFill>
                  <w14:solidFill>
                    <w14:schemeClr w14:val="tx1"/>
                  </w14:solidFill>
                </w14:textFill>
              </w:rPr>
              <w:t>为</w:t>
            </w:r>
            <w:r>
              <w:rPr>
                <w:rFonts w:hint="eastAsia" w:cs="Times New Roman"/>
                <w:color w:val="000000" w:themeColor="text1"/>
                <w:sz w:val="24"/>
                <w:lang w:val="en-US" w:eastAsia="zh-CN"/>
                <w14:textFill>
                  <w14:solidFill>
                    <w14:schemeClr w14:val="tx1"/>
                  </w14:solidFill>
                </w14:textFill>
              </w:rPr>
              <w:t>1081</w:t>
            </w:r>
            <w:r>
              <w:rPr>
                <w:rFonts w:hint="default" w:ascii="Times New Roman" w:hAnsi="Times New Roman" w:cs="Times New Roman"/>
                <w:color w:val="000000" w:themeColor="text1"/>
                <w:sz w:val="24"/>
                <w:lang w:val="en-US" w:eastAsia="zh-CN"/>
                <w14:textFill>
                  <w14:solidFill>
                    <w14:schemeClr w14:val="tx1"/>
                  </w14:solidFill>
                </w14:textFill>
              </w:rPr>
              <w:t>t。</w:t>
            </w:r>
          </w:p>
          <w:p w14:paraId="48B19FD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尿素用量核算：</w:t>
            </w:r>
            <w:r>
              <w:rPr>
                <w:rFonts w:hint="default" w:ascii="Times New Roman" w:hAnsi="Times New Roman" w:cs="Times New Roman"/>
                <w:color w:val="000000" w:themeColor="text1"/>
                <w:sz w:val="24"/>
                <w:lang w:val="en-US" w:eastAsia="zh-CN"/>
                <w14:textFill>
                  <w14:solidFill>
                    <w14:schemeClr w14:val="tx1"/>
                  </w14:solidFill>
                </w14:textFill>
              </w:rPr>
              <w:t>项目选用浓度为20%尿素溶液作为脱硝剂，喷淋量为50L/h，年运行时间为</w:t>
            </w:r>
            <w:r>
              <w:rPr>
                <w:rFonts w:hint="eastAsia" w:cs="Times New Roman"/>
                <w:color w:val="000000" w:themeColor="text1"/>
                <w:sz w:val="24"/>
                <w:lang w:val="en-US" w:eastAsia="zh-CN"/>
                <w14:textFill>
                  <w14:solidFill>
                    <w14:schemeClr w14:val="tx1"/>
                  </w14:solidFill>
                </w14:textFill>
              </w:rPr>
              <w:t>2160</w:t>
            </w:r>
            <w:r>
              <w:rPr>
                <w:rFonts w:hint="default" w:ascii="Times New Roman" w:hAnsi="Times New Roman" w:cs="Times New Roman"/>
                <w:color w:val="000000" w:themeColor="text1"/>
                <w:sz w:val="24"/>
                <w:lang w:val="en-US" w:eastAsia="zh-CN"/>
                <w14:textFill>
                  <w14:solidFill>
                    <w14:schemeClr w14:val="tx1"/>
                  </w14:solidFill>
                </w14:textFill>
              </w:rPr>
              <w:t>h，则尿素溶液喷淋量为</w:t>
            </w:r>
            <w:r>
              <w:rPr>
                <w:rFonts w:hint="eastAsia" w:cs="Times New Roman"/>
                <w:color w:val="000000" w:themeColor="text1"/>
                <w:sz w:val="24"/>
                <w:lang w:val="en-US" w:eastAsia="zh-CN"/>
                <w14:textFill>
                  <w14:solidFill>
                    <w14:schemeClr w14:val="tx1"/>
                  </w14:solidFill>
                </w14:textFill>
              </w:rPr>
              <w:t>10.8</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L/a。按照常温25℃时浓度为20%的尿素密度为1.05g/cm³进行计算，尿素溶液喷淋量为</w:t>
            </w:r>
            <w:r>
              <w:rPr>
                <w:rFonts w:hint="eastAsia" w:cs="Times New Roman"/>
                <w:color w:val="000000" w:themeColor="text1"/>
                <w:sz w:val="24"/>
                <w:lang w:val="en-US" w:eastAsia="zh-CN"/>
                <w14:textFill>
                  <w14:solidFill>
                    <w14:schemeClr w14:val="tx1"/>
                  </w14:solidFill>
                </w14:textFill>
              </w:rPr>
              <w:t>112.40</w:t>
            </w:r>
            <w:r>
              <w:rPr>
                <w:rFonts w:hint="default" w:ascii="Times New Roman" w:hAnsi="Times New Roman" w:cs="Times New Roman"/>
                <w:color w:val="000000" w:themeColor="text1"/>
                <w:sz w:val="24"/>
                <w:lang w:val="en-US" w:eastAsia="zh-CN"/>
                <w14:textFill>
                  <w14:solidFill>
                    <w14:schemeClr w14:val="tx1"/>
                  </w14:solidFill>
                </w14:textFill>
              </w:rPr>
              <w:t>t/a，则尿素用量为</w:t>
            </w:r>
            <w:r>
              <w:rPr>
                <w:rFonts w:hint="eastAsia" w:cs="Times New Roman"/>
                <w:color w:val="000000" w:themeColor="text1"/>
                <w:sz w:val="24"/>
                <w:lang w:val="en-US" w:eastAsia="zh-CN"/>
                <w14:textFill>
                  <w14:solidFill>
                    <w14:schemeClr w14:val="tx1"/>
                  </w14:solidFill>
                </w14:textFill>
              </w:rPr>
              <w:t>22.68</w:t>
            </w:r>
            <w:r>
              <w:rPr>
                <w:rFonts w:hint="default" w:ascii="Times New Roman" w:hAnsi="Times New Roman" w:cs="Times New Roman"/>
                <w:color w:val="000000" w:themeColor="text1"/>
                <w:sz w:val="24"/>
                <w:lang w:val="en-US" w:eastAsia="zh-CN"/>
                <w14:textFill>
                  <w14:solidFill>
                    <w14:schemeClr w14:val="tx1"/>
                  </w14:solidFill>
                </w14:textFill>
              </w:rPr>
              <w:t>t/a，配制用水量为</w:t>
            </w:r>
            <w:r>
              <w:rPr>
                <w:rFonts w:hint="eastAsia" w:cs="Times New Roman"/>
                <w:color w:val="000000" w:themeColor="text1"/>
                <w:sz w:val="24"/>
                <w:lang w:val="en-US" w:eastAsia="zh-CN"/>
                <w14:textFill>
                  <w14:solidFill>
                    <w14:schemeClr w14:val="tx1"/>
                  </w14:solidFill>
                </w14:textFill>
              </w:rPr>
              <w:t>90.72</w:t>
            </w:r>
            <w:r>
              <w:rPr>
                <w:rFonts w:hint="default" w:ascii="Times New Roman" w:hAnsi="Times New Roman" w:cs="Times New Roman"/>
                <w:color w:val="000000" w:themeColor="text1"/>
                <w:sz w:val="24"/>
                <w:lang w:val="en-US" w:eastAsia="zh-CN"/>
                <w14:textFill>
                  <w14:solidFill>
                    <w14:schemeClr w14:val="tx1"/>
                  </w14:solidFill>
                </w14:textFill>
              </w:rPr>
              <w:t>m³/a。</w:t>
            </w:r>
          </w:p>
          <w:p w14:paraId="482B6236">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4</w:t>
            </w:r>
            <w:r>
              <w:rPr>
                <w:rFonts w:hint="default" w:ascii="Times New Roman" w:hAnsi="Times New Roman" w:cs="Times New Roman"/>
                <w:b/>
                <w:color w:val="000000" w:themeColor="text1"/>
                <w:sz w:val="21"/>
                <w:szCs w:val="21"/>
                <w14:textFill>
                  <w14:solidFill>
                    <w14:schemeClr w14:val="tx1"/>
                  </w14:solidFill>
                </w14:textFill>
              </w:rPr>
              <w:t xml:space="preserve">  原辅材料总消耗量</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0"/>
              <w:gridCol w:w="1029"/>
              <w:gridCol w:w="646"/>
              <w:gridCol w:w="1578"/>
              <w:gridCol w:w="1339"/>
              <w:gridCol w:w="1534"/>
              <w:gridCol w:w="1778"/>
            </w:tblGrid>
            <w:tr w14:paraId="427D2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0938190D">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序号</w:t>
                  </w:r>
                </w:p>
              </w:tc>
              <w:tc>
                <w:tcPr>
                  <w:tcW w:w="613" w:type="pct"/>
                  <w:noWrap w:val="0"/>
                  <w:vAlign w:val="center"/>
                </w:tcPr>
                <w:p w14:paraId="79E8E980">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385" w:type="pct"/>
                  <w:noWrap w:val="0"/>
                  <w:vAlign w:val="center"/>
                </w:tcPr>
                <w:p w14:paraId="4EC9583B">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单位</w:t>
                  </w:r>
                </w:p>
              </w:tc>
              <w:tc>
                <w:tcPr>
                  <w:tcW w:w="940" w:type="pct"/>
                  <w:noWrap w:val="0"/>
                  <w:vAlign w:val="center"/>
                </w:tcPr>
                <w:p w14:paraId="17273C33">
                  <w:pPr>
                    <w:adjustRightInd w:val="0"/>
                    <w:snapToGrid w:val="0"/>
                    <w:jc w:val="center"/>
                    <w:rPr>
                      <w:rFonts w:hint="default" w:ascii="Times New Roman" w:hAnsi="Times New Roman" w:cs="Times New Roman"/>
                      <w:b/>
                      <w:color w:val="000000" w:themeColor="text1"/>
                      <w:szCs w:val="21"/>
                      <w:lang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改造前用量</w:t>
                  </w:r>
                </w:p>
              </w:tc>
              <w:tc>
                <w:tcPr>
                  <w:tcW w:w="798" w:type="pct"/>
                  <w:noWrap w:val="0"/>
                  <w:vAlign w:val="center"/>
                </w:tcPr>
                <w:p w14:paraId="250142D3">
                  <w:pPr>
                    <w:adjustRightInd w:val="0"/>
                    <w:snapToGrid w:val="0"/>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改造后用量</w:t>
                  </w:r>
                </w:p>
              </w:tc>
              <w:tc>
                <w:tcPr>
                  <w:tcW w:w="914" w:type="pct"/>
                  <w:noWrap w:val="0"/>
                  <w:vAlign w:val="center"/>
                </w:tcPr>
                <w:p w14:paraId="46818AF9">
                  <w:pPr>
                    <w:adjustRightInd w:val="0"/>
                    <w:snapToGrid w:val="0"/>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增减量</w:t>
                  </w:r>
                </w:p>
              </w:tc>
              <w:tc>
                <w:tcPr>
                  <w:tcW w:w="1059" w:type="pct"/>
                  <w:noWrap w:val="0"/>
                  <w:vAlign w:val="center"/>
                </w:tcPr>
                <w:p w14:paraId="5167BD32">
                  <w:pPr>
                    <w:adjustRightInd w:val="0"/>
                    <w:snapToGrid w:val="0"/>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备注</w:t>
                  </w:r>
                </w:p>
              </w:tc>
            </w:tr>
            <w:tr w14:paraId="190FA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6" w:type="pct"/>
                  <w:noWrap w:val="0"/>
                  <w:vAlign w:val="center"/>
                </w:tcPr>
                <w:p w14:paraId="7431525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613" w:type="pct"/>
                  <w:noWrap w:val="0"/>
                  <w:vAlign w:val="center"/>
                </w:tcPr>
                <w:p w14:paraId="75E788ED">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生物质燃料</w:t>
                  </w:r>
                </w:p>
              </w:tc>
              <w:tc>
                <w:tcPr>
                  <w:tcW w:w="385" w:type="pct"/>
                  <w:noWrap w:val="0"/>
                  <w:vAlign w:val="center"/>
                </w:tcPr>
                <w:p w14:paraId="3922F243">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940" w:type="pct"/>
                  <w:noWrap w:val="0"/>
                  <w:vAlign w:val="center"/>
                </w:tcPr>
                <w:p w14:paraId="2B23BEAA">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600</w:t>
                  </w:r>
                </w:p>
              </w:tc>
              <w:tc>
                <w:tcPr>
                  <w:tcW w:w="798" w:type="pct"/>
                  <w:noWrap w:val="0"/>
                  <w:vAlign w:val="center"/>
                </w:tcPr>
                <w:p w14:paraId="19AE5CC6">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1081</w:t>
                  </w:r>
                </w:p>
              </w:tc>
              <w:tc>
                <w:tcPr>
                  <w:tcW w:w="914" w:type="pct"/>
                  <w:noWrap w:val="0"/>
                  <w:vAlign w:val="center"/>
                </w:tcPr>
                <w:p w14:paraId="12442107">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+481</w:t>
                  </w:r>
                </w:p>
              </w:tc>
              <w:tc>
                <w:tcPr>
                  <w:tcW w:w="1059" w:type="pct"/>
                  <w:noWrap w:val="0"/>
                  <w:vAlign w:val="center"/>
                </w:tcPr>
                <w:p w14:paraId="702D2FCB">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外购，袋装，50kg/袋，颗粒状</w:t>
                  </w:r>
                </w:p>
              </w:tc>
            </w:tr>
            <w:tr w14:paraId="1F5BBE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6" w:type="pct"/>
                  <w:noWrap w:val="0"/>
                  <w:vAlign w:val="center"/>
                </w:tcPr>
                <w:p w14:paraId="77AE547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613" w:type="pct"/>
                  <w:noWrap w:val="0"/>
                  <w:vAlign w:val="center"/>
                </w:tcPr>
                <w:p w14:paraId="24419368">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尿素</w:t>
                  </w:r>
                </w:p>
              </w:tc>
              <w:tc>
                <w:tcPr>
                  <w:tcW w:w="385" w:type="pct"/>
                  <w:noWrap w:val="0"/>
                  <w:vAlign w:val="center"/>
                </w:tcPr>
                <w:p w14:paraId="39D2BDB2">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940" w:type="pct"/>
                  <w:noWrap w:val="0"/>
                  <w:vAlign w:val="center"/>
                </w:tcPr>
                <w:p w14:paraId="2599EADE">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798" w:type="pct"/>
                  <w:noWrap w:val="0"/>
                  <w:vAlign w:val="center"/>
                </w:tcPr>
                <w:p w14:paraId="54EDCDA5">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22.68</w:t>
                  </w:r>
                </w:p>
              </w:tc>
              <w:tc>
                <w:tcPr>
                  <w:tcW w:w="914" w:type="pct"/>
                  <w:noWrap w:val="0"/>
                  <w:vAlign w:val="center"/>
                </w:tcPr>
                <w:p w14:paraId="7AD538EF">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22.68</w:t>
                  </w:r>
                </w:p>
              </w:tc>
              <w:tc>
                <w:tcPr>
                  <w:tcW w:w="1059" w:type="pct"/>
                  <w:noWrap w:val="0"/>
                  <w:vAlign w:val="center"/>
                </w:tcPr>
                <w:p w14:paraId="33CDBD79">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外购，袋装，50kg/袋，固体</w:t>
                  </w:r>
                </w:p>
              </w:tc>
            </w:tr>
            <w:tr w14:paraId="23984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6" w:type="pct"/>
                  <w:noWrap w:val="0"/>
                  <w:vAlign w:val="center"/>
                </w:tcPr>
                <w:p w14:paraId="0B8D434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613" w:type="pct"/>
                  <w:noWrap w:val="0"/>
                  <w:vAlign w:val="center"/>
                </w:tcPr>
                <w:p w14:paraId="1482105F">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新鲜水</w:t>
                  </w:r>
                </w:p>
              </w:tc>
              <w:tc>
                <w:tcPr>
                  <w:tcW w:w="385" w:type="pct"/>
                  <w:noWrap w:val="0"/>
                  <w:vAlign w:val="center"/>
                </w:tcPr>
                <w:p w14:paraId="5D71DBFF">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m³/a</w:t>
                  </w:r>
                </w:p>
              </w:tc>
              <w:tc>
                <w:tcPr>
                  <w:tcW w:w="940" w:type="pct"/>
                  <w:noWrap w:val="0"/>
                  <w:vAlign w:val="center"/>
                </w:tcPr>
                <w:p w14:paraId="6B316B2A">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3292</w:t>
                  </w:r>
                </w:p>
              </w:tc>
              <w:tc>
                <w:tcPr>
                  <w:tcW w:w="798" w:type="pct"/>
                  <w:noWrap w:val="0"/>
                  <w:vAlign w:val="center"/>
                </w:tcPr>
                <w:p w14:paraId="00B2D87F">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6090.72</w:t>
                  </w:r>
                </w:p>
              </w:tc>
              <w:tc>
                <w:tcPr>
                  <w:tcW w:w="914" w:type="pct"/>
                  <w:noWrap w:val="0"/>
                  <w:vAlign w:val="center"/>
                </w:tcPr>
                <w:p w14:paraId="4B6A25C6">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2798.72</w:t>
                  </w:r>
                </w:p>
              </w:tc>
              <w:tc>
                <w:tcPr>
                  <w:tcW w:w="1059" w:type="pct"/>
                  <w:noWrap w:val="0"/>
                  <w:vAlign w:val="center"/>
                </w:tcPr>
                <w:p w14:paraId="4AAFE1CE">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14:paraId="0DE93D5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①生物质燃料成分：</w:t>
            </w:r>
          </w:p>
          <w:p w14:paraId="5AF9BF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生物质燃料成分表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8"/>
              <w:gridCol w:w="2930"/>
              <w:gridCol w:w="1290"/>
              <w:gridCol w:w="1639"/>
              <w:gridCol w:w="1857"/>
            </w:tblGrid>
            <w:tr w14:paraId="6DAE9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98" w:type="pct"/>
                  <w:noWrap w:val="0"/>
                  <w:vAlign w:val="center"/>
                </w:tcPr>
                <w:p w14:paraId="241AC60B">
                  <w:pPr>
                    <w:pStyle w:val="165"/>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1747" w:type="pct"/>
                  <w:noWrap w:val="0"/>
                  <w:vAlign w:val="center"/>
                </w:tcPr>
                <w:p w14:paraId="4217BB3C">
                  <w:pPr>
                    <w:pStyle w:val="165"/>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w:t>
                  </w:r>
                </w:p>
              </w:tc>
              <w:tc>
                <w:tcPr>
                  <w:tcW w:w="769" w:type="pct"/>
                  <w:noWrap w:val="0"/>
                  <w:vAlign w:val="center"/>
                </w:tcPr>
                <w:p w14:paraId="7711C0D3">
                  <w:pPr>
                    <w:pStyle w:val="165"/>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技术要求</w:t>
                  </w:r>
                </w:p>
              </w:tc>
              <w:tc>
                <w:tcPr>
                  <w:tcW w:w="977" w:type="pct"/>
                  <w:noWrap w:val="0"/>
                  <w:vAlign w:val="center"/>
                </w:tcPr>
                <w:p w14:paraId="36C3A2F2">
                  <w:pPr>
                    <w:pStyle w:val="165"/>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单位</w:t>
                  </w:r>
                </w:p>
              </w:tc>
              <w:tc>
                <w:tcPr>
                  <w:tcW w:w="1107" w:type="pct"/>
                  <w:noWrap w:val="0"/>
                  <w:vAlign w:val="center"/>
                </w:tcPr>
                <w:p w14:paraId="62B865C8">
                  <w:pPr>
                    <w:pStyle w:val="165"/>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实测值</w:t>
                  </w:r>
                </w:p>
              </w:tc>
            </w:tr>
            <w:tr w14:paraId="5D65F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noWrap w:val="0"/>
                  <w:vAlign w:val="center"/>
                </w:tcPr>
                <w:p w14:paraId="44105637">
                  <w:pPr>
                    <w:pStyle w:val="165"/>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747" w:type="pct"/>
                  <w:noWrap w:val="0"/>
                  <w:vAlign w:val="center"/>
                </w:tcPr>
                <w:p w14:paraId="52E17D71">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堆积密度</w:t>
                  </w:r>
                </w:p>
              </w:tc>
              <w:tc>
                <w:tcPr>
                  <w:tcW w:w="769" w:type="pct"/>
                  <w:noWrap w:val="0"/>
                  <w:vAlign w:val="center"/>
                </w:tcPr>
                <w:p w14:paraId="0ADFAA59">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≥500</w:t>
                  </w:r>
                </w:p>
              </w:tc>
              <w:tc>
                <w:tcPr>
                  <w:tcW w:w="977" w:type="pct"/>
                  <w:noWrap w:val="0"/>
                  <w:vAlign w:val="center"/>
                </w:tcPr>
                <w:p w14:paraId="04925B10">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kg</w:t>
                  </w:r>
                  <w:r>
                    <w:rPr>
                      <w:rFonts w:hint="default" w:ascii="Times New Roman" w:hAnsi="Times New Roman" w:cs="Times New Roman"/>
                      <w:color w:val="000000" w:themeColor="text1"/>
                      <w:szCs w:val="21"/>
                      <w:lang w:val="en-US" w:eastAsia="zh-CN"/>
                      <w14:textFill>
                        <w14:solidFill>
                          <w14:schemeClr w14:val="tx1"/>
                        </w14:solidFill>
                      </w14:textFill>
                    </w:rPr>
                    <w:t>/m³</w:t>
                  </w:r>
                </w:p>
              </w:tc>
              <w:tc>
                <w:tcPr>
                  <w:tcW w:w="1107" w:type="pct"/>
                  <w:noWrap w:val="0"/>
                  <w:vAlign w:val="center"/>
                </w:tcPr>
                <w:p w14:paraId="78F78458">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629.6</w:t>
                  </w:r>
                </w:p>
              </w:tc>
            </w:tr>
            <w:tr w14:paraId="042D0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noWrap w:val="0"/>
                  <w:vAlign w:val="center"/>
                </w:tcPr>
                <w:p w14:paraId="1DB1F164">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1747" w:type="pct"/>
                  <w:noWrap w:val="0"/>
                  <w:vAlign w:val="center"/>
                </w:tcPr>
                <w:p w14:paraId="0EAE6771">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全水分（收到基）</w:t>
                  </w:r>
                </w:p>
              </w:tc>
              <w:tc>
                <w:tcPr>
                  <w:tcW w:w="769" w:type="pct"/>
                  <w:noWrap w:val="0"/>
                  <w:vAlign w:val="center"/>
                </w:tcPr>
                <w:p w14:paraId="54D4C6A2">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977" w:type="pct"/>
                  <w:noWrap w:val="0"/>
                  <w:vAlign w:val="center"/>
                </w:tcPr>
                <w:p w14:paraId="700B7B4C">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07" w:type="pct"/>
                  <w:noWrap w:val="0"/>
                  <w:vAlign w:val="center"/>
                </w:tcPr>
                <w:p w14:paraId="5786CE64">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8.8</w:t>
                  </w:r>
                </w:p>
              </w:tc>
            </w:tr>
            <w:tr w14:paraId="29DF4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noWrap w:val="0"/>
                  <w:vAlign w:val="center"/>
                </w:tcPr>
                <w:p w14:paraId="683F52B9">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1747" w:type="pct"/>
                  <w:noWrap w:val="0"/>
                  <w:vAlign w:val="center"/>
                </w:tcPr>
                <w:p w14:paraId="52BE798F">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灰分（干燥基）</w:t>
                  </w:r>
                </w:p>
              </w:tc>
              <w:tc>
                <w:tcPr>
                  <w:tcW w:w="769" w:type="pct"/>
                  <w:noWrap w:val="0"/>
                  <w:vAlign w:val="center"/>
                </w:tcPr>
                <w:p w14:paraId="739EE524">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977" w:type="pct"/>
                  <w:noWrap w:val="0"/>
                  <w:vAlign w:val="center"/>
                </w:tcPr>
                <w:p w14:paraId="189B7170">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07" w:type="pct"/>
                  <w:noWrap w:val="0"/>
                  <w:vAlign w:val="center"/>
                </w:tcPr>
                <w:p w14:paraId="40A62922">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w:t>
                  </w:r>
                </w:p>
              </w:tc>
            </w:tr>
            <w:tr w14:paraId="7491E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noWrap w:val="0"/>
                  <w:vAlign w:val="center"/>
                </w:tcPr>
                <w:p w14:paraId="15C93DFA">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1747" w:type="pct"/>
                  <w:noWrap w:val="0"/>
                  <w:vAlign w:val="center"/>
                </w:tcPr>
                <w:p w14:paraId="1E50155E">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收到基低位发热量</w:t>
                  </w:r>
                </w:p>
              </w:tc>
              <w:tc>
                <w:tcPr>
                  <w:tcW w:w="769" w:type="pct"/>
                  <w:noWrap w:val="0"/>
                  <w:vAlign w:val="center"/>
                </w:tcPr>
                <w:p w14:paraId="02849841">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≥14.6</w:t>
                  </w:r>
                </w:p>
              </w:tc>
              <w:tc>
                <w:tcPr>
                  <w:tcW w:w="977" w:type="pct"/>
                  <w:noWrap w:val="0"/>
                  <w:vAlign w:val="center"/>
                </w:tcPr>
                <w:p w14:paraId="216B17C9">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MJ/kg</w:t>
                  </w:r>
                </w:p>
              </w:tc>
              <w:tc>
                <w:tcPr>
                  <w:tcW w:w="1107" w:type="pct"/>
                  <w:noWrap w:val="0"/>
                  <w:vAlign w:val="center"/>
                </w:tcPr>
                <w:p w14:paraId="2D60D8A1">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15.48</w:t>
                  </w:r>
                </w:p>
              </w:tc>
            </w:tr>
            <w:tr w14:paraId="3C8B5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noWrap w:val="0"/>
                  <w:vAlign w:val="center"/>
                </w:tcPr>
                <w:p w14:paraId="2BB79F7E">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747" w:type="pct"/>
                  <w:noWrap w:val="0"/>
                  <w:vAlign w:val="center"/>
                </w:tcPr>
                <w:p w14:paraId="6B60EEEC">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氮（N，干燥基）</w:t>
                  </w:r>
                </w:p>
              </w:tc>
              <w:tc>
                <w:tcPr>
                  <w:tcW w:w="769" w:type="pct"/>
                  <w:noWrap w:val="0"/>
                  <w:vAlign w:val="center"/>
                </w:tcPr>
                <w:p w14:paraId="0A202B56">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977" w:type="pct"/>
                  <w:noWrap w:val="0"/>
                  <w:vAlign w:val="center"/>
                </w:tcPr>
                <w:p w14:paraId="50E06B10">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07" w:type="pct"/>
                  <w:noWrap w:val="0"/>
                  <w:vAlign w:val="center"/>
                </w:tcPr>
                <w:p w14:paraId="0039D843">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0.93</w:t>
                  </w:r>
                </w:p>
              </w:tc>
            </w:tr>
            <w:tr w14:paraId="6E266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noWrap w:val="0"/>
                  <w:vAlign w:val="center"/>
                </w:tcPr>
                <w:p w14:paraId="11CC4315">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1747" w:type="pct"/>
                  <w:noWrap w:val="0"/>
                  <w:vAlign w:val="center"/>
                </w:tcPr>
                <w:p w14:paraId="03B3479B">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硫（S，干燥基）</w:t>
                  </w:r>
                </w:p>
              </w:tc>
              <w:tc>
                <w:tcPr>
                  <w:tcW w:w="769" w:type="pct"/>
                  <w:noWrap w:val="0"/>
                  <w:vAlign w:val="center"/>
                </w:tcPr>
                <w:p w14:paraId="4F2F55A5">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p>
              </w:tc>
              <w:tc>
                <w:tcPr>
                  <w:tcW w:w="977" w:type="pct"/>
                  <w:noWrap w:val="0"/>
                  <w:vAlign w:val="center"/>
                </w:tcPr>
                <w:p w14:paraId="6060045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07" w:type="pct"/>
                  <w:noWrap w:val="0"/>
                  <w:vAlign w:val="center"/>
                </w:tcPr>
                <w:p w14:paraId="19E53C6E">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0.06</w:t>
                  </w:r>
                </w:p>
              </w:tc>
            </w:tr>
            <w:tr w14:paraId="09697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98" w:type="pct"/>
                  <w:noWrap w:val="0"/>
                  <w:vAlign w:val="center"/>
                </w:tcPr>
                <w:p w14:paraId="401BFCAD">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1747" w:type="pct"/>
                  <w:noWrap w:val="0"/>
                  <w:vAlign w:val="center"/>
                </w:tcPr>
                <w:p w14:paraId="57839B6B">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氯（CL，干燥基）</w:t>
                  </w:r>
                </w:p>
              </w:tc>
              <w:tc>
                <w:tcPr>
                  <w:tcW w:w="769" w:type="pct"/>
                  <w:noWrap w:val="0"/>
                  <w:vAlign w:val="center"/>
                </w:tcPr>
                <w:p w14:paraId="5A9A4282">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≤0.03</w:t>
                  </w:r>
                </w:p>
              </w:tc>
              <w:tc>
                <w:tcPr>
                  <w:tcW w:w="977" w:type="pct"/>
                  <w:noWrap w:val="0"/>
                  <w:vAlign w:val="center"/>
                </w:tcPr>
                <w:p w14:paraId="4DCA9B12">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07" w:type="pct"/>
                  <w:noWrap w:val="0"/>
                  <w:vAlign w:val="center"/>
                </w:tcPr>
                <w:p w14:paraId="3DEFBC98">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0.017</w:t>
                  </w:r>
                </w:p>
              </w:tc>
            </w:tr>
          </w:tbl>
          <w:p w14:paraId="3E88272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②尿素：又称碳酰胺（carbamide），分子式为CO（NH</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，是由碳、氮、氧、氢组成的有机化合物</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是一种白色晶体。最简单的有机化合物之一，是哺乳动物和某些鱼类体内蛋白质代谢分解的主要含氮终产物</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也是目前含氮量最高的氮肥。同时可作为脱硝剂使用，本项目使用尿素作为脱硝剂。</w:t>
            </w:r>
          </w:p>
          <w:p w14:paraId="145B71BF">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水平衡分析</w:t>
            </w:r>
          </w:p>
          <w:p w14:paraId="31171AE2">
            <w:pPr>
              <w:widowControl/>
              <w:adjustRightInd w:val="0"/>
              <w:snapToGrid w:val="0"/>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生活用水：</w:t>
            </w:r>
            <w:r>
              <w:rPr>
                <w:rFonts w:hint="default" w:ascii="Times New Roman" w:hAnsi="Times New Roman" w:eastAsia="宋体" w:cs="Times New Roman"/>
                <w:color w:val="000000" w:themeColor="text1"/>
                <w:sz w:val="24"/>
                <w:lang w:val="en-US" w:eastAsia="zh-CN"/>
                <w14:textFill>
                  <w14:solidFill>
                    <w14:schemeClr w14:val="tx1"/>
                  </w14:solidFill>
                </w14:textFill>
              </w:rPr>
              <w:t>本项目无新</w:t>
            </w:r>
            <w:r>
              <w:rPr>
                <w:rFonts w:hint="default" w:ascii="Times New Roman" w:hAnsi="Times New Roman" w:cs="Times New Roman"/>
                <w:color w:val="000000" w:themeColor="text1"/>
                <w:sz w:val="24"/>
                <w:lang w:val="en-US" w:eastAsia="zh-CN"/>
                <w14:textFill>
                  <w14:solidFill>
                    <w14:schemeClr w14:val="tx1"/>
                  </w14:solidFill>
                </w14:textFill>
              </w:rPr>
              <w:t>增员工，</w:t>
            </w:r>
            <w:r>
              <w:rPr>
                <w:rFonts w:hint="eastAsia" w:ascii="Times New Roman" w:hAnsi="Times New Roman" w:cs="Times New Roman"/>
                <w:color w:val="000000" w:themeColor="text1"/>
                <w:sz w:val="24"/>
                <w:lang w:val="en-US" w:eastAsia="zh-CN"/>
                <w14:textFill>
                  <w14:solidFill>
                    <w14:schemeClr w14:val="tx1"/>
                  </w14:solidFill>
                </w14:textFill>
              </w:rPr>
              <w:t>无新增生活用水及生活污水排放；</w:t>
            </w:r>
          </w:p>
          <w:p w14:paraId="5DC8BC8A">
            <w:pPr>
              <w:widowControl/>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生产用水：</w:t>
            </w:r>
            <w:r>
              <w:rPr>
                <w:rFonts w:hint="default" w:ascii="Times New Roman" w:hAnsi="Times New Roman" w:cs="Times New Roman"/>
                <w:color w:val="000000" w:themeColor="text1"/>
                <w:sz w:val="24"/>
                <w:lang w:val="en-US" w:eastAsia="zh-CN"/>
                <w14:textFill>
                  <w14:solidFill>
                    <w14:schemeClr w14:val="tx1"/>
                  </w14:solidFill>
                </w14:textFill>
              </w:rPr>
              <w:t>供水及污水处理依托原有设施，</w:t>
            </w:r>
            <w:r>
              <w:rPr>
                <w:rFonts w:hint="eastAsia" w:cs="Times New Roman"/>
                <w:color w:val="000000" w:themeColor="text1"/>
                <w:sz w:val="24"/>
                <w:lang w:val="en-US" w:eastAsia="zh-CN"/>
                <w14:textFill>
                  <w14:solidFill>
                    <w14:schemeClr w14:val="tx1"/>
                  </w14:solidFill>
                </w14:textFill>
              </w:rPr>
              <w:t>本项目用水主要为锅炉270天，每天8h满负荷运行时</w:t>
            </w:r>
            <w:r>
              <w:rPr>
                <w:rFonts w:hint="default" w:ascii="Times New Roman" w:hAnsi="Times New Roman" w:cs="Times New Roman"/>
                <w:color w:val="000000" w:themeColor="text1"/>
                <w:sz w:val="24"/>
                <w:lang w:val="en-US"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锅炉用水及</w:t>
            </w:r>
            <w:r>
              <w:rPr>
                <w:rFonts w:hint="default" w:ascii="Times New Roman" w:hAnsi="Times New Roman" w:cs="Times New Roman"/>
                <w:color w:val="000000" w:themeColor="text1"/>
                <w:sz w:val="24"/>
                <w:lang w:val="en-US" w:eastAsia="zh-CN"/>
                <w14:textFill>
                  <w14:solidFill>
                    <w14:schemeClr w14:val="tx1"/>
                  </w14:solidFill>
                </w14:textFill>
              </w:rPr>
              <w:t>尿素溶液配制用水。</w:t>
            </w:r>
          </w:p>
          <w:p w14:paraId="56FF9D34">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①锅炉用水：</w:t>
            </w:r>
            <w:r>
              <w:rPr>
                <w:rFonts w:hint="eastAsia"/>
                <w:color w:val="000000" w:themeColor="text1"/>
                <w:sz w:val="24"/>
                <w:szCs w:val="32"/>
                <w:highlight w:val="none"/>
                <w:lang w:val="en-US" w:eastAsia="zh-CN"/>
                <w14:textFill>
                  <w14:solidFill>
                    <w14:schemeClr w14:val="tx1"/>
                  </w14:solidFill>
                </w14:textFill>
              </w:rPr>
              <w:t>项目建成2.5t/h专用生物质锅炉后，氨锅炉满负荷运行（即年运行时间2160h），则需软水5400m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/a，软水制备效率约90%，锅炉使用过程中，排污损失以0.1%计，管道汽水损失以3%计，则</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蒸汽损失</w:t>
            </w:r>
            <w:r>
              <w:rPr>
                <w:rFonts w:hint="eastAsia" w:cs="Times New Roman"/>
                <w:color w:val="000000" w:themeColor="text1"/>
                <w:kern w:val="0"/>
                <w:sz w:val="24"/>
                <w:szCs w:val="24"/>
                <w:highlight w:val="none"/>
                <w:lang w:val="en-US" w:eastAsia="zh-CN" w:bidi="ar"/>
                <w14:textFill>
                  <w14:solidFill>
                    <w14:schemeClr w14:val="tx1"/>
                  </w14:solidFill>
                </w14:textFill>
              </w:rPr>
              <w:t>162</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（0.6m</w:t>
            </w:r>
            <w:r>
              <w:rPr>
                <w:rFonts w:hint="eastAsia"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eastAsia" w:cs="Times New Roman"/>
                <w:color w:val="000000" w:themeColor="text1"/>
                <w:kern w:val="0"/>
                <w:sz w:val="24"/>
                <w:szCs w:val="24"/>
                <w:highlight w:val="none"/>
                <w:lang w:val="en-US" w:eastAsia="zh-CN" w:bidi="ar"/>
                <w14:textFill>
                  <w14:solidFill>
                    <w14:schemeClr w14:val="tx1"/>
                  </w14:solidFill>
                </w14:textFill>
              </w:rPr>
              <w:t>/d）</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，锅炉排污废水为</w:t>
            </w:r>
            <w:r>
              <w:rPr>
                <w:rFonts w:hint="eastAsia" w:cs="Times New Roman"/>
                <w:color w:val="000000" w:themeColor="text1"/>
                <w:kern w:val="0"/>
                <w:sz w:val="24"/>
                <w:szCs w:val="24"/>
                <w:highlight w:val="none"/>
                <w:lang w:val="en-US" w:eastAsia="zh-CN" w:bidi="ar"/>
                <w14:textFill>
                  <w14:solidFill>
                    <w14:schemeClr w14:val="tx1"/>
                  </w14:solidFill>
                </w14:textFill>
              </w:rPr>
              <w:t>5.4</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（0.02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w:t>
            </w:r>
            <w:r>
              <w:rPr>
                <w:rFonts w:hint="eastAsia" w:cs="Times New Roman"/>
                <w:color w:val="000000" w:themeColor="text1"/>
                <w:kern w:val="0"/>
                <w:sz w:val="24"/>
                <w:szCs w:val="24"/>
                <w:highlight w:val="none"/>
                <w:lang w:val="en-US" w:eastAsia="zh-CN" w:bidi="ar"/>
                <w14:textFill>
                  <w14:solidFill>
                    <w14:schemeClr w14:val="tx1"/>
                  </w14:solidFill>
                </w14:textFill>
              </w:rPr>
              <w:t>），则软水制备新鲜水量为6000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22.22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，软水制备废水产生量为</w:t>
            </w:r>
            <w:r>
              <w:rPr>
                <w:rFonts w:hint="eastAsia" w:cs="Times New Roman"/>
                <w:color w:val="000000" w:themeColor="text1"/>
                <w:kern w:val="0"/>
                <w:sz w:val="24"/>
                <w:szCs w:val="24"/>
                <w:highlight w:val="none"/>
                <w:lang w:val="en-US" w:eastAsia="zh-CN" w:bidi="ar"/>
                <w14:textFill>
                  <w14:solidFill>
                    <w14:schemeClr w14:val="tx1"/>
                  </w14:solidFill>
                </w14:textFill>
              </w:rPr>
              <w:t>600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2.22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。软水制备废水（含锅炉排污废水</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进入厂内原有</w:t>
            </w:r>
            <w:r>
              <w:rPr>
                <w:rFonts w:hint="eastAsia" w:cs="Times New Roman"/>
                <w:color w:val="000000" w:themeColor="text1"/>
                <w:sz w:val="24"/>
                <w:szCs w:val="32"/>
                <w:highlight w:val="none"/>
                <w:lang w:val="en-US" w:eastAsia="zh-CN"/>
                <w14:textFill>
                  <w14:solidFill>
                    <w14:schemeClr w14:val="tx1"/>
                  </w14:solidFill>
                </w14:textFill>
              </w:rPr>
              <w:t>清水</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池</w:t>
            </w:r>
            <w:r>
              <w:rPr>
                <w:rFonts w:hint="eastAsia" w:cs="Times New Roman"/>
                <w:color w:val="000000" w:themeColor="text1"/>
                <w:sz w:val="24"/>
                <w:szCs w:val="32"/>
                <w:highlight w:val="none"/>
                <w:lang w:val="en-US" w:eastAsia="zh-CN"/>
                <w14:textFill>
                  <w14:solidFill>
                    <w14:schemeClr w14:val="tx1"/>
                  </w14:solidFill>
                </w14:textFill>
              </w:rPr>
              <w:t>，部分用于原有酿造冷却水和绿化用水，剩余部分</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拉运至上海中耀环保实业陕西有限公司进行处理。</w:t>
            </w:r>
          </w:p>
          <w:p w14:paraId="2E8DC5BD">
            <w:pPr>
              <w:widowControl/>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②尿素溶液用水：</w:t>
            </w:r>
            <w:r>
              <w:rPr>
                <w:rFonts w:hint="default" w:ascii="Times New Roman" w:hAnsi="Times New Roman" w:cs="Times New Roman"/>
                <w:color w:val="000000" w:themeColor="text1"/>
                <w:sz w:val="24"/>
                <w:lang w:val="en-US" w:eastAsia="zh-CN"/>
                <w14:textFill>
                  <w14:solidFill>
                    <w14:schemeClr w14:val="tx1"/>
                  </w14:solidFill>
                </w14:textFill>
              </w:rPr>
              <w:t>根据前文尿素用量核算可知</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项目所用新鲜水为</w:t>
            </w:r>
            <w:r>
              <w:rPr>
                <w:rFonts w:hint="eastAsia" w:cs="Times New Roman"/>
                <w:color w:val="000000" w:themeColor="text1"/>
                <w:sz w:val="24"/>
                <w:lang w:val="en-US" w:eastAsia="zh-CN"/>
                <w14:textFill>
                  <w14:solidFill>
                    <w14:schemeClr w14:val="tx1"/>
                  </w14:solidFill>
                </w14:textFill>
              </w:rPr>
              <w:t>90.72</w:t>
            </w:r>
            <w:r>
              <w:rPr>
                <w:rFonts w:hint="default" w:ascii="Times New Roman" w:hAnsi="Times New Roman" w:cs="Times New Roman"/>
                <w:color w:val="000000" w:themeColor="text1"/>
                <w:sz w:val="24"/>
                <w:lang w:val="en-US" w:eastAsia="zh-CN"/>
                <w14:textFill>
                  <w14:solidFill>
                    <w14:schemeClr w14:val="tx1"/>
                  </w14:solidFill>
                </w14:textFill>
              </w:rPr>
              <w:t>m³/a</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用水皆在设备运行过程</w:t>
            </w:r>
            <w:r>
              <w:rPr>
                <w:rFonts w:hint="eastAsia" w:cs="Times New Roman"/>
                <w:color w:val="000000" w:themeColor="text1"/>
                <w:sz w:val="24"/>
                <w:lang w:val="en-US" w:eastAsia="zh-CN"/>
                <w14:textFill>
                  <w14:solidFill>
                    <w14:schemeClr w14:val="tx1"/>
                  </w14:solidFill>
                </w14:textFill>
              </w:rPr>
              <w:t>中</w:t>
            </w:r>
            <w:r>
              <w:rPr>
                <w:rFonts w:hint="default" w:ascii="Times New Roman" w:hAnsi="Times New Roman" w:cs="Times New Roman"/>
                <w:color w:val="000000" w:themeColor="text1"/>
                <w:sz w:val="24"/>
                <w:lang w:val="en-US" w:eastAsia="zh-CN"/>
                <w14:textFill>
                  <w14:solidFill>
                    <w14:schemeClr w14:val="tx1"/>
                  </w14:solidFill>
                </w14:textFill>
              </w:rPr>
              <w:t>蒸发损耗，无外排废水。</w:t>
            </w:r>
          </w:p>
          <w:p w14:paraId="72F213F4">
            <w:pPr>
              <w:spacing w:line="360" w:lineRule="auto"/>
              <w:ind w:left="900" w:leftChars="200" w:hanging="480" w:hanging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项目给排水平衡</w:t>
            </w:r>
            <w:r>
              <w:rPr>
                <w:rFonts w:hint="eastAsia" w:cs="Times New Roman"/>
                <w:color w:val="000000" w:themeColor="text1"/>
                <w:sz w:val="24"/>
                <w:lang w:val="en-US" w:eastAsia="zh-CN"/>
                <w14:textFill>
                  <w14:solidFill>
                    <w14:schemeClr w14:val="tx1"/>
                  </w14:solidFill>
                </w14:textFill>
              </w:rPr>
              <w:t>图</w:t>
            </w:r>
            <w:r>
              <w:rPr>
                <w:rFonts w:hint="default" w:ascii="Times New Roman" w:hAnsi="Times New Roman" w:cs="Times New Roman"/>
                <w:color w:val="000000" w:themeColor="text1"/>
                <w:sz w:val="24"/>
                <w14:textFill>
                  <w14:solidFill>
                    <w14:schemeClr w14:val="tx1"/>
                  </w14:solidFill>
                </w14:textFill>
              </w:rPr>
              <w:t>见图</w:t>
            </w:r>
            <w:r>
              <w:rPr>
                <w:rFonts w:hint="eastAsia" w:ascii="Times New Roman" w:hAnsi="Times New Roman" w:cs="Times New Roman"/>
                <w:color w:val="000000" w:themeColor="text1"/>
                <w:sz w:val="24"/>
                <w:lang w:val="en-US" w:eastAsia="zh-CN"/>
                <w14:textFill>
                  <w14:solidFill>
                    <w14:schemeClr w14:val="tx1"/>
                  </w14:solidFill>
                </w14:textFill>
              </w:rPr>
              <w:t>2-1</w:t>
            </w:r>
            <w:r>
              <w:rPr>
                <w:rFonts w:hint="default" w:ascii="Times New Roman" w:hAnsi="Times New Roman" w:cs="Times New Roman"/>
                <w:color w:val="000000" w:themeColor="text1"/>
                <w:sz w:val="24"/>
                <w14:textFill>
                  <w14:solidFill>
                    <w14:schemeClr w14:val="tx1"/>
                  </w14:solidFill>
                </w14:textFill>
              </w:rPr>
              <w:t>，项目运营后的用水及废水产生情况见表2-</w:t>
            </w:r>
            <w:r>
              <w:rPr>
                <w:rFonts w:hint="eastAsia"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w:t>
            </w:r>
          </w:p>
          <w:p w14:paraId="2DD88B12">
            <w:pPr>
              <w:spacing w:line="440" w:lineRule="exact"/>
              <w:ind w:firstLine="482" w:firstLineChars="20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表2-</w:t>
            </w:r>
            <w:r>
              <w:rPr>
                <w:rFonts w:hint="eastAsia" w:ascii="Times New Roman" w:hAnsi="Times New Roman"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14:textFill>
                  <w14:solidFill>
                    <w14:schemeClr w14:val="tx1"/>
                  </w14:solidFill>
                </w14:textFill>
              </w:rPr>
              <w:t xml:space="preserve">  项目用水及污水排放情况一览表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61"/>
              <w:gridCol w:w="1213"/>
              <w:gridCol w:w="1361"/>
              <w:gridCol w:w="644"/>
              <w:gridCol w:w="489"/>
              <w:gridCol w:w="700"/>
              <w:gridCol w:w="579"/>
              <w:gridCol w:w="584"/>
              <w:gridCol w:w="1358"/>
            </w:tblGrid>
            <w:tr w14:paraId="0E69B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restart"/>
                  <w:noWrap w:val="0"/>
                  <w:vAlign w:val="center"/>
                </w:tcPr>
                <w:p w14:paraId="5E9F1DEC">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用水单元</w:t>
                  </w:r>
                </w:p>
              </w:tc>
              <w:tc>
                <w:tcPr>
                  <w:tcW w:w="723" w:type="pct"/>
                  <w:vMerge w:val="restart"/>
                  <w:noWrap w:val="0"/>
                  <w:vAlign w:val="center"/>
                </w:tcPr>
                <w:p w14:paraId="2C14A6A0">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使用人数</w:t>
                  </w:r>
                </w:p>
                <w:p w14:paraId="498E79C5">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或单位数</w:t>
                  </w:r>
                </w:p>
              </w:tc>
              <w:tc>
                <w:tcPr>
                  <w:tcW w:w="811" w:type="pct"/>
                  <w:vMerge w:val="restart"/>
                  <w:noWrap w:val="0"/>
                  <w:vAlign w:val="center"/>
                </w:tcPr>
                <w:p w14:paraId="44F3BD42">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用水</w:t>
                  </w:r>
                </w:p>
                <w:p w14:paraId="18534DBE">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w:t>
                  </w:r>
                </w:p>
              </w:tc>
              <w:tc>
                <w:tcPr>
                  <w:tcW w:w="383" w:type="pct"/>
                  <w:vMerge w:val="restart"/>
                  <w:noWrap w:val="0"/>
                  <w:vAlign w:val="center"/>
                </w:tcPr>
                <w:p w14:paraId="3072BB98">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年用水</w:t>
                  </w:r>
                </w:p>
                <w:p w14:paraId="77D0BCBD">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天数</w:t>
                  </w:r>
                </w:p>
              </w:tc>
              <w:tc>
                <w:tcPr>
                  <w:tcW w:w="708" w:type="pct"/>
                  <w:gridSpan w:val="2"/>
                  <w:noWrap w:val="0"/>
                  <w:vAlign w:val="center"/>
                </w:tcPr>
                <w:p w14:paraId="1EF2BE68">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用水量</w:t>
                  </w:r>
                </w:p>
              </w:tc>
              <w:tc>
                <w:tcPr>
                  <w:tcW w:w="693" w:type="pct"/>
                  <w:gridSpan w:val="2"/>
                  <w:noWrap w:val="0"/>
                  <w:vAlign w:val="center"/>
                </w:tcPr>
                <w:p w14:paraId="7810E467">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产生污水量</w:t>
                  </w:r>
                </w:p>
              </w:tc>
              <w:tc>
                <w:tcPr>
                  <w:tcW w:w="809" w:type="pct"/>
                  <w:vMerge w:val="restart"/>
                  <w:noWrap w:val="0"/>
                  <w:vAlign w:val="center"/>
                </w:tcPr>
                <w:p w14:paraId="0D507F11">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备注</w:t>
                  </w:r>
                </w:p>
              </w:tc>
            </w:tr>
            <w:tr w14:paraId="6FF29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continue"/>
                  <w:noWrap w:val="0"/>
                  <w:vAlign w:val="center"/>
                </w:tcPr>
                <w:p w14:paraId="58F3E77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723" w:type="pct"/>
                  <w:vMerge w:val="continue"/>
                  <w:noWrap w:val="0"/>
                  <w:vAlign w:val="center"/>
                </w:tcPr>
                <w:p w14:paraId="33E30AB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811" w:type="pct"/>
                  <w:vMerge w:val="continue"/>
                  <w:noWrap w:val="0"/>
                  <w:vAlign w:val="center"/>
                </w:tcPr>
                <w:p w14:paraId="05FED76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83" w:type="pct"/>
                  <w:vMerge w:val="continue"/>
                  <w:noWrap w:val="0"/>
                  <w:vAlign w:val="center"/>
                </w:tcPr>
                <w:p w14:paraId="1889F0F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91" w:type="pct"/>
                  <w:noWrap w:val="0"/>
                  <w:vAlign w:val="center"/>
                </w:tcPr>
                <w:p w14:paraId="18B844DD">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d</w:t>
                  </w:r>
                </w:p>
              </w:tc>
              <w:tc>
                <w:tcPr>
                  <w:tcW w:w="416" w:type="pct"/>
                  <w:noWrap w:val="0"/>
                  <w:vAlign w:val="center"/>
                </w:tcPr>
                <w:p w14:paraId="63176FA4">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/a</w:t>
                  </w:r>
                </w:p>
              </w:tc>
              <w:tc>
                <w:tcPr>
                  <w:tcW w:w="345" w:type="pct"/>
                  <w:noWrap w:val="0"/>
                  <w:vAlign w:val="center"/>
                </w:tcPr>
                <w:p w14:paraId="61970130">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/d</w:t>
                  </w:r>
                </w:p>
              </w:tc>
              <w:tc>
                <w:tcPr>
                  <w:tcW w:w="347" w:type="pct"/>
                  <w:noWrap w:val="0"/>
                  <w:vAlign w:val="center"/>
                </w:tcPr>
                <w:p w14:paraId="22229F1D">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/a</w:t>
                  </w:r>
                </w:p>
              </w:tc>
              <w:tc>
                <w:tcPr>
                  <w:tcW w:w="809" w:type="pct"/>
                  <w:vMerge w:val="continue"/>
                  <w:noWrap w:val="0"/>
                  <w:vAlign w:val="center"/>
                </w:tcPr>
                <w:p w14:paraId="24353E8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17BEC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noWrap w:val="0"/>
                  <w:vAlign w:val="center"/>
                </w:tcPr>
                <w:p w14:paraId="75AC0490">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锅炉用水</w:t>
                  </w:r>
                </w:p>
              </w:tc>
              <w:tc>
                <w:tcPr>
                  <w:tcW w:w="723" w:type="pct"/>
                  <w:noWrap w:val="0"/>
                  <w:vAlign w:val="center"/>
                </w:tcPr>
                <w:p w14:paraId="3BCBC5CF">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811" w:type="pct"/>
                  <w:noWrap w:val="0"/>
                  <w:vAlign w:val="center"/>
                </w:tcPr>
                <w:p w14:paraId="04761382">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383" w:type="pct"/>
                  <w:noWrap w:val="0"/>
                  <w:vAlign w:val="center"/>
                </w:tcPr>
                <w:p w14:paraId="3AC050A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270</w:t>
                  </w:r>
                </w:p>
              </w:tc>
              <w:tc>
                <w:tcPr>
                  <w:tcW w:w="291" w:type="pct"/>
                  <w:noWrap w:val="0"/>
                  <w:vAlign w:val="center"/>
                </w:tcPr>
                <w:p w14:paraId="345509F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22.22</w:t>
                  </w:r>
                </w:p>
              </w:tc>
              <w:tc>
                <w:tcPr>
                  <w:tcW w:w="416" w:type="pct"/>
                  <w:noWrap w:val="0"/>
                  <w:vAlign w:val="center"/>
                </w:tcPr>
                <w:p w14:paraId="52A40DB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6000</w:t>
                  </w:r>
                </w:p>
              </w:tc>
              <w:tc>
                <w:tcPr>
                  <w:tcW w:w="345" w:type="pct"/>
                  <w:noWrap w:val="0"/>
                  <w:vAlign w:val="center"/>
                </w:tcPr>
                <w:p w14:paraId="684247F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2.24</w:t>
                  </w:r>
                </w:p>
              </w:tc>
              <w:tc>
                <w:tcPr>
                  <w:tcW w:w="347" w:type="pct"/>
                  <w:noWrap w:val="0"/>
                  <w:vAlign w:val="center"/>
                </w:tcPr>
                <w:p w14:paraId="09C2FDB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605.4</w:t>
                  </w:r>
                </w:p>
              </w:tc>
              <w:tc>
                <w:tcPr>
                  <w:tcW w:w="809" w:type="pct"/>
                  <w:vMerge w:val="restart"/>
                  <w:noWrap w:val="0"/>
                  <w:vAlign w:val="center"/>
                </w:tcPr>
                <w:p w14:paraId="1ADD72D7">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2368E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noWrap w:val="0"/>
                  <w:vAlign w:val="center"/>
                </w:tcPr>
                <w:p w14:paraId="5B6F4B9C">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脱硝用水</w:t>
                  </w:r>
                </w:p>
              </w:tc>
              <w:tc>
                <w:tcPr>
                  <w:tcW w:w="723" w:type="pct"/>
                  <w:noWrap w:val="0"/>
                  <w:vAlign w:val="center"/>
                </w:tcPr>
                <w:p w14:paraId="34C6AD0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11" w:type="pct"/>
                  <w:noWrap w:val="0"/>
                  <w:vAlign w:val="center"/>
                </w:tcPr>
                <w:p w14:paraId="0BA72332">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尿素溶液</w:t>
                  </w:r>
                </w:p>
              </w:tc>
              <w:tc>
                <w:tcPr>
                  <w:tcW w:w="383" w:type="pct"/>
                  <w:noWrap w:val="0"/>
                  <w:vAlign w:val="center"/>
                </w:tcPr>
                <w:p w14:paraId="4328B53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270</w:t>
                  </w:r>
                </w:p>
              </w:tc>
              <w:tc>
                <w:tcPr>
                  <w:tcW w:w="291" w:type="pct"/>
                  <w:noWrap w:val="0"/>
                  <w:vAlign w:val="center"/>
                </w:tcPr>
                <w:p w14:paraId="423D9E7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0.34</w:t>
                  </w:r>
                </w:p>
              </w:tc>
              <w:tc>
                <w:tcPr>
                  <w:tcW w:w="416" w:type="pct"/>
                  <w:noWrap w:val="0"/>
                  <w:vAlign w:val="center"/>
                </w:tcPr>
                <w:p w14:paraId="7E23E7C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90.72</w:t>
                  </w:r>
                </w:p>
              </w:tc>
              <w:tc>
                <w:tcPr>
                  <w:tcW w:w="345" w:type="pct"/>
                  <w:noWrap w:val="0"/>
                  <w:vAlign w:val="center"/>
                </w:tcPr>
                <w:p w14:paraId="1E4ECF2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347" w:type="pct"/>
                  <w:noWrap w:val="0"/>
                  <w:vAlign w:val="center"/>
                </w:tcPr>
                <w:p w14:paraId="315E640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09" w:type="pct"/>
                  <w:vMerge w:val="continue"/>
                  <w:noWrap w:val="0"/>
                  <w:vAlign w:val="center"/>
                </w:tcPr>
                <w:p w14:paraId="16614A7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72646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89" w:type="pct"/>
                  <w:gridSpan w:val="4"/>
                  <w:noWrap w:val="0"/>
                  <w:vAlign w:val="center"/>
                </w:tcPr>
                <w:p w14:paraId="12E83F3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合计</w:t>
                  </w:r>
                </w:p>
              </w:tc>
              <w:tc>
                <w:tcPr>
                  <w:tcW w:w="291" w:type="pct"/>
                  <w:noWrap w:val="0"/>
                  <w:vAlign w:val="center"/>
                </w:tcPr>
                <w:p w14:paraId="0D14656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22.56</w:t>
                  </w:r>
                </w:p>
              </w:tc>
              <w:tc>
                <w:tcPr>
                  <w:tcW w:w="416" w:type="pct"/>
                  <w:noWrap w:val="0"/>
                  <w:vAlign w:val="center"/>
                </w:tcPr>
                <w:p w14:paraId="306B1EE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6090.72</w:t>
                  </w:r>
                </w:p>
              </w:tc>
              <w:tc>
                <w:tcPr>
                  <w:tcW w:w="345" w:type="pct"/>
                  <w:noWrap w:val="0"/>
                  <w:vAlign w:val="center"/>
                </w:tcPr>
                <w:p w14:paraId="4AE02BF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2.24</w:t>
                  </w:r>
                </w:p>
              </w:tc>
              <w:tc>
                <w:tcPr>
                  <w:tcW w:w="347" w:type="pct"/>
                  <w:noWrap w:val="0"/>
                  <w:vAlign w:val="center"/>
                </w:tcPr>
                <w:p w14:paraId="2198587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605.4</w:t>
                  </w:r>
                </w:p>
              </w:tc>
              <w:tc>
                <w:tcPr>
                  <w:tcW w:w="809" w:type="pct"/>
                  <w:noWrap w:val="0"/>
                  <w:vAlign w:val="center"/>
                </w:tcPr>
                <w:p w14:paraId="0FD0D15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bl>
          <w:p w14:paraId="6FCC0DFC">
            <w:pPr>
              <w:widowControl/>
              <w:adjustRightInd w:val="0"/>
              <w:snapToGrid w:val="0"/>
              <w:spacing w:line="360" w:lineRule="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object>
                <v:shape id="_x0000_i1025" o:spt="75" type="#_x0000_t75" style="height:158pt;width:422.9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7EAECA7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val="0"/>
                <w:bCs w:val="0"/>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2-1  项目水平衡图（单位：m</w:t>
            </w:r>
            <w:r>
              <w:rPr>
                <w:rFonts w:hint="eastAsia"/>
                <w:b/>
                <w:bCs/>
                <w:color w:val="000000" w:themeColor="text1"/>
                <w:vertAlign w:val="superscript"/>
                <w:lang w:val="en-US" w:eastAsia="zh-CN"/>
                <w14:textFill>
                  <w14:solidFill>
                    <w14:schemeClr w14:val="tx1"/>
                  </w14:solidFill>
                </w14:textFill>
              </w:rPr>
              <w:t>3</w:t>
            </w:r>
            <w:r>
              <w:rPr>
                <w:rFonts w:hint="eastAsia"/>
                <w:b/>
                <w:bCs/>
                <w:color w:val="000000" w:themeColor="text1"/>
                <w:lang w:val="en-US" w:eastAsia="zh-CN"/>
                <w14:textFill>
                  <w14:solidFill>
                    <w14:schemeClr w14:val="tx1"/>
                  </w14:solidFill>
                </w14:textFill>
              </w:rPr>
              <w:t>/d）</w:t>
            </w:r>
          </w:p>
          <w:p w14:paraId="5AD40384">
            <w:pPr>
              <w:widowControl/>
              <w:adjustRightInd w:val="0"/>
              <w:snapToGrid w:val="0"/>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供电</w:t>
            </w:r>
          </w:p>
          <w:p w14:paraId="06008F7A">
            <w:pPr>
              <w:widowControl/>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项目用电由</w:t>
            </w:r>
            <w:r>
              <w:rPr>
                <w:rFonts w:hint="eastAsia" w:ascii="Times New Roman" w:hAnsi="Times New Roman" w:cs="Times New Roman"/>
                <w:color w:val="000000" w:themeColor="text1"/>
                <w:sz w:val="24"/>
                <w:lang w:val="en-US" w:eastAsia="zh-CN"/>
                <w14:textFill>
                  <w14:solidFill>
                    <w14:schemeClr w14:val="tx1"/>
                  </w14:solidFill>
                </w14:textFill>
              </w:rPr>
              <w:t>小海子村</w:t>
            </w:r>
            <w:r>
              <w:rPr>
                <w:rFonts w:hint="default" w:ascii="Times New Roman" w:hAnsi="Times New Roman" w:cs="Times New Roman"/>
                <w:color w:val="000000" w:themeColor="text1"/>
                <w:sz w:val="24"/>
                <w14:textFill>
                  <w14:solidFill>
                    <w14:schemeClr w14:val="tx1"/>
                  </w14:solidFill>
                </w14:textFill>
              </w:rPr>
              <w:t>供电系统供给，能满足项目生产、生活</w:t>
            </w:r>
            <w:r>
              <w:rPr>
                <w:rFonts w:hint="default" w:ascii="Times New Roman" w:hAnsi="Times New Roman" w:cs="Times New Roman"/>
                <w:color w:val="000000" w:themeColor="text1"/>
                <w:sz w:val="24"/>
                <w:lang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要求。</w:t>
            </w:r>
          </w:p>
          <w:p w14:paraId="377CE9CD">
            <w:pPr>
              <w:widowControl/>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8</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平面布置合理性</w:t>
            </w:r>
          </w:p>
          <w:p w14:paraId="0CAAE75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本项目建设</w:t>
            </w:r>
            <w:r>
              <w:rPr>
                <w:rFonts w:hint="default" w:ascii="Times New Roman" w:hAnsi="Times New Roman" w:cs="Times New Roman"/>
                <w:color w:val="000000" w:themeColor="text1"/>
                <w:sz w:val="24"/>
                <w:lang w:eastAsia="zh-CN"/>
                <w14:textFill>
                  <w14:solidFill>
                    <w14:schemeClr w14:val="tx1"/>
                  </w14:solidFill>
                </w14:textFill>
              </w:rPr>
              <w:t>地点</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val="en-US" w:eastAsia="zh-CN"/>
                <w14:textFill>
                  <w14:solidFill>
                    <w14:schemeClr w14:val="tx1"/>
                  </w14:solidFill>
                </w14:textFill>
              </w:rPr>
              <w:t>宝鸡市凤翔区陈村镇</w:t>
            </w:r>
            <w:r>
              <w:rPr>
                <w:rFonts w:hint="eastAsia" w:ascii="Times New Roman" w:hAnsi="Times New Roman" w:cs="Times New Roman"/>
                <w:color w:val="000000" w:themeColor="text1"/>
                <w:sz w:val="24"/>
                <w:lang w:val="en-US" w:eastAsia="zh-CN"/>
                <w14:textFill>
                  <w14:solidFill>
                    <w14:schemeClr w14:val="tx1"/>
                  </w14:solidFill>
                </w14:textFill>
              </w:rPr>
              <w:t>小海子村</w:t>
            </w:r>
            <w:r>
              <w:rPr>
                <w:rFonts w:hint="default" w:ascii="Times New Roman" w:hAnsi="Times New Roman" w:cs="Times New Roman"/>
                <w:color w:val="000000" w:themeColor="text1"/>
                <w:sz w:val="24"/>
                <w:lang w:val="en-US" w:eastAsia="zh-CN"/>
                <w14:textFill>
                  <w14:solidFill>
                    <w14:schemeClr w14:val="tx1"/>
                  </w14:solidFill>
                </w14:textFill>
              </w:rPr>
              <w:t>，本项目依托现有厂区锅炉房进行建设，锅炉房位于厂区</w:t>
            </w:r>
            <w:r>
              <w:rPr>
                <w:rFonts w:hint="eastAsia" w:ascii="Times New Roman" w:hAnsi="Times New Roman" w:cs="Times New Roman"/>
                <w:color w:val="000000" w:themeColor="text1"/>
                <w:sz w:val="24"/>
                <w:lang w:val="en-US" w:eastAsia="zh-CN"/>
                <w14:textFill>
                  <w14:solidFill>
                    <w14:schemeClr w14:val="tx1"/>
                  </w14:solidFill>
                </w14:textFill>
              </w:rPr>
              <w:t>西</w:t>
            </w:r>
            <w:r>
              <w:rPr>
                <w:rFonts w:hint="default" w:ascii="Times New Roman" w:hAnsi="Times New Roman" w:cs="Times New Roman"/>
                <w:color w:val="000000" w:themeColor="text1"/>
                <w:sz w:val="24"/>
                <w:lang w:val="en-US" w:eastAsia="zh-CN"/>
                <w14:textFill>
                  <w14:solidFill>
                    <w14:schemeClr w14:val="tx1"/>
                  </w14:solidFill>
                </w14:textFill>
              </w:rPr>
              <w:t>侧位置，燃料存放区位于</w:t>
            </w:r>
            <w:r>
              <w:rPr>
                <w:rFonts w:hint="eastAsia" w:ascii="Times New Roman" w:hAnsi="Times New Roman" w:cs="Times New Roman"/>
                <w:color w:val="000000" w:themeColor="text1"/>
                <w:sz w:val="24"/>
                <w:lang w:val="en-US" w:eastAsia="zh-CN"/>
                <w14:textFill>
                  <w14:solidFill>
                    <w14:schemeClr w14:val="tx1"/>
                  </w14:solidFill>
                </w14:textFill>
              </w:rPr>
              <w:t>锅炉房南侧</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平面布局上</w:t>
            </w:r>
            <w:r>
              <w:rPr>
                <w:rFonts w:hint="default" w:ascii="Times New Roman" w:hAnsi="Times New Roman" w:cs="Times New Roman"/>
                <w:color w:val="000000" w:themeColor="text1"/>
                <w:sz w:val="24"/>
                <w:lang w:val="en-US" w:eastAsia="zh-CN"/>
                <w14:textFill>
                  <w14:solidFill>
                    <w14:schemeClr w14:val="tx1"/>
                  </w14:solidFill>
                </w14:textFill>
              </w:rPr>
              <w:t>缩短原料周转路径，便于取材</w:t>
            </w:r>
            <w:r>
              <w:rPr>
                <w:rFonts w:hint="default" w:ascii="Times New Roman" w:hAnsi="Times New Roman" w:cs="Times New Roman"/>
                <w:color w:val="000000" w:themeColor="text1"/>
                <w:sz w:val="24"/>
                <w14:textFill>
                  <w14:solidFill>
                    <w14:schemeClr w14:val="tx1"/>
                  </w14:solidFill>
                </w14:textFill>
              </w:rPr>
              <w:t>。项目厂</w:t>
            </w:r>
            <w:r>
              <w:rPr>
                <w:rFonts w:hint="eastAsia" w:cs="Times New Roman"/>
                <w:color w:val="000000" w:themeColor="text1"/>
                <w:sz w:val="24"/>
                <w:lang w:eastAsia="zh-CN"/>
                <w14:textFill>
                  <w14:solidFill>
                    <w14:schemeClr w14:val="tx1"/>
                  </w14:solidFill>
                </w14:textFill>
              </w:rPr>
              <w:t>区</w:t>
            </w:r>
            <w:r>
              <w:rPr>
                <w:rFonts w:hint="default" w:ascii="Times New Roman" w:hAnsi="Times New Roman" w:cs="Times New Roman"/>
                <w:color w:val="000000" w:themeColor="text1"/>
                <w:sz w:val="24"/>
                <w14:textFill>
                  <w14:solidFill>
                    <w14:schemeClr w14:val="tx1"/>
                  </w14:solidFill>
                </w14:textFill>
              </w:rPr>
              <w:t>布局紧凑，功能分区明确。项目厂区平面布置详见附图。</w:t>
            </w:r>
          </w:p>
          <w:p w14:paraId="7F522B46">
            <w:pPr>
              <w:widowControl/>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9</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劳动定员及工作制度</w:t>
            </w:r>
          </w:p>
          <w:p w14:paraId="7108658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劳动定员：</w:t>
            </w:r>
            <w:r>
              <w:rPr>
                <w:rFonts w:hint="default" w:ascii="Times New Roman" w:hAnsi="Times New Roman" w:cs="Times New Roman"/>
                <w:color w:val="000000" w:themeColor="text1"/>
                <w:sz w:val="24"/>
                <w:lang w:val="en-US" w:eastAsia="zh-CN"/>
                <w14:textFill>
                  <w14:solidFill>
                    <w14:schemeClr w14:val="tx1"/>
                  </w14:solidFill>
                </w14:textFill>
              </w:rPr>
              <w:t>本项目不新增员工，现有员工20</w:t>
            </w:r>
            <w:r>
              <w:rPr>
                <w:rFonts w:hint="default" w:ascii="Times New Roman" w:hAnsi="Times New Roman" w:cs="Times New Roman"/>
                <w:color w:val="000000" w:themeColor="text1"/>
                <w:sz w:val="24"/>
                <w14:textFill>
                  <w14:solidFill>
                    <w14:schemeClr w14:val="tx1"/>
                  </w14:solidFill>
                </w14:textFill>
              </w:rPr>
              <w:t>人，厂区</w:t>
            </w:r>
            <w:r>
              <w:rPr>
                <w:rFonts w:hint="default" w:ascii="Times New Roman" w:hAnsi="Times New Roman" w:cs="Times New Roman"/>
                <w:color w:val="000000" w:themeColor="text1"/>
                <w:sz w:val="24"/>
                <w:lang w:val="en-US" w:eastAsia="zh-CN"/>
                <w14:textFill>
                  <w14:solidFill>
                    <w14:schemeClr w14:val="tx1"/>
                  </w14:solidFill>
                </w14:textFill>
              </w:rPr>
              <w:t>不</w:t>
            </w:r>
            <w:r>
              <w:rPr>
                <w:rFonts w:hint="default" w:ascii="Times New Roman" w:hAnsi="Times New Roman" w:cs="Times New Roman"/>
                <w:color w:val="000000" w:themeColor="text1"/>
                <w:sz w:val="24"/>
                <w14:textFill>
                  <w14:solidFill>
                    <w14:schemeClr w14:val="tx1"/>
                  </w14:solidFill>
                </w14:textFill>
              </w:rPr>
              <w:t>提供食宿。</w:t>
            </w:r>
          </w:p>
          <w:p w14:paraId="16933C4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工作制度：本项目</w:t>
            </w:r>
            <w:r>
              <w:rPr>
                <w:rFonts w:hint="eastAsia" w:cs="Times New Roman"/>
                <w:color w:val="000000" w:themeColor="text1"/>
                <w:sz w:val="24"/>
                <w:lang w:val="en-US" w:eastAsia="zh-CN"/>
                <w14:textFill>
                  <w14:solidFill>
                    <w14:schemeClr w14:val="tx1"/>
                  </w14:solidFill>
                </w14:textFill>
              </w:rPr>
              <w:t>锅炉年</w:t>
            </w:r>
            <w:r>
              <w:rPr>
                <w:rFonts w:hint="default" w:ascii="Times New Roman" w:hAnsi="Times New Roman" w:cs="Times New Roman"/>
                <w:color w:val="000000" w:themeColor="text1"/>
                <w:sz w:val="24"/>
                <w14:textFill>
                  <w14:solidFill>
                    <w14:schemeClr w14:val="tx1"/>
                  </w14:solidFill>
                </w14:textFill>
              </w:rPr>
              <w:t>工作</w:t>
            </w:r>
            <w:r>
              <w:rPr>
                <w:rFonts w:hint="eastAsia" w:ascii="Times New Roman" w:hAnsi="Times New Roman" w:cs="Times New Roman"/>
                <w:color w:val="000000" w:themeColor="text1"/>
                <w:sz w:val="24"/>
                <w:lang w:val="en-US" w:eastAsia="zh-CN"/>
                <w14:textFill>
                  <w14:solidFill>
                    <w14:schemeClr w14:val="tx1"/>
                  </w14:solidFill>
                </w14:textFill>
              </w:rPr>
              <w:t>270</w:t>
            </w:r>
            <w:r>
              <w:rPr>
                <w:rFonts w:hint="default" w:ascii="Times New Roman" w:hAnsi="Times New Roman" w:cs="Times New Roman"/>
                <w:color w:val="000000" w:themeColor="text1"/>
                <w:sz w:val="24"/>
                <w14:textFill>
                  <w14:solidFill>
                    <w14:schemeClr w14:val="tx1"/>
                  </w14:solidFill>
                </w14:textFill>
              </w:rPr>
              <w:t>天，工作制度采用</w:t>
            </w:r>
            <w:r>
              <w:rPr>
                <w:rFonts w:hint="default" w:ascii="Times New Roman" w:hAnsi="Times New Roman" w:cs="Times New Roman"/>
                <w:color w:val="000000" w:themeColor="text1"/>
                <w:sz w:val="24"/>
                <w:lang w:val="en-US" w:eastAsia="zh-CN"/>
                <w14:textFill>
                  <w14:solidFill>
                    <w14:schemeClr w14:val="tx1"/>
                  </w14:solidFill>
                </w14:textFill>
              </w:rPr>
              <w:t>一</w:t>
            </w:r>
            <w:r>
              <w:rPr>
                <w:rFonts w:hint="default" w:ascii="Times New Roman" w:hAnsi="Times New Roman" w:cs="Times New Roman"/>
                <w:color w:val="000000" w:themeColor="text1"/>
                <w:sz w:val="24"/>
                <w14:textFill>
                  <w14:solidFill>
                    <w14:schemeClr w14:val="tx1"/>
                  </w14:solidFill>
                </w14:textFill>
              </w:rPr>
              <w:t>班制，每班工作8小时</w:t>
            </w:r>
            <w:r>
              <w:rPr>
                <w:rFonts w:hint="default" w:ascii="Times New Roman" w:hAnsi="Times New Roman" w:cs="Times New Roman"/>
                <w:color w:val="000000" w:themeColor="text1"/>
                <w:sz w:val="24"/>
                <w:lang w:val="en-US" w:eastAsia="zh-CN"/>
                <w14:textFill>
                  <w14:solidFill>
                    <w14:schemeClr w14:val="tx1"/>
                  </w14:solidFill>
                </w14:textFill>
              </w:rPr>
              <w:t>。</w:t>
            </w:r>
          </w:p>
        </w:tc>
      </w:tr>
      <w:tr w14:paraId="2E13F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548" w:type="dxa"/>
            <w:noWrap w:val="0"/>
            <w:vAlign w:val="center"/>
          </w:tcPr>
          <w:p w14:paraId="08A42B10">
            <w:pPr>
              <w:pStyle w:val="26"/>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工艺流程和产排污环节</w:t>
            </w:r>
          </w:p>
        </w:tc>
        <w:tc>
          <w:tcPr>
            <w:tcW w:w="8512" w:type="dxa"/>
            <w:noWrap w:val="0"/>
            <w:vAlign w:val="top"/>
          </w:tcPr>
          <w:p w14:paraId="3911FC2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val="en-US" w:eastAsia="zh-CN"/>
                <w14:textFill>
                  <w14:solidFill>
                    <w14:schemeClr w14:val="tx1"/>
                  </w14:solidFill>
                </w14:textFill>
              </w:rPr>
              <w:t>生产工艺及产污环节流程图</w:t>
            </w:r>
          </w:p>
          <w:p w14:paraId="7189084C">
            <w:pPr>
              <w:widowControl/>
              <w:numPr>
                <w:ilvl w:val="0"/>
                <w:numId w:val="0"/>
              </w:numPr>
              <w:adjustRightInd w:val="0"/>
              <w:snapToGrid w:val="0"/>
              <w:spacing w:line="360" w:lineRule="auto"/>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object>
                <v:shape id="_x0000_i1026" o:spt="75" type="#_x0000_t75" style="height:192.65pt;width:389.7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0B76E4B3">
            <w:pPr>
              <w:widowControl/>
              <w:numPr>
                <w:ilvl w:val="0"/>
                <w:numId w:val="0"/>
              </w:numPr>
              <w:adjustRightInd w:val="0"/>
              <w:snapToGrid w:val="0"/>
              <w:spacing w:line="360" w:lineRule="auto"/>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图2-</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工艺流程及产污环节示意图</w:t>
            </w:r>
          </w:p>
          <w:p w14:paraId="58B28D49">
            <w:pPr>
              <w:widowControl/>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工艺流程及产污环节简述</w:t>
            </w:r>
          </w:p>
          <w:p w14:paraId="55230BC7">
            <w:pPr>
              <w:spacing w:line="360" w:lineRule="auto"/>
              <w:ind w:firstLine="480" w:firstLineChars="200"/>
              <w:jc w:val="left"/>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本</w:t>
            </w:r>
            <w:r>
              <w:rPr>
                <w:rFonts w:hint="default" w:ascii="Times New Roman" w:hAnsi="Times New Roman" w:cs="Times New Roman"/>
                <w:bCs/>
                <w:color w:val="000000" w:themeColor="text1"/>
                <w:sz w:val="24"/>
                <w14:textFill>
                  <w14:solidFill>
                    <w14:schemeClr w14:val="tx1"/>
                  </w14:solidFill>
                </w14:textFill>
              </w:rPr>
              <w:t>项目新鲜水首先进入</w:t>
            </w:r>
            <w:r>
              <w:rPr>
                <w:rFonts w:hint="eastAsia" w:ascii="Times New Roman" w:hAnsi="Times New Roman" w:cs="Times New Roman"/>
                <w:bCs/>
                <w:color w:val="000000" w:themeColor="text1"/>
                <w:sz w:val="24"/>
                <w:lang w:val="en-US" w:eastAsia="zh-CN"/>
                <w14:textFill>
                  <w14:solidFill>
                    <w14:schemeClr w14:val="tx1"/>
                  </w14:solidFill>
                </w14:textFill>
              </w:rPr>
              <w:t>原有</w:t>
            </w:r>
            <w:r>
              <w:rPr>
                <w:rFonts w:hint="default" w:ascii="Times New Roman" w:hAnsi="Times New Roman" w:cs="Times New Roman"/>
                <w:bCs/>
                <w:color w:val="000000" w:themeColor="text1"/>
                <w:sz w:val="24"/>
                <w14:textFill>
                  <w14:solidFill>
                    <w14:schemeClr w14:val="tx1"/>
                  </w14:solidFill>
                </w14:textFill>
              </w:rPr>
              <w:t>软化水制备系统，制备好的软化水储存在软化</w:t>
            </w:r>
            <w:r>
              <w:rPr>
                <w:rFonts w:hint="default" w:ascii="Times New Roman" w:hAnsi="Times New Roman" w:cs="Times New Roman"/>
                <w:bCs/>
                <w:color w:val="000000" w:themeColor="text1"/>
                <w:sz w:val="24"/>
                <w:lang w:val="en-US" w:eastAsia="zh-CN"/>
                <w14:textFill>
                  <w14:solidFill>
                    <w14:schemeClr w14:val="tx1"/>
                  </w14:solidFill>
                </w14:textFill>
              </w:rPr>
              <w:t>水箱</w:t>
            </w:r>
            <w:r>
              <w:rPr>
                <w:rFonts w:hint="default" w:ascii="Times New Roman" w:hAnsi="Times New Roman" w:cs="Times New Roman"/>
                <w:bCs/>
                <w:color w:val="000000" w:themeColor="text1"/>
                <w:sz w:val="24"/>
                <w14:textFill>
                  <w14:solidFill>
                    <w14:schemeClr w14:val="tx1"/>
                  </w14:solidFill>
                </w14:textFill>
              </w:rPr>
              <w:t>里，然后将软化水泵入锅炉中。生物质锅炉使用生物质成型颗粒燃料燃烧进行加热，产生的蒸汽通过管道输送至</w:t>
            </w:r>
            <w:r>
              <w:rPr>
                <w:rFonts w:hint="eastAsia" w:ascii="Times New Roman" w:hAnsi="Times New Roman" w:cs="Times New Roman"/>
                <w:bCs/>
                <w:color w:val="000000" w:themeColor="text1"/>
                <w:sz w:val="24"/>
                <w:lang w:val="en-US" w:eastAsia="zh-CN"/>
                <w14:textFill>
                  <w14:solidFill>
                    <w14:schemeClr w14:val="tx1"/>
                  </w14:solidFill>
                </w14:textFill>
              </w:rPr>
              <w:t>原</w:t>
            </w:r>
            <w:r>
              <w:rPr>
                <w:rFonts w:hint="default" w:ascii="Times New Roman" w:hAnsi="Times New Roman" w:cs="Times New Roman"/>
                <w:bCs/>
                <w:color w:val="000000" w:themeColor="text1"/>
                <w:sz w:val="24"/>
                <w14:textFill>
                  <w14:solidFill>
                    <w14:schemeClr w14:val="tx1"/>
                  </w14:solidFill>
                </w14:textFill>
              </w:rPr>
              <w:t>有工程。</w:t>
            </w:r>
            <w:r>
              <w:rPr>
                <w:rFonts w:hint="eastAsia"/>
                <w:bCs/>
                <w:color w:val="000000" w:themeColor="text1"/>
                <w:sz w:val="24"/>
                <w:szCs w:val="24"/>
                <w:lang w:val="en-US" w:eastAsia="zh-CN"/>
                <w14:textFill>
                  <w14:solidFill>
                    <w14:schemeClr w14:val="tx1"/>
                  </w14:solidFill>
                </w14:textFill>
              </w:rPr>
              <w:t>生物质燃料采用封闭上料器进行上料（封闭抽料），上料过程无粉尘产生，锅炉运行</w:t>
            </w:r>
            <w:r>
              <w:rPr>
                <w:color w:val="000000" w:themeColor="text1"/>
                <w:sz w:val="24"/>
                <w:szCs w:val="24"/>
                <w14:textFill>
                  <w14:solidFill>
                    <w14:schemeClr w14:val="tx1"/>
                  </w14:solidFill>
                </w14:textFill>
              </w:rPr>
              <w:t>过程会产生</w:t>
            </w:r>
            <w:r>
              <w:rPr>
                <w:rFonts w:hint="eastAsia"/>
                <w:color w:val="000000" w:themeColor="text1"/>
                <w:sz w:val="24"/>
                <w:szCs w:val="24"/>
                <w14:textFill>
                  <w14:solidFill>
                    <w14:schemeClr w14:val="tx1"/>
                  </w14:solidFill>
                </w14:textFill>
              </w:rPr>
              <w:t>燃烧</w:t>
            </w:r>
            <w:r>
              <w:rPr>
                <w:color w:val="000000" w:themeColor="text1"/>
                <w:sz w:val="24"/>
                <w:szCs w:val="24"/>
                <w14:textFill>
                  <w14:solidFill>
                    <w14:schemeClr w14:val="tx1"/>
                  </w14:solidFill>
                </w14:textFill>
              </w:rPr>
              <w:t>废气</w:t>
            </w:r>
            <w:r>
              <w:rPr>
                <w:rFonts w:hint="eastAsia"/>
                <w:color w:val="000000" w:themeColor="text1"/>
                <w:sz w:val="24"/>
                <w:szCs w:val="24"/>
                <w14:textFill>
                  <w14:solidFill>
                    <w14:schemeClr w14:val="tx1"/>
                  </w14:solidFill>
                </w14:textFill>
              </w:rPr>
              <w:t>、锅炉燃烧器配套风机噪声</w:t>
            </w:r>
            <w:r>
              <w:rPr>
                <w:rFonts w:hint="eastAsia"/>
                <w:bCs/>
                <w:color w:val="000000" w:themeColor="text1"/>
                <w:sz w:val="24"/>
                <w:szCs w:val="24"/>
                <w14:textFill>
                  <w14:solidFill>
                    <w14:schemeClr w14:val="tx1"/>
                  </w14:solidFill>
                </w14:textFill>
              </w:rPr>
              <w:t>。</w:t>
            </w:r>
          </w:p>
          <w:p w14:paraId="57F98C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w:t>
            </w:r>
            <w:r>
              <w:rPr>
                <w:rFonts w:hint="default" w:ascii="Times New Roman" w:hAnsi="Times New Roman" w:cs="Times New Roman"/>
                <w:color w:val="000000" w:themeColor="text1"/>
                <w:kern w:val="0"/>
                <w:sz w:val="24"/>
                <w:lang w:val="en-US" w:eastAsia="zh-CN"/>
                <w14:textFill>
                  <w14:solidFill>
                    <w14:schemeClr w14:val="tx1"/>
                  </w14:solidFill>
                </w14:textFill>
              </w:rPr>
              <w:t>废气主要为锅炉废气</w:t>
            </w:r>
            <w:r>
              <w:rPr>
                <w:rFonts w:hint="default" w:ascii="Times New Roman" w:hAnsi="Times New Roman" w:cs="Times New Roman"/>
                <w:color w:val="000000" w:themeColor="text1"/>
                <w:kern w:val="0"/>
                <w:sz w:val="24"/>
                <w14:textFill>
                  <w14:solidFill>
                    <w14:schemeClr w14:val="tx1"/>
                  </w14:solidFill>
                </w14:textFill>
              </w:rPr>
              <w:t>；</w:t>
            </w:r>
            <w:r>
              <w:rPr>
                <w:rFonts w:hint="eastAsia" w:ascii="Times New Roman" w:hAnsi="Times New Roman" w:cs="Times New Roman"/>
                <w:color w:val="000000" w:themeColor="text1"/>
                <w:kern w:val="0"/>
                <w:sz w:val="24"/>
                <w:lang w:val="en-US" w:eastAsia="zh-CN"/>
                <w14:textFill>
                  <w14:solidFill>
                    <w14:schemeClr w14:val="tx1"/>
                  </w14:solidFill>
                </w14:textFill>
              </w:rPr>
              <w:t>废水主要为软水制备废水</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噪声为生物质锅炉运转噪声；固废为除尘器收尘灰、</w:t>
            </w:r>
            <w:r>
              <w:rPr>
                <w:rFonts w:hint="eastAsia" w:ascii="Times New Roman" w:hAnsi="Times New Roman" w:cs="Times New Roman"/>
                <w:color w:val="000000" w:themeColor="text1"/>
                <w:kern w:val="0"/>
                <w:sz w:val="24"/>
                <w:lang w:val="en-US" w:eastAsia="zh-CN"/>
                <w14:textFill>
                  <w14:solidFill>
                    <w14:schemeClr w14:val="tx1"/>
                  </w14:solidFill>
                </w14:textFill>
              </w:rPr>
              <w:t>锅</w:t>
            </w:r>
            <w:r>
              <w:rPr>
                <w:rFonts w:hint="default" w:ascii="Times New Roman" w:hAnsi="Times New Roman" w:cs="Times New Roman"/>
                <w:color w:val="000000" w:themeColor="text1"/>
                <w:kern w:val="0"/>
                <w:sz w:val="24"/>
                <w:lang w:val="en-US" w:eastAsia="zh-CN"/>
                <w14:textFill>
                  <w14:solidFill>
                    <w14:schemeClr w14:val="tx1"/>
                  </w14:solidFill>
                </w14:textFill>
              </w:rPr>
              <w:t>炉灰渣、废包装</w:t>
            </w:r>
            <w:r>
              <w:rPr>
                <w:rFonts w:hint="eastAsia" w:cs="Times New Roman"/>
                <w:color w:val="000000" w:themeColor="text1"/>
                <w:kern w:val="0"/>
                <w:sz w:val="24"/>
                <w:lang w:val="en-US" w:eastAsia="zh-CN"/>
                <w14:textFill>
                  <w14:solidFill>
                    <w14:schemeClr w14:val="tx1"/>
                  </w14:solidFill>
                </w14:textFill>
              </w:rPr>
              <w:t>等</w:t>
            </w:r>
            <w:r>
              <w:rPr>
                <w:rFonts w:hint="default" w:ascii="Times New Roman" w:hAnsi="Times New Roman" w:cs="Times New Roman"/>
                <w:color w:val="000000" w:themeColor="text1"/>
                <w:kern w:val="0"/>
                <w:sz w:val="24"/>
                <w:lang w:eastAsia="zh-CN"/>
                <w14:textFill>
                  <w14:solidFill>
                    <w14:schemeClr w14:val="tx1"/>
                  </w14:solidFill>
                </w14:textFill>
              </w:rPr>
              <w:t>。</w:t>
            </w:r>
          </w:p>
          <w:p w14:paraId="433C01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各污染物来源途径见表2-</w:t>
            </w:r>
            <w:r>
              <w:rPr>
                <w:rFonts w:hint="eastAsia" w:cs="Times New Roman"/>
                <w:bCs/>
                <w:color w:val="000000" w:themeColor="text1"/>
                <w:sz w:val="24"/>
                <w:lang w:val="en-US" w:eastAsia="zh-CN"/>
                <w14:textFill>
                  <w14:solidFill>
                    <w14:schemeClr w14:val="tx1"/>
                  </w14:solidFill>
                </w14:textFill>
              </w:rPr>
              <w:t>7</w:t>
            </w:r>
            <w:r>
              <w:rPr>
                <w:rFonts w:hint="default" w:ascii="Times New Roman" w:hAnsi="Times New Roman" w:cs="Times New Roman"/>
                <w:bCs/>
                <w:color w:val="000000" w:themeColor="text1"/>
                <w:sz w:val="24"/>
                <w14:textFill>
                  <w14:solidFill>
                    <w14:schemeClr w14:val="tx1"/>
                  </w14:solidFill>
                </w14:textFill>
              </w:rPr>
              <w:t>。</w:t>
            </w:r>
          </w:p>
          <w:p w14:paraId="1D9C6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p>
          <w:p w14:paraId="3B4AE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p>
          <w:p w14:paraId="6B264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主要污染物一览表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20"/>
              <w:gridCol w:w="1059"/>
              <w:gridCol w:w="1492"/>
              <w:gridCol w:w="3045"/>
              <w:gridCol w:w="1130"/>
              <w:gridCol w:w="1143"/>
            </w:tblGrid>
            <w:tr w14:paraId="39AF2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7" w:type="dxa"/>
                  <w:gridSpan w:val="2"/>
                  <w:noWrap w:val="0"/>
                  <w:vAlign w:val="center"/>
                </w:tcPr>
                <w:p w14:paraId="57A55B9C">
                  <w:pPr>
                    <w:pStyle w:val="126"/>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污染</w:t>
                  </w:r>
                  <w:r>
                    <w:rPr>
                      <w:rFonts w:hint="default" w:ascii="Times New Roman" w:hAnsi="Times New Roman" w:cs="Times New Roman"/>
                      <w:b/>
                      <w:bCs/>
                      <w:color w:val="000000" w:themeColor="text1"/>
                      <w:sz w:val="21"/>
                      <w:szCs w:val="21"/>
                      <w14:textFill>
                        <w14:solidFill>
                          <w14:schemeClr w14:val="tx1"/>
                        </w14:solidFill>
                      </w14:textFill>
                    </w:rPr>
                    <w:t>类型</w:t>
                  </w:r>
                </w:p>
              </w:tc>
              <w:tc>
                <w:tcPr>
                  <w:tcW w:w="1470" w:type="dxa"/>
                  <w:noWrap w:val="0"/>
                  <w:vAlign w:val="center"/>
                </w:tcPr>
                <w:p w14:paraId="4BBFC99C">
                  <w:pPr>
                    <w:pStyle w:val="126"/>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产生工序</w:t>
                  </w:r>
                </w:p>
              </w:tc>
              <w:tc>
                <w:tcPr>
                  <w:tcW w:w="3000" w:type="dxa"/>
                  <w:noWrap w:val="0"/>
                  <w:vAlign w:val="center"/>
                </w:tcPr>
                <w:p w14:paraId="76E15A9E">
                  <w:pPr>
                    <w:pStyle w:val="126"/>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主要污染物</w:t>
                  </w:r>
                </w:p>
              </w:tc>
              <w:tc>
                <w:tcPr>
                  <w:tcW w:w="1113" w:type="dxa"/>
                  <w:noWrap w:val="0"/>
                  <w:vAlign w:val="center"/>
                </w:tcPr>
                <w:p w14:paraId="67D38BDE">
                  <w:pPr>
                    <w:pStyle w:val="126"/>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产生位置</w:t>
                  </w:r>
                </w:p>
              </w:tc>
              <w:tc>
                <w:tcPr>
                  <w:tcW w:w="1126" w:type="dxa"/>
                  <w:noWrap w:val="0"/>
                  <w:vAlign w:val="center"/>
                </w:tcPr>
                <w:p w14:paraId="107E7B03">
                  <w:pPr>
                    <w:pStyle w:val="126"/>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排放方式</w:t>
                  </w:r>
                </w:p>
              </w:tc>
            </w:tr>
            <w:tr w14:paraId="5A449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3" w:type="dxa"/>
                  <w:noWrap w:val="0"/>
                  <w:vAlign w:val="center"/>
                </w:tcPr>
                <w:p w14:paraId="68A5E34B">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tc>
              <w:tc>
                <w:tcPr>
                  <w:tcW w:w="1044" w:type="dxa"/>
                  <w:noWrap w:val="0"/>
                  <w:vAlign w:val="center"/>
                </w:tcPr>
                <w:p w14:paraId="6399062D">
                  <w:pPr>
                    <w:pStyle w:val="126"/>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锅炉废气</w:t>
                  </w:r>
                </w:p>
              </w:tc>
              <w:tc>
                <w:tcPr>
                  <w:tcW w:w="1470" w:type="dxa"/>
                  <w:noWrap w:val="0"/>
                  <w:vAlign w:val="center"/>
                </w:tcPr>
                <w:p w14:paraId="410B724C">
                  <w:pPr>
                    <w:pStyle w:val="126"/>
                    <w:kinsoku w:val="0"/>
                    <w:overflowPunct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w:t>
                  </w:r>
                </w:p>
              </w:tc>
              <w:tc>
                <w:tcPr>
                  <w:tcW w:w="3000" w:type="dxa"/>
                  <w:noWrap w:val="0"/>
                  <w:vAlign w:val="center"/>
                </w:tcPr>
                <w:p w14:paraId="69C16238">
                  <w:pPr>
                    <w:pStyle w:val="126"/>
                    <w:kinsoku w:val="0"/>
                    <w:overflowPunct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林格曼黑度、氨</w:t>
                  </w:r>
                </w:p>
              </w:tc>
              <w:tc>
                <w:tcPr>
                  <w:tcW w:w="1113" w:type="dxa"/>
                  <w:noWrap w:val="0"/>
                  <w:vAlign w:val="center"/>
                </w:tcPr>
                <w:p w14:paraId="06122E67">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锅炉房</w:t>
                  </w:r>
                </w:p>
              </w:tc>
              <w:tc>
                <w:tcPr>
                  <w:tcW w:w="1126" w:type="dxa"/>
                  <w:noWrap w:val="0"/>
                  <w:vAlign w:val="center"/>
                </w:tcPr>
                <w:p w14:paraId="731652CA">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室内、</w:t>
                  </w:r>
                  <w:r>
                    <w:rPr>
                      <w:rFonts w:hint="default" w:ascii="Times New Roman" w:hAnsi="Times New Roman" w:cs="Times New Roman"/>
                      <w:color w:val="000000" w:themeColor="text1"/>
                      <w:sz w:val="21"/>
                      <w:szCs w:val="21"/>
                      <w14:textFill>
                        <w14:solidFill>
                          <w14:schemeClr w14:val="tx1"/>
                        </w14:solidFill>
                      </w14:textFill>
                    </w:rPr>
                    <w:t>间歇</w:t>
                  </w:r>
                </w:p>
              </w:tc>
            </w:tr>
            <w:tr w14:paraId="6FCF0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3" w:type="dxa"/>
                  <w:noWrap w:val="0"/>
                  <w:vAlign w:val="center"/>
                </w:tcPr>
                <w:p w14:paraId="7BFC6183">
                  <w:pPr>
                    <w:pStyle w:val="126"/>
                    <w:kinsoku w:val="0"/>
                    <w:overflowPunct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废水</w:t>
                  </w:r>
                </w:p>
              </w:tc>
              <w:tc>
                <w:tcPr>
                  <w:tcW w:w="1044" w:type="dxa"/>
                  <w:noWrap w:val="0"/>
                  <w:vAlign w:val="center"/>
                </w:tcPr>
                <w:p w14:paraId="3D69BE1B">
                  <w:pPr>
                    <w:pStyle w:val="126"/>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软水制备废水（含锅炉排污水）</w:t>
                  </w:r>
                </w:p>
              </w:tc>
              <w:tc>
                <w:tcPr>
                  <w:tcW w:w="1470" w:type="dxa"/>
                  <w:noWrap w:val="0"/>
                  <w:vAlign w:val="center"/>
                </w:tcPr>
                <w:p w14:paraId="41E315CA">
                  <w:pPr>
                    <w:pStyle w:val="126"/>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软水制备、锅炉</w:t>
                  </w:r>
                </w:p>
              </w:tc>
              <w:tc>
                <w:tcPr>
                  <w:tcW w:w="3000" w:type="dxa"/>
                  <w:noWrap w:val="0"/>
                  <w:vAlign w:val="center"/>
                </w:tcPr>
                <w:p w14:paraId="3D6AB1D5">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bCs/>
                      <w:color w:val="000000" w:themeColor="text1"/>
                      <w:szCs w:val="21"/>
                      <w:highlight w:val="none"/>
                      <w:vertAlign w:val="baseline"/>
                      <w:lang w:val="en-US" w:eastAsia="zh-CN"/>
                      <w14:textFill>
                        <w14:solidFill>
                          <w14:schemeClr w14:val="tx1"/>
                        </w14:solidFill>
                      </w14:textFill>
                    </w:rPr>
                    <w:t>SS</w:t>
                  </w:r>
                </w:p>
              </w:tc>
              <w:tc>
                <w:tcPr>
                  <w:tcW w:w="1113" w:type="dxa"/>
                  <w:noWrap w:val="0"/>
                  <w:vAlign w:val="center"/>
                </w:tcPr>
                <w:p w14:paraId="2B615451">
                  <w:pPr>
                    <w:pStyle w:val="126"/>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锅炉房</w:t>
                  </w:r>
                </w:p>
              </w:tc>
              <w:tc>
                <w:tcPr>
                  <w:tcW w:w="1126" w:type="dxa"/>
                  <w:noWrap w:val="0"/>
                  <w:vAlign w:val="center"/>
                </w:tcPr>
                <w:p w14:paraId="6A6F8185">
                  <w:pPr>
                    <w:pStyle w:val="126"/>
                    <w:kinsoku w:val="0"/>
                    <w:overflowPunct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室内、</w:t>
                  </w:r>
                  <w:r>
                    <w:rPr>
                      <w:rFonts w:hint="default" w:ascii="Times New Roman" w:hAnsi="Times New Roman" w:cs="Times New Roman"/>
                      <w:color w:val="000000" w:themeColor="text1"/>
                      <w:sz w:val="21"/>
                      <w:szCs w:val="21"/>
                      <w14:textFill>
                        <w14:solidFill>
                          <w14:schemeClr w14:val="tx1"/>
                        </w14:solidFill>
                      </w14:textFill>
                    </w:rPr>
                    <w:t>间歇</w:t>
                  </w:r>
                </w:p>
              </w:tc>
            </w:tr>
            <w:tr w14:paraId="33A19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13" w:type="dxa"/>
                  <w:noWrap w:val="0"/>
                  <w:vAlign w:val="center"/>
                </w:tcPr>
                <w:p w14:paraId="180BB287">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1044" w:type="dxa"/>
                  <w:noWrap w:val="0"/>
                  <w:vAlign w:val="center"/>
                </w:tcPr>
                <w:p w14:paraId="23195164">
                  <w:pPr>
                    <w:pStyle w:val="126"/>
                    <w:kinsoku w:val="0"/>
                    <w:overflowPunct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一般工业</w:t>
                  </w:r>
                </w:p>
                <w:p w14:paraId="25374722">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固废</w:t>
                  </w:r>
                </w:p>
              </w:tc>
              <w:tc>
                <w:tcPr>
                  <w:tcW w:w="1470" w:type="dxa"/>
                  <w:noWrap w:val="0"/>
                  <w:vAlign w:val="center"/>
                </w:tcPr>
                <w:p w14:paraId="2A6A871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w:t>
                  </w:r>
                </w:p>
              </w:tc>
              <w:tc>
                <w:tcPr>
                  <w:tcW w:w="3000" w:type="dxa"/>
                  <w:noWrap w:val="0"/>
                  <w:vAlign w:val="center"/>
                </w:tcPr>
                <w:p w14:paraId="24FF116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除尘器收尘灰</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锅炉灰渣、废包装</w:t>
                  </w:r>
                </w:p>
              </w:tc>
              <w:tc>
                <w:tcPr>
                  <w:tcW w:w="1113" w:type="dxa"/>
                  <w:noWrap w:val="0"/>
                  <w:vAlign w:val="center"/>
                </w:tcPr>
                <w:p w14:paraId="3F30F120">
                  <w:pPr>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锅炉房</w:t>
                  </w:r>
                </w:p>
              </w:tc>
              <w:tc>
                <w:tcPr>
                  <w:tcW w:w="1126" w:type="dxa"/>
                  <w:noWrap w:val="0"/>
                  <w:vAlign w:val="center"/>
                </w:tcPr>
                <w:p w14:paraId="4168165A">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室内、</w:t>
                  </w:r>
                  <w:r>
                    <w:rPr>
                      <w:rFonts w:hint="default" w:ascii="Times New Roman" w:hAnsi="Times New Roman" w:cs="Times New Roman"/>
                      <w:color w:val="000000" w:themeColor="text1"/>
                      <w:sz w:val="21"/>
                      <w:szCs w:val="21"/>
                      <w14:textFill>
                        <w14:solidFill>
                          <w14:schemeClr w14:val="tx1"/>
                        </w14:solidFill>
                      </w14:textFill>
                    </w:rPr>
                    <w:t>间歇</w:t>
                  </w:r>
                </w:p>
              </w:tc>
            </w:tr>
            <w:tr w14:paraId="0C518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7" w:type="dxa"/>
                  <w:gridSpan w:val="2"/>
                  <w:noWrap w:val="0"/>
                  <w:vAlign w:val="center"/>
                </w:tcPr>
                <w:p w14:paraId="5388F7C0">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470" w:type="dxa"/>
                  <w:noWrap w:val="0"/>
                  <w:vAlign w:val="center"/>
                </w:tcPr>
                <w:p w14:paraId="6FFC8A13">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设备运转</w:t>
                  </w:r>
                </w:p>
              </w:tc>
              <w:tc>
                <w:tcPr>
                  <w:tcW w:w="3000" w:type="dxa"/>
                  <w:noWrap w:val="0"/>
                  <w:vAlign w:val="center"/>
                </w:tcPr>
                <w:p w14:paraId="4A5680B0">
                  <w:pPr>
                    <w:pStyle w:val="126"/>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设备噪声</w:t>
                  </w:r>
                </w:p>
              </w:tc>
              <w:tc>
                <w:tcPr>
                  <w:tcW w:w="1113" w:type="dxa"/>
                  <w:noWrap w:val="0"/>
                  <w:vAlign w:val="center"/>
                </w:tcPr>
                <w:p w14:paraId="084701FD">
                  <w:pPr>
                    <w:pStyle w:val="126"/>
                    <w:kinsoku w:val="0"/>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锅炉房</w:t>
                  </w:r>
                </w:p>
              </w:tc>
              <w:tc>
                <w:tcPr>
                  <w:tcW w:w="1126" w:type="dxa"/>
                  <w:noWrap w:val="0"/>
                  <w:vAlign w:val="center"/>
                </w:tcPr>
                <w:p w14:paraId="4683F59A">
                  <w:pPr>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室内、</w:t>
                  </w:r>
                  <w:r>
                    <w:rPr>
                      <w:rFonts w:hint="default" w:ascii="Times New Roman" w:hAnsi="Times New Roman" w:cs="Times New Roman"/>
                      <w:color w:val="000000" w:themeColor="text1"/>
                      <w:sz w:val="21"/>
                      <w:szCs w:val="21"/>
                      <w14:textFill>
                        <w14:solidFill>
                          <w14:schemeClr w14:val="tx1"/>
                        </w14:solidFill>
                      </w14:textFill>
                    </w:rPr>
                    <w:t>间歇</w:t>
                  </w:r>
                </w:p>
              </w:tc>
            </w:tr>
          </w:tbl>
          <w:p w14:paraId="15FC15B2">
            <w:pPr>
              <w:adjustRightInd w:val="0"/>
              <w:snapToGrid w:val="0"/>
              <w:rPr>
                <w:rFonts w:hint="default" w:ascii="Times New Roman" w:hAnsi="Times New Roman" w:cs="Times New Roman"/>
                <w:bCs/>
                <w:color w:val="000000" w:themeColor="text1"/>
                <w:szCs w:val="21"/>
                <w14:textFill>
                  <w14:solidFill>
                    <w14:schemeClr w14:val="tx1"/>
                  </w14:solidFill>
                </w14:textFill>
              </w:rPr>
            </w:pPr>
          </w:p>
        </w:tc>
      </w:tr>
      <w:tr w14:paraId="061FD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548" w:type="dxa"/>
            <w:noWrap w:val="0"/>
            <w:vAlign w:val="center"/>
          </w:tcPr>
          <w:p w14:paraId="0EC64E56">
            <w:pPr>
              <w:pStyle w:val="26"/>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2"/>
                <w:sz w:val="21"/>
                <w:szCs w:val="21"/>
                <w14:textFill>
                  <w14:solidFill>
                    <w14:schemeClr w14:val="tx1"/>
                  </w14:solidFill>
                </w14:textFill>
              </w:rPr>
              <w:t>与项目有关的原有环境污染问题</w:t>
            </w:r>
          </w:p>
        </w:tc>
        <w:tc>
          <w:tcPr>
            <w:tcW w:w="8512" w:type="dxa"/>
            <w:tcBorders>
              <w:bottom w:val="single" w:color="auto" w:sz="4" w:space="0"/>
            </w:tcBorders>
            <w:noWrap w:val="0"/>
            <w:vAlign w:val="center"/>
          </w:tcPr>
          <w:p w14:paraId="3C0B16FC">
            <w:pPr>
              <w:keepNext/>
              <w:keepLines/>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1"/>
              <w:rPr>
                <w:rFonts w:hint="default" w:ascii="Times New Roman" w:hAnsi="Times New Roman" w:eastAsia="黑体" w:cs="Times New Roman"/>
                <w:bCs/>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Cs/>
                <w:color w:val="000000" w:themeColor="text1"/>
                <w:sz w:val="28"/>
                <w:szCs w:val="28"/>
                <w:lang w:val="en-US" w:eastAsia="zh-CN"/>
                <w14:textFill>
                  <w14:solidFill>
                    <w14:schemeClr w14:val="tx1"/>
                  </w14:solidFill>
                </w14:textFill>
              </w:rPr>
              <w:t>1</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原有项目环评及验收情况</w:t>
            </w:r>
          </w:p>
          <w:p w14:paraId="623F4BF1">
            <w:pPr>
              <w:keepNext w:val="0"/>
              <w:keepLines w:val="0"/>
              <w:pageBreakBefore w:val="0"/>
              <w:kinsoku/>
              <w:wordWrap w:val="0"/>
              <w:overflowPunct/>
              <w:topLinePunct w:val="0"/>
              <w:autoSpaceDE/>
              <w:autoSpaceDN/>
              <w:bidi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陕西万凤酒业有限公司</w:t>
            </w:r>
            <w:r>
              <w:rPr>
                <w:rFonts w:hint="default" w:ascii="Times New Roman" w:hAnsi="Times New Roman" w:cs="Times New Roman"/>
                <w:color w:val="000000" w:themeColor="text1"/>
                <w:sz w:val="24"/>
                <w:lang w:val="en-US" w:eastAsia="zh-CN"/>
                <w14:textFill>
                  <w14:solidFill>
                    <w14:schemeClr w14:val="tx1"/>
                  </w14:solidFill>
                </w14:textFill>
              </w:rPr>
              <w:t>主要进行白酒生产，于20</w:t>
            </w:r>
            <w:r>
              <w:rPr>
                <w:rFonts w:hint="eastAsia"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lang w:val="en-US" w:eastAsia="zh-CN"/>
                <w14:textFill>
                  <w14:solidFill>
                    <w14:schemeClr w14:val="tx1"/>
                  </w14:solidFill>
                </w14:textFill>
              </w:rPr>
              <w:t>年1</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月对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凤香型白酒建设项目</w:t>
            </w:r>
            <w:r>
              <w:rPr>
                <w:rFonts w:hint="default" w:ascii="Times New Roman" w:hAnsi="Times New Roman" w:cs="Times New Roman"/>
                <w:color w:val="000000" w:themeColor="text1"/>
                <w:sz w:val="24"/>
                <w:lang w:val="en-US" w:eastAsia="zh-CN"/>
                <w14:textFill>
                  <w14:solidFill>
                    <w14:schemeClr w14:val="tx1"/>
                  </w14:solidFill>
                </w14:textFill>
              </w:rPr>
              <w:t>进行环境影响评价，20</w:t>
            </w:r>
            <w:r>
              <w:rPr>
                <w:rFonts w:hint="eastAsia"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lang w:val="en-US" w:eastAsia="zh-CN"/>
                <w14:textFill>
                  <w14:solidFill>
                    <w14:schemeClr w14:val="tx1"/>
                  </w14:solidFill>
                </w14:textFill>
              </w:rPr>
              <w:t>月</w:t>
            </w:r>
            <w:r>
              <w:rPr>
                <w:rFonts w:hint="eastAsia" w:ascii="Times New Roman" w:hAnsi="Times New Roman" w:cs="Times New Roman"/>
                <w:color w:val="000000" w:themeColor="text1"/>
                <w:sz w:val="24"/>
                <w:lang w:val="en-US" w:eastAsia="zh-CN"/>
                <w14:textFill>
                  <w14:solidFill>
                    <w14:schemeClr w14:val="tx1"/>
                  </w14:solidFill>
                </w14:textFill>
              </w:rPr>
              <w:t>28</w:t>
            </w:r>
            <w:r>
              <w:rPr>
                <w:rFonts w:hint="default" w:ascii="Times New Roman" w:hAnsi="Times New Roman" w:cs="Times New Roman"/>
                <w:color w:val="000000" w:themeColor="text1"/>
                <w:sz w:val="24"/>
                <w:lang w:val="en-US" w:eastAsia="zh-CN"/>
                <w14:textFill>
                  <w14:solidFill>
                    <w14:schemeClr w14:val="tx1"/>
                  </w14:solidFill>
                </w14:textFill>
              </w:rPr>
              <w:t>日取得</w:t>
            </w:r>
            <w:r>
              <w:rPr>
                <w:rFonts w:hint="eastAsia" w:ascii="Times New Roman" w:hAnsi="Times New Roman" w:cs="Times New Roman"/>
                <w:color w:val="000000" w:themeColor="text1"/>
                <w:sz w:val="24"/>
                <w:lang w:val="en-US" w:eastAsia="zh-CN"/>
                <w14:textFill>
                  <w14:solidFill>
                    <w14:schemeClr w14:val="tx1"/>
                  </w14:solidFill>
                </w14:textFill>
              </w:rPr>
              <w:t>原宝鸡市环境保护局</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关于陕西万凤酒业有限公司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凤香型白酒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生产线技改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环境影响报告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书</w:t>
            </w:r>
            <w:r>
              <w:rPr>
                <w:rFonts w:hint="default" w:ascii="Times New Roman" w:hAnsi="Times New Roman" w:eastAsia="宋体" w:cs="Times New Roman"/>
                <w:color w:val="000000" w:themeColor="text1"/>
                <w:sz w:val="24"/>
                <w:szCs w:val="24"/>
                <w14:textFill>
                  <w14:solidFill>
                    <w14:schemeClr w14:val="tx1"/>
                  </w14:solidFill>
                </w14:textFill>
              </w:rPr>
              <w:t>的批复》（</w:t>
            </w:r>
            <w:r>
              <w:rPr>
                <w:rFonts w:hint="default" w:ascii="Times New Roman" w:hAnsi="Times New Roman" w:eastAsia="宋体" w:cs="Times New Roman"/>
                <w:color w:val="000000" w:themeColor="text1"/>
                <w:sz w:val="24"/>
                <w:szCs w:val="24"/>
                <w:lang w:eastAsia="zh-CN"/>
                <w14:textFill>
                  <w14:solidFill>
                    <w14:schemeClr w14:val="tx1"/>
                  </w14:solidFill>
                </w14:textFill>
              </w:rPr>
              <w:t>宝</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市</w:t>
            </w:r>
            <w:r>
              <w:rPr>
                <w:rFonts w:hint="default" w:ascii="Times New Roman" w:hAnsi="Times New Roman" w:eastAsia="宋体" w:cs="Times New Roman"/>
                <w:color w:val="000000" w:themeColor="text1"/>
                <w:sz w:val="24"/>
                <w:szCs w:val="24"/>
                <w:lang w:eastAsia="zh-CN"/>
                <w14:textFill>
                  <w14:solidFill>
                    <w14:schemeClr w14:val="tx1"/>
                  </w14:solidFill>
                </w14:textFill>
              </w:rPr>
              <w:t>环函</w:t>
            </w:r>
            <w:r>
              <w:rPr>
                <w:rFonts w:hint="eastAsia" w:ascii="Times New Roman" w:hAnsi="Times New Roman" w:eastAsia="宋体" w:cs="Times New Roman"/>
                <w:color w:val="000000" w:themeColor="text1"/>
                <w:sz w:val="24"/>
                <w:szCs w:val="24"/>
                <w:lang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471</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月进行项目竣工环境保护验收。</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1161"/>
              <w:gridCol w:w="682"/>
              <w:gridCol w:w="1009"/>
              <w:gridCol w:w="1551"/>
              <w:gridCol w:w="1522"/>
            </w:tblGrid>
            <w:tr w14:paraId="1D9EA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7C780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原有</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项目“三同时”情况</w:t>
                  </w:r>
                </w:p>
              </w:tc>
            </w:tr>
            <w:tr w14:paraId="537B7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2" w:type="pct"/>
                  <w:vMerge w:val="restart"/>
                  <w:tcBorders>
                    <w:tl2br w:val="nil"/>
                    <w:tr2bl w:val="nil"/>
                  </w:tcBorders>
                  <w:noWrap w:val="0"/>
                  <w:vAlign w:val="center"/>
                </w:tcPr>
                <w:p w14:paraId="04D77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项目名称</w:t>
                  </w:r>
                </w:p>
              </w:tc>
              <w:tc>
                <w:tcPr>
                  <w:tcW w:w="2578" w:type="pct"/>
                  <w:gridSpan w:val="4"/>
                  <w:tcBorders>
                    <w:tl2br w:val="nil"/>
                    <w:tr2bl w:val="nil"/>
                  </w:tcBorders>
                  <w:noWrap w:val="0"/>
                  <w:vAlign w:val="center"/>
                </w:tcPr>
                <w:p w14:paraId="0F3255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审批情况</w:t>
                  </w:r>
                </w:p>
              </w:tc>
              <w:tc>
                <w:tcPr>
                  <w:tcW w:w="929" w:type="pct"/>
                  <w:tcBorders>
                    <w:tl2br w:val="nil"/>
                    <w:tr2bl w:val="nil"/>
                  </w:tcBorders>
                  <w:noWrap w:val="0"/>
                  <w:vAlign w:val="center"/>
                </w:tcPr>
                <w:p w14:paraId="0BE687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验收情况</w:t>
                  </w:r>
                </w:p>
              </w:tc>
            </w:tr>
            <w:tr w14:paraId="12DEF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2" w:type="pct"/>
                  <w:vMerge w:val="continue"/>
                  <w:tcBorders>
                    <w:tl2br w:val="nil"/>
                    <w:tr2bl w:val="nil"/>
                  </w:tcBorders>
                  <w:noWrap w:val="0"/>
                  <w:vAlign w:val="center"/>
                </w:tcPr>
                <w:p w14:paraId="2CF275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578" w:type="pct"/>
                  <w:tcBorders>
                    <w:tl2br w:val="nil"/>
                    <w:tr2bl w:val="nil"/>
                  </w:tcBorders>
                  <w:noWrap w:val="0"/>
                  <w:vAlign w:val="center"/>
                </w:tcPr>
                <w:p w14:paraId="3F369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时间</w:t>
                  </w:r>
                </w:p>
              </w:tc>
              <w:tc>
                <w:tcPr>
                  <w:tcW w:w="1053" w:type="pct"/>
                  <w:gridSpan w:val="2"/>
                  <w:tcBorders>
                    <w:tl2br w:val="nil"/>
                    <w:tr2bl w:val="nil"/>
                  </w:tcBorders>
                  <w:noWrap w:val="0"/>
                  <w:vAlign w:val="center"/>
                </w:tcPr>
                <w:p w14:paraId="4F816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部门</w:t>
                  </w:r>
                </w:p>
              </w:tc>
              <w:tc>
                <w:tcPr>
                  <w:tcW w:w="947" w:type="pct"/>
                  <w:tcBorders>
                    <w:tl2br w:val="nil"/>
                    <w:tr2bl w:val="nil"/>
                  </w:tcBorders>
                  <w:noWrap w:val="0"/>
                  <w:vAlign w:val="center"/>
                </w:tcPr>
                <w:p w14:paraId="3B79F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文号</w:t>
                  </w:r>
                </w:p>
              </w:tc>
              <w:tc>
                <w:tcPr>
                  <w:tcW w:w="929" w:type="pct"/>
                  <w:tcBorders>
                    <w:tl2br w:val="nil"/>
                    <w:tr2bl w:val="nil"/>
                  </w:tcBorders>
                  <w:noWrap w:val="0"/>
                  <w:vAlign w:val="center"/>
                </w:tcPr>
                <w:p w14:paraId="449C1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时间</w:t>
                  </w:r>
                </w:p>
              </w:tc>
            </w:tr>
            <w:tr w14:paraId="5B1A3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2" w:type="pct"/>
                  <w:tcBorders>
                    <w:tl2br w:val="nil"/>
                    <w:tr2bl w:val="nil"/>
                  </w:tcBorders>
                  <w:noWrap w:val="0"/>
                  <w:vAlign w:val="center"/>
                </w:tcPr>
                <w:p w14:paraId="74CE8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凤香型白酒</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生产线技改</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项目</w:t>
                  </w:r>
                </w:p>
              </w:tc>
              <w:tc>
                <w:tcPr>
                  <w:tcW w:w="578" w:type="pct"/>
                  <w:tcBorders>
                    <w:tl2br w:val="nil"/>
                    <w:tr2bl w:val="nil"/>
                  </w:tcBorders>
                  <w:noWrap w:val="0"/>
                  <w:vAlign w:val="center"/>
                </w:tcPr>
                <w:p w14:paraId="7495DF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20</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18.12.28</w:t>
                  </w:r>
                </w:p>
              </w:tc>
              <w:tc>
                <w:tcPr>
                  <w:tcW w:w="1053" w:type="pct"/>
                  <w:gridSpan w:val="2"/>
                  <w:tcBorders>
                    <w:tl2br w:val="nil"/>
                    <w:tr2bl w:val="nil"/>
                  </w:tcBorders>
                  <w:noWrap w:val="0"/>
                  <w:vAlign w:val="center"/>
                </w:tcPr>
                <w:p w14:paraId="3C75A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原宝鸡市环境保护局</w:t>
                  </w:r>
                </w:p>
              </w:tc>
              <w:tc>
                <w:tcPr>
                  <w:tcW w:w="947" w:type="pct"/>
                  <w:tcBorders>
                    <w:tl2br w:val="nil"/>
                    <w:tr2bl w:val="nil"/>
                  </w:tcBorders>
                  <w:noWrap w:val="0"/>
                  <w:vAlign w:val="center"/>
                </w:tcPr>
                <w:p w14:paraId="55C12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宝市环函〔2018〕471号</w:t>
                  </w:r>
                </w:p>
              </w:tc>
              <w:tc>
                <w:tcPr>
                  <w:tcW w:w="929" w:type="pct"/>
                  <w:tcBorders>
                    <w:tl2br w:val="nil"/>
                    <w:tr2bl w:val="nil"/>
                  </w:tcBorders>
                  <w:noWrap w:val="0"/>
                  <w:vAlign w:val="center"/>
                </w:tcPr>
                <w:p w14:paraId="6A19A9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2019.07</w:t>
                  </w:r>
                </w:p>
              </w:tc>
            </w:tr>
            <w:tr w14:paraId="100FC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54068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排污许可执行情况</w:t>
                  </w:r>
                </w:p>
              </w:tc>
            </w:tr>
            <w:tr w14:paraId="0E0D6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gridSpan w:val="3"/>
                  <w:tcBorders>
                    <w:tl2br w:val="nil"/>
                    <w:tr2bl w:val="nil"/>
                  </w:tcBorders>
                  <w:noWrap w:val="0"/>
                  <w:vAlign w:val="center"/>
                </w:tcPr>
                <w:p w14:paraId="3B3865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许可证编号</w:t>
                  </w:r>
                </w:p>
              </w:tc>
              <w:tc>
                <w:tcPr>
                  <w:tcW w:w="2500" w:type="pct"/>
                  <w:gridSpan w:val="3"/>
                  <w:tcBorders>
                    <w:tl2br w:val="nil"/>
                    <w:tr2bl w:val="nil"/>
                  </w:tcBorders>
                  <w:noWrap w:val="0"/>
                  <w:vAlign w:val="center"/>
                </w:tcPr>
                <w:p w14:paraId="2E3AC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有效期</w:t>
                  </w:r>
                </w:p>
              </w:tc>
            </w:tr>
            <w:tr w14:paraId="62802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gridSpan w:val="3"/>
                  <w:tcBorders>
                    <w:tl2br w:val="nil"/>
                    <w:tr2bl w:val="nil"/>
                  </w:tcBorders>
                  <w:noWrap w:val="0"/>
                  <w:vAlign w:val="center"/>
                </w:tcPr>
                <w:p w14:paraId="4BEDDC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hb610300600000195P001Q</w:t>
                  </w:r>
                </w:p>
              </w:tc>
              <w:tc>
                <w:tcPr>
                  <w:tcW w:w="2500" w:type="pct"/>
                  <w:gridSpan w:val="3"/>
                  <w:tcBorders>
                    <w:tl2br w:val="nil"/>
                    <w:tr2bl w:val="nil"/>
                  </w:tcBorders>
                  <w:noWrap w:val="0"/>
                  <w:vAlign w:val="center"/>
                </w:tcPr>
                <w:p w14:paraId="1E84E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2025-11-26至2030-11-25</w:t>
                  </w:r>
                </w:p>
              </w:tc>
            </w:tr>
          </w:tbl>
          <w:p w14:paraId="16AC26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原有</w:t>
            </w:r>
            <w:r>
              <w:rPr>
                <w:rFonts w:hint="eastAsia" w:cs="Times New Roman"/>
                <w:b/>
                <w:bCs/>
                <w:color w:val="000000" w:themeColor="text1"/>
                <w:sz w:val="24"/>
                <w:lang w:val="en-US" w:eastAsia="zh-CN"/>
                <w14:textFill>
                  <w14:solidFill>
                    <w14:schemeClr w14:val="tx1"/>
                  </w14:solidFill>
                </w14:textFill>
              </w:rPr>
              <w:t>项目锅炉</w:t>
            </w:r>
            <w:r>
              <w:rPr>
                <w:rFonts w:hint="default" w:ascii="Times New Roman" w:hAnsi="Times New Roman" w:eastAsia="宋体" w:cs="Times New Roman"/>
                <w:b/>
                <w:bCs/>
                <w:color w:val="000000" w:themeColor="text1"/>
                <w:sz w:val="24"/>
                <w:lang w:val="en-US" w:eastAsia="zh-CN"/>
                <w14:textFill>
                  <w14:solidFill>
                    <w14:schemeClr w14:val="tx1"/>
                  </w14:solidFill>
                </w14:textFill>
              </w:rPr>
              <w:t>污染物实际排放总量</w:t>
            </w:r>
          </w:p>
          <w:p w14:paraId="467F545E">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（1）废水：</w:t>
            </w:r>
            <w:r>
              <w:rPr>
                <w:rFonts w:hint="eastAsia" w:ascii="Times New Roman" w:hAnsi="Times New Roman" w:eastAsia="宋体" w:cs="Times New Roman"/>
                <w:color w:val="000000" w:themeColor="text1"/>
                <w:sz w:val="24"/>
                <w:lang w:val="en-US" w:eastAsia="zh-CN"/>
                <w14:textFill>
                  <w14:solidFill>
                    <w14:schemeClr w14:val="tx1"/>
                  </w14:solidFill>
                </w14:textFill>
              </w:rPr>
              <w:t>原有项目</w:t>
            </w:r>
            <w:r>
              <w:rPr>
                <w:rFonts w:hint="eastAsia" w:cs="Times New Roman"/>
                <w:color w:val="000000" w:themeColor="text1"/>
                <w:sz w:val="24"/>
                <w:lang w:val="en-US" w:eastAsia="zh-CN"/>
                <w14:textFill>
                  <w14:solidFill>
                    <w14:schemeClr w14:val="tx1"/>
                  </w14:solidFill>
                </w14:textFill>
              </w:rPr>
              <w:t>软水</w:t>
            </w:r>
            <w:r>
              <w:rPr>
                <w:rFonts w:hint="default" w:ascii="Times New Roman" w:hAnsi="Times New Roman" w:eastAsia="宋体" w:cs="Times New Roman"/>
                <w:color w:val="000000" w:themeColor="text1"/>
                <w:sz w:val="24"/>
                <w:lang w:val="en-US" w:eastAsia="zh-CN"/>
                <w14:textFill>
                  <w14:solidFill>
                    <w14:schemeClr w14:val="tx1"/>
                  </w14:solidFill>
                </w14:textFill>
              </w:rPr>
              <w:t>制备废水</w:t>
            </w:r>
            <w:r>
              <w:rPr>
                <w:rFonts w:hint="eastAsia" w:cs="Times New Roman"/>
                <w:color w:val="000000" w:themeColor="text1"/>
                <w:sz w:val="24"/>
                <w:lang w:val="en-US" w:eastAsia="zh-CN"/>
                <w14:textFill>
                  <w14:solidFill>
                    <w14:schemeClr w14:val="tx1"/>
                  </w14:solidFill>
                </w14:textFill>
              </w:rPr>
              <w:t>及锅炉排污水</w:t>
            </w:r>
            <w:r>
              <w:rPr>
                <w:rFonts w:hint="default" w:ascii="Times New Roman" w:hAnsi="Times New Roman" w:eastAsia="宋体" w:cs="Times New Roman"/>
                <w:color w:val="000000" w:themeColor="text1"/>
                <w:sz w:val="24"/>
                <w:lang w:val="en-US" w:eastAsia="zh-CN"/>
                <w14:textFill>
                  <w14:solidFill>
                    <w14:schemeClr w14:val="tx1"/>
                  </w14:solidFill>
                </w14:textFill>
              </w:rPr>
              <w:t>收集到清水池，</w:t>
            </w:r>
            <w:r>
              <w:rPr>
                <w:rFonts w:hint="eastAsia" w:cs="Times New Roman"/>
                <w:color w:val="000000" w:themeColor="text1"/>
                <w:sz w:val="24"/>
                <w:lang w:val="en-US" w:eastAsia="zh-CN"/>
                <w14:textFill>
                  <w14:solidFill>
                    <w14:schemeClr w14:val="tx1"/>
                  </w14:solidFill>
                </w14:textFill>
              </w:rPr>
              <w:t>综合用于厂内循环冷却水及绿化用水</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067105A">
            <w:pPr>
              <w:keepNext/>
              <w:keepLines/>
              <w:widowControl/>
              <w:spacing w:line="360" w:lineRule="auto"/>
              <w:ind w:firstLine="480" w:firstLineChars="200"/>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（2）噪声：</w:t>
            </w:r>
            <w:r>
              <w:rPr>
                <w:rFonts w:hint="default" w:ascii="Times New Roman" w:hAnsi="Times New Roman" w:eastAsia="宋体" w:cs="Times New Roman"/>
                <w:color w:val="000000" w:themeColor="text1"/>
                <w:sz w:val="24"/>
                <w:szCs w:val="24"/>
                <w:lang w:eastAsia="zh-CN"/>
                <w14:textFill>
                  <w14:solidFill>
                    <w14:schemeClr w14:val="tx1"/>
                  </w14:solidFill>
                </w14:textFill>
              </w:rPr>
              <w:t>原有项目运营过程中产生的噪声主要来源于生产设备，生产设备均在厂房内，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color w:val="000000" w:themeColor="text1"/>
                <w:sz w:val="24"/>
                <w:szCs w:val="24"/>
                <w:lang w:eastAsia="zh-CN"/>
                <w14:textFill>
                  <w14:solidFill>
                    <w14:schemeClr w14:val="tx1"/>
                  </w14:solidFill>
                </w14:textFill>
              </w:rPr>
              <w:t>厂房隔声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、距离衰减</w:t>
            </w:r>
            <w:r>
              <w:rPr>
                <w:rFonts w:hint="default" w:ascii="Times New Roman" w:hAnsi="Times New Roman" w:eastAsia="宋体" w:cs="Times New Roman"/>
                <w:color w:val="000000" w:themeColor="text1"/>
                <w:sz w:val="24"/>
                <w:szCs w:val="24"/>
                <w:lang w:eastAsia="zh-CN"/>
                <w14:textFill>
                  <w14:solidFill>
                    <w14:schemeClr w14:val="tx1"/>
                  </w14:solidFill>
                </w14:textFill>
              </w:rPr>
              <w:t>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隔声</w:t>
            </w:r>
            <w:r>
              <w:rPr>
                <w:rFonts w:hint="default" w:ascii="Times New Roman" w:hAnsi="Times New Roman" w:eastAsia="宋体" w:cs="Times New Roman"/>
                <w:color w:val="000000" w:themeColor="text1"/>
                <w:sz w:val="24"/>
                <w:szCs w:val="24"/>
                <w:lang w:eastAsia="zh-CN"/>
                <w14:textFill>
                  <w14:solidFill>
                    <w14:schemeClr w14:val="tx1"/>
                  </w14:solidFill>
                </w14:textFill>
              </w:rPr>
              <w:t>降噪。</w:t>
            </w:r>
            <w:r>
              <w:rPr>
                <w:rFonts w:hint="default" w:ascii="Times New Roman" w:hAnsi="Times New Roman" w:cs="Times New Roman"/>
                <w:color w:val="000000" w:themeColor="text1"/>
                <w:sz w:val="24"/>
                <w:szCs w:val="24"/>
                <w:lang w:val="en-US" w:eastAsia="zh-CN"/>
                <w14:textFill>
                  <w14:solidFill>
                    <w14:schemeClr w14:val="tx1"/>
                  </w14:solidFill>
                </w14:textFill>
              </w:rPr>
              <w:t>本项目现状噪声数据引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用陕西森美佳境环境检测有限公司于202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（企业2023年、2024年、2025年未生产）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对项目厂界四周进行噪声自行监测的数据，共布设4个监测点，每天昼间监测1次，具体监测数据见下表：</w:t>
            </w:r>
          </w:p>
          <w:p w14:paraId="19D0E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p>
          <w:p w14:paraId="41366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厂界现状噪声监测一览表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098"/>
              <w:gridCol w:w="2098"/>
              <w:gridCol w:w="2098"/>
            </w:tblGrid>
            <w:tr w14:paraId="22FE3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restart"/>
                  <w:tcBorders>
                    <w:tl2br w:val="nil"/>
                    <w:tr2bl w:val="nil"/>
                  </w:tcBorders>
                  <w:noWrap w:val="0"/>
                  <w:vAlign w:val="center"/>
                </w:tcPr>
                <w:p w14:paraId="40552D1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监测日期</w:t>
                  </w:r>
                </w:p>
              </w:tc>
              <w:tc>
                <w:tcPr>
                  <w:tcW w:w="1250" w:type="pct"/>
                  <w:vMerge w:val="restart"/>
                  <w:tcBorders>
                    <w:tl2br w:val="nil"/>
                    <w:tr2bl w:val="nil"/>
                  </w:tcBorders>
                  <w:noWrap w:val="0"/>
                  <w:vAlign w:val="center"/>
                </w:tcPr>
                <w:p w14:paraId="34EBECC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监测点位</w:t>
                  </w:r>
                </w:p>
              </w:tc>
              <w:tc>
                <w:tcPr>
                  <w:tcW w:w="1250" w:type="pct"/>
                  <w:tcBorders>
                    <w:tl2br w:val="nil"/>
                    <w:tr2bl w:val="nil"/>
                  </w:tcBorders>
                  <w:noWrap w:val="0"/>
                  <w:vAlign w:val="center"/>
                </w:tcPr>
                <w:p w14:paraId="12399D2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监测时段</w:t>
                  </w:r>
                </w:p>
              </w:tc>
              <w:tc>
                <w:tcPr>
                  <w:tcW w:w="1250" w:type="pct"/>
                  <w:vMerge w:val="restart"/>
                  <w:tcBorders>
                    <w:tl2br w:val="nil"/>
                    <w:tr2bl w:val="nil"/>
                  </w:tcBorders>
                  <w:noWrap w:val="0"/>
                  <w:vAlign w:val="center"/>
                </w:tcPr>
                <w:p w14:paraId="0B62AB1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执行标准</w:t>
                  </w:r>
                </w:p>
              </w:tc>
            </w:tr>
            <w:tr w14:paraId="4A1E8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pct"/>
                  <w:vMerge w:val="continue"/>
                  <w:tcBorders>
                    <w:tl2br w:val="nil"/>
                    <w:tr2bl w:val="nil"/>
                  </w:tcBorders>
                  <w:noWrap w:val="0"/>
                  <w:vAlign w:val="center"/>
                </w:tcPr>
                <w:p w14:paraId="685AD135">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vMerge w:val="continue"/>
                  <w:tcBorders>
                    <w:tl2br w:val="nil"/>
                    <w:tr2bl w:val="nil"/>
                  </w:tcBorders>
                  <w:noWrap w:val="0"/>
                  <w:vAlign w:val="center"/>
                </w:tcPr>
                <w:p w14:paraId="7EBD17F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1E75E18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c>
                <w:tcPr>
                  <w:tcW w:w="1250" w:type="pct"/>
                  <w:vMerge w:val="continue"/>
                  <w:tcBorders>
                    <w:tl2br w:val="nil"/>
                    <w:tr2bl w:val="nil"/>
                  </w:tcBorders>
                  <w:noWrap w:val="0"/>
                  <w:vAlign w:val="center"/>
                </w:tcPr>
                <w:p w14:paraId="647BCEA4">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7B88A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7" w:type="pct"/>
                  <w:vMerge w:val="restart"/>
                  <w:tcBorders>
                    <w:tl2br w:val="nil"/>
                    <w:tr2bl w:val="nil"/>
                  </w:tcBorders>
                  <w:noWrap w:val="0"/>
                  <w:vAlign w:val="center"/>
                </w:tcPr>
                <w:p w14:paraId="48F0F04E">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2.10.20</w:t>
                  </w:r>
                </w:p>
              </w:tc>
              <w:tc>
                <w:tcPr>
                  <w:tcW w:w="1250" w:type="pct"/>
                  <w:tcBorders>
                    <w:tl2br w:val="nil"/>
                    <w:tr2bl w:val="nil"/>
                  </w:tcBorders>
                  <w:noWrap w:val="0"/>
                  <w:vAlign w:val="center"/>
                </w:tcPr>
                <w:p w14:paraId="299BF2E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东侧厂界</w:t>
                  </w:r>
                </w:p>
              </w:tc>
              <w:tc>
                <w:tcPr>
                  <w:tcW w:w="1250" w:type="pct"/>
                  <w:tcBorders>
                    <w:tl2br w:val="nil"/>
                    <w:tr2bl w:val="nil"/>
                  </w:tcBorders>
                  <w:noWrap w:val="0"/>
                  <w:vAlign w:val="center"/>
                </w:tcPr>
                <w:p w14:paraId="76A2350A">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52</w:t>
                  </w:r>
                </w:p>
              </w:tc>
              <w:tc>
                <w:tcPr>
                  <w:tcW w:w="1250" w:type="pct"/>
                  <w:vMerge w:val="restart"/>
                  <w:tcBorders>
                    <w:tl2br w:val="nil"/>
                    <w:tr2bl w:val="nil"/>
                  </w:tcBorders>
                  <w:noWrap w:val="0"/>
                  <w:vAlign w:val="center"/>
                </w:tcPr>
                <w:p w14:paraId="48467130">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《工业企业厂界环境噪</w:t>
                  </w:r>
                  <w:r>
                    <w:rPr>
                      <w:rFonts w:hint="default" w:ascii="Times New Roman" w:hAnsi="Times New Roman" w:eastAsia="宋体" w:cs="Times New Roman"/>
                      <w:color w:val="000000" w:themeColor="text1"/>
                      <w:lang w:val="en-US" w:eastAsia="zh-CN"/>
                      <w14:textFill>
                        <w14:solidFill>
                          <w14:schemeClr w14:val="tx1"/>
                        </w14:solidFill>
                      </w14:textFill>
                    </w:rPr>
                    <w:t>声排放</w:t>
                  </w:r>
                  <w:r>
                    <w:rPr>
                      <w:rFonts w:hint="default" w:ascii="Times New Roman" w:hAnsi="Times New Roman" w:cs="Times New Roman"/>
                      <w:color w:val="000000" w:themeColor="text1"/>
                      <w:lang w:val="en-US" w:eastAsia="zh-CN"/>
                      <w14:textFill>
                        <w14:solidFill>
                          <w14:schemeClr w14:val="tx1"/>
                        </w14:solidFill>
                      </w14:textFill>
                    </w:rPr>
                    <w:t>标准》GB</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12348-200</w:t>
                  </w:r>
                  <w:r>
                    <w:rPr>
                      <w:rFonts w:hint="default" w:ascii="Times New Roman" w:hAnsi="Times New Roman" w:eastAsia="宋体" w:cs="Times New Roman"/>
                      <w:color w:val="000000" w:themeColor="text1"/>
                      <w:lang w:val="en-US" w:eastAsia="zh-CN"/>
                      <w14:textFill>
                        <w14:solidFill>
                          <w14:schemeClr w14:val="tx1"/>
                        </w14:solidFill>
                      </w14:textFill>
                    </w:rPr>
                    <w:t>8中</w:t>
                  </w:r>
                  <w:r>
                    <w:rPr>
                      <w:rFonts w:hint="eastAsia" w:cs="Times New Roman"/>
                      <w:color w:val="000000" w:themeColor="text1"/>
                      <w:lang w:val="en-US" w:eastAsia="zh-CN"/>
                      <w14:textFill>
                        <w14:solidFill>
                          <w14:schemeClr w14:val="tx1"/>
                        </w14:solidFill>
                      </w14:textFill>
                    </w:rPr>
                    <w:t>的</w:t>
                  </w:r>
                  <w:r>
                    <w:rPr>
                      <w:rFonts w:hint="default" w:ascii="Times New Roman" w:hAnsi="Times New Roman" w:eastAsia="宋体" w:cs="Times New Roman"/>
                      <w:color w:val="000000" w:themeColor="text1"/>
                      <w:lang w:val="en-US" w:eastAsia="zh-CN"/>
                      <w14:textFill>
                        <w14:solidFill>
                          <w14:schemeClr w14:val="tx1"/>
                        </w14:solidFill>
                      </w14:textFill>
                    </w:rPr>
                    <w:t>2类</w:t>
                  </w:r>
                  <w:r>
                    <w:rPr>
                      <w:rFonts w:hint="eastAsia" w:cs="Times New Roman"/>
                      <w:color w:val="000000" w:themeColor="text1"/>
                      <w:lang w:val="en-US" w:eastAsia="zh-CN"/>
                      <w14:textFill>
                        <w14:solidFill>
                          <w14:schemeClr w14:val="tx1"/>
                        </w14:solidFill>
                      </w14:textFill>
                    </w:rPr>
                    <w:t>标准</w:t>
                  </w:r>
                </w:p>
              </w:tc>
            </w:tr>
            <w:tr w14:paraId="57668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67444AC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43E46394">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南侧厂界</w:t>
                  </w:r>
                </w:p>
              </w:tc>
              <w:tc>
                <w:tcPr>
                  <w:tcW w:w="1250" w:type="pct"/>
                  <w:tcBorders>
                    <w:tl2br w:val="nil"/>
                    <w:tr2bl w:val="nil"/>
                  </w:tcBorders>
                  <w:noWrap w:val="0"/>
                  <w:vAlign w:val="center"/>
                </w:tcPr>
                <w:p w14:paraId="1DA19431">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54</w:t>
                  </w:r>
                </w:p>
              </w:tc>
              <w:tc>
                <w:tcPr>
                  <w:tcW w:w="1250" w:type="pct"/>
                  <w:vMerge w:val="continue"/>
                  <w:tcBorders>
                    <w:tl2br w:val="nil"/>
                    <w:tr2bl w:val="nil"/>
                  </w:tcBorders>
                  <w:noWrap w:val="0"/>
                  <w:vAlign w:val="center"/>
                </w:tcPr>
                <w:p w14:paraId="2849824A">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4F879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0E030C2D">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006A1874">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西侧厂界</w:t>
                  </w:r>
                </w:p>
              </w:tc>
              <w:tc>
                <w:tcPr>
                  <w:tcW w:w="1250" w:type="pct"/>
                  <w:tcBorders>
                    <w:tl2br w:val="nil"/>
                    <w:tr2bl w:val="nil"/>
                  </w:tcBorders>
                  <w:noWrap w:val="0"/>
                  <w:vAlign w:val="center"/>
                </w:tcPr>
                <w:p w14:paraId="563B8A1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53</w:t>
                  </w:r>
                </w:p>
              </w:tc>
              <w:tc>
                <w:tcPr>
                  <w:tcW w:w="1250" w:type="pct"/>
                  <w:vMerge w:val="continue"/>
                  <w:tcBorders>
                    <w:tl2br w:val="nil"/>
                    <w:tr2bl w:val="nil"/>
                  </w:tcBorders>
                  <w:noWrap w:val="0"/>
                  <w:vAlign w:val="center"/>
                </w:tcPr>
                <w:p w14:paraId="6257EA30">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r w14:paraId="4D029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7" w:type="pct"/>
                  <w:vMerge w:val="continue"/>
                  <w:tcBorders>
                    <w:tl2br w:val="nil"/>
                    <w:tr2bl w:val="nil"/>
                  </w:tcBorders>
                  <w:noWrap w:val="0"/>
                  <w:vAlign w:val="center"/>
                </w:tcPr>
                <w:p w14:paraId="0ACECB7D">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c>
                <w:tcPr>
                  <w:tcW w:w="1250" w:type="pct"/>
                  <w:tcBorders>
                    <w:tl2br w:val="nil"/>
                    <w:tr2bl w:val="nil"/>
                  </w:tcBorders>
                  <w:noWrap w:val="0"/>
                  <w:vAlign w:val="center"/>
                </w:tcPr>
                <w:p w14:paraId="36B57000">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20" w:leftChars="0" w:hanging="420" w:hangingChars="200"/>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北侧厂界</w:t>
                  </w:r>
                </w:p>
              </w:tc>
              <w:tc>
                <w:tcPr>
                  <w:tcW w:w="1250" w:type="pct"/>
                  <w:tcBorders>
                    <w:tl2br w:val="nil"/>
                    <w:tr2bl w:val="nil"/>
                  </w:tcBorders>
                  <w:noWrap w:val="0"/>
                  <w:vAlign w:val="center"/>
                </w:tcPr>
                <w:p w14:paraId="3D0FC79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4"/>
                      <w:lang w:val="en-US" w:eastAsia="zh-CN" w:bidi="ar-SA"/>
                      <w14:textFill>
                        <w14:solidFill>
                          <w14:schemeClr w14:val="tx1"/>
                        </w14:solidFill>
                      </w14:textFill>
                    </w:rPr>
                    <w:t>51</w:t>
                  </w:r>
                </w:p>
              </w:tc>
              <w:tc>
                <w:tcPr>
                  <w:tcW w:w="1250" w:type="pct"/>
                  <w:vMerge w:val="continue"/>
                  <w:tcBorders>
                    <w:tl2br w:val="nil"/>
                    <w:tr2bl w:val="nil"/>
                  </w:tcBorders>
                  <w:noWrap w:val="0"/>
                  <w:vAlign w:val="center"/>
                </w:tcPr>
                <w:p w14:paraId="134904E1">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000000" w:themeColor="text1"/>
                      <w:lang w:val="en-US" w:eastAsia="zh-CN"/>
                      <w14:textFill>
                        <w14:solidFill>
                          <w14:schemeClr w14:val="tx1"/>
                        </w14:solidFill>
                      </w14:textFill>
                    </w:rPr>
                  </w:pPr>
                </w:p>
              </w:tc>
            </w:tr>
          </w:tbl>
          <w:p w14:paraId="189C114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根据监测结果可知，项目厂界四周环境噪声值满足《工业企业厂界环境噪声排放标准》GB</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12348-200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8中</w:t>
            </w:r>
            <w:r>
              <w:rPr>
                <w:rFonts w:hint="eastAsia"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2类</w:t>
            </w:r>
            <w:r>
              <w:rPr>
                <w:rFonts w:hint="eastAsia" w:cs="Times New Roman"/>
                <w:color w:val="000000" w:themeColor="text1"/>
                <w:sz w:val="24"/>
                <w:szCs w:val="24"/>
                <w:lang w:val="en-US" w:eastAsia="zh-CN"/>
                <w14:textFill>
                  <w14:solidFill>
                    <w14:schemeClr w14:val="tx1"/>
                  </w14:solidFill>
                </w14:textFill>
              </w:rPr>
              <w:t>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F165725">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原有项目现状监测点位图</w:t>
            </w:r>
            <w:r>
              <w:rPr>
                <w:rFonts w:hint="eastAsia" w:cs="Times New Roman"/>
                <w:color w:val="000000" w:themeColor="text1"/>
                <w:sz w:val="24"/>
                <w:szCs w:val="24"/>
                <w:lang w:val="en-US" w:eastAsia="zh-CN"/>
                <w14:textFill>
                  <w14:solidFill>
                    <w14:schemeClr w14:val="tx1"/>
                  </w14:solidFill>
                </w14:textFill>
              </w:rPr>
              <w:t>详见</w:t>
            </w:r>
            <w:r>
              <w:rPr>
                <w:rFonts w:hint="default" w:ascii="Times New Roman" w:hAnsi="Times New Roman" w:cs="Times New Roman"/>
                <w:color w:val="000000" w:themeColor="text1"/>
                <w:sz w:val="24"/>
                <w:szCs w:val="24"/>
                <w:lang w:val="en-US" w:eastAsia="zh-CN"/>
                <w14:textFill>
                  <w14:solidFill>
                    <w14:schemeClr w14:val="tx1"/>
                  </w14:solidFill>
                </w14:textFill>
              </w:rPr>
              <w:t>图2-</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043AC3F0">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083175" cy="4364355"/>
                  <wp:effectExtent l="0" t="0" r="17145" b="3175"/>
                  <wp:docPr id="17" name="图片 89" descr="29eabcab96213d1d5cdcbc90170f1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9" descr="29eabcab96213d1d5cdcbc90170f1d0d"/>
                          <pic:cNvPicPr>
                            <a:picLocks noChangeAspect="1"/>
                          </pic:cNvPicPr>
                        </pic:nvPicPr>
                        <pic:blipFill>
                          <a:blip r:embed="rId15"/>
                          <a:srcRect l="1985" t="33997" r="2841" b="29799"/>
                          <a:stretch>
                            <a:fillRect/>
                          </a:stretch>
                        </pic:blipFill>
                        <pic:spPr>
                          <a:xfrm rot="5400000">
                            <a:off x="0" y="0"/>
                            <a:ext cx="5083175" cy="4364355"/>
                          </a:xfrm>
                          <a:prstGeom prst="rect">
                            <a:avLst/>
                          </a:prstGeom>
                          <a:noFill/>
                          <a:ln>
                            <a:noFill/>
                          </a:ln>
                        </pic:spPr>
                      </pic:pic>
                    </a:graphicData>
                  </a:graphic>
                </wp:inline>
              </w:drawing>
            </w:r>
          </w:p>
          <w:p w14:paraId="4A760415">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图2-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监测点位图</w:t>
            </w:r>
          </w:p>
          <w:p w14:paraId="49D80A64">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p>
          <w:p w14:paraId="070D9C5D">
            <w:pPr>
              <w:pStyle w:val="135"/>
              <w:spacing w:line="360" w:lineRule="auto"/>
              <w:ind w:firstLine="480" w:firstLineChars="200"/>
              <w:jc w:val="both"/>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根据企业</w:t>
            </w:r>
            <w:r>
              <w:rPr>
                <w:rFonts w:hint="eastAsia" w:ascii="Times New Roman" w:eastAsia="宋体" w:cs="Times New Roman"/>
                <w:bCs/>
                <w:color w:val="000000" w:themeColor="text1"/>
                <w:szCs w:val="21"/>
                <w:highlight w:val="none"/>
                <w:lang w:val="en-US" w:eastAsia="zh-CN"/>
                <w14:textFill>
                  <w14:solidFill>
                    <w14:schemeClr w14:val="tx1"/>
                  </w14:solidFill>
                </w14:textFill>
              </w:rPr>
              <w:t>原有</w:t>
            </w:r>
            <w:r>
              <w:rPr>
                <w:rFonts w:hint="eastAsia" w:ascii="Times New Roman" w:cs="Times New Roman"/>
                <w:bCs/>
                <w:color w:val="000000" w:themeColor="text1"/>
                <w:szCs w:val="21"/>
                <w:highlight w:val="none"/>
                <w:lang w:val="en-US" w:eastAsia="zh-CN"/>
                <w14:textFill>
                  <w14:solidFill>
                    <w14:schemeClr w14:val="tx1"/>
                  </w14:solidFill>
                </w14:textFill>
              </w:rPr>
              <w:t>项目锅炉</w:t>
            </w:r>
            <w:r>
              <w:rPr>
                <w:rFonts w:hint="eastAsia" w:ascii="Times New Roman" w:eastAsia="宋体" w:cs="Times New Roman"/>
                <w:bCs/>
                <w:color w:val="000000" w:themeColor="text1"/>
                <w:szCs w:val="21"/>
                <w:highlight w:val="none"/>
                <w:lang w:val="en-US" w:eastAsia="zh-CN"/>
                <w14:textFill>
                  <w14:solidFill>
                    <w14:schemeClr w14:val="tx1"/>
                  </w14:solidFill>
                </w14:textFill>
              </w:rPr>
              <w:t>自行监测数据</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，原有项目</w:t>
            </w:r>
            <w:r>
              <w:rPr>
                <w:rFonts w:hint="eastAsia" w:ascii="Times New Roman" w:cs="Times New Roman"/>
                <w:bCs/>
                <w:color w:val="000000" w:themeColor="text1"/>
                <w:szCs w:val="21"/>
                <w:highlight w:val="none"/>
                <w:lang w:val="en-US" w:eastAsia="zh-CN"/>
                <w14:textFill>
                  <w14:solidFill>
                    <w14:schemeClr w14:val="tx1"/>
                  </w14:solidFill>
                </w14:textFill>
              </w:rPr>
              <w:t>锅炉</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废气污染物种类及排放情况见下表：</w:t>
            </w:r>
          </w:p>
          <w:p w14:paraId="2985A2F3">
            <w:pPr>
              <w:pStyle w:val="135"/>
              <w:jc w:val="cente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pPr>
          </w:p>
          <w:p w14:paraId="7C5EA6D1">
            <w:pPr>
              <w:pStyle w:val="135"/>
              <w:jc w:val="cente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表2-</w:t>
            </w:r>
            <w:r>
              <w:rPr>
                <w:rFonts w:hint="eastAsia" w:ascii="Times New Roman" w:cs="Times New Roman"/>
                <w:b/>
                <w:bCs w:val="0"/>
                <w:color w:val="000000" w:themeColor="text1"/>
                <w:sz w:val="21"/>
                <w:szCs w:val="18"/>
                <w:lang w:val="en-US" w:eastAsia="zh-CN"/>
                <w14:textFill>
                  <w14:solidFill>
                    <w14:schemeClr w14:val="tx1"/>
                  </w14:solidFill>
                </w14:textFill>
              </w:rPr>
              <w:t>9</w:t>
            </w: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 xml:space="preserve">  排污单位自行监测情况一览表</w:t>
            </w:r>
          </w:p>
          <w:tbl>
            <w:tblPr>
              <w:tblStyle w:val="32"/>
              <w:tblW w:w="8377"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896"/>
              <w:gridCol w:w="1263"/>
              <w:gridCol w:w="2175"/>
              <w:gridCol w:w="1935"/>
            </w:tblGrid>
            <w:tr w14:paraId="22908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108" w:type="dxa"/>
                  <w:tcBorders>
                    <w:tl2br w:val="nil"/>
                    <w:tr2bl w:val="nil"/>
                  </w:tcBorders>
                  <w:noWrap w:val="0"/>
                  <w:vAlign w:val="center"/>
                </w:tcPr>
                <w:p w14:paraId="45D99B05">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生产工序</w:t>
                  </w:r>
                </w:p>
              </w:tc>
              <w:tc>
                <w:tcPr>
                  <w:tcW w:w="1896" w:type="dxa"/>
                  <w:tcBorders>
                    <w:tl2br w:val="nil"/>
                    <w:tr2bl w:val="nil"/>
                  </w:tcBorders>
                  <w:noWrap w:val="0"/>
                  <w:vAlign w:val="center"/>
                </w:tcPr>
                <w:p w14:paraId="78E0BC64">
                  <w:pPr>
                    <w:pStyle w:val="135"/>
                    <w:jc w:val="center"/>
                    <w:rPr>
                      <w:rFonts w:hint="default" w:ascii="Times New Roman" w:hAnsi="Times New Roman" w:eastAsia="宋体" w:cs="Times New Roman"/>
                      <w:bCs/>
                      <w:color w:val="000000" w:themeColor="text1"/>
                      <w:sz w:val="21"/>
                      <w:szCs w:val="18"/>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监测单位</w:t>
                  </w:r>
                </w:p>
              </w:tc>
              <w:tc>
                <w:tcPr>
                  <w:tcW w:w="1263" w:type="dxa"/>
                  <w:tcBorders>
                    <w:tl2br w:val="nil"/>
                    <w:tr2bl w:val="nil"/>
                  </w:tcBorders>
                  <w:noWrap w:val="0"/>
                  <w:vAlign w:val="center"/>
                </w:tcPr>
                <w:p w14:paraId="7094F441">
                  <w:pPr>
                    <w:pStyle w:val="135"/>
                    <w:jc w:val="center"/>
                    <w:rPr>
                      <w:rFonts w:hint="default" w:ascii="Times New Roman" w:hAnsi="Times New Roman" w:eastAsia="宋体" w:cs="Times New Roman"/>
                      <w:bCs/>
                      <w:color w:val="000000" w:themeColor="text1"/>
                      <w:sz w:val="21"/>
                      <w:szCs w:val="18"/>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监测时间</w:t>
                  </w:r>
                </w:p>
              </w:tc>
              <w:tc>
                <w:tcPr>
                  <w:tcW w:w="2175" w:type="dxa"/>
                  <w:tcBorders>
                    <w:tl2br w:val="nil"/>
                    <w:tr2bl w:val="nil"/>
                  </w:tcBorders>
                  <w:noWrap w:val="0"/>
                  <w:vAlign w:val="center"/>
                </w:tcPr>
                <w:p w14:paraId="4D5470F5">
                  <w:pPr>
                    <w:pStyle w:val="135"/>
                    <w:jc w:val="center"/>
                    <w:rPr>
                      <w:rFonts w:hint="default" w:ascii="Times New Roman" w:hAnsi="Times New Roman" w:eastAsia="宋体" w:cs="Times New Roman"/>
                      <w:bCs/>
                      <w:color w:val="000000" w:themeColor="text1"/>
                      <w:sz w:val="21"/>
                      <w:szCs w:val="18"/>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污染因子</w:t>
                  </w:r>
                </w:p>
              </w:tc>
              <w:tc>
                <w:tcPr>
                  <w:tcW w:w="1935" w:type="dxa"/>
                  <w:tcBorders>
                    <w:tl2br w:val="nil"/>
                    <w:tr2bl w:val="nil"/>
                  </w:tcBorders>
                  <w:noWrap w:val="0"/>
                  <w:vAlign w:val="center"/>
                </w:tcPr>
                <w:p w14:paraId="6D15CD3D">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报告编号</w:t>
                  </w:r>
                </w:p>
              </w:tc>
            </w:tr>
            <w:tr w14:paraId="7E006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108" w:type="dxa"/>
                  <w:tcBorders>
                    <w:tl2br w:val="nil"/>
                    <w:tr2bl w:val="nil"/>
                  </w:tcBorders>
                  <w:noWrap w:val="0"/>
                  <w:vAlign w:val="center"/>
                </w:tcPr>
                <w:p w14:paraId="32A3EA06">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锅炉</w:t>
                  </w:r>
                </w:p>
              </w:tc>
              <w:tc>
                <w:tcPr>
                  <w:tcW w:w="1896" w:type="dxa"/>
                  <w:tcBorders>
                    <w:tl2br w:val="nil"/>
                    <w:tr2bl w:val="nil"/>
                  </w:tcBorders>
                  <w:noWrap w:val="0"/>
                  <w:vAlign w:val="center"/>
                </w:tcPr>
                <w:p w14:paraId="233DCADC">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陕西森美佳境环境检测有限公司</w:t>
                  </w:r>
                </w:p>
              </w:tc>
              <w:tc>
                <w:tcPr>
                  <w:tcW w:w="1263" w:type="dxa"/>
                  <w:tcBorders>
                    <w:tl2br w:val="nil"/>
                    <w:tr2bl w:val="nil"/>
                  </w:tcBorders>
                  <w:noWrap w:val="0"/>
                  <w:vAlign w:val="center"/>
                </w:tcPr>
                <w:p w14:paraId="5FECE21F">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eastAsia" w:ascii="Times New Roman" w:eastAsia="宋体" w:cs="Times New Roman"/>
                      <w:bCs/>
                      <w:color w:val="000000" w:themeColor="text1"/>
                      <w:sz w:val="21"/>
                      <w:szCs w:val="18"/>
                      <w:vertAlign w:val="baseline"/>
                      <w:lang w:val="en-US" w:eastAsia="zh-CN"/>
                      <w14:textFill>
                        <w14:solidFill>
                          <w14:schemeClr w14:val="tx1"/>
                        </w14:solidFill>
                      </w14:textFill>
                    </w:rPr>
                    <w:t>2022年10月20日</w:t>
                  </w:r>
                </w:p>
              </w:tc>
              <w:tc>
                <w:tcPr>
                  <w:tcW w:w="2175" w:type="dxa"/>
                  <w:tcBorders>
                    <w:tl2br w:val="nil"/>
                    <w:tr2bl w:val="nil"/>
                  </w:tcBorders>
                  <w:noWrap w:val="0"/>
                  <w:vAlign w:val="center"/>
                </w:tcPr>
                <w:p w14:paraId="58839934">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t>颗粒物、二氧化硫、氮氧化物</w:t>
                  </w:r>
                </w:p>
              </w:tc>
              <w:tc>
                <w:tcPr>
                  <w:tcW w:w="1935" w:type="dxa"/>
                  <w:tcBorders>
                    <w:tl2br w:val="nil"/>
                    <w:tr2bl w:val="nil"/>
                  </w:tcBorders>
                  <w:noWrap w:val="0"/>
                  <w:vAlign w:val="center"/>
                </w:tcPr>
                <w:p w14:paraId="6F8C1A4A">
                  <w:pPr>
                    <w:pStyle w:val="135"/>
                    <w:jc w:val="center"/>
                    <w:rPr>
                      <w:rFonts w:hint="default" w:ascii="Times New Roman" w:hAnsi="Times New Roman" w:eastAsia="宋体" w:cs="Times New Roman"/>
                      <w:bCs/>
                      <w:color w:val="000000" w:themeColor="text1"/>
                      <w:sz w:val="21"/>
                      <w:szCs w:val="18"/>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vertAlign w:val="baseline"/>
                      <w:lang w:val="en-US" w:eastAsia="zh-CN"/>
                      <w14:textFill>
                        <w14:solidFill>
                          <w14:schemeClr w14:val="tx1"/>
                        </w14:solidFill>
                      </w14:textFill>
                    </w:rPr>
                    <w:t>森美佳境监（综）字【2022】第10068号</w:t>
                  </w:r>
                </w:p>
              </w:tc>
            </w:tr>
          </w:tbl>
          <w:p w14:paraId="46FEA1DF">
            <w:pPr>
              <w:pStyle w:val="135"/>
              <w:jc w:val="center"/>
              <w:rPr>
                <w:rFonts w:hint="default" w:ascii="Times New Roman" w:hAnsi="Times New Roman" w:eastAsia="宋体" w:cs="Times New Roman"/>
                <w:b/>
                <w:bCs w:val="0"/>
                <w:color w:val="000000" w:themeColor="text1"/>
                <w:sz w:val="21"/>
                <w:szCs w:val="18"/>
                <w14:textFill>
                  <w14:solidFill>
                    <w14:schemeClr w14:val="tx1"/>
                  </w14:solidFill>
                </w14:textFill>
              </w:rPr>
            </w:pPr>
            <w:r>
              <w:rPr>
                <w:rFonts w:hint="default" w:ascii="Times New Roman" w:hAnsi="Times New Roman" w:eastAsia="宋体" w:cs="Times New Roman"/>
                <w:b/>
                <w:bCs w:val="0"/>
                <w:color w:val="000000" w:themeColor="text1"/>
                <w:sz w:val="21"/>
                <w:szCs w:val="18"/>
                <w14:textFill>
                  <w14:solidFill>
                    <w14:schemeClr w14:val="tx1"/>
                  </w14:solidFill>
                </w14:textFill>
              </w:rPr>
              <w:t>表</w:t>
            </w: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2-</w:t>
            </w:r>
            <w:r>
              <w:rPr>
                <w:rFonts w:hint="eastAsia" w:ascii="Times New Roman" w:cs="Times New Roman"/>
                <w:b/>
                <w:bCs w:val="0"/>
                <w:color w:val="000000" w:themeColor="text1"/>
                <w:sz w:val="21"/>
                <w:szCs w:val="18"/>
                <w:lang w:val="en-US" w:eastAsia="zh-CN"/>
                <w14:textFill>
                  <w14:solidFill>
                    <w14:schemeClr w14:val="tx1"/>
                  </w14:solidFill>
                </w14:textFill>
              </w:rPr>
              <w:t>10</w:t>
            </w:r>
            <w:r>
              <w:rPr>
                <w:rFonts w:hint="default" w:ascii="Times New Roman" w:hAnsi="Times New Roman" w:eastAsia="宋体" w:cs="Times New Roman"/>
                <w:b/>
                <w:bCs w:val="0"/>
                <w:color w:val="000000" w:themeColor="text1"/>
                <w:sz w:val="21"/>
                <w:szCs w:val="18"/>
                <w14:textFill>
                  <w14:solidFill>
                    <w14:schemeClr w14:val="tx1"/>
                  </w14:solidFill>
                </w14:textFill>
              </w:rPr>
              <w:t xml:space="preserve">  原有项目有组织废气排放情况</w:t>
            </w:r>
          </w:p>
          <w:tbl>
            <w:tblPr>
              <w:tblStyle w:val="31"/>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12"/>
              <w:gridCol w:w="882"/>
              <w:gridCol w:w="1626"/>
              <w:gridCol w:w="939"/>
              <w:gridCol w:w="1137"/>
              <w:gridCol w:w="1965"/>
              <w:gridCol w:w="687"/>
            </w:tblGrid>
            <w:tr w14:paraId="5444D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tcBorders>
                    <w:tl2br w:val="nil"/>
                    <w:tr2bl w:val="nil"/>
                  </w:tcBorders>
                  <w:noWrap w:val="0"/>
                  <w:vAlign w:val="center"/>
                </w:tcPr>
                <w:p w14:paraId="59FF0651">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序号</w:t>
                  </w:r>
                </w:p>
              </w:tc>
              <w:tc>
                <w:tcPr>
                  <w:tcW w:w="425" w:type="pct"/>
                  <w:vMerge w:val="restart"/>
                  <w:tcBorders>
                    <w:tl2br w:val="nil"/>
                    <w:tr2bl w:val="nil"/>
                  </w:tcBorders>
                  <w:noWrap w:val="0"/>
                  <w:vAlign w:val="center"/>
                </w:tcPr>
                <w:p w14:paraId="3010C42C">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生产工序</w:t>
                  </w:r>
                </w:p>
              </w:tc>
              <w:tc>
                <w:tcPr>
                  <w:tcW w:w="526" w:type="pct"/>
                  <w:vMerge w:val="restart"/>
                  <w:tcBorders>
                    <w:tl2br w:val="nil"/>
                    <w:tr2bl w:val="nil"/>
                  </w:tcBorders>
                  <w:noWrap w:val="0"/>
                  <w:vAlign w:val="center"/>
                </w:tcPr>
                <w:p w14:paraId="4E9CC6FE">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排放口名称</w:t>
                  </w:r>
                </w:p>
              </w:tc>
              <w:tc>
                <w:tcPr>
                  <w:tcW w:w="970" w:type="pct"/>
                  <w:vMerge w:val="restart"/>
                  <w:tcBorders>
                    <w:tl2br w:val="nil"/>
                    <w:tr2bl w:val="nil"/>
                  </w:tcBorders>
                  <w:noWrap w:val="0"/>
                  <w:vAlign w:val="center"/>
                </w:tcPr>
                <w:p w14:paraId="404D3CAD">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污染治理设施</w:t>
                  </w:r>
                </w:p>
              </w:tc>
              <w:tc>
                <w:tcPr>
                  <w:tcW w:w="560" w:type="pct"/>
                  <w:vMerge w:val="restart"/>
                  <w:tcBorders>
                    <w:tl2br w:val="nil"/>
                    <w:tr2bl w:val="nil"/>
                  </w:tcBorders>
                  <w:noWrap w:val="0"/>
                  <w:vAlign w:val="center"/>
                </w:tcPr>
                <w:p w14:paraId="79C6157D">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排放方式</w:t>
                  </w:r>
                </w:p>
              </w:tc>
              <w:tc>
                <w:tcPr>
                  <w:tcW w:w="678" w:type="pct"/>
                  <w:vMerge w:val="restart"/>
                  <w:tcBorders>
                    <w:tl2br w:val="nil"/>
                    <w:tr2bl w:val="nil"/>
                  </w:tcBorders>
                  <w:noWrap w:val="0"/>
                  <w:vAlign w:val="center"/>
                </w:tcPr>
                <w:p w14:paraId="3ADFA739">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污染物种类</w:t>
                  </w:r>
                </w:p>
              </w:tc>
              <w:tc>
                <w:tcPr>
                  <w:tcW w:w="1172" w:type="pct"/>
                  <w:tcBorders>
                    <w:tl2br w:val="nil"/>
                    <w:tr2bl w:val="nil"/>
                  </w:tcBorders>
                  <w:noWrap w:val="0"/>
                  <w:vAlign w:val="center"/>
                </w:tcPr>
                <w:p w14:paraId="798A8582">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排放情况</w:t>
                  </w:r>
                </w:p>
              </w:tc>
              <w:tc>
                <w:tcPr>
                  <w:tcW w:w="410" w:type="pct"/>
                  <w:vMerge w:val="restart"/>
                  <w:tcBorders>
                    <w:tl2br w:val="nil"/>
                    <w:tr2bl w:val="nil"/>
                  </w:tcBorders>
                  <w:noWrap w:val="0"/>
                  <w:vAlign w:val="center"/>
                </w:tcPr>
                <w:p w14:paraId="0B3A65E5">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是否达标</w:t>
                  </w:r>
                </w:p>
              </w:tc>
            </w:tr>
            <w:tr w14:paraId="7D959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noWrap w:val="0"/>
                  <w:vAlign w:val="center"/>
                </w:tcPr>
                <w:p w14:paraId="4C65119B">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425" w:type="pct"/>
                  <w:vMerge w:val="continue"/>
                  <w:tcBorders>
                    <w:tl2br w:val="nil"/>
                    <w:tr2bl w:val="nil"/>
                  </w:tcBorders>
                  <w:noWrap w:val="0"/>
                  <w:vAlign w:val="center"/>
                </w:tcPr>
                <w:p w14:paraId="4AE0A529">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526" w:type="pct"/>
                  <w:vMerge w:val="continue"/>
                  <w:tcBorders>
                    <w:tl2br w:val="nil"/>
                    <w:tr2bl w:val="nil"/>
                  </w:tcBorders>
                  <w:noWrap w:val="0"/>
                  <w:vAlign w:val="center"/>
                </w:tcPr>
                <w:p w14:paraId="4F28125C">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970" w:type="pct"/>
                  <w:vMerge w:val="continue"/>
                  <w:tcBorders>
                    <w:tl2br w:val="nil"/>
                    <w:tr2bl w:val="nil"/>
                  </w:tcBorders>
                  <w:noWrap w:val="0"/>
                  <w:vAlign w:val="center"/>
                </w:tcPr>
                <w:p w14:paraId="5B66DA96">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560" w:type="pct"/>
                  <w:vMerge w:val="continue"/>
                  <w:tcBorders>
                    <w:tl2br w:val="nil"/>
                    <w:tr2bl w:val="nil"/>
                  </w:tcBorders>
                  <w:noWrap w:val="0"/>
                  <w:vAlign w:val="center"/>
                </w:tcPr>
                <w:p w14:paraId="0E41C712">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678" w:type="pct"/>
                  <w:vMerge w:val="continue"/>
                  <w:tcBorders>
                    <w:tl2br w:val="nil"/>
                    <w:tr2bl w:val="nil"/>
                  </w:tcBorders>
                  <w:noWrap w:val="0"/>
                  <w:vAlign w:val="center"/>
                </w:tcPr>
                <w:p w14:paraId="39FB28AA">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1172" w:type="pct"/>
                  <w:tcBorders>
                    <w:tl2br w:val="nil"/>
                    <w:tr2bl w:val="nil"/>
                  </w:tcBorders>
                  <w:noWrap w:val="0"/>
                  <w:vAlign w:val="center"/>
                </w:tcPr>
                <w:p w14:paraId="455885AB">
                  <w:pPr>
                    <w:pStyle w:val="70"/>
                    <w:spacing w:before="24" w:after="24" w:line="240" w:lineRule="auto"/>
                    <w:jc w:val="center"/>
                    <w:rPr>
                      <w:rFonts w:hint="default" w:ascii="Times New Roman" w:hAnsi="Times New Roman" w:eastAsia="宋体" w:cs="Times New Roman"/>
                      <w:bCs/>
                      <w:color w:val="000000" w:themeColor="text1"/>
                      <w:szCs w:val="18"/>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排放</w:t>
                  </w:r>
                  <w:r>
                    <w:rPr>
                      <w:rFonts w:hint="eastAsia" w:ascii="Times New Roman" w:hAnsi="Times New Roman" w:eastAsia="宋体" w:cs="Times New Roman"/>
                      <w:bCs/>
                      <w:color w:val="000000" w:themeColor="text1"/>
                      <w:szCs w:val="21"/>
                      <w:lang w:val="en-US" w:eastAsia="zh-CN"/>
                      <w14:textFill>
                        <w14:solidFill>
                          <w14:schemeClr w14:val="tx1"/>
                        </w14:solidFill>
                      </w14:textFill>
                    </w:rPr>
                    <w:t>浓度</w:t>
                  </w:r>
                  <w:r>
                    <w:rPr>
                      <w:rFonts w:hint="default" w:ascii="Times New Roman" w:hAnsi="Times New Roman" w:eastAsia="宋体" w:cs="Times New Roman"/>
                      <w:bCs/>
                      <w:color w:val="000000" w:themeColor="text1"/>
                      <w:szCs w:val="21"/>
                      <w:lang w:val="en-US" w:eastAsia="zh-CN"/>
                      <w14:textFill>
                        <w14:solidFill>
                          <w14:schemeClr w14:val="tx1"/>
                        </w14:solidFill>
                      </w14:textFill>
                    </w:rPr>
                    <w:t>（mg/m</w:t>
                  </w:r>
                  <w:r>
                    <w:rPr>
                      <w:rFonts w:hint="default" w:ascii="Times New Roman" w:hAnsi="Times New Roman" w:eastAsia="宋体" w:cs="Times New Roman"/>
                      <w:bCs/>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410" w:type="pct"/>
                  <w:vMerge w:val="continue"/>
                  <w:tcBorders>
                    <w:tl2br w:val="nil"/>
                    <w:tr2bl w:val="nil"/>
                  </w:tcBorders>
                  <w:noWrap w:val="0"/>
                  <w:vAlign w:val="center"/>
                </w:tcPr>
                <w:p w14:paraId="57327760">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r>
            <w:tr w14:paraId="53BDB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restart"/>
                  <w:tcBorders>
                    <w:tl2br w:val="nil"/>
                    <w:tr2bl w:val="nil"/>
                  </w:tcBorders>
                  <w:noWrap w:val="0"/>
                  <w:vAlign w:val="center"/>
                </w:tcPr>
                <w:p w14:paraId="72D926B1">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1</w:t>
                  </w:r>
                </w:p>
              </w:tc>
              <w:tc>
                <w:tcPr>
                  <w:tcW w:w="425" w:type="pct"/>
                  <w:vMerge w:val="restart"/>
                  <w:tcBorders>
                    <w:tl2br w:val="nil"/>
                    <w:tr2bl w:val="nil"/>
                  </w:tcBorders>
                  <w:noWrap w:val="0"/>
                  <w:vAlign w:val="center"/>
                </w:tcPr>
                <w:p w14:paraId="6059DFED">
                  <w:pPr>
                    <w:pStyle w:val="135"/>
                    <w:jc w:val="center"/>
                    <w:rPr>
                      <w:rFonts w:hint="default" w:ascii="Times New Roman" w:hAnsi="Times New Roman" w:eastAsia="宋体" w:cs="Times New Roman"/>
                      <w:bCs/>
                      <w:color w:val="000000" w:themeColor="text1"/>
                      <w:sz w:val="21"/>
                      <w:szCs w:val="18"/>
                      <w:lang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锅炉</w:t>
                  </w:r>
                </w:p>
              </w:tc>
              <w:tc>
                <w:tcPr>
                  <w:tcW w:w="526" w:type="pct"/>
                  <w:vMerge w:val="restart"/>
                  <w:tcBorders>
                    <w:tl2br w:val="nil"/>
                    <w:tr2bl w:val="nil"/>
                  </w:tcBorders>
                  <w:noWrap w:val="0"/>
                  <w:vAlign w:val="center"/>
                </w:tcPr>
                <w:p w14:paraId="662A4AD4">
                  <w:pPr>
                    <w:pStyle w:val="135"/>
                    <w:jc w:val="center"/>
                    <w:rPr>
                      <w:rFonts w:hint="default" w:ascii="Times New Roman" w:hAnsi="Times New Roman" w:eastAsia="宋体" w:cs="Times New Roman"/>
                      <w:bCs/>
                      <w:color w:val="000000" w:themeColor="text1"/>
                      <w:sz w:val="21"/>
                      <w:szCs w:val="18"/>
                      <w:lang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锅炉废气</w:t>
                  </w:r>
                </w:p>
              </w:tc>
              <w:tc>
                <w:tcPr>
                  <w:tcW w:w="970" w:type="pct"/>
                  <w:vMerge w:val="restart"/>
                  <w:tcBorders>
                    <w:tl2br w:val="nil"/>
                    <w:tr2bl w:val="nil"/>
                  </w:tcBorders>
                  <w:noWrap w:val="0"/>
                  <w:vAlign w:val="center"/>
                </w:tcPr>
                <w:p w14:paraId="4B0E89B1">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布袋除尘器+</w:t>
                  </w: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15</w:t>
                  </w: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m排气筒</w:t>
                  </w:r>
                </w:p>
              </w:tc>
              <w:tc>
                <w:tcPr>
                  <w:tcW w:w="560" w:type="pct"/>
                  <w:vMerge w:val="restart"/>
                  <w:tcBorders>
                    <w:tl2br w:val="nil"/>
                    <w:tr2bl w:val="nil"/>
                  </w:tcBorders>
                  <w:noWrap w:val="0"/>
                  <w:vAlign w:val="center"/>
                </w:tcPr>
                <w:p w14:paraId="6F2B6275">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有组织</w:t>
                  </w:r>
                </w:p>
              </w:tc>
              <w:tc>
                <w:tcPr>
                  <w:tcW w:w="678" w:type="pct"/>
                  <w:tcBorders>
                    <w:tl2br w:val="nil"/>
                    <w:tr2bl w:val="nil"/>
                  </w:tcBorders>
                  <w:noWrap w:val="0"/>
                  <w:vAlign w:val="center"/>
                </w:tcPr>
                <w:p w14:paraId="43A5B796">
                  <w:pPr>
                    <w:pStyle w:val="135"/>
                    <w:jc w:val="center"/>
                    <w:rPr>
                      <w:rFonts w:hint="default" w:ascii="Times New Roman" w:hAnsi="Times New Roman" w:eastAsia="宋体" w:cs="Times New Roman"/>
                      <w:bCs/>
                      <w:color w:val="000000" w:themeColor="text1"/>
                      <w:sz w:val="21"/>
                      <w:szCs w:val="18"/>
                      <w:lang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颗粒物</w:t>
                  </w:r>
                </w:p>
              </w:tc>
              <w:tc>
                <w:tcPr>
                  <w:tcW w:w="1172" w:type="pct"/>
                  <w:tcBorders>
                    <w:tl2br w:val="nil"/>
                    <w:tr2bl w:val="nil"/>
                  </w:tcBorders>
                  <w:noWrap w:val="0"/>
                  <w:vAlign w:val="center"/>
                </w:tcPr>
                <w:p w14:paraId="0F712360">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eastAsia="宋体" w:cs="Times New Roman"/>
                      <w:bCs/>
                      <w:color w:val="000000" w:themeColor="text1"/>
                      <w:sz w:val="21"/>
                      <w:szCs w:val="18"/>
                      <w:lang w:val="en-US" w:eastAsia="zh-CN"/>
                      <w14:textFill>
                        <w14:solidFill>
                          <w14:schemeClr w14:val="tx1"/>
                        </w14:solidFill>
                      </w14:textFill>
                    </w:rPr>
                    <w:t>18.4＜20</w:t>
                  </w:r>
                </w:p>
              </w:tc>
              <w:tc>
                <w:tcPr>
                  <w:tcW w:w="410" w:type="pct"/>
                  <w:tcBorders>
                    <w:tl2br w:val="nil"/>
                    <w:tr2bl w:val="nil"/>
                  </w:tcBorders>
                  <w:noWrap w:val="0"/>
                  <w:vAlign w:val="center"/>
                </w:tcPr>
                <w:p w14:paraId="3AB114D1">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是</w:t>
                  </w:r>
                </w:p>
              </w:tc>
            </w:tr>
            <w:tr w14:paraId="2DB2F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noWrap w:val="0"/>
                  <w:vAlign w:val="center"/>
                </w:tcPr>
                <w:p w14:paraId="1741E097">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425" w:type="pct"/>
                  <w:vMerge w:val="continue"/>
                  <w:tcBorders>
                    <w:tl2br w:val="nil"/>
                    <w:tr2bl w:val="nil"/>
                  </w:tcBorders>
                  <w:noWrap w:val="0"/>
                  <w:vAlign w:val="center"/>
                </w:tcPr>
                <w:p w14:paraId="641B25CC">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p>
              </w:tc>
              <w:tc>
                <w:tcPr>
                  <w:tcW w:w="526" w:type="pct"/>
                  <w:vMerge w:val="continue"/>
                  <w:tcBorders>
                    <w:tl2br w:val="nil"/>
                    <w:tr2bl w:val="nil"/>
                  </w:tcBorders>
                  <w:noWrap w:val="0"/>
                  <w:vAlign w:val="center"/>
                </w:tcPr>
                <w:p w14:paraId="1D6B8E59">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p>
              </w:tc>
              <w:tc>
                <w:tcPr>
                  <w:tcW w:w="970" w:type="pct"/>
                  <w:vMerge w:val="continue"/>
                  <w:tcBorders>
                    <w:tl2br w:val="nil"/>
                    <w:tr2bl w:val="nil"/>
                  </w:tcBorders>
                  <w:noWrap w:val="0"/>
                  <w:vAlign w:val="center"/>
                </w:tcPr>
                <w:p w14:paraId="39F545E6">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p>
              </w:tc>
              <w:tc>
                <w:tcPr>
                  <w:tcW w:w="560" w:type="pct"/>
                  <w:vMerge w:val="continue"/>
                  <w:tcBorders>
                    <w:tl2br w:val="nil"/>
                    <w:tr2bl w:val="nil"/>
                  </w:tcBorders>
                  <w:noWrap w:val="0"/>
                  <w:vAlign w:val="center"/>
                </w:tcPr>
                <w:p w14:paraId="718E55B4">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678" w:type="pct"/>
                  <w:tcBorders>
                    <w:tl2br w:val="nil"/>
                    <w:tr2bl w:val="nil"/>
                  </w:tcBorders>
                  <w:noWrap w:val="0"/>
                  <w:vAlign w:val="center"/>
                </w:tcPr>
                <w:p w14:paraId="5501D01A">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二氧化硫</w:t>
                  </w:r>
                </w:p>
              </w:tc>
              <w:tc>
                <w:tcPr>
                  <w:tcW w:w="1172" w:type="pct"/>
                  <w:tcBorders>
                    <w:tl2br w:val="nil"/>
                    <w:tr2bl w:val="nil"/>
                  </w:tcBorders>
                  <w:noWrap w:val="0"/>
                  <w:vAlign w:val="center"/>
                </w:tcPr>
                <w:p w14:paraId="6393A005">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eastAsia="宋体" w:cs="Times New Roman"/>
                      <w:bCs/>
                      <w:color w:val="000000" w:themeColor="text1"/>
                      <w:sz w:val="21"/>
                      <w:szCs w:val="18"/>
                      <w:lang w:val="en-US" w:eastAsia="zh-CN"/>
                      <w14:textFill>
                        <w14:solidFill>
                          <w14:schemeClr w14:val="tx1"/>
                        </w14:solidFill>
                      </w14:textFill>
                    </w:rPr>
                    <w:t>3ND＜35</w:t>
                  </w:r>
                </w:p>
              </w:tc>
              <w:tc>
                <w:tcPr>
                  <w:tcW w:w="410" w:type="pct"/>
                  <w:tcBorders>
                    <w:tl2br w:val="nil"/>
                    <w:tr2bl w:val="nil"/>
                  </w:tcBorders>
                  <w:noWrap w:val="0"/>
                  <w:vAlign w:val="center"/>
                </w:tcPr>
                <w:p w14:paraId="1FDD7881">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是</w:t>
                  </w:r>
                </w:p>
              </w:tc>
            </w:tr>
            <w:tr w14:paraId="574FC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noWrap w:val="0"/>
                  <w:vAlign w:val="center"/>
                </w:tcPr>
                <w:p w14:paraId="40F4FFCA">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425" w:type="pct"/>
                  <w:vMerge w:val="continue"/>
                  <w:tcBorders>
                    <w:tl2br w:val="nil"/>
                    <w:tr2bl w:val="nil"/>
                  </w:tcBorders>
                  <w:noWrap w:val="0"/>
                  <w:vAlign w:val="center"/>
                </w:tcPr>
                <w:p w14:paraId="29AA504A">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p>
              </w:tc>
              <w:tc>
                <w:tcPr>
                  <w:tcW w:w="526" w:type="pct"/>
                  <w:vMerge w:val="continue"/>
                  <w:tcBorders>
                    <w:tl2br w:val="nil"/>
                    <w:tr2bl w:val="nil"/>
                  </w:tcBorders>
                  <w:noWrap w:val="0"/>
                  <w:vAlign w:val="center"/>
                </w:tcPr>
                <w:p w14:paraId="54D013FF">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p>
              </w:tc>
              <w:tc>
                <w:tcPr>
                  <w:tcW w:w="970" w:type="pct"/>
                  <w:vMerge w:val="continue"/>
                  <w:tcBorders>
                    <w:tl2br w:val="nil"/>
                    <w:tr2bl w:val="nil"/>
                  </w:tcBorders>
                  <w:noWrap w:val="0"/>
                  <w:vAlign w:val="center"/>
                </w:tcPr>
                <w:p w14:paraId="27823305">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p>
              </w:tc>
              <w:tc>
                <w:tcPr>
                  <w:tcW w:w="560" w:type="pct"/>
                  <w:vMerge w:val="continue"/>
                  <w:tcBorders>
                    <w:tl2br w:val="nil"/>
                    <w:tr2bl w:val="nil"/>
                  </w:tcBorders>
                  <w:noWrap w:val="0"/>
                  <w:vAlign w:val="center"/>
                </w:tcPr>
                <w:p w14:paraId="6A9505A5">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678" w:type="pct"/>
                  <w:tcBorders>
                    <w:tl2br w:val="nil"/>
                    <w:tr2bl w:val="nil"/>
                  </w:tcBorders>
                  <w:noWrap w:val="0"/>
                  <w:vAlign w:val="center"/>
                </w:tcPr>
                <w:p w14:paraId="1E61591C">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氮氧化物</w:t>
                  </w:r>
                </w:p>
              </w:tc>
              <w:tc>
                <w:tcPr>
                  <w:tcW w:w="1172" w:type="pct"/>
                  <w:tcBorders>
                    <w:tl2br w:val="nil"/>
                    <w:tr2bl w:val="nil"/>
                  </w:tcBorders>
                  <w:noWrap w:val="0"/>
                  <w:vAlign w:val="center"/>
                </w:tcPr>
                <w:p w14:paraId="47E3BD87">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eastAsia="宋体" w:cs="Times New Roman"/>
                      <w:bCs/>
                      <w:color w:val="000000" w:themeColor="text1"/>
                      <w:sz w:val="21"/>
                      <w:szCs w:val="18"/>
                      <w:lang w:val="en-US" w:eastAsia="zh-CN"/>
                      <w14:textFill>
                        <w14:solidFill>
                          <w14:schemeClr w14:val="tx1"/>
                        </w14:solidFill>
                      </w14:textFill>
                    </w:rPr>
                    <w:t>124＜150</w:t>
                  </w:r>
                </w:p>
              </w:tc>
              <w:tc>
                <w:tcPr>
                  <w:tcW w:w="410" w:type="pct"/>
                  <w:tcBorders>
                    <w:tl2br w:val="nil"/>
                    <w:tr2bl w:val="nil"/>
                  </w:tcBorders>
                  <w:noWrap w:val="0"/>
                  <w:vAlign w:val="center"/>
                </w:tcPr>
                <w:p w14:paraId="4D165394">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是</w:t>
                  </w:r>
                </w:p>
              </w:tc>
            </w:tr>
          </w:tbl>
          <w:p w14:paraId="4C612511">
            <w:pPr>
              <w:pStyle w:val="135"/>
              <w:spacing w:line="360" w:lineRule="auto"/>
              <w:ind w:firstLine="480" w:firstLineChars="200"/>
              <w:jc w:val="both"/>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具体监测数据见附件。</w:t>
            </w:r>
          </w:p>
          <w:p w14:paraId="1336EB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原有项目运营期</w:t>
            </w:r>
            <w:r>
              <w:rPr>
                <w:rFonts w:hint="default" w:ascii="Times New Roman" w:hAnsi="Times New Roman" w:eastAsia="宋体" w:cs="Times New Roman"/>
                <w:color w:val="000000" w:themeColor="text1"/>
                <w:kern w:val="0"/>
                <w:sz w:val="24"/>
                <w:lang w:eastAsia="zh-CN"/>
                <w14:textFill>
                  <w14:solidFill>
                    <w14:schemeClr w14:val="tx1"/>
                  </w14:solidFill>
                </w14:textFill>
              </w:rPr>
              <w:t>锅炉</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有效工作时间为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2160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h，根据自行监测报告数据</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可知</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排气筒DA00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未检测出</w:t>
            </w:r>
            <w:r>
              <w:rPr>
                <w:rFonts w:hint="eastAsia"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最大</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排放速率为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0.004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0.009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t/a；NO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X</w:t>
            </w:r>
            <w:r>
              <w:rPr>
                <w:rFonts w:hint="eastAsia"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最大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排放浓度为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最大</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排放速率为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0.119</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0.26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/a，颗粒物</w:t>
            </w:r>
            <w:r>
              <w:rPr>
                <w:rFonts w:hint="eastAsia"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最大</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排放浓度为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19.5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最大</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排放速率为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0.017</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kg/h，</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排放量为0.0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p>
          <w:p w14:paraId="016B37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由监测结果可知：</w:t>
            </w:r>
            <w:r>
              <w:rPr>
                <w:rFonts w:hint="default" w:ascii="Times New Roman" w:hAnsi="Times New Roman" w:eastAsia="宋体" w:cs="Times New Roman"/>
                <w:color w:val="000000" w:themeColor="text1"/>
                <w:sz w:val="24"/>
                <w:lang w:val="en-US" w:eastAsia="zh-CN"/>
                <w14:textFill>
                  <w14:solidFill>
                    <w14:schemeClr w14:val="tx1"/>
                  </w14:solidFill>
                </w14:textFill>
              </w:rPr>
              <w:t>生物质锅炉废气颗粒物、二氧化硫、氮氧化物排放浓度满足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《锅炉大气污染物排放标准》（DB</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61/1226-2018）表5中生物质锅炉浓度限值</w:t>
            </w:r>
            <w:r>
              <w:rPr>
                <w:rFonts w:hint="eastAsia" w:cs="Times New Roman"/>
                <w:color w:val="000000" w:themeColor="text1"/>
                <w:sz w:val="24"/>
                <w:szCs w:val="24"/>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，林格曼黑度满足</w:t>
            </w:r>
            <w:r>
              <w:rPr>
                <w:rFonts w:hint="default" w:ascii="Times New Roman" w:hAnsi="Times New Roman" w:eastAsia="宋体" w:cs="Times New Roman"/>
                <w:color w:val="000000" w:themeColor="text1"/>
                <w:sz w:val="24"/>
                <w:szCs w:val="24"/>
                <w14:textFill>
                  <w14:solidFill>
                    <w14:schemeClr w14:val="tx1"/>
                  </w14:solidFill>
                </w14:textFill>
              </w:rPr>
              <w:t>《锅炉大气污染物排放标准》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13271-2014</w:t>
            </w:r>
            <w:r>
              <w:rPr>
                <w:rFonts w:hint="default" w:ascii="Times New Roman" w:hAnsi="Times New Roman" w:eastAsia="宋体" w:cs="Times New Roman"/>
                <w:color w:val="000000" w:themeColor="text1"/>
                <w:sz w:val="24"/>
                <w:szCs w:val="24"/>
                <w:lang w:eastAsia="zh-CN"/>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2中标准限值要求；</w:t>
            </w:r>
            <w:r>
              <w:rPr>
                <w:rFonts w:hint="default" w:ascii="Times New Roman" w:hAnsi="Times New Roman" w:eastAsia="宋体" w:cs="Times New Roman"/>
                <w:color w:val="000000" w:themeColor="text1"/>
                <w:sz w:val="24"/>
                <w:lang w:val="en-US" w:eastAsia="zh-CN"/>
                <w14:textFill>
                  <w14:solidFill>
                    <w14:schemeClr w14:val="tx1"/>
                  </w14:solidFill>
                </w14:textFill>
              </w:rPr>
              <w:t>厂界无组织颗粒物排放浓度满足</w:t>
            </w:r>
            <w:r>
              <w:rPr>
                <w:rFonts w:hint="default" w:ascii="Times New Roman" w:hAnsi="Times New Roman" w:eastAsia="宋体" w:cs="Times New Roman"/>
                <w:color w:val="000000" w:themeColor="text1"/>
                <w:sz w:val="24"/>
                <w:lang w:eastAsia="zh-CN"/>
                <w14:textFill>
                  <w14:solidFill>
                    <w14:schemeClr w14:val="tx1"/>
                  </w14:solidFill>
                </w14:textFill>
              </w:rPr>
              <w:t>《大气污染物综合排放标准》（</w:t>
            </w:r>
            <w:r>
              <w:rPr>
                <w:rFonts w:hint="default" w:ascii="Times New Roman" w:hAnsi="Times New Roman" w:eastAsia="宋体" w:cs="Times New Roman"/>
                <w:color w:val="000000" w:themeColor="text1"/>
                <w:sz w:val="24"/>
                <w:lang w:val="en-US" w:eastAsia="zh-CN"/>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16297-1996</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表</w:t>
            </w:r>
            <w:r>
              <w:rPr>
                <w:rFonts w:hint="default" w:ascii="Times New Roman" w:hAnsi="Times New Roman" w:eastAsia="宋体" w:cs="Times New Roman"/>
                <w:color w:val="000000" w:themeColor="text1"/>
                <w:sz w:val="24"/>
                <w:lang w:val="en-US" w:eastAsia="zh-CN"/>
                <w14:textFill>
                  <w14:solidFill>
                    <w14:schemeClr w14:val="tx1"/>
                  </w14:solidFill>
                </w14:textFill>
              </w:rPr>
              <w:t>2中</w:t>
            </w:r>
            <w:r>
              <w:rPr>
                <w:rFonts w:hint="eastAsia" w:ascii="Times New Roman" w:hAnsi="Times New Roman" w:eastAsia="宋体" w:cs="Times New Roman"/>
                <w:color w:val="000000" w:themeColor="text1"/>
                <w:sz w:val="24"/>
                <w:lang w:val="en-US" w:eastAsia="zh-CN"/>
                <w14:textFill>
                  <w14:solidFill>
                    <w14:schemeClr w14:val="tx1"/>
                  </w14:solidFill>
                </w14:textFill>
              </w:rPr>
              <w:t>无</w:t>
            </w:r>
            <w:r>
              <w:rPr>
                <w:rFonts w:hint="default" w:ascii="Times New Roman" w:hAnsi="Times New Roman" w:eastAsia="宋体" w:cs="Times New Roman"/>
                <w:color w:val="000000" w:themeColor="text1"/>
                <w:sz w:val="24"/>
                <w:lang w:val="en-US" w:eastAsia="zh-CN"/>
                <w14:textFill>
                  <w14:solidFill>
                    <w14:schemeClr w14:val="tx1"/>
                  </w14:solidFill>
                </w14:textFill>
              </w:rPr>
              <w:t>组织</w:t>
            </w:r>
            <w:r>
              <w:rPr>
                <w:rFonts w:hint="eastAsia" w:cs="Times New Roman"/>
                <w:color w:val="000000" w:themeColor="text1"/>
                <w:sz w:val="24"/>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lang w:val="en-US" w:eastAsia="zh-CN"/>
                <w14:textFill>
                  <w14:solidFill>
                    <w14:schemeClr w14:val="tx1"/>
                  </w14:solidFill>
                </w14:textFill>
              </w:rPr>
              <w:t>排</w:t>
            </w:r>
            <w:r>
              <w:rPr>
                <w:rFonts w:hint="default" w:ascii="Times New Roman" w:hAnsi="Times New Roman" w:eastAsia="宋体" w:cs="Times New Roman"/>
                <w:color w:val="000000" w:themeColor="text1"/>
                <w:sz w:val="24"/>
                <w:lang w:val="en-US" w:eastAsia="zh-CN"/>
                <w14:textFill>
                  <w14:solidFill>
                    <w14:schemeClr w14:val="tx1"/>
                  </w14:solidFill>
                </w14:textFill>
              </w:rPr>
              <w:t>放</w:t>
            </w:r>
            <w:r>
              <w:rPr>
                <w:rFonts w:hint="default" w:ascii="Times New Roman" w:hAnsi="Times New Roman" w:eastAsia="宋体" w:cs="Times New Roman"/>
                <w:color w:val="000000" w:themeColor="text1"/>
                <w:sz w:val="24"/>
                <w14:textFill>
                  <w14:solidFill>
                    <w14:schemeClr w14:val="tx1"/>
                  </w14:solidFill>
                </w14:textFill>
              </w:rPr>
              <w:t>标准限值要求</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3023B1A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（4）固废：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与项目有关的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原有</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w:t>
            </w:r>
            <w:r>
              <w:rPr>
                <w:rFonts w:hint="eastAsia" w:cs="Times New Roman"/>
                <w:color w:val="000000" w:themeColor="text1"/>
                <w:sz w:val="24"/>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产生的固体废物主要包</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括包装废料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产生量为</w:t>
            </w:r>
            <w:r>
              <w:rPr>
                <w:rFonts w:hint="eastAsia" w:cs="Times New Roman"/>
                <w:color w:val="000000" w:themeColor="text1"/>
                <w:sz w:val="24"/>
                <w:highlight w:val="none"/>
                <w:lang w:val="en-US" w:eastAsia="zh-CN"/>
                <w14:textFill>
                  <w14:solidFill>
                    <w14:schemeClr w14:val="tx1"/>
                  </w14:solidFill>
                </w14:textFill>
              </w:rPr>
              <w:t>0.6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除尘灰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t/a、锅炉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灰渣</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、废离子交换树脂产生量为0.02t/3a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活垃圾集中收集定点堆放，由环卫部门定期清运；包装废料暂存固废暂存区后由废品回收公司回收处理；项目已设立一般固废暂存区及酒糟暂存区，酒糟统一收至酒糟暂存间后外售给附近农户用于家畜喂养；反渗透膜及废树脂</w:t>
            </w:r>
            <w:r>
              <w:rPr>
                <w:rFonts w:hint="default" w:ascii="Times New Roman" w:hAnsi="Times New Roman" w:eastAsia="宋体" w:cs="Times New Roman"/>
                <w:color w:val="000000" w:themeColor="text1"/>
                <w:sz w:val="24"/>
                <w:szCs w:val="24"/>
                <w:lang w:eastAsia="zh-CN"/>
                <w14:textFill>
                  <w14:solidFill>
                    <w14:schemeClr w14:val="tx1"/>
                  </w14:solidFill>
                </w14:textFill>
              </w:rPr>
              <w:t>由厂家直接更换带走</w:t>
            </w:r>
            <w:r>
              <w:rPr>
                <w:rFonts w:hint="default" w:ascii="Times New Roman" w:hAnsi="Times New Roman" w:eastAsia="宋体" w:cs="Times New Roman"/>
                <w:color w:val="000000" w:themeColor="text1"/>
                <w:sz w:val="24"/>
                <w:szCs w:val="24"/>
                <w14:textFill>
                  <w14:solidFill>
                    <w14:schemeClr w14:val="tx1"/>
                  </w14:solidFill>
                </w14:textFill>
              </w:rPr>
              <w:t>；锅炉除尘灰、锅炉灰渣用于农田改良。</w:t>
            </w:r>
          </w:p>
          <w:p w14:paraId="05F16567">
            <w:pPr>
              <w:pStyle w:val="135"/>
              <w:spacing w:line="360" w:lineRule="auto"/>
              <w:ind w:firstLine="482" w:firstLineChars="200"/>
              <w:jc w:val="both"/>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eastAsia" w:ascii="Times New Roman"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原有</w:t>
            </w:r>
            <w:r>
              <w:rPr>
                <w:rFonts w:hint="eastAsia" w:ascii="Times New Roman" w:cs="Times New Roman"/>
                <w:b/>
                <w:bCs w:val="0"/>
                <w:color w:val="000000" w:themeColor="text1"/>
                <w:szCs w:val="21"/>
                <w:highlight w:val="none"/>
                <w:lang w:val="en-US" w:eastAsia="zh-CN"/>
                <w14:textFill>
                  <w14:solidFill>
                    <w14:schemeClr w14:val="tx1"/>
                  </w14:solidFill>
                </w14:textFill>
              </w:rPr>
              <w:t>锅炉</w:t>
            </w: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污染物排放量清单</w:t>
            </w:r>
          </w:p>
          <w:p w14:paraId="56251BF6">
            <w:pPr>
              <w:pStyle w:val="135"/>
              <w:jc w:val="cente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表2-1</w:t>
            </w:r>
            <w:r>
              <w:rPr>
                <w:rFonts w:hint="eastAsia" w:ascii="Times New Roman" w:hAnsi="Times New Roman" w:eastAsia="宋体" w:cs="Times New Roman"/>
                <w:b/>
                <w:bCs w:val="0"/>
                <w:color w:val="000000" w:themeColor="text1"/>
                <w:sz w:val="21"/>
                <w:szCs w:val="18"/>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 xml:space="preserve">  原有项目</w:t>
            </w:r>
            <w:r>
              <w:rPr>
                <w:rFonts w:hint="eastAsia" w:ascii="Times New Roman" w:cs="Times New Roman"/>
                <w:b/>
                <w:bCs w:val="0"/>
                <w:color w:val="000000" w:themeColor="text1"/>
                <w:sz w:val="21"/>
                <w:szCs w:val="18"/>
                <w:lang w:val="en-US" w:eastAsia="zh-CN"/>
                <w14:textFill>
                  <w14:solidFill>
                    <w14:schemeClr w14:val="tx1"/>
                  </w14:solidFill>
                </w14:textFill>
              </w:rPr>
              <w:t>锅炉</w:t>
            </w:r>
            <w:r>
              <w:rPr>
                <w:rFonts w:hint="default" w:ascii="Times New Roman" w:hAnsi="Times New Roman" w:eastAsia="宋体" w:cs="Times New Roman"/>
                <w:b/>
                <w:bCs w:val="0"/>
                <w:color w:val="000000" w:themeColor="text1"/>
                <w:sz w:val="21"/>
                <w:szCs w:val="18"/>
                <w:lang w:val="en-US" w:eastAsia="zh-CN"/>
                <w14:textFill>
                  <w14:solidFill>
                    <w14:schemeClr w14:val="tx1"/>
                  </w14:solidFill>
                </w14:textFill>
              </w:rPr>
              <w:t>污染物排放量汇总表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2093"/>
              <w:gridCol w:w="2094"/>
              <w:gridCol w:w="2097"/>
            </w:tblGrid>
            <w:tr w14:paraId="0ACEE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tcBorders>
                    <w:tl2br w:val="nil"/>
                    <w:tr2bl w:val="nil"/>
                  </w:tcBorders>
                  <w:noWrap w:val="0"/>
                  <w:vAlign w:val="center"/>
                </w:tcPr>
                <w:p w14:paraId="4852091C">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类别</w:t>
                  </w:r>
                </w:p>
              </w:tc>
              <w:tc>
                <w:tcPr>
                  <w:tcW w:w="2093" w:type="dxa"/>
                  <w:tcBorders>
                    <w:tl2br w:val="nil"/>
                    <w:tr2bl w:val="nil"/>
                  </w:tcBorders>
                  <w:noWrap w:val="0"/>
                  <w:vAlign w:val="center"/>
                </w:tcPr>
                <w:p w14:paraId="35165032">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污染源</w:t>
                  </w:r>
                </w:p>
              </w:tc>
              <w:tc>
                <w:tcPr>
                  <w:tcW w:w="2094" w:type="dxa"/>
                  <w:tcBorders>
                    <w:tl2br w:val="nil"/>
                    <w:tr2bl w:val="nil"/>
                  </w:tcBorders>
                  <w:noWrap w:val="0"/>
                  <w:vAlign w:val="center"/>
                </w:tcPr>
                <w:p w14:paraId="4DCEC14D">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污染物</w:t>
                  </w:r>
                </w:p>
              </w:tc>
              <w:tc>
                <w:tcPr>
                  <w:tcW w:w="2097" w:type="dxa"/>
                  <w:tcBorders>
                    <w:tl2br w:val="nil"/>
                    <w:tr2bl w:val="nil"/>
                  </w:tcBorders>
                  <w:noWrap w:val="0"/>
                  <w:vAlign w:val="center"/>
                </w:tcPr>
                <w:p w14:paraId="290D603D">
                  <w:pPr>
                    <w:pStyle w:val="135"/>
                    <w:jc w:val="center"/>
                    <w:rPr>
                      <w:rFonts w:hint="eastAsia" w:ascii="Times New Roman" w:hAnsi="Times New Roman" w:eastAsia="宋体" w:cs="Times New Roman"/>
                      <w:bCs/>
                      <w:color w:val="000000" w:themeColor="text1"/>
                      <w:sz w:val="21"/>
                      <w:szCs w:val="18"/>
                      <w:lang w:eastAsia="zh-CN"/>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排放量（t/a）</w:t>
                  </w:r>
                  <w:r>
                    <w:rPr>
                      <w:rFonts w:hint="eastAsia" w:ascii="Times New Roman" w:hAnsi="Times New Roman" w:eastAsia="宋体" w:cs="Times New Roman"/>
                      <w:bCs/>
                      <w:color w:val="000000" w:themeColor="text1"/>
                      <w:sz w:val="21"/>
                      <w:szCs w:val="18"/>
                      <w:lang w:eastAsia="zh-CN"/>
                      <w14:textFill>
                        <w14:solidFill>
                          <w14:schemeClr w14:val="tx1"/>
                        </w14:solidFill>
                      </w14:textFill>
                    </w:rPr>
                    <w:t>（</w:t>
                  </w: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固废产生量</w:t>
                  </w:r>
                  <w:r>
                    <w:rPr>
                      <w:rFonts w:hint="eastAsia" w:ascii="Times New Roman" w:hAnsi="Times New Roman" w:eastAsia="宋体" w:cs="Times New Roman"/>
                      <w:bCs/>
                      <w:color w:val="000000" w:themeColor="text1"/>
                      <w:sz w:val="21"/>
                      <w:szCs w:val="18"/>
                      <w:lang w:eastAsia="zh-CN"/>
                      <w14:textFill>
                        <w14:solidFill>
                          <w14:schemeClr w14:val="tx1"/>
                        </w14:solidFill>
                      </w14:textFill>
                    </w:rPr>
                    <w:t>）</w:t>
                  </w:r>
                </w:p>
              </w:tc>
            </w:tr>
            <w:tr w14:paraId="26D5B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restart"/>
                  <w:tcBorders>
                    <w:tl2br w:val="nil"/>
                    <w:tr2bl w:val="nil"/>
                  </w:tcBorders>
                  <w:noWrap w:val="0"/>
                  <w:vAlign w:val="center"/>
                </w:tcPr>
                <w:p w14:paraId="251AB85D">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废气</w:t>
                  </w:r>
                </w:p>
              </w:tc>
              <w:tc>
                <w:tcPr>
                  <w:tcW w:w="2093" w:type="dxa"/>
                  <w:vMerge w:val="restart"/>
                  <w:tcBorders>
                    <w:tl2br w:val="nil"/>
                    <w:tr2bl w:val="nil"/>
                  </w:tcBorders>
                  <w:noWrap w:val="0"/>
                  <w:vAlign w:val="center"/>
                </w:tcPr>
                <w:p w14:paraId="12F705BD">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锅炉废气</w:t>
                  </w:r>
                </w:p>
              </w:tc>
              <w:tc>
                <w:tcPr>
                  <w:tcW w:w="2094" w:type="dxa"/>
                  <w:tcBorders>
                    <w:tl2br w:val="nil"/>
                    <w:tr2bl w:val="nil"/>
                  </w:tcBorders>
                  <w:noWrap w:val="0"/>
                  <w:vAlign w:val="center"/>
                </w:tcPr>
                <w:p w14:paraId="2FA1F852">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颗粒物</w:t>
                  </w:r>
                </w:p>
              </w:tc>
              <w:tc>
                <w:tcPr>
                  <w:tcW w:w="2097" w:type="dxa"/>
                  <w:tcBorders>
                    <w:tl2br w:val="nil"/>
                    <w:tr2bl w:val="nil"/>
                  </w:tcBorders>
                  <w:noWrap w:val="0"/>
                  <w:vAlign w:val="center"/>
                </w:tcPr>
                <w:p w14:paraId="13756C65">
                  <w:pPr>
                    <w:pStyle w:val="135"/>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0.037</w:t>
                  </w:r>
                </w:p>
              </w:tc>
            </w:tr>
            <w:tr w14:paraId="528DF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tcBorders>
                    <w:tl2br w:val="nil"/>
                    <w:tr2bl w:val="nil"/>
                  </w:tcBorders>
                  <w:noWrap w:val="0"/>
                  <w:vAlign w:val="center"/>
                </w:tcPr>
                <w:p w14:paraId="6C724969">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3" w:type="dxa"/>
                  <w:vMerge w:val="continue"/>
                  <w:tcBorders>
                    <w:tl2br w:val="nil"/>
                    <w:tr2bl w:val="nil"/>
                  </w:tcBorders>
                  <w:noWrap w:val="0"/>
                  <w:vAlign w:val="center"/>
                </w:tcPr>
                <w:p w14:paraId="588CEE84">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4" w:type="dxa"/>
                  <w:tcBorders>
                    <w:tl2br w:val="nil"/>
                    <w:tr2bl w:val="nil"/>
                  </w:tcBorders>
                  <w:noWrap w:val="0"/>
                  <w:vAlign w:val="center"/>
                </w:tcPr>
                <w:p w14:paraId="265A4FFC">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二氧化硫</w:t>
                  </w:r>
                </w:p>
              </w:tc>
              <w:tc>
                <w:tcPr>
                  <w:tcW w:w="2097" w:type="dxa"/>
                  <w:tcBorders>
                    <w:tl2br w:val="nil"/>
                    <w:tr2bl w:val="nil"/>
                  </w:tcBorders>
                  <w:noWrap w:val="0"/>
                  <w:vAlign w:val="center"/>
                </w:tcPr>
                <w:p w14:paraId="6719E848">
                  <w:pPr>
                    <w:pStyle w:val="135"/>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0.009</w:t>
                  </w:r>
                </w:p>
              </w:tc>
            </w:tr>
            <w:tr w14:paraId="3628C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tcBorders>
                    <w:tl2br w:val="nil"/>
                    <w:tr2bl w:val="nil"/>
                  </w:tcBorders>
                  <w:noWrap w:val="0"/>
                  <w:vAlign w:val="center"/>
                </w:tcPr>
                <w:p w14:paraId="4446AF19">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3" w:type="dxa"/>
                  <w:vMerge w:val="continue"/>
                  <w:tcBorders>
                    <w:tl2br w:val="nil"/>
                    <w:tr2bl w:val="nil"/>
                  </w:tcBorders>
                  <w:noWrap w:val="0"/>
                  <w:vAlign w:val="center"/>
                </w:tcPr>
                <w:p w14:paraId="3022AEC6">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4" w:type="dxa"/>
                  <w:tcBorders>
                    <w:tl2br w:val="nil"/>
                    <w:tr2bl w:val="nil"/>
                  </w:tcBorders>
                  <w:noWrap w:val="0"/>
                  <w:vAlign w:val="center"/>
                </w:tcPr>
                <w:p w14:paraId="4D6C9DEF">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lang w:val="en-US" w:eastAsia="zh-CN"/>
                      <w14:textFill>
                        <w14:solidFill>
                          <w14:schemeClr w14:val="tx1"/>
                        </w14:solidFill>
                      </w14:textFill>
                    </w:rPr>
                    <w:t>氮氧化物</w:t>
                  </w:r>
                </w:p>
              </w:tc>
              <w:tc>
                <w:tcPr>
                  <w:tcW w:w="2097" w:type="dxa"/>
                  <w:tcBorders>
                    <w:tl2br w:val="nil"/>
                    <w:tr2bl w:val="nil"/>
                  </w:tcBorders>
                  <w:noWrap w:val="0"/>
                  <w:vAlign w:val="center"/>
                </w:tcPr>
                <w:p w14:paraId="3C7D64ED">
                  <w:pPr>
                    <w:pStyle w:val="135"/>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0.26</w:t>
                  </w:r>
                </w:p>
              </w:tc>
            </w:tr>
            <w:tr w14:paraId="05B4E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restart"/>
                  <w:tcBorders>
                    <w:tl2br w:val="nil"/>
                    <w:tr2bl w:val="nil"/>
                  </w:tcBorders>
                  <w:noWrap w:val="0"/>
                  <w:vAlign w:val="center"/>
                </w:tcPr>
                <w:p w14:paraId="501D9274">
                  <w:pPr>
                    <w:pStyle w:val="135"/>
                    <w:jc w:val="cente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cs="Times New Roman"/>
                      <w:bCs/>
                      <w:color w:val="000000" w:themeColor="text1"/>
                      <w:sz w:val="21"/>
                      <w:szCs w:val="18"/>
                      <w:lang w:val="en-US" w:eastAsia="zh-CN"/>
                      <w14:textFill>
                        <w14:solidFill>
                          <w14:schemeClr w14:val="tx1"/>
                        </w14:solidFill>
                      </w14:textFill>
                    </w:rPr>
                    <w:t>废水</w:t>
                  </w:r>
                </w:p>
              </w:tc>
              <w:tc>
                <w:tcPr>
                  <w:tcW w:w="2093" w:type="dxa"/>
                  <w:tcBorders>
                    <w:tl2br w:val="nil"/>
                    <w:tr2bl w:val="nil"/>
                  </w:tcBorders>
                  <w:noWrap w:val="0"/>
                  <w:vAlign w:val="center"/>
                </w:tcPr>
                <w:p w14:paraId="1AA78520">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cs="Times New Roman"/>
                      <w:bCs/>
                      <w:color w:val="000000" w:themeColor="text1"/>
                      <w:sz w:val="21"/>
                      <w:szCs w:val="18"/>
                      <w:lang w:val="en-US" w:eastAsia="zh-CN"/>
                      <w14:textFill>
                        <w14:solidFill>
                          <w14:schemeClr w14:val="tx1"/>
                        </w14:solidFill>
                      </w14:textFill>
                    </w:rPr>
                    <w:t>软水制备废水</w:t>
                  </w:r>
                </w:p>
              </w:tc>
              <w:tc>
                <w:tcPr>
                  <w:tcW w:w="2094" w:type="dxa"/>
                  <w:tcBorders>
                    <w:tl2br w:val="nil"/>
                    <w:tr2bl w:val="nil"/>
                  </w:tcBorders>
                  <w:noWrap w:val="0"/>
                  <w:vAlign w:val="center"/>
                </w:tcPr>
                <w:p w14:paraId="5F149E2F">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cs="Times New Roman"/>
                      <w:bCs/>
                      <w:color w:val="000000" w:themeColor="text1"/>
                      <w:sz w:val="21"/>
                      <w:szCs w:val="18"/>
                      <w:lang w:val="en-US" w:eastAsia="zh-CN"/>
                      <w14:textFill>
                        <w14:solidFill>
                          <w14:schemeClr w14:val="tx1"/>
                        </w14:solidFill>
                      </w14:textFill>
                    </w:rPr>
                    <w:t>水量</w:t>
                  </w:r>
                </w:p>
              </w:tc>
              <w:tc>
                <w:tcPr>
                  <w:tcW w:w="2097" w:type="dxa"/>
                  <w:tcBorders>
                    <w:tl2br w:val="nil"/>
                    <w:tr2bl w:val="nil"/>
                  </w:tcBorders>
                  <w:noWrap w:val="0"/>
                  <w:vAlign w:val="center"/>
                </w:tcPr>
                <w:p w14:paraId="42B451C6">
                  <w:pPr>
                    <w:pStyle w:val="135"/>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324</w:t>
                  </w:r>
                </w:p>
              </w:tc>
            </w:tr>
            <w:tr w14:paraId="51073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tcBorders>
                    <w:tl2br w:val="nil"/>
                    <w:tr2bl w:val="nil"/>
                  </w:tcBorders>
                  <w:noWrap w:val="0"/>
                  <w:vAlign w:val="center"/>
                </w:tcPr>
                <w:p w14:paraId="4EAE1EFB">
                  <w:pPr>
                    <w:pStyle w:val="135"/>
                    <w:jc w:val="center"/>
                    <w:rPr>
                      <w:rFonts w:hint="eastAsia" w:ascii="Times New Roman" w:cs="Times New Roman"/>
                      <w:bCs/>
                      <w:color w:val="000000" w:themeColor="text1"/>
                      <w:sz w:val="21"/>
                      <w:szCs w:val="18"/>
                      <w:lang w:val="en-US" w:eastAsia="zh-CN"/>
                      <w14:textFill>
                        <w14:solidFill>
                          <w14:schemeClr w14:val="tx1"/>
                        </w14:solidFill>
                      </w14:textFill>
                    </w:rPr>
                  </w:pPr>
                </w:p>
              </w:tc>
              <w:tc>
                <w:tcPr>
                  <w:tcW w:w="2093" w:type="dxa"/>
                  <w:tcBorders>
                    <w:tl2br w:val="nil"/>
                    <w:tr2bl w:val="nil"/>
                  </w:tcBorders>
                  <w:noWrap w:val="0"/>
                  <w:vAlign w:val="center"/>
                </w:tcPr>
                <w:p w14:paraId="4D363917">
                  <w:pPr>
                    <w:pStyle w:val="135"/>
                    <w:jc w:val="center"/>
                    <w:rPr>
                      <w:rFonts w:hint="default" w:ascii="Times New Roman" w:cs="Times New Roman"/>
                      <w:bCs/>
                      <w:color w:val="000000" w:themeColor="text1"/>
                      <w:sz w:val="21"/>
                      <w:szCs w:val="18"/>
                      <w:lang w:val="en-US" w:eastAsia="zh-CN"/>
                      <w14:textFill>
                        <w14:solidFill>
                          <w14:schemeClr w14:val="tx1"/>
                        </w14:solidFill>
                      </w14:textFill>
                    </w:rPr>
                  </w:pPr>
                  <w:r>
                    <w:rPr>
                      <w:rFonts w:hint="eastAsia" w:ascii="Times New Roman" w:cs="Times New Roman"/>
                      <w:bCs/>
                      <w:color w:val="000000" w:themeColor="text1"/>
                      <w:sz w:val="21"/>
                      <w:szCs w:val="18"/>
                      <w:lang w:val="en-US" w:eastAsia="zh-CN"/>
                      <w14:textFill>
                        <w14:solidFill>
                          <w14:schemeClr w14:val="tx1"/>
                        </w14:solidFill>
                      </w14:textFill>
                    </w:rPr>
                    <w:t>锅炉排污水</w:t>
                  </w:r>
                </w:p>
              </w:tc>
              <w:tc>
                <w:tcPr>
                  <w:tcW w:w="2094" w:type="dxa"/>
                  <w:tcBorders>
                    <w:tl2br w:val="nil"/>
                    <w:tr2bl w:val="nil"/>
                  </w:tcBorders>
                  <w:noWrap w:val="0"/>
                  <w:vAlign w:val="center"/>
                </w:tcPr>
                <w:p w14:paraId="170EF6B9">
                  <w:pPr>
                    <w:pStyle w:val="135"/>
                    <w:jc w:val="center"/>
                    <w:rPr>
                      <w:rFonts w:hint="eastAsia" w:ascii="Times New Roman" w:cs="Times New Roman"/>
                      <w:bCs/>
                      <w:color w:val="000000" w:themeColor="text1"/>
                      <w:sz w:val="21"/>
                      <w:szCs w:val="18"/>
                      <w:lang w:val="en-US" w:eastAsia="zh-CN"/>
                      <w14:textFill>
                        <w14:solidFill>
                          <w14:schemeClr w14:val="tx1"/>
                        </w14:solidFill>
                      </w14:textFill>
                    </w:rPr>
                  </w:pPr>
                  <w:r>
                    <w:rPr>
                      <w:rFonts w:hint="eastAsia" w:ascii="Times New Roman" w:cs="Times New Roman"/>
                      <w:bCs/>
                      <w:color w:val="000000" w:themeColor="text1"/>
                      <w:sz w:val="21"/>
                      <w:szCs w:val="18"/>
                      <w:lang w:val="en-US" w:eastAsia="zh-CN"/>
                      <w14:textFill>
                        <w14:solidFill>
                          <w14:schemeClr w14:val="tx1"/>
                        </w14:solidFill>
                      </w14:textFill>
                    </w:rPr>
                    <w:t>水量</w:t>
                  </w:r>
                </w:p>
              </w:tc>
              <w:tc>
                <w:tcPr>
                  <w:tcW w:w="2097" w:type="dxa"/>
                  <w:tcBorders>
                    <w:tl2br w:val="nil"/>
                    <w:tr2bl w:val="nil"/>
                  </w:tcBorders>
                  <w:noWrap w:val="0"/>
                  <w:vAlign w:val="center"/>
                </w:tcPr>
                <w:p w14:paraId="4E9E2F0E">
                  <w:pPr>
                    <w:pStyle w:val="135"/>
                    <w:jc w:val="center"/>
                    <w:rPr>
                      <w:rFonts w:hint="default" w:ascii="Times New Roman"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3</w:t>
                  </w:r>
                </w:p>
              </w:tc>
            </w:tr>
            <w:tr w14:paraId="50778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restart"/>
                  <w:tcBorders>
                    <w:tl2br w:val="nil"/>
                    <w:tr2bl w:val="nil"/>
                  </w:tcBorders>
                  <w:noWrap w:val="0"/>
                  <w:vAlign w:val="center"/>
                </w:tcPr>
                <w:p w14:paraId="5294F17C">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固废</w:t>
                  </w:r>
                </w:p>
              </w:tc>
              <w:tc>
                <w:tcPr>
                  <w:tcW w:w="2093" w:type="dxa"/>
                  <w:vMerge w:val="restart"/>
                  <w:tcBorders>
                    <w:tl2br w:val="nil"/>
                    <w:tr2bl w:val="nil"/>
                  </w:tcBorders>
                  <w:noWrap w:val="0"/>
                  <w:vAlign w:val="center"/>
                </w:tcPr>
                <w:p w14:paraId="17937BE1">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18"/>
                      <w14:textFill>
                        <w14:solidFill>
                          <w14:schemeClr w14:val="tx1"/>
                        </w14:solidFill>
                      </w14:textFill>
                    </w:rPr>
                    <w:t>一般</w:t>
                  </w:r>
                  <w:r>
                    <w:rPr>
                      <w:rFonts w:hint="eastAsia" w:ascii="Times New Roman" w:cs="Times New Roman"/>
                      <w:bCs/>
                      <w:color w:val="000000" w:themeColor="text1"/>
                      <w:sz w:val="21"/>
                      <w:szCs w:val="18"/>
                      <w:lang w:val="en-US" w:eastAsia="zh-CN"/>
                      <w14:textFill>
                        <w14:solidFill>
                          <w14:schemeClr w14:val="tx1"/>
                        </w14:solidFill>
                      </w14:textFill>
                    </w:rPr>
                    <w:t>工业固体废物</w:t>
                  </w:r>
                </w:p>
              </w:tc>
              <w:tc>
                <w:tcPr>
                  <w:tcW w:w="2094" w:type="dxa"/>
                  <w:tcBorders>
                    <w:tl2br w:val="nil"/>
                    <w:tr2bl w:val="nil"/>
                  </w:tcBorders>
                  <w:noWrap w:val="0"/>
                  <w:vAlign w:val="center"/>
                </w:tcPr>
                <w:p w14:paraId="0679CD09">
                  <w:pPr>
                    <w:pStyle w:val="135"/>
                    <w:jc w:val="center"/>
                    <w:rPr>
                      <w:rFonts w:hint="default" w:ascii="Times New Roman" w:hAnsi="Times New Roman" w:eastAsia="宋体" w:cs="Times New Roman"/>
                      <w:bCs/>
                      <w:color w:val="000000" w:themeColor="text1"/>
                      <w:kern w:val="0"/>
                      <w:sz w:val="21"/>
                      <w:szCs w:val="18"/>
                      <w:lang w:val="en-US" w:eastAsia="zh-CN" w:bidi="ar-SA"/>
                      <w14:textFill>
                        <w14:solidFill>
                          <w14:schemeClr w14:val="tx1"/>
                        </w14:solidFill>
                      </w14:textFill>
                    </w:rPr>
                  </w:pPr>
                  <w:r>
                    <w:rPr>
                      <w:rFonts w:hint="eastAsia" w:ascii="Times New Roman" w:eastAsia="宋体" w:cs="Times New Roman"/>
                      <w:bCs/>
                      <w:color w:val="000000" w:themeColor="text1"/>
                      <w:sz w:val="21"/>
                      <w:szCs w:val="18"/>
                      <w:lang w:val="en-US" w:eastAsia="zh-CN"/>
                      <w14:textFill>
                        <w14:solidFill>
                          <w14:schemeClr w14:val="tx1"/>
                        </w14:solidFill>
                      </w14:textFill>
                    </w:rPr>
                    <w:t>包装废料</w:t>
                  </w:r>
                </w:p>
              </w:tc>
              <w:tc>
                <w:tcPr>
                  <w:tcW w:w="2097" w:type="dxa"/>
                  <w:tcBorders>
                    <w:tl2br w:val="nil"/>
                    <w:tr2bl w:val="nil"/>
                  </w:tcBorders>
                  <w:noWrap w:val="0"/>
                  <w:vAlign w:val="center"/>
                </w:tcPr>
                <w:p w14:paraId="2A5BAD91">
                  <w:pPr>
                    <w:pStyle w:val="135"/>
                    <w:jc w:val="center"/>
                    <w:rPr>
                      <w:rFonts w:hint="default" w:ascii="Times New Roman" w:hAnsi="Times New Roman" w:eastAsia="宋体" w:cs="Times New Roman"/>
                      <w:bCs/>
                      <w:color w:val="000000" w:themeColor="text1"/>
                      <w:kern w:val="0"/>
                      <w:sz w:val="21"/>
                      <w:szCs w:val="18"/>
                      <w:lang w:val="en-US" w:eastAsia="zh-CN" w:bidi="ar-SA"/>
                      <w14:textFill>
                        <w14:solidFill>
                          <w14:schemeClr w14:val="tx1"/>
                        </w14:solidFill>
                      </w14:textFill>
                    </w:rPr>
                  </w:pPr>
                  <w:r>
                    <w:rPr>
                      <w:rFonts w:hint="eastAsia" w:ascii="Times New Roman" w:cs="Times New Roman"/>
                      <w:bCs/>
                      <w:color w:val="000000" w:themeColor="text1"/>
                      <w:sz w:val="21"/>
                      <w:szCs w:val="18"/>
                      <w:lang w:val="en-US" w:eastAsia="zh-CN"/>
                      <w14:textFill>
                        <w14:solidFill>
                          <w14:schemeClr w14:val="tx1"/>
                        </w14:solidFill>
                      </w14:textFill>
                    </w:rPr>
                    <w:t>0.6</w:t>
                  </w:r>
                </w:p>
              </w:tc>
            </w:tr>
            <w:tr w14:paraId="759C4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tcBorders>
                    <w:tl2br w:val="nil"/>
                    <w:tr2bl w:val="nil"/>
                  </w:tcBorders>
                  <w:noWrap w:val="0"/>
                  <w:vAlign w:val="center"/>
                </w:tcPr>
                <w:p w14:paraId="7551FCFC">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3" w:type="dxa"/>
                  <w:vMerge w:val="continue"/>
                  <w:tcBorders>
                    <w:tl2br w:val="nil"/>
                    <w:tr2bl w:val="nil"/>
                  </w:tcBorders>
                  <w:noWrap w:val="0"/>
                  <w:vAlign w:val="center"/>
                </w:tcPr>
                <w:p w14:paraId="7865E5C7">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4" w:type="dxa"/>
                  <w:tcBorders>
                    <w:tl2br w:val="nil"/>
                    <w:tr2bl w:val="nil"/>
                  </w:tcBorders>
                  <w:noWrap w:val="0"/>
                  <w:vAlign w:val="center"/>
                </w:tcPr>
                <w:p w14:paraId="34AEE959">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锅炉除尘灰</w:t>
                  </w:r>
                </w:p>
              </w:tc>
              <w:tc>
                <w:tcPr>
                  <w:tcW w:w="2097" w:type="dxa"/>
                  <w:tcBorders>
                    <w:tl2br w:val="nil"/>
                    <w:tr2bl w:val="nil"/>
                  </w:tcBorders>
                  <w:noWrap w:val="0"/>
                  <w:vAlign w:val="center"/>
                </w:tcPr>
                <w:p w14:paraId="5057E26F">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1.5</w:t>
                  </w:r>
                </w:p>
              </w:tc>
            </w:tr>
            <w:tr w14:paraId="7AE9B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tcBorders>
                    <w:tl2br w:val="nil"/>
                    <w:tr2bl w:val="nil"/>
                  </w:tcBorders>
                  <w:noWrap w:val="0"/>
                  <w:vAlign w:val="center"/>
                </w:tcPr>
                <w:p w14:paraId="4189BB7D">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3" w:type="dxa"/>
                  <w:vMerge w:val="continue"/>
                  <w:tcBorders>
                    <w:tl2br w:val="nil"/>
                    <w:tr2bl w:val="nil"/>
                  </w:tcBorders>
                  <w:noWrap w:val="0"/>
                  <w:vAlign w:val="center"/>
                </w:tcPr>
                <w:p w14:paraId="6BDBCDD4">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4" w:type="dxa"/>
                  <w:tcBorders>
                    <w:tl2br w:val="nil"/>
                    <w:tr2bl w:val="nil"/>
                  </w:tcBorders>
                  <w:noWrap w:val="0"/>
                  <w:vAlign w:val="center"/>
                </w:tcPr>
                <w:p w14:paraId="3643B23F">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锅炉灰渣</w:t>
                  </w:r>
                </w:p>
              </w:tc>
              <w:tc>
                <w:tcPr>
                  <w:tcW w:w="2097" w:type="dxa"/>
                  <w:tcBorders>
                    <w:tl2br w:val="nil"/>
                    <w:tr2bl w:val="nil"/>
                  </w:tcBorders>
                  <w:noWrap w:val="0"/>
                  <w:vAlign w:val="center"/>
                </w:tcPr>
                <w:p w14:paraId="5649613E">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12.6</w:t>
                  </w:r>
                </w:p>
              </w:tc>
            </w:tr>
            <w:tr w14:paraId="22F9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tcBorders>
                    <w:tl2br w:val="nil"/>
                    <w:tr2bl w:val="nil"/>
                  </w:tcBorders>
                  <w:noWrap w:val="0"/>
                  <w:vAlign w:val="center"/>
                </w:tcPr>
                <w:p w14:paraId="1FADF7F5">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3" w:type="dxa"/>
                  <w:vMerge w:val="continue"/>
                  <w:tcBorders>
                    <w:tl2br w:val="nil"/>
                    <w:tr2bl w:val="nil"/>
                  </w:tcBorders>
                  <w:noWrap w:val="0"/>
                  <w:vAlign w:val="center"/>
                </w:tcPr>
                <w:p w14:paraId="558B2C44">
                  <w:pPr>
                    <w:pStyle w:val="135"/>
                    <w:jc w:val="center"/>
                    <w:rPr>
                      <w:rFonts w:hint="default" w:ascii="Times New Roman" w:hAnsi="Times New Roman" w:eastAsia="宋体" w:cs="Times New Roman"/>
                      <w:bCs/>
                      <w:color w:val="000000" w:themeColor="text1"/>
                      <w:sz w:val="21"/>
                      <w:szCs w:val="18"/>
                      <w14:textFill>
                        <w14:solidFill>
                          <w14:schemeClr w14:val="tx1"/>
                        </w14:solidFill>
                      </w14:textFill>
                    </w:rPr>
                  </w:pPr>
                </w:p>
              </w:tc>
              <w:tc>
                <w:tcPr>
                  <w:tcW w:w="2094" w:type="dxa"/>
                  <w:tcBorders>
                    <w:tl2br w:val="nil"/>
                    <w:tr2bl w:val="nil"/>
                  </w:tcBorders>
                  <w:noWrap w:val="0"/>
                  <w:vAlign w:val="center"/>
                </w:tcPr>
                <w:p w14:paraId="49587D4E">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废树脂</w:t>
                  </w:r>
                </w:p>
              </w:tc>
              <w:tc>
                <w:tcPr>
                  <w:tcW w:w="2097" w:type="dxa"/>
                  <w:tcBorders>
                    <w:tl2br w:val="nil"/>
                    <w:tr2bl w:val="nil"/>
                  </w:tcBorders>
                  <w:noWrap w:val="0"/>
                  <w:vAlign w:val="center"/>
                </w:tcPr>
                <w:p w14:paraId="639D6063">
                  <w:pPr>
                    <w:pStyle w:val="135"/>
                    <w:jc w:val="center"/>
                    <w:rPr>
                      <w:rFonts w:hint="default" w:ascii="Times New Roman" w:hAnsi="Times New Roman" w:eastAsia="宋体" w:cs="Times New Roman"/>
                      <w:bCs/>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18"/>
                      <w:lang w:val="en-US" w:eastAsia="zh-CN"/>
                      <w14:textFill>
                        <w14:solidFill>
                          <w14:schemeClr w14:val="tx1"/>
                        </w14:solidFill>
                      </w14:textFill>
                    </w:rPr>
                    <w:t>0.02t/3a</w:t>
                  </w:r>
                </w:p>
              </w:tc>
            </w:tr>
          </w:tbl>
          <w:p w14:paraId="34DAD0F4">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default" w:ascii="Times New Roman" w:hAnsi="Times New Roman" w:cs="Times New Roman"/>
                <w:color w:val="000000" w:themeColor="text1"/>
                <w:szCs w:val="21"/>
                <w:highlight w:val="yellow"/>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4</w:t>
            </w:r>
            <w:r>
              <w:rPr>
                <w:rFonts w:hint="eastAsia"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存在的环境问题及“以新带老”措施</w:t>
            </w:r>
          </w:p>
          <w:p w14:paraId="55D850C5">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eastAsia="zh-CN"/>
                <w14:textFill>
                  <w14:solidFill>
                    <w14:schemeClr w14:val="tx1"/>
                  </w14:solidFill>
                </w14:textFill>
              </w:rPr>
              <w:t>）存在问题</w:t>
            </w:r>
          </w:p>
          <w:p w14:paraId="3687DE47">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锅炉不属于生物质专用锅炉。</w:t>
            </w:r>
          </w:p>
          <w:p w14:paraId="791DA59E">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生物质锅炉未配备脱硝环保设施。</w:t>
            </w:r>
          </w:p>
          <w:p w14:paraId="2F3515FF">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整改</w:t>
            </w:r>
            <w:r>
              <w:rPr>
                <w:rFonts w:hint="default" w:ascii="Times New Roman" w:hAnsi="Times New Roman" w:cs="Times New Roman"/>
                <w:bCs/>
                <w:color w:val="000000" w:themeColor="text1"/>
                <w:sz w:val="24"/>
                <w:szCs w:val="24"/>
                <w:highlight w:val="none"/>
                <w14:textFill>
                  <w14:solidFill>
                    <w14:schemeClr w14:val="tx1"/>
                  </w14:solidFill>
                </w14:textFill>
              </w:rPr>
              <w:t>措施</w:t>
            </w:r>
          </w:p>
          <w:p w14:paraId="0484ABAB">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对现有生物质锅炉进行淘汰更换为生物质专用锅炉后，除配套袋式除尘器</w:t>
            </w:r>
            <w:r>
              <w:rPr>
                <w:rFonts w:hint="eastAsia" w:cs="Times New Roman"/>
                <w:color w:val="000000" w:themeColor="text1"/>
                <w:sz w:val="24"/>
                <w:szCs w:val="24"/>
                <w:highlight w:val="none"/>
                <w:lang w:val="en-US" w:eastAsia="zh-CN"/>
                <w14:textFill>
                  <w14:solidFill>
                    <w14:schemeClr w14:val="tx1"/>
                  </w14:solidFill>
                </w14:textFill>
              </w:rPr>
              <w:t>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还需配备脱硝设施，本项目建成后对氮氧化物的治理配备SNCR进行末端治理，可有效提高废气治理效率。</w:t>
            </w:r>
          </w:p>
          <w:p w14:paraId="7112A6EA">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9EC8AD2">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B1C00B4">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8CD3372">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A19A42B">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8D0DB4F">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0FB003C">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91317F6">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769968E">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6171C9C">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6CC87AF">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E4EFB96">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015060C">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90488BD">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2E806E3">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289D77D">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937B08E">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06DF11F">
            <w:pPr>
              <w:pStyle w:val="3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7BB5FE8">
            <w:pPr>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473BB2A">
            <w:pPr>
              <w:pStyle w:val="30"/>
              <w:rPr>
                <w:rFonts w:hint="eastAsia"/>
                <w:color w:val="000000" w:themeColor="text1"/>
                <w:lang w:val="en-US" w:eastAsia="zh-CN"/>
                <w14:textFill>
                  <w14:solidFill>
                    <w14:schemeClr w14:val="tx1"/>
                  </w14:solidFill>
                </w14:textFill>
              </w:rPr>
            </w:pPr>
          </w:p>
          <w:p w14:paraId="662C12A5">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3F3E200">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0A4F1A9">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560F046">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2F2D9BC">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10BBF3C">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D5D9910">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p>
        </w:tc>
      </w:tr>
    </w:tbl>
    <w:p w14:paraId="6CD3C5AB">
      <w:pPr>
        <w:pStyle w:val="26"/>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135C7FC">
      <w:pPr>
        <w:pStyle w:val="26"/>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p>
    <w:p w14:paraId="76F53EFB">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三</w:t>
      </w:r>
      <w:r>
        <w:rPr>
          <w:rFonts w:hint="eastAsia" w:ascii="Times New Roman" w:hAnsi="Times New Roman" w:eastAsia="黑体" w:cs="Times New Roman"/>
          <w:snapToGrid w:val="0"/>
          <w:color w:val="000000" w:themeColor="text1"/>
          <w:sz w:val="30"/>
          <w:szCs w:val="30"/>
          <w:lang w:eastAsia="zh-CN"/>
          <w14:textFill>
            <w14:solidFill>
              <w14:schemeClr w14:val="tx1"/>
            </w14:solidFill>
          </w14:textFill>
        </w:rPr>
        <w:t>、</w:t>
      </w:r>
      <w:r>
        <w:rPr>
          <w:rFonts w:hint="default" w:ascii="Times New Roman" w:hAnsi="Times New Roman" w:eastAsia="黑体" w:cs="Times New Roman"/>
          <w:snapToGrid w:val="0"/>
          <w:color w:val="000000" w:themeColor="text1"/>
          <w:sz w:val="30"/>
          <w:szCs w:val="30"/>
          <w14:textFill>
            <w14:solidFill>
              <w14:schemeClr w14:val="tx1"/>
            </w14:solidFill>
          </w14:textFill>
        </w:rPr>
        <w:t>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14:paraId="0A1C8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426" w:type="dxa"/>
            <w:noWrap w:val="0"/>
            <w:vAlign w:val="center"/>
          </w:tcPr>
          <w:p w14:paraId="7C706CA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区域</w:t>
            </w:r>
          </w:p>
          <w:p w14:paraId="18EECFB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05919B6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质量</w:t>
            </w:r>
          </w:p>
          <w:p w14:paraId="4F29A03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现状</w:t>
            </w:r>
          </w:p>
        </w:tc>
        <w:tc>
          <w:tcPr>
            <w:tcW w:w="8635" w:type="dxa"/>
            <w:noWrap w:val="0"/>
            <w:vAlign w:val="center"/>
          </w:tcPr>
          <w:p w14:paraId="0E9BAC88">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一</w:t>
            </w:r>
            <w:r>
              <w:rPr>
                <w:rFonts w:hint="eastAsia" w:cs="Times New Roman"/>
                <w:b/>
                <w:bCs w:val="0"/>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区域环境质量现状</w:t>
            </w:r>
          </w:p>
          <w:p w14:paraId="3C220F86">
            <w:pPr>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8"/>
                <w14:textFill>
                  <w14:solidFill>
                    <w14:schemeClr w14:val="tx1"/>
                  </w14:solidFill>
                </w14:textFill>
              </w:rPr>
              <w:t>1</w:t>
            </w:r>
            <w:r>
              <w:rPr>
                <w:rFonts w:hint="eastAsia"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环境空气质量现状</w:t>
            </w:r>
          </w:p>
          <w:p w14:paraId="1A2D31F5">
            <w:pPr>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）常规污染物</w:t>
            </w:r>
          </w:p>
          <w:p w14:paraId="71AA3F97">
            <w:pPr>
              <w:widowControl/>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eastAsia="zh-CN"/>
                <w14:textFill>
                  <w14:solidFill>
                    <w14:schemeClr w14:val="tx1"/>
                  </w14:solidFill>
                </w14:textFill>
              </w:rPr>
              <w:t>环境影响评价技术导则 大气环境</w:t>
            </w:r>
            <w:r>
              <w:rPr>
                <w:rFonts w:hint="default" w:ascii="Times New Roman" w:hAnsi="Times New Roman" w:cs="Times New Roman"/>
                <w:color w:val="000000" w:themeColor="text1"/>
                <w:sz w:val="24"/>
                <w:szCs w:val="24"/>
                <w14:textFill>
                  <w14:solidFill>
                    <w14:schemeClr w14:val="tx1"/>
                  </w14:solidFill>
                </w14:textFill>
              </w:rPr>
              <w:t>》（HJ</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2.2-2018）6.2.1.2“采用评价范围内国家或地方环境空气质量监测网中评价基准年连续1年的监测数据，或采用生态环境主管部门公开发布的环境空气质量现状数据”。项目所在区域</w:t>
            </w:r>
            <w:r>
              <w:rPr>
                <w:rFonts w:hint="eastAsia" w:cs="Times New Roman"/>
                <w:color w:val="000000" w:themeColor="text1"/>
                <w:sz w:val="24"/>
                <w:szCs w:val="24"/>
                <w:lang w:eastAsia="zh-CN"/>
                <w14:textFill>
                  <w14:solidFill>
                    <w14:schemeClr w14:val="tx1"/>
                  </w14:solidFill>
                </w14:textFill>
              </w:rPr>
              <w:t>属于</w:t>
            </w:r>
            <w:r>
              <w:rPr>
                <w:rFonts w:hint="default" w:ascii="Times New Roman" w:hAnsi="Times New Roman" w:cs="Times New Roman"/>
                <w:color w:val="000000" w:themeColor="text1"/>
                <w:sz w:val="24"/>
                <w:szCs w:val="24"/>
                <w14:textFill>
                  <w14:solidFill>
                    <w14:schemeClr w14:val="tx1"/>
                  </w14:solidFill>
                </w14:textFill>
              </w:rPr>
              <w:t>环境空气质量二类功能区，执行《环境空气质量标准》（</w:t>
            </w:r>
            <w:r>
              <w:rPr>
                <w:rFonts w:hint="eastAsia" w:ascii="Times New Roman" w:hAnsi="Times New Roman" w:cs="Times New Roman"/>
                <w:color w:val="000000" w:themeColor="text1"/>
                <w:sz w:val="24"/>
                <w:szCs w:val="24"/>
                <w:lang w:eastAsia="zh-CN"/>
                <w14:textFill>
                  <w14:solidFill>
                    <w14:schemeClr w14:val="tx1"/>
                  </w14:solidFill>
                </w14:textFill>
              </w:rPr>
              <w:t>GB</w:t>
            </w:r>
            <w:r>
              <w:rPr>
                <w:rFonts w:hint="eastAsia"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eastAsia="zh-CN"/>
                <w14:textFill>
                  <w14:solidFill>
                    <w14:schemeClr w14:val="tx1"/>
                  </w14:solidFill>
                </w14:textFill>
              </w:rPr>
              <w:t>3095-2026</w:t>
            </w:r>
            <w:r>
              <w:rPr>
                <w:rFonts w:hint="default" w:ascii="Times New Roman" w:hAnsi="Times New Roman" w:cs="Times New Roman"/>
                <w:color w:val="000000" w:themeColor="text1"/>
                <w:sz w:val="24"/>
                <w:szCs w:val="24"/>
                <w14:textFill>
                  <w14:solidFill>
                    <w14:schemeClr w14:val="tx1"/>
                  </w14:solidFill>
                </w14:textFill>
              </w:rPr>
              <w:t>）及其2018年修改单中的二级标准。</w:t>
            </w:r>
          </w:p>
          <w:p w14:paraId="77C0A247">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为了查明建设项目所在地的环境空气质量现状，本项目厂址所在地环境大气中SO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eastAsia"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CO和O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监测数据引用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凤翔区人民政府</w:t>
            </w:r>
            <w:r>
              <w:rPr>
                <w:rFonts w:hint="default" w:ascii="Times New Roman" w:hAnsi="Times New Roman" w:eastAsia="宋体" w:cs="Times New Roman"/>
                <w:color w:val="000000" w:themeColor="text1"/>
                <w:sz w:val="24"/>
                <w:szCs w:val="24"/>
                <w:highlight w:val="none"/>
                <w14:textFill>
                  <w14:solidFill>
                    <w14:schemeClr w14:val="tx1"/>
                  </w14:solidFill>
                </w14:textFill>
              </w:rPr>
              <w:t>发布的《宝鸡市凤翔区2025年环境质量公报》中的统计数据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607D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表3-1  区域空气质量现状评价表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1"/>
              <w:gridCol w:w="716"/>
              <w:gridCol w:w="1421"/>
              <w:gridCol w:w="1226"/>
              <w:gridCol w:w="1226"/>
              <w:gridCol w:w="855"/>
              <w:gridCol w:w="954"/>
              <w:gridCol w:w="1550"/>
            </w:tblGrid>
            <w:tr w14:paraId="1751F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restart"/>
                  <w:noWrap w:val="0"/>
                  <w:vAlign w:val="center"/>
                </w:tcPr>
                <w:p w14:paraId="7022C8C4">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所在区域</w:t>
                  </w:r>
                </w:p>
              </w:tc>
              <w:tc>
                <w:tcPr>
                  <w:tcW w:w="427" w:type="pct"/>
                  <w:vMerge w:val="restart"/>
                  <w:noWrap w:val="0"/>
                  <w:vAlign w:val="center"/>
                </w:tcPr>
                <w:p w14:paraId="5EE7234F">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846" w:type="pct"/>
                  <w:vMerge w:val="restart"/>
                  <w:noWrap w:val="0"/>
                  <w:vAlign w:val="center"/>
                </w:tcPr>
                <w:p w14:paraId="6E7B6DFA">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年评价指标</w:t>
                  </w:r>
                </w:p>
              </w:tc>
              <w:tc>
                <w:tcPr>
                  <w:tcW w:w="730" w:type="pct"/>
                  <w:vMerge w:val="restart"/>
                  <w:noWrap w:val="0"/>
                  <w:vAlign w:val="center"/>
                </w:tcPr>
                <w:p w14:paraId="1649DF72">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现状浓度</w:t>
                  </w:r>
                </w:p>
                <w:p w14:paraId="685A8ADC">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c>
                <w:tcPr>
                  <w:tcW w:w="730" w:type="pct"/>
                  <w:vMerge w:val="restart"/>
                  <w:noWrap w:val="0"/>
                  <w:vAlign w:val="center"/>
                </w:tcPr>
                <w:p w14:paraId="697F0811">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p w14:paraId="2AC6AFBA">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c>
                <w:tcPr>
                  <w:tcW w:w="509" w:type="pct"/>
                  <w:vMerge w:val="restart"/>
                  <w:noWrap w:val="0"/>
                  <w:vAlign w:val="center"/>
                </w:tcPr>
                <w:p w14:paraId="27602A08">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占标率（%）</w:t>
                  </w:r>
                </w:p>
              </w:tc>
              <w:tc>
                <w:tcPr>
                  <w:tcW w:w="568" w:type="pct"/>
                  <w:vMerge w:val="restart"/>
                  <w:noWrap w:val="0"/>
                  <w:vAlign w:val="center"/>
                </w:tcPr>
                <w:p w14:paraId="4A00CF16">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p w14:paraId="001DD7D9">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情况</w:t>
                  </w:r>
                </w:p>
              </w:tc>
              <w:tc>
                <w:tcPr>
                  <w:tcW w:w="923" w:type="pct"/>
                  <w:vMerge w:val="restart"/>
                  <w:noWrap w:val="0"/>
                  <w:vAlign w:val="center"/>
                </w:tcPr>
                <w:p w14:paraId="5DAE53FF">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14:paraId="6F8A2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noWrap w:val="0"/>
                  <w:vAlign w:val="center"/>
                </w:tcPr>
                <w:p w14:paraId="7B29B51B">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427" w:type="pct"/>
                  <w:vMerge w:val="continue"/>
                  <w:noWrap w:val="0"/>
                  <w:vAlign w:val="center"/>
                </w:tcPr>
                <w:p w14:paraId="3DAB58EA">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846" w:type="pct"/>
                  <w:vMerge w:val="continue"/>
                  <w:noWrap w:val="0"/>
                  <w:vAlign w:val="center"/>
                </w:tcPr>
                <w:p w14:paraId="240B6187">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730" w:type="pct"/>
                  <w:vMerge w:val="continue"/>
                  <w:noWrap w:val="0"/>
                  <w:vAlign w:val="center"/>
                </w:tcPr>
                <w:p w14:paraId="2514B24F">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730" w:type="pct"/>
                  <w:vMerge w:val="continue"/>
                  <w:noWrap w:val="0"/>
                  <w:vAlign w:val="center"/>
                </w:tcPr>
                <w:p w14:paraId="36AE31A7">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509" w:type="pct"/>
                  <w:vMerge w:val="continue"/>
                  <w:noWrap w:val="0"/>
                  <w:vAlign w:val="center"/>
                </w:tcPr>
                <w:p w14:paraId="39AE9CB7">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568" w:type="pct"/>
                  <w:vMerge w:val="continue"/>
                  <w:noWrap w:val="0"/>
                  <w:vAlign w:val="center"/>
                </w:tcPr>
                <w:p w14:paraId="702C4458">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923" w:type="pct"/>
                  <w:vMerge w:val="continue"/>
                  <w:noWrap w:val="0"/>
                  <w:vAlign w:val="center"/>
                </w:tcPr>
                <w:p w14:paraId="61B01ED5">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r>
            <w:tr w14:paraId="4DCF5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restart"/>
                  <w:noWrap w:val="0"/>
                  <w:vAlign w:val="center"/>
                </w:tcPr>
                <w:p w14:paraId="6AE53801">
                  <w:pPr>
                    <w:widowControl/>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宝鸡市</w:t>
                  </w:r>
                  <w:r>
                    <w:rPr>
                      <w:rFonts w:hint="eastAsia" w:ascii="Times New Roman" w:hAnsi="Times New Roman" w:cs="Times New Roman"/>
                      <w:color w:val="000000" w:themeColor="text1"/>
                      <w:lang w:val="en-US" w:eastAsia="zh-CN"/>
                      <w14:textFill>
                        <w14:solidFill>
                          <w14:schemeClr w14:val="tx1"/>
                        </w14:solidFill>
                      </w14:textFill>
                    </w:rPr>
                    <w:t>凤翔区</w:t>
                  </w:r>
                </w:p>
              </w:tc>
              <w:tc>
                <w:tcPr>
                  <w:tcW w:w="427" w:type="pct"/>
                  <w:noWrap w:val="0"/>
                  <w:vAlign w:val="center"/>
                </w:tcPr>
                <w:p w14:paraId="318F0D53">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846" w:type="pct"/>
                  <w:noWrap w:val="0"/>
                  <w:vAlign w:val="center"/>
                </w:tcPr>
                <w:p w14:paraId="2305FFF9">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144" w:type="dxa"/>
                  <w:noWrap w:val="0"/>
                  <w:vAlign w:val="center"/>
                </w:tcPr>
                <w:p w14:paraId="6C807A37">
                  <w:pPr>
                    <w:pStyle w:val="124"/>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9</w:t>
                  </w:r>
                </w:p>
              </w:tc>
              <w:tc>
                <w:tcPr>
                  <w:tcW w:w="730" w:type="pct"/>
                  <w:noWrap w:val="0"/>
                  <w:vAlign w:val="center"/>
                </w:tcPr>
                <w:p w14:paraId="15552E2F">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509" w:type="pct"/>
                  <w:noWrap w:val="0"/>
                  <w:vAlign w:val="center"/>
                </w:tcPr>
                <w:p w14:paraId="5D22D3F5">
                  <w:pPr>
                    <w:widowControl/>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w:t>
                  </w:r>
                </w:p>
              </w:tc>
              <w:tc>
                <w:tcPr>
                  <w:tcW w:w="568" w:type="pct"/>
                  <w:noWrap w:val="0"/>
                  <w:vAlign w:val="center"/>
                </w:tcPr>
                <w:p w14:paraId="07F8303C">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923" w:type="pct"/>
                  <w:vMerge w:val="restart"/>
                  <w:noWrap w:val="0"/>
                  <w:vAlign w:val="center"/>
                </w:tcPr>
                <w:p w14:paraId="6F8580CD">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《环境空气质量标准》（</w:t>
                  </w:r>
                  <w:r>
                    <w:rPr>
                      <w:rFonts w:hint="eastAsia" w:ascii="Times New Roman" w:hAnsi="Times New Roman" w:cs="Times New Roman"/>
                      <w:color w:val="000000" w:themeColor="text1"/>
                      <w:lang w:eastAsia="zh-CN"/>
                      <w14:textFill>
                        <w14:solidFill>
                          <w14:schemeClr w14:val="tx1"/>
                        </w14:solidFill>
                      </w14:textFill>
                    </w:rPr>
                    <w:t>GB</w:t>
                  </w:r>
                  <w:r>
                    <w:rPr>
                      <w:rFonts w:hint="eastAsia"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lang w:eastAsia="zh-CN"/>
                      <w14:textFill>
                        <w14:solidFill>
                          <w14:schemeClr w14:val="tx1"/>
                        </w14:solidFill>
                      </w14:textFill>
                    </w:rPr>
                    <w:t>3095-2026</w:t>
                  </w:r>
                  <w:r>
                    <w:rPr>
                      <w:rFonts w:hint="default" w:ascii="Times New Roman" w:hAnsi="Times New Roman" w:cs="Times New Roman"/>
                      <w:color w:val="000000" w:themeColor="text1"/>
                      <w14:textFill>
                        <w14:solidFill>
                          <w14:schemeClr w14:val="tx1"/>
                        </w14:solidFill>
                      </w14:textFill>
                    </w:rPr>
                    <w:t>）及其修改单</w:t>
                  </w:r>
                </w:p>
              </w:tc>
            </w:tr>
            <w:tr w14:paraId="02076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noWrap w:val="0"/>
                  <w:vAlign w:val="center"/>
                </w:tcPr>
                <w:p w14:paraId="52EAC95C">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427" w:type="pct"/>
                  <w:noWrap w:val="0"/>
                  <w:vAlign w:val="center"/>
                </w:tcPr>
                <w:p w14:paraId="466C791F">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p>
              </w:tc>
              <w:tc>
                <w:tcPr>
                  <w:tcW w:w="846" w:type="pct"/>
                  <w:noWrap w:val="0"/>
                  <w:vAlign w:val="center"/>
                </w:tcPr>
                <w:p w14:paraId="10AE1DAD">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144" w:type="dxa"/>
                  <w:noWrap w:val="0"/>
                  <w:vAlign w:val="center"/>
                </w:tcPr>
                <w:p w14:paraId="1FA9D762">
                  <w:pPr>
                    <w:pStyle w:val="124"/>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14</w:t>
                  </w:r>
                </w:p>
              </w:tc>
              <w:tc>
                <w:tcPr>
                  <w:tcW w:w="730" w:type="pct"/>
                  <w:noWrap w:val="0"/>
                  <w:vAlign w:val="center"/>
                </w:tcPr>
                <w:p w14:paraId="79812BA2">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509" w:type="pct"/>
                  <w:noWrap w:val="0"/>
                  <w:vAlign w:val="center"/>
                </w:tcPr>
                <w:p w14:paraId="683C480B">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35</w:t>
                  </w:r>
                </w:p>
              </w:tc>
              <w:tc>
                <w:tcPr>
                  <w:tcW w:w="568" w:type="pct"/>
                  <w:noWrap w:val="0"/>
                  <w:vAlign w:val="center"/>
                </w:tcPr>
                <w:p w14:paraId="3793F6DE">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923" w:type="pct"/>
                  <w:vMerge w:val="continue"/>
                  <w:noWrap w:val="0"/>
                  <w:vAlign w:val="center"/>
                </w:tcPr>
                <w:p w14:paraId="7BC9297C">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r>
            <w:tr w14:paraId="22B5D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noWrap w:val="0"/>
                  <w:vAlign w:val="center"/>
                </w:tcPr>
                <w:p w14:paraId="7D151621">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427" w:type="pct"/>
                  <w:noWrap w:val="0"/>
                  <w:vAlign w:val="center"/>
                </w:tcPr>
                <w:p w14:paraId="6D82622A">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846" w:type="pct"/>
                  <w:noWrap w:val="0"/>
                  <w:vAlign w:val="center"/>
                </w:tcPr>
                <w:p w14:paraId="1D673DBE">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730" w:type="pct"/>
                  <w:noWrap w:val="0"/>
                  <w:vAlign w:val="center"/>
                </w:tcPr>
                <w:p w14:paraId="57668E6C">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53</w:t>
                  </w:r>
                </w:p>
              </w:tc>
              <w:tc>
                <w:tcPr>
                  <w:tcW w:w="730" w:type="pct"/>
                  <w:noWrap w:val="0"/>
                  <w:vAlign w:val="center"/>
                </w:tcPr>
                <w:p w14:paraId="165D1AE1">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60</w:t>
                  </w:r>
                </w:p>
              </w:tc>
              <w:tc>
                <w:tcPr>
                  <w:tcW w:w="509" w:type="pct"/>
                  <w:noWrap w:val="0"/>
                  <w:vAlign w:val="center"/>
                </w:tcPr>
                <w:p w14:paraId="266CC7C8">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w:t>
                  </w:r>
                  <w:r>
                    <w:rPr>
                      <w:rFonts w:hint="eastAsia" w:ascii="Times New Roman" w:hAnsi="Times New Roman" w:cs="Times New Roman"/>
                      <w:color w:val="000000" w:themeColor="text1"/>
                      <w:lang w:val="en-US" w:eastAsia="zh-CN"/>
                      <w14:textFill>
                        <w14:solidFill>
                          <w14:schemeClr w14:val="tx1"/>
                        </w14:solidFill>
                      </w14:textFill>
                    </w:rPr>
                    <w:t>3</w:t>
                  </w:r>
                </w:p>
              </w:tc>
              <w:tc>
                <w:tcPr>
                  <w:tcW w:w="568" w:type="pct"/>
                  <w:noWrap w:val="0"/>
                  <w:vAlign w:val="center"/>
                </w:tcPr>
                <w:p w14:paraId="09B0138A">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923" w:type="pct"/>
                  <w:vMerge w:val="continue"/>
                  <w:noWrap w:val="0"/>
                  <w:vAlign w:val="center"/>
                </w:tcPr>
                <w:p w14:paraId="281EE642">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r>
            <w:tr w14:paraId="2097A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3" w:type="pct"/>
                  <w:vMerge w:val="continue"/>
                  <w:noWrap w:val="0"/>
                  <w:vAlign w:val="center"/>
                </w:tcPr>
                <w:p w14:paraId="50D4BD35">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427" w:type="pct"/>
                  <w:noWrap w:val="0"/>
                  <w:vAlign w:val="center"/>
                </w:tcPr>
                <w:p w14:paraId="4C5764FC">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p>
              </w:tc>
              <w:tc>
                <w:tcPr>
                  <w:tcW w:w="846" w:type="pct"/>
                  <w:noWrap w:val="0"/>
                  <w:vAlign w:val="center"/>
                </w:tcPr>
                <w:p w14:paraId="5020FEB2">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730" w:type="pct"/>
                  <w:noWrap w:val="0"/>
                  <w:vAlign w:val="center"/>
                </w:tcPr>
                <w:p w14:paraId="0733D2C8">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29</w:t>
                  </w:r>
                </w:p>
              </w:tc>
              <w:tc>
                <w:tcPr>
                  <w:tcW w:w="730" w:type="pct"/>
                  <w:noWrap w:val="0"/>
                  <w:vAlign w:val="center"/>
                </w:tcPr>
                <w:p w14:paraId="2325CD3A">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30</w:t>
                  </w:r>
                </w:p>
              </w:tc>
              <w:tc>
                <w:tcPr>
                  <w:tcW w:w="509" w:type="pct"/>
                  <w:noWrap w:val="0"/>
                  <w:vAlign w:val="center"/>
                </w:tcPr>
                <w:p w14:paraId="3B50EF76">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96.7</w:t>
                  </w:r>
                </w:p>
              </w:tc>
              <w:tc>
                <w:tcPr>
                  <w:tcW w:w="568" w:type="pct"/>
                  <w:noWrap w:val="0"/>
                  <w:vAlign w:val="center"/>
                </w:tcPr>
                <w:p w14:paraId="58440CCD">
                  <w:pPr>
                    <w:widowControl/>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923" w:type="pct"/>
                  <w:vMerge w:val="continue"/>
                  <w:noWrap w:val="0"/>
                  <w:vAlign w:val="center"/>
                </w:tcPr>
                <w:p w14:paraId="40D1AF7D">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r>
            <w:tr w14:paraId="03AEA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noWrap w:val="0"/>
                  <w:vAlign w:val="center"/>
                </w:tcPr>
                <w:p w14:paraId="3F91C41E">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427" w:type="pct"/>
                  <w:noWrap w:val="0"/>
                  <w:vAlign w:val="center"/>
                </w:tcPr>
                <w:p w14:paraId="7DE1A483">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846" w:type="pct"/>
                  <w:noWrap w:val="0"/>
                  <w:vAlign w:val="center"/>
                </w:tcPr>
                <w:p w14:paraId="5E86FC99">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95百分位数日平均质量浓度</w:t>
                  </w:r>
                </w:p>
              </w:tc>
              <w:tc>
                <w:tcPr>
                  <w:tcW w:w="730" w:type="pct"/>
                  <w:noWrap w:val="0"/>
                  <w:vAlign w:val="center"/>
                </w:tcPr>
                <w:p w14:paraId="30FABEFD">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1000</w:t>
                  </w:r>
                </w:p>
              </w:tc>
              <w:tc>
                <w:tcPr>
                  <w:tcW w:w="730" w:type="pct"/>
                  <w:noWrap w:val="0"/>
                  <w:vAlign w:val="center"/>
                </w:tcPr>
                <w:p w14:paraId="579566BB">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4000</w:t>
                  </w:r>
                </w:p>
              </w:tc>
              <w:tc>
                <w:tcPr>
                  <w:tcW w:w="509" w:type="pct"/>
                  <w:noWrap w:val="0"/>
                  <w:vAlign w:val="center"/>
                </w:tcPr>
                <w:p w14:paraId="2F11C278">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25</w:t>
                  </w:r>
                </w:p>
              </w:tc>
              <w:tc>
                <w:tcPr>
                  <w:tcW w:w="568" w:type="pct"/>
                  <w:noWrap w:val="0"/>
                  <w:vAlign w:val="center"/>
                </w:tcPr>
                <w:p w14:paraId="59310382">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923" w:type="pct"/>
                  <w:vMerge w:val="continue"/>
                  <w:noWrap w:val="0"/>
                  <w:vAlign w:val="center"/>
                </w:tcPr>
                <w:p w14:paraId="16F0EBDF">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r>
            <w:tr w14:paraId="3A2D9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 w:type="pct"/>
                  <w:vMerge w:val="continue"/>
                  <w:noWrap w:val="0"/>
                  <w:vAlign w:val="center"/>
                </w:tcPr>
                <w:p w14:paraId="2DA6EAFB">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427" w:type="pct"/>
                  <w:noWrap w:val="0"/>
                  <w:vAlign w:val="center"/>
                </w:tcPr>
                <w:p w14:paraId="4234DEFB">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O3</w:t>
                  </w:r>
                </w:p>
              </w:tc>
              <w:tc>
                <w:tcPr>
                  <w:tcW w:w="846" w:type="pct"/>
                  <w:noWrap w:val="0"/>
                  <w:vAlign w:val="center"/>
                </w:tcPr>
                <w:p w14:paraId="43959F49">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90百分位数</w:t>
                  </w:r>
                </w:p>
                <w:p w14:paraId="088D18B1">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最大8小时平均质量浓度</w:t>
                  </w:r>
                </w:p>
              </w:tc>
              <w:tc>
                <w:tcPr>
                  <w:tcW w:w="730" w:type="pct"/>
                  <w:noWrap w:val="0"/>
                  <w:vAlign w:val="center"/>
                </w:tcPr>
                <w:p w14:paraId="543BCCE5">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141</w:t>
                  </w:r>
                </w:p>
              </w:tc>
              <w:tc>
                <w:tcPr>
                  <w:tcW w:w="730" w:type="pct"/>
                  <w:noWrap w:val="0"/>
                  <w:vAlign w:val="center"/>
                </w:tcPr>
                <w:p w14:paraId="68FF366E">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w:t>
                  </w:r>
                </w:p>
              </w:tc>
              <w:tc>
                <w:tcPr>
                  <w:tcW w:w="509" w:type="pct"/>
                  <w:noWrap w:val="0"/>
                  <w:vAlign w:val="center"/>
                </w:tcPr>
                <w:p w14:paraId="1AAE4AA7">
                  <w:pPr>
                    <w:widowControl/>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88.1</w:t>
                  </w:r>
                </w:p>
              </w:tc>
              <w:tc>
                <w:tcPr>
                  <w:tcW w:w="568" w:type="pct"/>
                  <w:noWrap w:val="0"/>
                  <w:vAlign w:val="center"/>
                </w:tcPr>
                <w:p w14:paraId="1C6A077A">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c>
                <w:tcPr>
                  <w:tcW w:w="923" w:type="pct"/>
                  <w:vMerge w:val="continue"/>
                  <w:noWrap w:val="0"/>
                  <w:vAlign w:val="center"/>
                </w:tcPr>
                <w:p w14:paraId="5C508E55">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r>
          </w:tbl>
          <w:p w14:paraId="00E7DA91">
            <w:pPr>
              <w:widowControl/>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由上述统计结果可知，CO第95百分位浓度、O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第90百分位浓度年均值、NO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年均值、SO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年均值、PM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年均值达标，故该区域为达标区。本项目位于宝鸡市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凤翔区陈村镇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小海子村</w:t>
            </w:r>
            <w:r>
              <w:rPr>
                <w:rFonts w:hint="default" w:ascii="Times New Roman" w:hAnsi="Times New Roman" w:eastAsia="宋体" w:cs="Times New Roman"/>
                <w:color w:val="000000" w:themeColor="text1"/>
                <w:sz w:val="24"/>
                <w:szCs w:val="24"/>
                <w14:textFill>
                  <w14:solidFill>
                    <w14:schemeClr w14:val="tx1"/>
                  </w14:solidFill>
                </w14:textFill>
              </w:rPr>
              <w:t>，因此，项目所在评价区域为达标区。</w:t>
            </w:r>
          </w:p>
          <w:p w14:paraId="61DD2DC8">
            <w:pPr>
              <w:widowControl/>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）特征污染物：</w:t>
            </w:r>
          </w:p>
          <w:p w14:paraId="4448C02D">
            <w:pPr>
              <w:keepNext w:val="0"/>
              <w:keepLines w:val="0"/>
              <w:pageBreakBefore w:val="0"/>
              <w:widowControl w:val="0"/>
              <w:tabs>
                <w:tab w:val="left" w:pos="484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本项目总悬浮颗粒物（TSP）现状引用《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陕西西府酒业有限公司凤香型白酒锅炉改造提升项目</w:t>
            </w:r>
            <w:r>
              <w:rPr>
                <w:rFonts w:hint="eastAsia" w:cs="Times New Roman"/>
                <w:color w:val="000000" w:themeColor="text1"/>
                <w:kern w:val="2"/>
                <w:sz w:val="24"/>
                <w:szCs w:val="24"/>
                <w:lang w:val="en-US" w:eastAsia="zh-CN" w:bidi="ar-SA"/>
                <w14:textFill>
                  <w14:solidFill>
                    <w14:schemeClr w14:val="tx1"/>
                  </w14:solidFill>
                </w14:textFill>
              </w:rPr>
              <w:t>环境影响评价报告表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中</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的环境质量现状监测数据，连续监测3天，监测点位于陕西省凤翔区陈村镇，</w:t>
            </w:r>
            <w:r>
              <w:rPr>
                <w:rFonts w:hint="eastAsia" w:cs="Times New Roman"/>
                <w:color w:val="000000" w:themeColor="text1"/>
                <w:kern w:val="2"/>
                <w:sz w:val="24"/>
                <w:szCs w:val="24"/>
                <w:lang w:val="en-US" w:eastAsia="zh-CN" w:bidi="ar-SA"/>
                <w14:textFill>
                  <w14:solidFill>
                    <w14:schemeClr w14:val="tx1"/>
                  </w14:solidFill>
                </w14:textFill>
              </w:rPr>
              <w:t>该点位于</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本项目北侧，距本项目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810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m，数据采样日期为20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日～</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日，符合引用要求。引用监测点位与项目位置关系</w:t>
            </w:r>
            <w:r>
              <w:rPr>
                <w:rFonts w:hint="eastAsia" w:cs="Times New Roman"/>
                <w:color w:val="000000" w:themeColor="text1"/>
                <w:kern w:val="2"/>
                <w:sz w:val="24"/>
                <w:szCs w:val="24"/>
                <w:lang w:val="en-US" w:eastAsia="zh-CN" w:bidi="ar-SA"/>
                <w14:textFill>
                  <w14:solidFill>
                    <w14:schemeClr w14:val="tx1"/>
                  </w14:solidFill>
                </w14:textFill>
              </w:rPr>
              <w:t>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图3-1所示。</w:t>
            </w:r>
          </w:p>
          <w:p w14:paraId="7D686AF5">
            <w:pPr>
              <w:pStyle w:val="181"/>
              <w:spacing w:before="26" w:line="223" w:lineRule="auto"/>
              <w:ind w:left="2228"/>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 3-</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特征污染物TSP监测结果一览表</w:t>
            </w:r>
          </w:p>
          <w:tbl>
            <w:tblPr>
              <w:tblStyle w:val="18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63"/>
              <w:gridCol w:w="972"/>
              <w:gridCol w:w="1752"/>
              <w:gridCol w:w="1329"/>
              <w:gridCol w:w="935"/>
              <w:gridCol w:w="970"/>
              <w:gridCol w:w="665"/>
            </w:tblGrid>
            <w:tr w14:paraId="0D055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050" w:type="pct"/>
                  <w:tcBorders>
                    <w:tl2br w:val="nil"/>
                    <w:tr2bl w:val="nil"/>
                  </w:tcBorders>
                  <w:noWrap w:val="0"/>
                  <w:vAlign w:val="center"/>
                </w:tcPr>
                <w:p w14:paraId="66E00AF4">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监测点位</w:t>
                  </w:r>
                </w:p>
              </w:tc>
              <w:tc>
                <w:tcPr>
                  <w:tcW w:w="579" w:type="pct"/>
                  <w:tcBorders>
                    <w:tl2br w:val="nil"/>
                    <w:tr2bl w:val="nil"/>
                  </w:tcBorders>
                  <w:noWrap w:val="0"/>
                  <w:vAlign w:val="center"/>
                </w:tcPr>
                <w:p w14:paraId="69EF4059">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监测因</w:t>
                  </w:r>
                  <w:r>
                    <w:rPr>
                      <w:rFonts w:hint="default" w:ascii="Times New Roman" w:hAnsi="Times New Roman" w:cs="Times New Roman"/>
                      <w:color w:val="000000" w:themeColor="text1"/>
                      <w:sz w:val="21"/>
                      <w:szCs w:val="21"/>
                      <w14:textFill>
                        <w14:solidFill>
                          <w14:schemeClr w14:val="tx1"/>
                        </w14:solidFill>
                      </w14:textFill>
                    </w:rPr>
                    <w:t>子</w:t>
                  </w:r>
                </w:p>
              </w:tc>
              <w:tc>
                <w:tcPr>
                  <w:tcW w:w="1044" w:type="pct"/>
                  <w:tcBorders>
                    <w:tl2br w:val="nil"/>
                    <w:tr2bl w:val="nil"/>
                  </w:tcBorders>
                  <w:noWrap w:val="0"/>
                  <w:vAlign w:val="center"/>
                </w:tcPr>
                <w:p w14:paraId="4D91EEC9">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监测结果范围</w:t>
                  </w:r>
                </w:p>
                <w:p w14:paraId="26619565">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mg</w:t>
                  </w:r>
                  <w:r>
                    <w:rPr>
                      <w:rFonts w:hint="default" w:ascii="Times New Roman" w:hAnsi="Times New Roman" w:eastAsia="Times New Roman" w:cs="Times New Roman"/>
                      <w:color w:val="000000" w:themeColor="text1"/>
                      <w:spacing w:val="3"/>
                      <w:sz w:val="21"/>
                      <w:szCs w:val="21"/>
                      <w14:textFill>
                        <w14:solidFill>
                          <w14:schemeClr w14:val="tx1"/>
                        </w14:solidFill>
                      </w14:textFill>
                    </w:rPr>
                    <w:t>/m</w:t>
                  </w:r>
                  <w:r>
                    <w:rPr>
                      <w:rFonts w:hint="default" w:ascii="Times New Roman" w:hAnsi="Times New Roman" w:eastAsia="Times New Roman" w:cs="Times New Roman"/>
                      <w:color w:val="000000" w:themeColor="text1"/>
                      <w:spacing w:val="3"/>
                      <w:position w:val="6"/>
                      <w:sz w:val="21"/>
                      <w:szCs w:val="21"/>
                      <w14:textFill>
                        <w14:solidFill>
                          <w14:schemeClr w14:val="tx1"/>
                        </w14:solidFill>
                      </w14:textFill>
                    </w:rPr>
                    <w:t>3</w:t>
                  </w:r>
                  <w:r>
                    <w:rPr>
                      <w:rFonts w:hint="default" w:ascii="Times New Roman" w:hAnsi="Times New Roman" w:cs="Times New Roman"/>
                      <w:color w:val="000000" w:themeColor="text1"/>
                      <w:spacing w:val="3"/>
                      <w:sz w:val="21"/>
                      <w:szCs w:val="21"/>
                      <w14:textFill>
                        <w14:solidFill>
                          <w14:schemeClr w14:val="tx1"/>
                        </w14:solidFill>
                      </w14:textFill>
                    </w:rPr>
                    <w:t>）</w:t>
                  </w:r>
                </w:p>
              </w:tc>
              <w:tc>
                <w:tcPr>
                  <w:tcW w:w="792" w:type="pct"/>
                  <w:tcBorders>
                    <w:tl2br w:val="nil"/>
                    <w:tr2bl w:val="nil"/>
                  </w:tcBorders>
                  <w:noWrap w:val="0"/>
                  <w:vAlign w:val="center"/>
                </w:tcPr>
                <w:p w14:paraId="4E6559ED">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评价标准</w:t>
                  </w:r>
                  <w:r>
                    <w:rPr>
                      <w:rFonts w:hint="default" w:ascii="Times New Roman" w:hAnsi="Times New Roman" w:cs="Times New Roman"/>
                      <w:color w:val="000000" w:themeColor="text1"/>
                      <w:spacing w:val="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z w:val="21"/>
                      <w:szCs w:val="21"/>
                      <w14:textFill>
                        <w14:solidFill>
                          <w14:schemeClr w14:val="tx1"/>
                        </w14:solidFill>
                      </w14:textFill>
                    </w:rPr>
                    <w:t>mg</w:t>
                  </w:r>
                  <w:r>
                    <w:rPr>
                      <w:rFonts w:hint="default" w:ascii="Times New Roman" w:hAnsi="Times New Roman" w:eastAsia="Times New Roman" w:cs="Times New Roman"/>
                      <w:color w:val="000000" w:themeColor="text1"/>
                      <w:spacing w:val="1"/>
                      <w:sz w:val="21"/>
                      <w:szCs w:val="21"/>
                      <w14:textFill>
                        <w14:solidFill>
                          <w14:schemeClr w14:val="tx1"/>
                        </w14:solidFill>
                      </w14:textFill>
                    </w:rPr>
                    <w:t>/m</w:t>
                  </w:r>
                  <w:r>
                    <w:rPr>
                      <w:rFonts w:hint="default" w:ascii="Times New Roman" w:hAnsi="Times New Roman" w:eastAsia="Times New Roman" w:cs="Times New Roman"/>
                      <w:color w:val="000000" w:themeColor="text1"/>
                      <w:spacing w:val="1"/>
                      <w:position w:val="6"/>
                      <w:sz w:val="21"/>
                      <w:szCs w:val="21"/>
                      <w14:textFill>
                        <w14:solidFill>
                          <w14:schemeClr w14:val="tx1"/>
                        </w14:solidFill>
                      </w14:textFill>
                    </w:rPr>
                    <w:t>3</w:t>
                  </w:r>
                  <w:r>
                    <w:rPr>
                      <w:rFonts w:hint="default" w:ascii="Times New Roman" w:hAnsi="Times New Roman" w:cs="Times New Roman"/>
                      <w:color w:val="000000" w:themeColor="text1"/>
                      <w:spacing w:val="1"/>
                      <w:sz w:val="21"/>
                      <w:szCs w:val="21"/>
                      <w14:textFill>
                        <w14:solidFill>
                          <w14:schemeClr w14:val="tx1"/>
                        </w14:solidFill>
                      </w14:textFill>
                    </w:rPr>
                    <w:t>）</w:t>
                  </w:r>
                </w:p>
              </w:tc>
              <w:tc>
                <w:tcPr>
                  <w:tcW w:w="557" w:type="pct"/>
                  <w:tcBorders>
                    <w:tl2br w:val="nil"/>
                    <w:tr2bl w:val="nil"/>
                  </w:tcBorders>
                  <w:noWrap w:val="0"/>
                  <w:vAlign w:val="center"/>
                </w:tcPr>
                <w:p w14:paraId="5C92C933">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占标率</w:t>
                  </w:r>
                  <w:r>
                    <w:rPr>
                      <w:rFonts w:hint="default" w:ascii="Times New Roman" w:hAnsi="Times New Roman" w:cs="Times New Roman"/>
                      <w:color w:val="000000" w:themeColor="text1"/>
                      <w:spacing w:val="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578" w:type="pct"/>
                  <w:tcBorders>
                    <w:tl2br w:val="nil"/>
                    <w:tr2bl w:val="nil"/>
                  </w:tcBorders>
                  <w:noWrap w:val="0"/>
                  <w:vAlign w:val="center"/>
                </w:tcPr>
                <w:p w14:paraId="1AF5A73F">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超标率</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pacing w:val="-1"/>
                      <w:sz w:val="21"/>
                      <w:szCs w:val="21"/>
                      <w14:textFill>
                        <w14:solidFill>
                          <w14:schemeClr w14:val="tx1"/>
                        </w14:solidFill>
                      </w14:textFill>
                    </w:rPr>
                    <w:t>（</w:t>
                  </w:r>
                  <w:r>
                    <w:rPr>
                      <w:rFonts w:hint="default" w:ascii="Times New Roman" w:hAnsi="Times New Roman" w:eastAsia="Times New Roman" w:cs="Times New Roman"/>
                      <w:color w:val="000000" w:themeColor="text1"/>
                      <w:spacing w:val="-1"/>
                      <w:sz w:val="21"/>
                      <w:szCs w:val="21"/>
                      <w14:textFill>
                        <w14:solidFill>
                          <w14:schemeClr w14:val="tx1"/>
                        </w14:solidFill>
                      </w14:textFill>
                    </w:rPr>
                    <w:t>%</w:t>
                  </w:r>
                  <w:r>
                    <w:rPr>
                      <w:rFonts w:hint="default" w:ascii="Times New Roman" w:hAnsi="Times New Roman" w:cs="Times New Roman"/>
                      <w:color w:val="000000" w:themeColor="text1"/>
                      <w:spacing w:val="-1"/>
                      <w:sz w:val="21"/>
                      <w:szCs w:val="21"/>
                      <w14:textFill>
                        <w14:solidFill>
                          <w14:schemeClr w14:val="tx1"/>
                        </w14:solidFill>
                      </w14:textFill>
                    </w:rPr>
                    <w:t>）</w:t>
                  </w:r>
                </w:p>
              </w:tc>
              <w:tc>
                <w:tcPr>
                  <w:tcW w:w="396" w:type="pct"/>
                  <w:tcBorders>
                    <w:tl2br w:val="nil"/>
                    <w:tr2bl w:val="nil"/>
                  </w:tcBorders>
                  <w:noWrap w:val="0"/>
                  <w:vAlign w:val="center"/>
                </w:tcPr>
                <w:p w14:paraId="1ABD2BD6">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5"/>
                      <w:sz w:val="21"/>
                      <w:szCs w:val="21"/>
                      <w14:textFill>
                        <w14:solidFill>
                          <w14:schemeClr w14:val="tx1"/>
                        </w14:solidFill>
                      </w14:textFill>
                    </w:rPr>
                    <w:t>达标</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pacing w:val="4"/>
                      <w:sz w:val="21"/>
                      <w:szCs w:val="21"/>
                      <w14:textFill>
                        <w14:solidFill>
                          <w14:schemeClr w14:val="tx1"/>
                        </w14:solidFill>
                      </w14:textFill>
                    </w:rPr>
                    <w:t>情况</w:t>
                  </w:r>
                </w:p>
              </w:tc>
            </w:tr>
            <w:tr w14:paraId="060F0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1050" w:type="pct"/>
                  <w:tcBorders>
                    <w:tl2br w:val="nil"/>
                    <w:tr2bl w:val="nil"/>
                  </w:tcBorders>
                  <w:noWrap w:val="0"/>
                  <w:vAlign w:val="center"/>
                </w:tcPr>
                <w:p w14:paraId="32720EAF">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距本项目</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810</w:t>
                  </w:r>
                  <w:r>
                    <w:rPr>
                      <w:rFonts w:hint="default" w:ascii="Times New Roman" w:hAnsi="Times New Roman" w:cs="Times New Roman"/>
                      <w:color w:val="000000" w:themeColor="text1"/>
                      <w:spacing w:val="7"/>
                      <w:sz w:val="21"/>
                      <w:szCs w:val="21"/>
                      <w:lang w:val="en-US" w:eastAsia="zh-CN"/>
                      <w14:textFill>
                        <w14:solidFill>
                          <w14:schemeClr w14:val="tx1"/>
                        </w14:solidFill>
                      </w14:textFill>
                    </w:rPr>
                    <w:t>米</w:t>
                  </w:r>
                </w:p>
              </w:tc>
              <w:tc>
                <w:tcPr>
                  <w:tcW w:w="579" w:type="pct"/>
                  <w:tcBorders>
                    <w:tl2br w:val="nil"/>
                    <w:tr2bl w:val="nil"/>
                  </w:tcBorders>
                  <w:noWrap w:val="0"/>
                  <w:vAlign w:val="center"/>
                </w:tcPr>
                <w:p w14:paraId="423111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3"/>
                      <w:sz w:val="21"/>
                      <w:szCs w:val="21"/>
                      <w14:textFill>
                        <w14:solidFill>
                          <w14:schemeClr w14:val="tx1"/>
                        </w14:solidFill>
                      </w14:textFill>
                    </w:rPr>
                    <w:t>TSP</w:t>
                  </w:r>
                </w:p>
              </w:tc>
              <w:tc>
                <w:tcPr>
                  <w:tcW w:w="1044" w:type="pct"/>
                  <w:tcBorders>
                    <w:tl2br w:val="nil"/>
                    <w:tr2bl w:val="nil"/>
                  </w:tcBorders>
                  <w:noWrap w:val="0"/>
                  <w:vAlign w:val="center"/>
                </w:tcPr>
                <w:p w14:paraId="2E8AB9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0.071~0.079</w:t>
                  </w:r>
                </w:p>
              </w:tc>
              <w:tc>
                <w:tcPr>
                  <w:tcW w:w="792" w:type="pct"/>
                  <w:tcBorders>
                    <w:tl2br w:val="nil"/>
                    <w:tr2bl w:val="nil"/>
                  </w:tcBorders>
                  <w:noWrap w:val="0"/>
                  <w:vAlign w:val="center"/>
                </w:tcPr>
                <w:p w14:paraId="2A1820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1"/>
                      <w:sz w:val="21"/>
                      <w:szCs w:val="21"/>
                      <w14:textFill>
                        <w14:solidFill>
                          <w14:schemeClr w14:val="tx1"/>
                        </w14:solidFill>
                      </w14:textFill>
                    </w:rPr>
                    <w:t>0.3</w:t>
                  </w:r>
                </w:p>
              </w:tc>
              <w:tc>
                <w:tcPr>
                  <w:tcW w:w="557" w:type="pct"/>
                  <w:tcBorders>
                    <w:tl2br w:val="nil"/>
                    <w:tr2bl w:val="nil"/>
                  </w:tcBorders>
                  <w:noWrap w:val="0"/>
                  <w:vAlign w:val="center"/>
                </w:tcPr>
                <w:p w14:paraId="2C559F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26</w:t>
                  </w:r>
                </w:p>
              </w:tc>
              <w:tc>
                <w:tcPr>
                  <w:tcW w:w="578" w:type="pct"/>
                  <w:tcBorders>
                    <w:tl2br w:val="nil"/>
                    <w:tr2bl w:val="nil"/>
                  </w:tcBorders>
                  <w:noWrap w:val="0"/>
                  <w:vAlign w:val="center"/>
                </w:tcPr>
                <w:p w14:paraId="35712E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0</w:t>
                  </w:r>
                </w:p>
              </w:tc>
              <w:tc>
                <w:tcPr>
                  <w:tcW w:w="396" w:type="pct"/>
                  <w:tcBorders>
                    <w:tl2br w:val="nil"/>
                    <w:tr2bl w:val="nil"/>
                  </w:tcBorders>
                  <w:noWrap w:val="0"/>
                  <w:vAlign w:val="center"/>
                </w:tcPr>
                <w:p w14:paraId="38C03EB6">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5"/>
                      <w:sz w:val="21"/>
                      <w:szCs w:val="21"/>
                      <w14:textFill>
                        <w14:solidFill>
                          <w14:schemeClr w14:val="tx1"/>
                        </w14:solidFill>
                      </w14:textFill>
                    </w:rPr>
                    <w:t>达标</w:t>
                  </w:r>
                </w:p>
              </w:tc>
            </w:tr>
          </w:tbl>
          <w:p w14:paraId="0A0E412A">
            <w:pPr>
              <w:pStyle w:val="181"/>
              <w:spacing w:before="30" w:line="355" w:lineRule="auto"/>
              <w:ind w:left="106" w:right="40" w:firstLine="48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由监测统计结果可以看出，评价区域环境空气中TSP浓度范围为0.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071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mg/m³-0.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079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mg/m³，满足《环境空气质量标准》（</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GB</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3095-2026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）中二级标准限值。</w:t>
            </w:r>
          </w:p>
          <w:p w14:paraId="078215C3">
            <w:pPr>
              <w:keepNext w:val="0"/>
              <w:keepLines w:val="0"/>
              <w:pageBreakBefore w:val="0"/>
              <w:widowControl w:val="0"/>
              <w:tabs>
                <w:tab w:val="left" w:pos="484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为了解项目所在地区环境空气中特征因子氮氧化物现状，本次环评</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委托陕西秦景蓝环境检测有限公司在项目下风向进行取样监测，监测结果见下表：</w:t>
            </w:r>
          </w:p>
          <w:p w14:paraId="0D29AA2D">
            <w:pPr>
              <w:keepNext w:val="0"/>
              <w:keepLines w:val="0"/>
              <w:pageBreakBefore w:val="0"/>
              <w:widowControl w:val="0"/>
              <w:tabs>
                <w:tab w:val="center" w:pos="41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表3-</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大气特征污染物环境质量现状监测结果</w:t>
            </w:r>
          </w:p>
          <w:tbl>
            <w:tblPr>
              <w:tblStyle w:val="3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3267"/>
              <w:gridCol w:w="3052"/>
            </w:tblGrid>
            <w:tr w14:paraId="5F569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pct"/>
                  <w:vMerge w:val="restart"/>
                  <w:tcBorders>
                    <w:tl2br w:val="nil"/>
                    <w:tr2bl w:val="nil"/>
                  </w:tcBorders>
                  <w:noWrap w:val="0"/>
                  <w:vAlign w:val="center"/>
                </w:tcPr>
                <w:p w14:paraId="4AB0A0E5">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监测点位</w:t>
                  </w:r>
                </w:p>
              </w:tc>
              <w:tc>
                <w:tcPr>
                  <w:tcW w:w="1946" w:type="pct"/>
                  <w:vMerge w:val="restart"/>
                  <w:tcBorders>
                    <w:tl2br w:val="nil"/>
                    <w:tr2bl w:val="nil"/>
                  </w:tcBorders>
                  <w:noWrap w:val="0"/>
                  <w:vAlign w:val="center"/>
                </w:tcPr>
                <w:p w14:paraId="38FCC095">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监测日期</w:t>
                  </w:r>
                </w:p>
              </w:tc>
              <w:tc>
                <w:tcPr>
                  <w:tcW w:w="1819" w:type="pct"/>
                  <w:tcBorders>
                    <w:tl2br w:val="nil"/>
                    <w:tr2bl w:val="nil"/>
                  </w:tcBorders>
                  <w:noWrap w:val="0"/>
                  <w:vAlign w:val="center"/>
                </w:tcPr>
                <w:p w14:paraId="6B993E88">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氮氧化物</w:t>
                  </w:r>
                </w:p>
              </w:tc>
            </w:tr>
            <w:tr w14:paraId="16044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pct"/>
                  <w:vMerge w:val="continue"/>
                  <w:tcBorders>
                    <w:tl2br w:val="nil"/>
                    <w:tr2bl w:val="nil"/>
                  </w:tcBorders>
                  <w:noWrap w:val="0"/>
                  <w:vAlign w:val="center"/>
                </w:tcPr>
                <w:p w14:paraId="57313B06">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p>
              </w:tc>
              <w:tc>
                <w:tcPr>
                  <w:tcW w:w="1946" w:type="pct"/>
                  <w:vMerge w:val="continue"/>
                  <w:tcBorders>
                    <w:tl2br w:val="nil"/>
                    <w:tr2bl w:val="nil"/>
                  </w:tcBorders>
                  <w:noWrap w:val="0"/>
                  <w:vAlign w:val="center"/>
                </w:tcPr>
                <w:p w14:paraId="56041A15">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p>
              </w:tc>
              <w:tc>
                <w:tcPr>
                  <w:tcW w:w="1819" w:type="pct"/>
                  <w:tcBorders>
                    <w:tl2br w:val="nil"/>
                    <w:tr2bl w:val="nil"/>
                  </w:tcBorders>
                  <w:noWrap w:val="0"/>
                  <w:vAlign w:val="center"/>
                </w:tcPr>
                <w:p w14:paraId="61984806">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1小时平均值</w:t>
                  </w:r>
                </w:p>
              </w:tc>
            </w:tr>
            <w:tr w14:paraId="2E3A5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pct"/>
                  <w:tcBorders>
                    <w:tl2br w:val="nil"/>
                    <w:tr2bl w:val="nil"/>
                  </w:tcBorders>
                  <w:noWrap w:val="0"/>
                  <w:vAlign w:val="center"/>
                </w:tcPr>
                <w:p w14:paraId="576E72D6">
                  <w:pPr>
                    <w:pStyle w:val="94"/>
                    <w:spacing w:line="240" w:lineRule="exact"/>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项目南侧</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/北侧</w:t>
                  </w:r>
                </w:p>
              </w:tc>
              <w:tc>
                <w:tcPr>
                  <w:tcW w:w="1946" w:type="pct"/>
                  <w:tcBorders>
                    <w:tl2br w:val="nil"/>
                    <w:tr2bl w:val="nil"/>
                  </w:tcBorders>
                  <w:noWrap w:val="0"/>
                  <w:vAlign w:val="center"/>
                </w:tcPr>
                <w:p w14:paraId="7055A6FC">
                  <w:pPr>
                    <w:pStyle w:val="94"/>
                    <w:spacing w:line="240" w:lineRule="exact"/>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2026.4.16~2026.4.18</w:t>
                  </w:r>
                </w:p>
              </w:tc>
              <w:tc>
                <w:tcPr>
                  <w:tcW w:w="1819" w:type="pct"/>
                  <w:tcBorders>
                    <w:tl2br w:val="nil"/>
                    <w:tr2bl w:val="nil"/>
                  </w:tcBorders>
                  <w:noWrap w:val="0"/>
                  <w:vAlign w:val="center"/>
                </w:tcPr>
                <w:p w14:paraId="60B57FFE">
                  <w:pPr>
                    <w:pStyle w:val="94"/>
                    <w:spacing w:line="240" w:lineRule="exact"/>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24</w:t>
                  </w:r>
                  <w:r>
                    <w:rPr>
                      <w:rFonts w:hint="default" w:ascii="Times New Roman" w:hAnsi="Times New Roman" w:eastAsia="宋体" w:cs="Times New Roman"/>
                      <w:color w:val="000000" w:themeColor="text1"/>
                      <w:kern w:val="0"/>
                      <w:szCs w:val="21"/>
                      <w14:textFill>
                        <w14:solidFill>
                          <w14:schemeClr w14:val="tx1"/>
                        </w14:solidFill>
                      </w14:textFill>
                    </w:rPr>
                    <w:t>～0.0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33</w:t>
                  </w:r>
                </w:p>
              </w:tc>
            </w:tr>
            <w:tr w14:paraId="74DF7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0" w:type="pct"/>
                  <w:gridSpan w:val="2"/>
                  <w:tcBorders>
                    <w:tl2br w:val="nil"/>
                    <w:tr2bl w:val="nil"/>
                  </w:tcBorders>
                  <w:noWrap w:val="0"/>
                  <w:vAlign w:val="center"/>
                </w:tcPr>
                <w:p w14:paraId="6752A56D">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超标率%</w:t>
                  </w:r>
                </w:p>
              </w:tc>
              <w:tc>
                <w:tcPr>
                  <w:tcW w:w="1819" w:type="pct"/>
                  <w:tcBorders>
                    <w:tl2br w:val="nil"/>
                    <w:tr2bl w:val="nil"/>
                  </w:tcBorders>
                  <w:noWrap w:val="0"/>
                  <w:vAlign w:val="center"/>
                </w:tcPr>
                <w:p w14:paraId="776C93F6">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w:t>
                  </w:r>
                </w:p>
              </w:tc>
            </w:tr>
            <w:tr w14:paraId="6FE18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pct"/>
                  <w:gridSpan w:val="2"/>
                  <w:tcBorders>
                    <w:tl2br w:val="nil"/>
                    <w:tr2bl w:val="nil"/>
                  </w:tcBorders>
                  <w:noWrap w:val="0"/>
                  <w:vAlign w:val="center"/>
                </w:tcPr>
                <w:p w14:paraId="7EBC6F2E">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最大超标倍数</w:t>
                  </w:r>
                </w:p>
              </w:tc>
              <w:tc>
                <w:tcPr>
                  <w:tcW w:w="1819" w:type="pct"/>
                  <w:tcBorders>
                    <w:tl2br w:val="nil"/>
                    <w:tr2bl w:val="nil"/>
                  </w:tcBorders>
                  <w:noWrap w:val="0"/>
                  <w:vAlign w:val="center"/>
                </w:tcPr>
                <w:p w14:paraId="12E355D6">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w:t>
                  </w:r>
                </w:p>
              </w:tc>
            </w:tr>
            <w:tr w14:paraId="09076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pct"/>
                  <w:gridSpan w:val="2"/>
                  <w:tcBorders>
                    <w:tl2br w:val="nil"/>
                    <w:tr2bl w:val="nil"/>
                  </w:tcBorders>
                  <w:noWrap w:val="0"/>
                  <w:vAlign w:val="center"/>
                </w:tcPr>
                <w:p w14:paraId="666E1E7B">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标准限值</w:t>
                  </w:r>
                </w:p>
              </w:tc>
              <w:tc>
                <w:tcPr>
                  <w:tcW w:w="1819" w:type="pct"/>
                  <w:tcBorders>
                    <w:tl2br w:val="nil"/>
                    <w:tr2bl w:val="nil"/>
                  </w:tcBorders>
                  <w:noWrap w:val="0"/>
                  <w:vAlign w:val="center"/>
                </w:tcPr>
                <w:p w14:paraId="6D009FD1">
                  <w:pPr>
                    <w:pStyle w:val="94"/>
                    <w:spacing w:line="240" w:lineRule="exac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0.25</w:t>
                  </w:r>
                </w:p>
              </w:tc>
            </w:tr>
          </w:tbl>
          <w:p w14:paraId="5A0D2670">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监测结果表明，监测点位氮氧化物1小时平均浓度满足《环境空气质量标准》（</w:t>
            </w:r>
            <w:r>
              <w:rPr>
                <w:rFonts w:hint="eastAsia" w:ascii="Times New Roman" w:hAnsi="Times New Roman" w:cs="Times New Roman"/>
                <w:color w:val="000000" w:themeColor="text1"/>
                <w:kern w:val="24"/>
                <w:sz w:val="24"/>
                <w:lang w:eastAsia="zh-CN"/>
                <w14:textFill>
                  <w14:solidFill>
                    <w14:schemeClr w14:val="tx1"/>
                  </w14:solidFill>
                </w14:textFill>
              </w:rPr>
              <w:t>GB</w:t>
            </w:r>
            <w:r>
              <w:rPr>
                <w:rFonts w:hint="eastAsia" w:cs="Times New Roman"/>
                <w:color w:val="000000" w:themeColor="text1"/>
                <w:kern w:val="24"/>
                <w:sz w:val="24"/>
                <w:lang w:val="en-US" w:eastAsia="zh-CN"/>
                <w14:textFill>
                  <w14:solidFill>
                    <w14:schemeClr w14:val="tx1"/>
                  </w14:solidFill>
                </w14:textFill>
              </w:rPr>
              <w:t xml:space="preserve"> </w:t>
            </w:r>
            <w:r>
              <w:rPr>
                <w:rFonts w:hint="eastAsia" w:ascii="Times New Roman" w:hAnsi="Times New Roman" w:cs="Times New Roman"/>
                <w:color w:val="000000" w:themeColor="text1"/>
                <w:kern w:val="24"/>
                <w:sz w:val="24"/>
                <w:lang w:eastAsia="zh-CN"/>
                <w14:textFill>
                  <w14:solidFill>
                    <w14:schemeClr w14:val="tx1"/>
                  </w14:solidFill>
                </w14:textFill>
              </w:rPr>
              <w:t>3095-2026</w:t>
            </w:r>
            <w:r>
              <w:rPr>
                <w:rFonts w:hint="default" w:ascii="Times New Roman" w:hAnsi="Times New Roman" w:cs="Times New Roman"/>
                <w:color w:val="000000" w:themeColor="text1"/>
                <w:kern w:val="24"/>
                <w:sz w:val="24"/>
                <w14:textFill>
                  <w14:solidFill>
                    <w14:schemeClr w14:val="tx1"/>
                  </w14:solidFill>
                </w14:textFill>
              </w:rPr>
              <w:t>）表2中的二级浓度标准要求。</w:t>
            </w:r>
          </w:p>
          <w:p w14:paraId="27C7C3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4929505</wp:posOffset>
                  </wp:positionH>
                  <wp:positionV relativeFrom="paragraph">
                    <wp:posOffset>4445</wp:posOffset>
                  </wp:positionV>
                  <wp:extent cx="480695" cy="480695"/>
                  <wp:effectExtent l="0" t="0" r="14605" b="14605"/>
                  <wp:wrapNone/>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6"/>
                          <a:stretch>
                            <a:fillRect/>
                          </a:stretch>
                        </pic:blipFill>
                        <pic:spPr>
                          <a:xfrm>
                            <a:off x="0" y="0"/>
                            <a:ext cx="480695" cy="480695"/>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5351145" cy="4728210"/>
                  <wp:effectExtent l="0" t="0" r="1905" b="15240"/>
                  <wp:docPr id="1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0"/>
                          <pic:cNvPicPr>
                            <a:picLocks noChangeAspect="1"/>
                          </pic:cNvPicPr>
                        </pic:nvPicPr>
                        <pic:blipFill>
                          <a:blip r:embed="rId17"/>
                          <a:stretch>
                            <a:fillRect/>
                          </a:stretch>
                        </pic:blipFill>
                        <pic:spPr>
                          <a:xfrm>
                            <a:off x="0" y="0"/>
                            <a:ext cx="5351145" cy="4728210"/>
                          </a:xfrm>
                          <a:prstGeom prst="rect">
                            <a:avLst/>
                          </a:prstGeom>
                          <a:noFill/>
                          <a:ln>
                            <a:noFill/>
                          </a:ln>
                        </pic:spPr>
                      </pic:pic>
                    </a:graphicData>
                  </a:graphic>
                </wp:inline>
              </w:drawing>
            </w:r>
          </w:p>
          <w:p w14:paraId="07CBA6F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图3-1  引用监测点位图</w:t>
            </w:r>
          </w:p>
          <w:p w14:paraId="2A62A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2</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声环境质量现状</w:t>
            </w:r>
          </w:p>
          <w:p w14:paraId="76ADAB2A">
            <w:pPr>
              <w:pStyle w:val="12"/>
              <w:spacing w:before="0" w:after="0" w:line="360" w:lineRule="auto"/>
              <w:ind w:right="0" w:firstLine="480" w:firstLineChars="200"/>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我单位委托</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陕西特瑞智检测技术服务有限公司</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于202</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年</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月</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2日</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对项目周边敏感点进行了噪声现状监测（见附件），监测项目为等效连续A声级Leq，监测两天，项目地周边敏感点</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小海子村</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布设</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个监测点位；每天昼间监测1次，连续监测2天。监测结果见表3-</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w:t>
            </w:r>
          </w:p>
          <w:p w14:paraId="4C3321C5">
            <w:pPr>
              <w:pStyle w:val="12"/>
              <w:spacing w:before="0" w:after="0" w:line="360" w:lineRule="auto"/>
              <w:ind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14:textFill>
                  <w14:solidFill>
                    <w14:schemeClr w14:val="tx1"/>
                  </w14:solidFill>
                </w14:textFill>
              </w:rPr>
              <w:t xml:space="preserve">  建设项目环境噪声监测结果</w:t>
            </w:r>
          </w:p>
          <w:tbl>
            <w:tblPr>
              <w:tblStyle w:val="3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034"/>
              <w:gridCol w:w="3352"/>
            </w:tblGrid>
            <w:tr w14:paraId="58703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01" w:type="pct"/>
                  <w:vMerge w:val="restart"/>
                  <w:noWrap w:val="0"/>
                  <w:vAlign w:val="center"/>
                  <mc:AlternateContent>
                    <mc:Choice Requires="wpsCustomData">
                      <wpsCustomData:diagonals>
                        <wpsCustomData:diagonal from="10000" to="30000">
                          <wpsCustomData:border w:val="single" w:color="000000" w:sz="12" w:space="0"/>
                        </wpsCustomData:diagonal>
                      </wpsCustomData:diagonals>
                    </mc:Choice>
                  </mc:AlternateContent>
                </w:tcPr>
                <w:p w14:paraId="0982691F">
                  <w:pPr>
                    <w:pStyle w:val="126"/>
                    <w:autoSpaceDE/>
                    <w:autoSpaceDN/>
                    <w:snapToGrid w:val="0"/>
                    <w:jc w:val="both"/>
                    <w:rPr>
                      <w:rFonts w:hint="default" w:ascii="Times New Roman" w:hAnsi="Times New Roman" w:cs="Times New Roman"/>
                      <w:color w:val="000000" w:themeColor="text1"/>
                      <w:sz w:val="21"/>
                      <w:szCs w:val="21"/>
                      <w:lang w:eastAsia="zh-CN"/>
                      <w14:textFill>
                        <w14:solidFill>
                          <w14:schemeClr w14:val="tx1"/>
                        </w14:solidFill>
                      </w14:textFill>
                    </w:rPr>
                  </w:pPr>
                </w:p>
                <w:p w14:paraId="7CDF7270">
                  <w:pPr>
                    <w:pStyle w:val="126"/>
                    <w:autoSpaceDE/>
                    <w:autoSpaceDN/>
                    <w:snapToGrid w:val="0"/>
                    <w:spacing w:line="240" w:lineRule="auto"/>
                    <w:jc w:val="both"/>
                    <mc:AlternateContent>
                      <mc:Choice Requires="wpsCustomData">
                        <wpsCustomData:diagonalParaType/>
                      </mc:Choice>
                    </mc:AlternateContent>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监测点位</w:t>
                  </w:r>
                </w:p>
                <w:p w14:paraId="506F1A90">
                  <w:pPr>
                    <w:pStyle w:val="126"/>
                    <w:autoSpaceDE/>
                    <w:autoSpaceDN/>
                    <w:jc w:val="both"/>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监测日期</w:t>
                  </w:r>
                </w:p>
              </w:tc>
              <w:tc>
                <w:tcPr>
                  <w:tcW w:w="1998" w:type="pct"/>
                  <w:noWrap w:val="0"/>
                  <w:vAlign w:val="center"/>
                </w:tcPr>
                <w:p w14:paraId="47A1B27C">
                  <w:pPr>
                    <w:pStyle w:val="126"/>
                    <w:autoSpaceDE/>
                    <w:autoSpaceDN/>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月</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日</w:t>
                  </w:r>
                </w:p>
              </w:tc>
            </w:tr>
            <w:tr w14:paraId="3B6093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01" w:type="pct"/>
                  <w:vMerge w:val="continue"/>
                  <w:noWrap w:val="0"/>
                  <w:vAlign w:val="center"/>
                </w:tcPr>
                <w:p w14:paraId="1454F80D">
                  <w:pPr>
                    <w:jc w:val="center"/>
                    <w:rPr>
                      <w:rFonts w:hint="default" w:ascii="Times New Roman" w:hAnsi="Times New Roman" w:cs="Times New Roman"/>
                      <w:color w:val="000000" w:themeColor="text1"/>
                      <w:szCs w:val="21"/>
                      <w14:textFill>
                        <w14:solidFill>
                          <w14:schemeClr w14:val="tx1"/>
                        </w14:solidFill>
                      </w14:textFill>
                    </w:rPr>
                  </w:pPr>
                </w:p>
              </w:tc>
              <w:tc>
                <w:tcPr>
                  <w:tcW w:w="1998" w:type="pct"/>
                  <w:noWrap w:val="0"/>
                  <w:vAlign w:val="center"/>
                </w:tcPr>
                <w:p w14:paraId="5D791B39">
                  <w:pPr>
                    <w:pStyle w:val="126"/>
                    <w:autoSpaceDE/>
                    <w:autoSpaceDN/>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昼间Leq[dB(A)]</w:t>
                  </w:r>
                </w:p>
              </w:tc>
            </w:tr>
            <w:tr w14:paraId="3D2078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01" w:type="pct"/>
                  <w:noWrap w:val="0"/>
                  <w:vAlign w:val="center"/>
                </w:tcPr>
                <w:p w14:paraId="48BAC454">
                  <w:pPr>
                    <w:pStyle w:val="126"/>
                    <w:autoSpaceDE/>
                    <w:autoSpaceDN/>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小海子村</w:t>
                  </w:r>
                  <w:r>
                    <w:rPr>
                      <w:rFonts w:hint="default" w:ascii="Times New Roman" w:hAnsi="Times New Roman" w:cs="Times New Roman"/>
                      <w:color w:val="000000" w:themeColor="text1"/>
                      <w:sz w:val="21"/>
                      <w:szCs w:val="21"/>
                      <w:lang w:val="en-US" w:eastAsia="zh-CN"/>
                      <w14:textFill>
                        <w14:solidFill>
                          <w14:schemeClr w14:val="tx1"/>
                        </w14:solidFill>
                      </w14:textFill>
                    </w:rPr>
                    <w:t>东</w:t>
                  </w:r>
                </w:p>
              </w:tc>
              <w:tc>
                <w:tcPr>
                  <w:tcW w:w="1998" w:type="pct"/>
                  <w:noWrap w:val="0"/>
                  <w:vAlign w:val="center"/>
                </w:tcPr>
                <w:p w14:paraId="2DB561E9">
                  <w:pPr>
                    <w:pStyle w:val="126"/>
                    <w:autoSpaceDE/>
                    <w:autoSpaceDN/>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49</w:t>
                  </w:r>
                </w:p>
              </w:tc>
            </w:tr>
            <w:tr w14:paraId="769B0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01" w:type="pct"/>
                  <w:noWrap w:val="0"/>
                  <w:vAlign w:val="center"/>
                </w:tcPr>
                <w:p w14:paraId="24A0C442">
                  <w:pPr>
                    <w:pStyle w:val="126"/>
                    <w:autoSpaceDE/>
                    <w:autoSpaceDN/>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小海子村南</w:t>
                  </w:r>
                </w:p>
              </w:tc>
              <w:tc>
                <w:tcPr>
                  <w:tcW w:w="1998" w:type="pct"/>
                  <w:noWrap w:val="0"/>
                  <w:vAlign w:val="center"/>
                </w:tcPr>
                <w:p w14:paraId="5C595874">
                  <w:pPr>
                    <w:pStyle w:val="126"/>
                    <w:autoSpaceDE/>
                    <w:autoSpaceDN/>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w:t>
                  </w:r>
                </w:p>
              </w:tc>
            </w:tr>
          </w:tbl>
          <w:p w14:paraId="77F21E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44"/>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根据监测结果可知，</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项目周边敏感点环境噪声值满足《声环境质量标准》GB</w:t>
            </w:r>
            <w:r>
              <w:rPr>
                <w:rFonts w:hint="eastAsia" w:cs="Times New Roman"/>
                <w:b w:val="0"/>
                <w:bCs w:val="0"/>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3096-2008中2类标准</w:t>
            </w:r>
            <w:r>
              <w:rPr>
                <w:rFonts w:hint="eastAsia"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故项目所在区域声环境质量较好。</w:t>
            </w:r>
          </w:p>
          <w:p w14:paraId="4CFC5A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themeColor="text1"/>
                <w:kern w:val="44"/>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3</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土壤、地下水质量现状</w:t>
            </w:r>
          </w:p>
          <w:p w14:paraId="2D7F8D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44"/>
                <w:sz w:val="24"/>
                <w:lang w:val="en-US" w:eastAsia="zh-CN"/>
                <w14:textFill>
                  <w14:solidFill>
                    <w14:schemeClr w14:val="tx1"/>
                  </w14:solidFill>
                </w14:textFill>
              </w:rPr>
              <w:t>根据项目生产工艺特点，对生物质锅炉进行升级改造，锅炉房等均已硬化，不存在污染途径。</w:t>
            </w:r>
          </w:p>
        </w:tc>
      </w:tr>
      <w:tr w14:paraId="3704D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26" w:type="dxa"/>
            <w:noWrap w:val="0"/>
            <w:vAlign w:val="center"/>
          </w:tcPr>
          <w:p w14:paraId="5E11ED6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754AD4C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14:paraId="16E1346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635" w:type="dxa"/>
            <w:noWrap w:val="0"/>
            <w:vAlign w:val="center"/>
          </w:tcPr>
          <w:p w14:paraId="3042AE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主要环境保护目标（列出名单及保护级别）</w:t>
            </w:r>
          </w:p>
          <w:p w14:paraId="4ED0BC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大气环境：</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厂界外500米范围内存在居住区等保护目标。</w:t>
            </w:r>
          </w:p>
          <w:p w14:paraId="1014BB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声环境：</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厂界外50m范围内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w:t>
            </w:r>
            <w:r>
              <w:rPr>
                <w:rFonts w:hint="default" w:ascii="Times New Roman" w:hAnsi="Times New Roman" w:eastAsia="宋体" w:cs="Times New Roman"/>
                <w:color w:val="000000" w:themeColor="text1"/>
                <w:sz w:val="24"/>
                <w:szCs w:val="24"/>
                <w14:textFill>
                  <w14:solidFill>
                    <w14:schemeClr w14:val="tx1"/>
                  </w14:solidFill>
                </w14:textFill>
              </w:rPr>
              <w:t>声环境保护目标。</w:t>
            </w:r>
          </w:p>
          <w:p w14:paraId="19FC12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电磁辐射：本项目不属于新建或扩建广播电台、差转台、电视塔台、卫星地球上行站、雷达等电磁辐射类项目，无需对电磁辐射现状开展监测与评价。</w:t>
            </w:r>
          </w:p>
          <w:p w14:paraId="53BC2F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地下水</w:t>
            </w:r>
            <w:r>
              <w:rPr>
                <w:rFonts w:hint="eastAsia" w:cs="Times New Roman"/>
                <w:color w:val="000000" w:themeColor="text1"/>
                <w:sz w:val="24"/>
                <w:szCs w:val="24"/>
                <w:lang w:eastAsia="zh-CN"/>
                <w14:textFill>
                  <w14:solidFill>
                    <w14:schemeClr w14:val="tx1"/>
                  </w14:solidFill>
                </w14:textFill>
              </w:rPr>
              <w:t>、土壤</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本项目生产车间内进行混凝土硬化，且周边</w:t>
            </w:r>
            <w:r>
              <w:rPr>
                <w:rFonts w:hint="default" w:ascii="Times New Roman" w:hAnsi="Times New Roman" w:eastAsia="宋体" w:cs="Times New Roman"/>
                <w:color w:val="000000" w:themeColor="text1"/>
                <w:sz w:val="24"/>
                <w:szCs w:val="24"/>
                <w14:textFill>
                  <w14:solidFill>
                    <w14:schemeClr w14:val="tx1"/>
                  </w14:solidFill>
                </w14:textFill>
              </w:rPr>
              <w:t>无地下水集中式饮用水水源和热水、矿泉水、温泉等特殊地下水资源。</w:t>
            </w:r>
          </w:p>
          <w:p w14:paraId="21AA36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生态环境：本项目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位于凤翔区陈村镇</w:t>
            </w:r>
            <w:r>
              <w:rPr>
                <w:rFonts w:hint="eastAsia" w:ascii="Times New Roman" w:hAnsi="Times New Roman" w:eastAsia="宋体" w:cs="Times New Roman"/>
                <w:color w:val="000000" w:themeColor="text1"/>
                <w:sz w:val="24"/>
                <w:szCs w:val="24"/>
                <w:lang w:eastAsia="zh-CN"/>
                <w14:textFill>
                  <w14:solidFill>
                    <w14:schemeClr w14:val="tx1"/>
                  </w14:solidFill>
                </w14:textFill>
              </w:rPr>
              <w:t>小海子村</w:t>
            </w:r>
            <w:r>
              <w:rPr>
                <w:rFonts w:hint="default" w:ascii="Times New Roman" w:hAnsi="Times New Roman" w:eastAsia="宋体" w:cs="Times New Roman"/>
                <w:color w:val="000000" w:themeColor="text1"/>
                <w:sz w:val="24"/>
                <w:szCs w:val="24"/>
                <w:lang w:eastAsia="zh-CN"/>
                <w14:textFill>
                  <w14:solidFill>
                    <w14:schemeClr w14:val="tx1"/>
                  </w14:solidFill>
                </w14:textFill>
              </w:rPr>
              <w:t>，厂区周围植被</w:t>
            </w:r>
            <w:r>
              <w:rPr>
                <w:rFonts w:hint="eastAsia" w:cs="Times New Roman"/>
                <w:color w:val="000000" w:themeColor="text1"/>
                <w:sz w:val="24"/>
                <w:szCs w:val="24"/>
                <w:lang w:eastAsia="zh-CN"/>
                <w14:textFill>
                  <w14:solidFill>
                    <w14:schemeClr w14:val="tx1"/>
                  </w14:solidFill>
                </w14:textFill>
              </w:rPr>
              <w:t>以人工植被为主</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不含有</w:t>
            </w:r>
            <w:r>
              <w:rPr>
                <w:rFonts w:hint="default" w:ascii="Times New Roman" w:hAnsi="Times New Roman" w:eastAsia="宋体" w:cs="Times New Roman"/>
                <w:color w:val="000000" w:themeColor="text1"/>
                <w:sz w:val="24"/>
                <w:szCs w:val="24"/>
                <w14:textFill>
                  <w14:solidFill>
                    <w14:schemeClr w14:val="tx1"/>
                  </w14:solidFill>
                </w14:textFill>
              </w:rPr>
              <w:t>生态环境保护目标。</w:t>
            </w:r>
          </w:p>
          <w:p w14:paraId="0EC62D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表3-</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环境保护目标情况</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14"/>
              <w:gridCol w:w="1072"/>
              <w:gridCol w:w="648"/>
              <w:gridCol w:w="1838"/>
              <w:gridCol w:w="612"/>
              <w:gridCol w:w="850"/>
              <w:gridCol w:w="1194"/>
            </w:tblGrid>
            <w:tr w14:paraId="0CAA1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640" w:type="dxa"/>
                  <w:noWrap w:val="0"/>
                  <w:vAlign w:val="center"/>
                </w:tcPr>
                <w:p w14:paraId="1B1670D0">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环境要素</w:t>
                  </w:r>
                </w:p>
              </w:tc>
              <w:tc>
                <w:tcPr>
                  <w:tcW w:w="1514" w:type="dxa"/>
                  <w:noWrap w:val="0"/>
                  <w:vAlign w:val="center"/>
                </w:tcPr>
                <w:p w14:paraId="71B1EF0D">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坐标（度）</w:t>
                  </w:r>
                </w:p>
              </w:tc>
              <w:tc>
                <w:tcPr>
                  <w:tcW w:w="1072" w:type="dxa"/>
                  <w:noWrap w:val="0"/>
                  <w:vAlign w:val="center"/>
                </w:tcPr>
                <w:p w14:paraId="1437797E">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保护对象</w:t>
                  </w:r>
                </w:p>
              </w:tc>
              <w:tc>
                <w:tcPr>
                  <w:tcW w:w="648" w:type="dxa"/>
                  <w:noWrap w:val="0"/>
                  <w:vAlign w:val="center"/>
                </w:tcPr>
                <w:p w14:paraId="4CD93EAD">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保护内容</w:t>
                  </w:r>
                </w:p>
              </w:tc>
              <w:tc>
                <w:tcPr>
                  <w:tcW w:w="1838" w:type="dxa"/>
                  <w:noWrap w:val="0"/>
                  <w:vAlign w:val="center"/>
                </w:tcPr>
                <w:p w14:paraId="7F512F70">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环境功能区</w:t>
                  </w:r>
                </w:p>
              </w:tc>
              <w:tc>
                <w:tcPr>
                  <w:tcW w:w="612" w:type="dxa"/>
                  <w:noWrap w:val="0"/>
                  <w:vAlign w:val="center"/>
                </w:tcPr>
                <w:p w14:paraId="4E63F1DE">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方位</w:t>
                  </w:r>
                </w:p>
              </w:tc>
              <w:tc>
                <w:tcPr>
                  <w:tcW w:w="850" w:type="dxa"/>
                  <w:noWrap w:val="0"/>
                  <w:vAlign w:val="center"/>
                </w:tcPr>
                <w:p w14:paraId="010EF43E">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相对厂界距离（m）</w:t>
                  </w:r>
                </w:p>
              </w:tc>
              <w:tc>
                <w:tcPr>
                  <w:tcW w:w="1194" w:type="dxa"/>
                  <w:noWrap w:val="0"/>
                  <w:vAlign w:val="center"/>
                </w:tcPr>
                <w:p w14:paraId="7267DC86">
                  <w:pPr>
                    <w:autoSpaceDE w:val="0"/>
                    <w:autoSpaceDN w:val="0"/>
                    <w:jc w:val="center"/>
                    <w:rPr>
                      <w:rFonts w:hint="default" w:ascii="Times New Roman" w:hAnsi="Times New Roman" w:cs="Times New Roman"/>
                      <w:b/>
                      <w:bCs/>
                      <w:color w:val="000000" w:themeColor="text1"/>
                      <w:kern w:val="0"/>
                      <w:szCs w:val="21"/>
                      <w:lang w:eastAsia="zh-CN"/>
                      <w14:textFill>
                        <w14:solidFill>
                          <w14:schemeClr w14:val="tx1"/>
                        </w14:solidFill>
                      </w14:textFill>
                    </w:rPr>
                  </w:pPr>
                  <w:r>
                    <w:rPr>
                      <w:rFonts w:hint="default" w:ascii="Times New Roman" w:hAnsi="Times New Roman" w:cs="Times New Roman"/>
                      <w:b/>
                      <w:bCs/>
                      <w:color w:val="000000" w:themeColor="text1"/>
                      <w:kern w:val="0"/>
                      <w:szCs w:val="21"/>
                      <w:lang w:eastAsia="zh-CN"/>
                      <w14:textFill>
                        <w14:solidFill>
                          <w14:schemeClr w14:val="tx1"/>
                        </w14:solidFill>
                      </w14:textFill>
                    </w:rPr>
                    <w:t>户数</w:t>
                  </w:r>
                </w:p>
                <w:p w14:paraId="0DCEF765">
                  <w:pPr>
                    <w:autoSpaceDE w:val="0"/>
                    <w:autoSpaceDN w:val="0"/>
                    <w:jc w:val="center"/>
                    <w:rPr>
                      <w:rFonts w:hint="default" w:ascii="Times New Roman" w:hAnsi="Times New Roman" w:eastAsia="宋体" w:cs="Times New Roman"/>
                      <w:b/>
                      <w:bCs/>
                      <w:color w:val="000000" w:themeColor="text1"/>
                      <w:kern w:val="0"/>
                      <w:szCs w:val="21"/>
                      <w:lang w:eastAsia="zh-CN"/>
                      <w14:textFill>
                        <w14:solidFill>
                          <w14:schemeClr w14:val="tx1"/>
                        </w14:solidFill>
                      </w14:textFill>
                    </w:rPr>
                  </w:pPr>
                  <w:r>
                    <w:rPr>
                      <w:rFonts w:hint="default" w:ascii="Times New Roman" w:hAnsi="Times New Roman" w:cs="Times New Roman"/>
                      <w:b/>
                      <w:bCs/>
                      <w:color w:val="000000" w:themeColor="text1"/>
                      <w:kern w:val="0"/>
                      <w:szCs w:val="21"/>
                      <w:lang w:eastAsia="zh-CN"/>
                      <w14:textFill>
                        <w14:solidFill>
                          <w14:schemeClr w14:val="tx1"/>
                        </w14:solidFill>
                      </w14:textFill>
                    </w:rPr>
                    <w:t>（人数）</w:t>
                  </w:r>
                </w:p>
              </w:tc>
            </w:tr>
            <w:tr w14:paraId="52D49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Merge w:val="restart"/>
                  <w:noWrap w:val="0"/>
                  <w:vAlign w:val="center"/>
                </w:tcPr>
                <w:p w14:paraId="4832F169">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环境空气</w:t>
                  </w:r>
                </w:p>
              </w:tc>
              <w:tc>
                <w:tcPr>
                  <w:tcW w:w="1514" w:type="dxa"/>
                  <w:noWrap w:val="0"/>
                  <w:vAlign w:val="center"/>
                </w:tcPr>
                <w:p w14:paraId="03C9B1F8">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107.264242°</w:t>
                  </w:r>
                </w:p>
                <w:p w14:paraId="703F3DDF">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34.473528°</w:t>
                  </w:r>
                </w:p>
              </w:tc>
              <w:tc>
                <w:tcPr>
                  <w:tcW w:w="1072" w:type="dxa"/>
                  <w:noWrap w:val="0"/>
                  <w:vAlign w:val="center"/>
                </w:tcPr>
                <w:p w14:paraId="0926EA71">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小海子村</w:t>
                  </w:r>
                </w:p>
              </w:tc>
              <w:tc>
                <w:tcPr>
                  <w:tcW w:w="648" w:type="dxa"/>
                  <w:vMerge w:val="restart"/>
                  <w:noWrap w:val="0"/>
                  <w:vAlign w:val="center"/>
                </w:tcPr>
                <w:p w14:paraId="1DDCEAAB">
                  <w:pPr>
                    <w:pStyle w:val="165"/>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人群健康</w:t>
                  </w:r>
                </w:p>
              </w:tc>
              <w:tc>
                <w:tcPr>
                  <w:tcW w:w="1838" w:type="dxa"/>
                  <w:vMerge w:val="restart"/>
                  <w:noWrap w:val="0"/>
                  <w:vAlign w:val="center"/>
                </w:tcPr>
                <w:p w14:paraId="2E2AB64A">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《环境空气质量标准》</w:t>
                  </w:r>
                  <w:r>
                    <w:rPr>
                      <w:rFonts w:hint="default"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eastAsia="zh-CN"/>
                      <w14:textFill>
                        <w14:solidFill>
                          <w14:schemeClr w14:val="tx1"/>
                        </w14:solidFill>
                      </w14:textFill>
                    </w:rPr>
                    <w:t>GB</w:t>
                  </w:r>
                  <w:r>
                    <w:rPr>
                      <w:rFonts w:hint="eastAsia" w:cs="Times New Roman"/>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lang w:eastAsia="zh-CN"/>
                      <w14:textFill>
                        <w14:solidFill>
                          <w14:schemeClr w14:val="tx1"/>
                        </w14:solidFill>
                      </w14:textFill>
                    </w:rPr>
                    <w:t>3095-2026</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二级标准</w:t>
                  </w:r>
                </w:p>
              </w:tc>
              <w:tc>
                <w:tcPr>
                  <w:tcW w:w="612" w:type="dxa"/>
                  <w:noWrap w:val="0"/>
                  <w:vAlign w:val="center"/>
                </w:tcPr>
                <w:p w14:paraId="65C95018">
                  <w:pPr>
                    <w:pStyle w:val="165"/>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E</w:t>
                  </w:r>
                </w:p>
              </w:tc>
              <w:tc>
                <w:tcPr>
                  <w:tcW w:w="850" w:type="dxa"/>
                  <w:noWrap w:val="0"/>
                  <w:vAlign w:val="center"/>
                </w:tcPr>
                <w:p w14:paraId="32FD7BEB">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94" w:type="dxa"/>
                  <w:noWrap w:val="0"/>
                  <w:vAlign w:val="center"/>
                </w:tcPr>
                <w:p w14:paraId="42ED38E8">
                  <w:pPr>
                    <w:pStyle w:val="165"/>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430户（1505人）</w:t>
                  </w:r>
                </w:p>
              </w:tc>
            </w:tr>
            <w:tr w14:paraId="1081F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Merge w:val="continue"/>
                  <w:noWrap w:val="0"/>
                  <w:vAlign w:val="center"/>
                </w:tcPr>
                <w:p w14:paraId="1D56576E">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1514" w:type="dxa"/>
                  <w:noWrap w:val="0"/>
                  <w:vAlign w:val="center"/>
                </w:tcPr>
                <w:p w14:paraId="2FCA8498">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107.263722°</w:t>
                  </w:r>
                </w:p>
                <w:p w14:paraId="11731E89">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34.472958°</w:t>
                  </w:r>
                </w:p>
              </w:tc>
              <w:tc>
                <w:tcPr>
                  <w:tcW w:w="1072" w:type="dxa"/>
                  <w:noWrap w:val="0"/>
                  <w:vAlign w:val="center"/>
                </w:tcPr>
                <w:p w14:paraId="45910113">
                  <w:pPr>
                    <w:pStyle w:val="165"/>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小海子村</w:t>
                  </w:r>
                </w:p>
              </w:tc>
              <w:tc>
                <w:tcPr>
                  <w:tcW w:w="648" w:type="dxa"/>
                  <w:vMerge w:val="continue"/>
                  <w:noWrap w:val="0"/>
                  <w:vAlign w:val="center"/>
                </w:tcPr>
                <w:p w14:paraId="2B8EC529">
                  <w:pPr>
                    <w:pStyle w:val="165"/>
                    <w:rPr>
                      <w:rFonts w:hint="default" w:ascii="Times New Roman" w:hAnsi="Times New Roman" w:cs="Times New Roman"/>
                      <w:color w:val="000000" w:themeColor="text1"/>
                      <w:szCs w:val="21"/>
                      <w14:textFill>
                        <w14:solidFill>
                          <w14:schemeClr w14:val="tx1"/>
                        </w14:solidFill>
                      </w14:textFill>
                    </w:rPr>
                  </w:pPr>
                </w:p>
              </w:tc>
              <w:tc>
                <w:tcPr>
                  <w:tcW w:w="1838" w:type="dxa"/>
                  <w:vMerge w:val="continue"/>
                  <w:noWrap w:val="0"/>
                  <w:vAlign w:val="center"/>
                </w:tcPr>
                <w:p w14:paraId="4B3DC732">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612" w:type="dxa"/>
                  <w:noWrap w:val="0"/>
                  <w:vAlign w:val="center"/>
                </w:tcPr>
                <w:p w14:paraId="7D76F16C">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S</w:t>
                  </w:r>
                </w:p>
              </w:tc>
              <w:tc>
                <w:tcPr>
                  <w:tcW w:w="850" w:type="dxa"/>
                  <w:noWrap w:val="0"/>
                  <w:vAlign w:val="center"/>
                </w:tcPr>
                <w:p w14:paraId="61C4819E">
                  <w:pPr>
                    <w:pStyle w:val="165"/>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c>
                <w:tcPr>
                  <w:tcW w:w="1194" w:type="dxa"/>
                  <w:noWrap w:val="0"/>
                  <w:vAlign w:val="center"/>
                </w:tcPr>
                <w:p w14:paraId="64949588">
                  <w:pPr>
                    <w:pStyle w:val="165"/>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户</w:t>
                  </w:r>
                </w:p>
                <w:p w14:paraId="0C7F285C">
                  <w:pPr>
                    <w:pStyle w:val="165"/>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人）</w:t>
                  </w:r>
                </w:p>
              </w:tc>
            </w:tr>
            <w:tr w14:paraId="21CDF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Merge w:val="continue"/>
                  <w:noWrap w:val="0"/>
                  <w:vAlign w:val="center"/>
                </w:tcPr>
                <w:p w14:paraId="721F8C30">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1514" w:type="dxa"/>
                  <w:noWrap w:val="0"/>
                  <w:vAlign w:val="center"/>
                </w:tcPr>
                <w:p w14:paraId="47736417">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107.262686°</w:t>
                  </w:r>
                </w:p>
                <w:p w14:paraId="5F798C85">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34.475784°</w:t>
                  </w:r>
                </w:p>
              </w:tc>
              <w:tc>
                <w:tcPr>
                  <w:tcW w:w="1072" w:type="dxa"/>
                  <w:noWrap w:val="0"/>
                  <w:vAlign w:val="center"/>
                </w:tcPr>
                <w:p w14:paraId="0C558976">
                  <w:pPr>
                    <w:pStyle w:val="165"/>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陈村镇</w:t>
                  </w:r>
                </w:p>
              </w:tc>
              <w:tc>
                <w:tcPr>
                  <w:tcW w:w="648" w:type="dxa"/>
                  <w:vMerge w:val="continue"/>
                  <w:noWrap w:val="0"/>
                  <w:vAlign w:val="center"/>
                </w:tcPr>
                <w:p w14:paraId="2653FFDB">
                  <w:pPr>
                    <w:pStyle w:val="165"/>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838" w:type="dxa"/>
                  <w:vMerge w:val="continue"/>
                  <w:noWrap w:val="0"/>
                  <w:vAlign w:val="center"/>
                </w:tcPr>
                <w:p w14:paraId="2075BD00">
                  <w:pPr>
                    <w:autoSpaceDE w:val="0"/>
                    <w:autoSpaceDN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12" w:type="dxa"/>
                  <w:noWrap w:val="0"/>
                  <w:vAlign w:val="center"/>
                </w:tcPr>
                <w:p w14:paraId="4C5930C6">
                  <w:pPr>
                    <w:pStyle w:val="165"/>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N</w:t>
                  </w:r>
                </w:p>
              </w:tc>
              <w:tc>
                <w:tcPr>
                  <w:tcW w:w="850" w:type="dxa"/>
                  <w:noWrap w:val="0"/>
                  <w:vAlign w:val="center"/>
                </w:tcPr>
                <w:p w14:paraId="57003A71">
                  <w:pPr>
                    <w:pStyle w:val="165"/>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220</w:t>
                  </w:r>
                </w:p>
              </w:tc>
              <w:tc>
                <w:tcPr>
                  <w:tcW w:w="1194" w:type="dxa"/>
                  <w:noWrap w:val="0"/>
                  <w:vAlign w:val="center"/>
                </w:tcPr>
                <w:p w14:paraId="62CB1E3D">
                  <w:pPr>
                    <w:pStyle w:val="165"/>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户</w:t>
                  </w:r>
                </w:p>
                <w:p w14:paraId="0515B62E">
                  <w:pPr>
                    <w:pStyle w:val="165"/>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210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人）</w:t>
                  </w:r>
                </w:p>
              </w:tc>
            </w:tr>
            <w:tr w14:paraId="575CC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Merge w:val="restart"/>
                  <w:noWrap w:val="0"/>
                  <w:vAlign w:val="center"/>
                </w:tcPr>
                <w:p w14:paraId="543E0B2D">
                  <w:pPr>
                    <w:autoSpaceDE w:val="0"/>
                    <w:autoSpaceDN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声环境</w:t>
                  </w:r>
                </w:p>
              </w:tc>
              <w:tc>
                <w:tcPr>
                  <w:tcW w:w="1514" w:type="dxa"/>
                  <w:noWrap w:val="0"/>
                  <w:vAlign w:val="center"/>
                </w:tcPr>
                <w:p w14:paraId="153CC6AB">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107.264242°</w:t>
                  </w:r>
                </w:p>
                <w:p w14:paraId="16ECAC5E">
                  <w:pPr>
                    <w:pStyle w:val="165"/>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34.473528°</w:t>
                  </w:r>
                </w:p>
              </w:tc>
              <w:tc>
                <w:tcPr>
                  <w:tcW w:w="1072" w:type="dxa"/>
                  <w:noWrap w:val="0"/>
                  <w:vAlign w:val="center"/>
                </w:tcPr>
                <w:p w14:paraId="104A7B2D">
                  <w:pPr>
                    <w:pStyle w:val="165"/>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小海子村</w:t>
                  </w:r>
                </w:p>
              </w:tc>
              <w:tc>
                <w:tcPr>
                  <w:tcW w:w="648" w:type="dxa"/>
                  <w:vMerge w:val="continue"/>
                  <w:noWrap w:val="0"/>
                  <w:vAlign w:val="center"/>
                </w:tcPr>
                <w:p w14:paraId="18D30D41">
                  <w:pPr>
                    <w:pStyle w:val="165"/>
                    <w:rPr>
                      <w:rFonts w:hint="default" w:ascii="Times New Roman" w:hAnsi="Times New Roman" w:cs="Times New Roman"/>
                      <w:color w:val="000000" w:themeColor="text1"/>
                      <w:szCs w:val="21"/>
                      <w14:textFill>
                        <w14:solidFill>
                          <w14:schemeClr w14:val="tx1"/>
                        </w14:solidFill>
                      </w14:textFill>
                    </w:rPr>
                  </w:pPr>
                </w:p>
              </w:tc>
              <w:tc>
                <w:tcPr>
                  <w:tcW w:w="1838" w:type="dxa"/>
                  <w:vMerge w:val="restart"/>
                  <w:noWrap w:val="0"/>
                  <w:vAlign w:val="center"/>
                </w:tcPr>
                <w:p w14:paraId="5BB063F1">
                  <w:pPr>
                    <w:autoSpaceDE w:val="0"/>
                    <w:autoSpaceDN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《声环境质量标准》（</w:t>
                  </w:r>
                  <w:r>
                    <w:rPr>
                      <w:rFonts w:hint="default" w:ascii="Times New Roman" w:hAnsi="Times New Roman" w:cs="Times New Roman"/>
                      <w:color w:val="000000" w:themeColor="text1"/>
                      <w:szCs w:val="21"/>
                      <w:lang w:val="en-US" w:eastAsia="zh-CN"/>
                      <w14:textFill>
                        <w14:solidFill>
                          <w14:schemeClr w14:val="tx1"/>
                        </w14:solidFill>
                      </w14:textFill>
                    </w:rPr>
                    <w:t>GB</w:t>
                  </w: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lang w:val="en-US" w:eastAsia="zh-CN"/>
                      <w14:textFill>
                        <w14:solidFill>
                          <w14:schemeClr w14:val="tx1"/>
                        </w14:solidFill>
                      </w14:textFill>
                    </w:rPr>
                    <w:t>3096-2008）2类标准</w:t>
                  </w:r>
                </w:p>
              </w:tc>
              <w:tc>
                <w:tcPr>
                  <w:tcW w:w="612" w:type="dxa"/>
                  <w:noWrap w:val="0"/>
                  <w:vAlign w:val="center"/>
                </w:tcPr>
                <w:p w14:paraId="3E41CD57">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E</w:t>
                  </w:r>
                </w:p>
              </w:tc>
              <w:tc>
                <w:tcPr>
                  <w:tcW w:w="850" w:type="dxa"/>
                  <w:noWrap w:val="0"/>
                  <w:vAlign w:val="center"/>
                </w:tcPr>
                <w:p w14:paraId="12F4AD07">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w:t>
                  </w:r>
                </w:p>
              </w:tc>
              <w:tc>
                <w:tcPr>
                  <w:tcW w:w="1194" w:type="dxa"/>
                  <w:noWrap w:val="0"/>
                  <w:vAlign w:val="center"/>
                </w:tcPr>
                <w:p w14:paraId="7E4AD7F9">
                  <w:pPr>
                    <w:pStyle w:val="165"/>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430户（1505人）</w:t>
                  </w:r>
                </w:p>
              </w:tc>
            </w:tr>
            <w:tr w14:paraId="55556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Merge w:val="continue"/>
                  <w:noWrap w:val="0"/>
                  <w:vAlign w:val="center"/>
                </w:tcPr>
                <w:p w14:paraId="1AE25B20">
                  <w:pPr>
                    <w:autoSpaceDE w:val="0"/>
                    <w:autoSpaceDN w:val="0"/>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1514" w:type="dxa"/>
                  <w:noWrap w:val="0"/>
                  <w:vAlign w:val="center"/>
                </w:tcPr>
                <w:p w14:paraId="191EA100">
                  <w:pPr>
                    <w:pStyle w:val="165"/>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107.263722°</w:t>
                  </w:r>
                </w:p>
                <w:p w14:paraId="5A0D14F2">
                  <w:pPr>
                    <w:pStyle w:val="165"/>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34.472958°</w:t>
                  </w:r>
                </w:p>
              </w:tc>
              <w:tc>
                <w:tcPr>
                  <w:tcW w:w="1072" w:type="dxa"/>
                  <w:noWrap w:val="0"/>
                  <w:vAlign w:val="center"/>
                </w:tcPr>
                <w:p w14:paraId="256D9183">
                  <w:pPr>
                    <w:pStyle w:val="165"/>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小海子村</w:t>
                  </w:r>
                </w:p>
              </w:tc>
              <w:tc>
                <w:tcPr>
                  <w:tcW w:w="648" w:type="dxa"/>
                  <w:vMerge w:val="continue"/>
                  <w:noWrap w:val="0"/>
                  <w:vAlign w:val="center"/>
                </w:tcPr>
                <w:p w14:paraId="561D9C76">
                  <w:pPr>
                    <w:pStyle w:val="165"/>
                    <w:rPr>
                      <w:rFonts w:hint="default" w:ascii="Times New Roman" w:hAnsi="Times New Roman" w:cs="Times New Roman"/>
                      <w:color w:val="000000" w:themeColor="text1"/>
                      <w:szCs w:val="21"/>
                      <w14:textFill>
                        <w14:solidFill>
                          <w14:schemeClr w14:val="tx1"/>
                        </w14:solidFill>
                      </w14:textFill>
                    </w:rPr>
                  </w:pPr>
                </w:p>
              </w:tc>
              <w:tc>
                <w:tcPr>
                  <w:tcW w:w="1838" w:type="dxa"/>
                  <w:vMerge w:val="continue"/>
                  <w:noWrap w:val="0"/>
                  <w:vAlign w:val="center"/>
                </w:tcPr>
                <w:p w14:paraId="5FEB7313">
                  <w:pPr>
                    <w:autoSpaceDE w:val="0"/>
                    <w:autoSpaceDN w:val="0"/>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612" w:type="dxa"/>
                  <w:noWrap w:val="0"/>
                  <w:vAlign w:val="center"/>
                </w:tcPr>
                <w:p w14:paraId="39622F73">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S</w:t>
                  </w:r>
                </w:p>
              </w:tc>
              <w:tc>
                <w:tcPr>
                  <w:tcW w:w="850" w:type="dxa"/>
                  <w:noWrap w:val="0"/>
                  <w:vAlign w:val="center"/>
                </w:tcPr>
                <w:p w14:paraId="2E35A882">
                  <w:pPr>
                    <w:pStyle w:val="165"/>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c>
                <w:tcPr>
                  <w:tcW w:w="1194" w:type="dxa"/>
                  <w:noWrap w:val="0"/>
                  <w:vAlign w:val="center"/>
                </w:tcPr>
                <w:p w14:paraId="6F9E286F">
                  <w:pPr>
                    <w:pStyle w:val="165"/>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户</w:t>
                  </w:r>
                </w:p>
                <w:p w14:paraId="6C01FCA3">
                  <w:pPr>
                    <w:pStyle w:val="165"/>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人）</w:t>
                  </w:r>
                </w:p>
              </w:tc>
            </w:tr>
          </w:tbl>
          <w:p w14:paraId="54BBBFF7">
            <w:pPr>
              <w:widowControl/>
              <w:adjustRightInd w:val="0"/>
              <w:snapToGrid w:val="0"/>
              <w:spacing w:line="360" w:lineRule="auto"/>
              <w:ind w:firstLine="482"/>
              <w:rPr>
                <w:rFonts w:hint="default" w:ascii="Times New Roman" w:hAnsi="Times New Roman" w:cs="Times New Roman"/>
                <w:color w:val="000000" w:themeColor="text1"/>
                <w:kern w:val="0"/>
                <w:szCs w:val="21"/>
                <w14:textFill>
                  <w14:solidFill>
                    <w14:schemeClr w14:val="tx1"/>
                  </w14:solidFill>
                </w14:textFill>
              </w:rPr>
            </w:pPr>
          </w:p>
        </w:tc>
      </w:tr>
      <w:tr w14:paraId="053A8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26" w:type="dxa"/>
            <w:noWrap w:val="0"/>
            <w:tcMar>
              <w:left w:w="28" w:type="dxa"/>
              <w:right w:w="28" w:type="dxa"/>
            </w:tcMar>
            <w:vAlign w:val="center"/>
          </w:tcPr>
          <w:p w14:paraId="1A64730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污染物排放控制标准</w:t>
            </w:r>
          </w:p>
        </w:tc>
        <w:tc>
          <w:tcPr>
            <w:tcW w:w="8635" w:type="dxa"/>
            <w:noWrap w:val="0"/>
            <w:vAlign w:val="center"/>
          </w:tcPr>
          <w:p w14:paraId="79D71FCA">
            <w:pPr>
              <w:widowControl/>
              <w:spacing w:before="120" w:beforeLines="50" w:line="360" w:lineRule="auto"/>
              <w:ind w:firstLine="482" w:firstLineChars="200"/>
              <w:rPr>
                <w:rFonts w:hint="default" w:ascii="Times New Roman" w:hAnsi="Times New Roman" w:eastAsia="宋体" w:cs="Times New Roman"/>
                <w:b/>
                <w:bCs w:val="0"/>
                <w:color w:val="000000" w:themeColor="text1"/>
                <w:sz w:val="24"/>
                <w14:textFill>
                  <w14:solidFill>
                    <w14:schemeClr w14:val="tx1"/>
                  </w14:solidFill>
                </w14:textFill>
              </w:rPr>
            </w:pPr>
            <w:r>
              <w:rPr>
                <w:rFonts w:hint="default" w:ascii="Times New Roman" w:hAnsi="Times New Roman" w:eastAsia="黑体" w:cs="Times New Roman"/>
                <w:b/>
                <w:bCs w:val="0"/>
                <w:color w:val="000000" w:themeColor="text1"/>
                <w:sz w:val="24"/>
                <w:szCs w:val="28"/>
                <w14:textFill>
                  <w14:solidFill>
                    <w14:schemeClr w14:val="tx1"/>
                  </w14:solidFill>
                </w14:textFill>
              </w:rPr>
              <w:t>1</w:t>
            </w:r>
            <w:r>
              <w:rPr>
                <w:rFonts w:hint="eastAsia" w:eastAsia="黑体"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废气排放标准</w:t>
            </w:r>
          </w:p>
          <w:p w14:paraId="79DD2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i w:val="0"/>
                <w:i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生物质锅炉废气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颗粒物、二氧化硫、氮氧化物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执行《锅炉大气污染物排放标准》（DB</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61/1226-2018）表5中生物质锅炉浓度限值</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烟气黑度（林格曼黑度，级）满足《锅炉大气污染物排放标准》（</w:t>
            </w:r>
            <w:r>
              <w:rPr>
                <w:rFonts w:hint="default" w:ascii="Times New Roman" w:hAnsi="Times New Roman" w:eastAsia="宋体" w:cs="Times New Roman"/>
                <w:color w:val="000000" w:themeColor="text1"/>
                <w:sz w:val="24"/>
                <w:lang w:val="en-US" w:eastAsia="zh-CN"/>
                <w14:textFill>
                  <w14:solidFill>
                    <w14:schemeClr w14:val="tx1"/>
                  </w14:solidFill>
                </w14:textFill>
              </w:rPr>
              <w:t>GB</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13271-2014</w:t>
            </w:r>
            <w:r>
              <w:rPr>
                <w:rFonts w:hint="eastAsia" w:ascii="Times New Roman" w:hAnsi="Times New Roman" w:eastAsia="宋体" w:cs="Times New Roman"/>
                <w:color w:val="000000" w:themeColor="text1"/>
                <w:sz w:val="24"/>
                <w:lang w:val="en-US" w:eastAsia="zh-CN"/>
                <w14:textFill>
                  <w14:solidFill>
                    <w14:schemeClr w14:val="tx1"/>
                  </w14:solidFill>
                </w14:textFill>
              </w:rPr>
              <w:t>）小于等于</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的标准要求</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bCs/>
                <w:i w:val="0"/>
                <w:iCs w:val="0"/>
                <w:color w:val="000000" w:themeColor="text1"/>
                <w:sz w:val="24"/>
                <w:szCs w:val="24"/>
                <w:lang w:val="en-US" w:eastAsia="zh-CN"/>
                <w14:textFill>
                  <w14:solidFill>
                    <w14:schemeClr w14:val="tx1"/>
                  </w14:solidFill>
                </w14:textFill>
              </w:rPr>
              <w:t xml:space="preserve"> </w:t>
            </w:r>
          </w:p>
          <w:p w14:paraId="7B757F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表3-</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锅炉大气污染物排放标准         单位</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mg/m³</w:t>
            </w:r>
          </w:p>
          <w:tbl>
            <w:tblPr>
              <w:tblStyle w:val="3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1425"/>
              <w:gridCol w:w="2160"/>
              <w:gridCol w:w="2708"/>
            </w:tblGrid>
            <w:tr w14:paraId="6366A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tcBorders>
                    <w:tl2br w:val="nil"/>
                    <w:tr2bl w:val="nil"/>
                  </w:tcBorders>
                  <w:noWrap w:val="0"/>
                  <w:vAlign w:val="top"/>
                </w:tcPr>
                <w:p w14:paraId="25D84B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分类</w:t>
                  </w:r>
                </w:p>
              </w:tc>
              <w:tc>
                <w:tcPr>
                  <w:tcW w:w="849" w:type="pct"/>
                  <w:tcBorders>
                    <w:tl2br w:val="nil"/>
                    <w:tr2bl w:val="nil"/>
                  </w:tcBorders>
                  <w:noWrap w:val="0"/>
                  <w:vAlign w:val="top"/>
                </w:tcPr>
                <w:p w14:paraId="6DA4A0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颗粒物</w:t>
                  </w:r>
                </w:p>
              </w:tc>
              <w:tc>
                <w:tcPr>
                  <w:tcW w:w="1287" w:type="pct"/>
                  <w:tcBorders>
                    <w:tl2br w:val="nil"/>
                    <w:tr2bl w:val="nil"/>
                  </w:tcBorders>
                  <w:noWrap w:val="0"/>
                  <w:vAlign w:val="top"/>
                </w:tcPr>
                <w:p w14:paraId="6EDE20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二氧化硫</w:t>
                  </w:r>
                </w:p>
              </w:tc>
              <w:tc>
                <w:tcPr>
                  <w:tcW w:w="1614" w:type="pct"/>
                  <w:tcBorders>
                    <w:tl2br w:val="nil"/>
                    <w:tr2bl w:val="nil"/>
                  </w:tcBorders>
                  <w:noWrap w:val="0"/>
                  <w:vAlign w:val="top"/>
                </w:tcPr>
                <w:p w14:paraId="0E4E72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氮氧化物（以NO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计）</w:t>
                  </w:r>
                </w:p>
              </w:tc>
            </w:tr>
            <w:tr w14:paraId="189DA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248" w:type="pct"/>
                  <w:tcBorders>
                    <w:tl2br w:val="nil"/>
                    <w:tr2bl w:val="nil"/>
                  </w:tcBorders>
                  <w:noWrap w:val="0"/>
                  <w:vAlign w:val="top"/>
                </w:tcPr>
                <w:p w14:paraId="72C8BD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其他地区</w:t>
                  </w:r>
                </w:p>
              </w:tc>
              <w:tc>
                <w:tcPr>
                  <w:tcW w:w="849" w:type="pct"/>
                  <w:tcBorders>
                    <w:tl2br w:val="nil"/>
                    <w:tr2bl w:val="nil"/>
                  </w:tcBorders>
                  <w:noWrap w:val="0"/>
                  <w:vAlign w:val="top"/>
                </w:tcPr>
                <w:p w14:paraId="08FE52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w:t>
                  </w:r>
                </w:p>
              </w:tc>
              <w:tc>
                <w:tcPr>
                  <w:tcW w:w="1287" w:type="pct"/>
                  <w:tcBorders>
                    <w:tl2br w:val="nil"/>
                    <w:tr2bl w:val="nil"/>
                  </w:tcBorders>
                  <w:noWrap w:val="0"/>
                  <w:vAlign w:val="top"/>
                </w:tcPr>
                <w:p w14:paraId="108B76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35</w:t>
                  </w:r>
                </w:p>
              </w:tc>
              <w:tc>
                <w:tcPr>
                  <w:tcW w:w="1614" w:type="pct"/>
                  <w:tcBorders>
                    <w:tl2br w:val="nil"/>
                    <w:tr2bl w:val="nil"/>
                  </w:tcBorders>
                  <w:noWrap w:val="0"/>
                  <w:vAlign w:val="top"/>
                </w:tcPr>
                <w:p w14:paraId="7C1758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r>
          </w:tbl>
          <w:p w14:paraId="3C3110D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氨执行《火电厂烟气脱硝工程技术规范选择性非催化还原法》</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HJ</w:t>
            </w:r>
            <w:r>
              <w:rPr>
                <w:rFonts w:hint="eastAsia"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lang w:val="en-US" w:eastAsia="zh-CN"/>
                <w14:textFill>
                  <w14:solidFill>
                    <w14:schemeClr w14:val="tx1"/>
                  </w14:solidFill>
                </w14:textFill>
              </w:rPr>
              <w:t>563-2010</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中氨逃逸质量浓度≤8mg/m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11166A3B">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sz w:val="24"/>
                <w:szCs w:val="28"/>
                <w14:textFill>
                  <w14:solidFill>
                    <w14:schemeClr w14:val="tx1"/>
                  </w14:solidFill>
                </w14:textFill>
              </w:rPr>
            </w:pPr>
            <w:r>
              <w:rPr>
                <w:rFonts w:hint="default" w:ascii="Times New Roman" w:hAnsi="Times New Roman" w:eastAsia="黑体" w:cs="Times New Roman"/>
                <w:b/>
                <w:bCs w:val="0"/>
                <w:color w:val="000000" w:themeColor="text1"/>
                <w:sz w:val="24"/>
                <w:szCs w:val="28"/>
                <w:lang w:val="en-US" w:eastAsia="zh-CN"/>
                <w14:textFill>
                  <w14:solidFill>
                    <w14:schemeClr w14:val="tx1"/>
                  </w14:solidFill>
                </w14:textFill>
              </w:rPr>
              <w:t>2</w:t>
            </w:r>
            <w:r>
              <w:rPr>
                <w:rFonts w:hint="eastAsia" w:eastAsia="黑体"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噪声排放标准</w:t>
            </w:r>
          </w:p>
          <w:p w14:paraId="3DC1C93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bookmarkStart w:id="2" w:name="_Hlk41382489"/>
            <w:r>
              <w:rPr>
                <w:rFonts w:hint="eastAsia" w:cs="Times New Roman"/>
                <w:color w:val="000000" w:themeColor="text1"/>
                <w:sz w:val="24"/>
                <w:lang w:val="en-US" w:eastAsia="zh-CN"/>
                <w14:textFill>
                  <w14:solidFill>
                    <w14:schemeClr w14:val="tx1"/>
                  </w14:solidFill>
                </w14:textFill>
              </w:rPr>
              <w:t>本</w:t>
            </w:r>
            <w:r>
              <w:rPr>
                <w:rFonts w:hint="eastAsia" w:cs="Times New Roman"/>
                <w:color w:val="000000" w:themeColor="text1"/>
                <w:sz w:val="24"/>
                <w:lang w:eastAsia="zh-CN"/>
                <w14:textFill>
                  <w14:solidFill>
                    <w14:schemeClr w14:val="tx1"/>
                  </w14:solidFill>
                </w14:textFill>
              </w:rPr>
              <w:t>项目位于</w:t>
            </w:r>
            <w:r>
              <w:rPr>
                <w:rFonts w:hint="default" w:ascii="Times New Roman" w:hAnsi="Times New Roman" w:cs="Times New Roman"/>
                <w:color w:val="000000" w:themeColor="text1"/>
                <w:sz w:val="24"/>
                <w:lang w:val="en-US" w:eastAsia="zh-CN"/>
                <w14:textFill>
                  <w14:solidFill>
                    <w14:schemeClr w14:val="tx1"/>
                  </w14:solidFill>
                </w14:textFill>
              </w:rPr>
              <w:t>凤翔区陈村镇</w:t>
            </w:r>
            <w:r>
              <w:rPr>
                <w:rFonts w:hint="eastAsia" w:ascii="Times New Roman" w:hAnsi="Times New Roman" w:cs="Times New Roman"/>
                <w:color w:val="000000" w:themeColor="text1"/>
                <w:sz w:val="24"/>
                <w:lang w:val="en-US" w:eastAsia="zh-CN"/>
                <w14:textFill>
                  <w14:solidFill>
                    <w14:schemeClr w14:val="tx1"/>
                  </w14:solidFill>
                </w14:textFill>
              </w:rPr>
              <w:t>小海子村</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该区域为</w:t>
            </w:r>
            <w:r>
              <w:rPr>
                <w:rFonts w:hint="default" w:ascii="Times New Roman" w:hAnsi="Times New Roman" w:cs="Times New Roman"/>
                <w:color w:val="000000" w:themeColor="text1"/>
                <w:sz w:val="24"/>
                <w:lang w:val="en-US" w:eastAsia="zh-CN"/>
                <w14:textFill>
                  <w14:solidFill>
                    <w14:schemeClr w14:val="tx1"/>
                  </w14:solidFill>
                </w14:textFill>
              </w:rPr>
              <w:t>2类区，故</w:t>
            </w:r>
            <w:r>
              <w:rPr>
                <w:rFonts w:hint="eastAsia" w:ascii="Times New Roman" w:hAnsi="Times New Roman" w:cs="Times New Roman"/>
                <w:color w:val="000000" w:themeColor="text1"/>
                <w:sz w:val="24"/>
                <w:lang w:val="en-US" w:eastAsia="zh-CN"/>
                <w14:textFill>
                  <w14:solidFill>
                    <w14:schemeClr w14:val="tx1"/>
                  </w14:solidFill>
                </w14:textFill>
              </w:rPr>
              <w:t>本</w:t>
            </w:r>
            <w:r>
              <w:rPr>
                <w:rFonts w:hint="default" w:ascii="Times New Roman" w:hAnsi="Times New Roman"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运营期</w:t>
            </w:r>
            <w:r>
              <w:rPr>
                <w:rFonts w:hint="default" w:ascii="Times New Roman" w:hAnsi="Times New Roman" w:cs="Times New Roman"/>
                <w:color w:val="000000" w:themeColor="text1"/>
                <w:sz w:val="24"/>
                <w:lang w:eastAsia="zh-CN"/>
                <w14:textFill>
                  <w14:solidFill>
                    <w14:schemeClr w14:val="tx1"/>
                  </w14:solidFill>
                </w14:textFill>
              </w:rPr>
              <w:t>厂界四周</w:t>
            </w:r>
            <w:r>
              <w:rPr>
                <w:rFonts w:hint="default" w:ascii="Times New Roman" w:hAnsi="Times New Roman" w:cs="Times New Roman"/>
                <w:color w:val="000000" w:themeColor="text1"/>
                <w:sz w:val="24"/>
                <w14:textFill>
                  <w14:solidFill>
                    <w14:schemeClr w14:val="tx1"/>
                  </w14:solidFill>
                </w14:textFill>
              </w:rPr>
              <w:t>噪声排放限值执行《工业企业厂界环境噪声排放标准》（GB</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12348-2008）</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类标准限值</w:t>
            </w:r>
            <w:bookmarkEnd w:id="2"/>
            <w:r>
              <w:rPr>
                <w:rFonts w:hint="default" w:ascii="Times New Roman" w:hAnsi="Times New Roman" w:cs="Times New Roman"/>
                <w:color w:val="000000" w:themeColor="text1"/>
                <w:sz w:val="24"/>
                <w14:textFill>
                  <w14:solidFill>
                    <w14:schemeClr w14:val="tx1"/>
                  </w14:solidFill>
                </w14:textFill>
              </w:rPr>
              <w:t>，详见表3-</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w:t>
            </w:r>
          </w:p>
          <w:p w14:paraId="6B09E960">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bookmarkStart w:id="3" w:name="_Hlk41382497"/>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表3-</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《工业企业厂界环境噪声排放标准》（GB</w:t>
            </w:r>
            <w:r>
              <w:rPr>
                <w:rFonts w:hint="eastAsia"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12348-2008）</w:t>
            </w:r>
            <w:r>
              <w:rPr>
                <w:rFonts w:hint="eastAsia"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单位</w:t>
            </w:r>
            <w:r>
              <w:rPr>
                <w:rFonts w:hint="eastAsia" w:cs="Times New Roman"/>
                <w:b/>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dB（A）</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30"/>
              <w:gridCol w:w="2349"/>
              <w:gridCol w:w="1807"/>
            </w:tblGrid>
            <w:tr w14:paraId="0AB72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1" w:type="pct"/>
                  <w:noWrap w:val="0"/>
                  <w:vAlign w:val="center"/>
                </w:tcPr>
                <w:p w14:paraId="12CB6AAB">
                  <w:pPr>
                    <w:widowControl/>
                    <w:autoSpaceDE w:val="0"/>
                    <w:adjustRightInd w:val="0"/>
                    <w:snapToGrid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声环境功能区类别</w:t>
                  </w:r>
                </w:p>
              </w:tc>
              <w:tc>
                <w:tcPr>
                  <w:tcW w:w="1400" w:type="pct"/>
                  <w:noWrap w:val="0"/>
                  <w:vAlign w:val="center"/>
                </w:tcPr>
                <w:p w14:paraId="1B9BA77A">
                  <w:pPr>
                    <w:widowControl/>
                    <w:autoSpaceDE w:val="0"/>
                    <w:adjustRightInd w:val="0"/>
                    <w:snapToGrid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昼间</w:t>
                  </w:r>
                </w:p>
              </w:tc>
              <w:tc>
                <w:tcPr>
                  <w:tcW w:w="1077" w:type="pct"/>
                  <w:noWrap w:val="0"/>
                  <w:vAlign w:val="center"/>
                </w:tcPr>
                <w:p w14:paraId="7E6E1710">
                  <w:pPr>
                    <w:widowControl/>
                    <w:autoSpaceDE w:val="0"/>
                    <w:adjustRightInd w:val="0"/>
                    <w:snapToGrid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夜间</w:t>
                  </w:r>
                </w:p>
              </w:tc>
            </w:tr>
            <w:tr w14:paraId="06E63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1" w:type="pct"/>
                  <w:noWrap w:val="0"/>
                  <w:vAlign w:val="center"/>
                </w:tcPr>
                <w:p w14:paraId="15CAA708">
                  <w:pPr>
                    <w:widowControl/>
                    <w:autoSpaceDE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w:t>
                  </w:r>
                  <w:r>
                    <w:rPr>
                      <w:rFonts w:hint="default" w:ascii="Times New Roman" w:hAnsi="Times New Roman" w:cs="Times New Roman"/>
                      <w:color w:val="000000" w:themeColor="text1"/>
                      <w:kern w:val="0"/>
                      <w:szCs w:val="21"/>
                      <w14:textFill>
                        <w14:solidFill>
                          <w14:schemeClr w14:val="tx1"/>
                        </w14:solidFill>
                      </w14:textFill>
                    </w:rPr>
                    <w:t>类</w:t>
                  </w:r>
                </w:p>
              </w:tc>
              <w:tc>
                <w:tcPr>
                  <w:tcW w:w="1400" w:type="pct"/>
                  <w:noWrap w:val="0"/>
                  <w:vAlign w:val="center"/>
                </w:tcPr>
                <w:p w14:paraId="744DFB27">
                  <w:pPr>
                    <w:widowControl/>
                    <w:autoSpaceDE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60</w:t>
                  </w:r>
                </w:p>
              </w:tc>
              <w:tc>
                <w:tcPr>
                  <w:tcW w:w="1077" w:type="pct"/>
                  <w:noWrap w:val="0"/>
                  <w:vAlign w:val="center"/>
                </w:tcPr>
                <w:p w14:paraId="10DD1C54">
                  <w:pPr>
                    <w:widowControl/>
                    <w:autoSpaceDE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50</w:t>
                  </w:r>
                </w:p>
              </w:tc>
            </w:tr>
            <w:bookmarkEnd w:id="3"/>
          </w:tbl>
          <w:p w14:paraId="60A5CDD5">
            <w:pPr>
              <w:widowControl/>
              <w:spacing w:line="360" w:lineRule="auto"/>
              <w:ind w:firstLine="482" w:firstLineChars="200"/>
              <w:rPr>
                <w:rFonts w:hint="default" w:ascii="Times New Roman" w:hAnsi="Times New Roman" w:eastAsia="宋体" w:cs="Times New Roman"/>
                <w:b/>
                <w:bCs w:val="0"/>
                <w:color w:val="000000" w:themeColor="text1"/>
                <w:sz w:val="24"/>
                <w:szCs w:val="28"/>
                <w14:textFill>
                  <w14:solidFill>
                    <w14:schemeClr w14:val="tx1"/>
                  </w14:solidFill>
                </w14:textFill>
              </w:rPr>
            </w:pPr>
            <w:r>
              <w:rPr>
                <w:rFonts w:hint="default" w:ascii="Times New Roman" w:hAnsi="Times New Roman" w:eastAsia="黑体" w:cs="Times New Roman"/>
                <w:b/>
                <w:bCs w:val="0"/>
                <w:color w:val="000000" w:themeColor="text1"/>
                <w:sz w:val="24"/>
                <w:szCs w:val="28"/>
                <w:lang w:val="en-US" w:eastAsia="zh-CN"/>
                <w14:textFill>
                  <w14:solidFill>
                    <w14:schemeClr w14:val="tx1"/>
                  </w14:solidFill>
                </w14:textFill>
              </w:rPr>
              <w:t>3</w:t>
            </w:r>
            <w:r>
              <w:rPr>
                <w:rFonts w:hint="eastAsia" w:eastAsia="黑体"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固体废物</w:t>
            </w:r>
          </w:p>
          <w:p w14:paraId="0B1D1CF3">
            <w:pPr>
              <w:adjustRightInd w:val="0"/>
              <w:snapToGrid w:val="0"/>
              <w:spacing w:line="360" w:lineRule="auto"/>
              <w:ind w:firstLine="480" w:firstLineChars="200"/>
              <w:jc w:val="left"/>
              <w:rPr>
                <w:rFonts w:hint="default" w:ascii="Times New Roman" w:hAnsi="Times New Roman" w:cs="Times New Roman"/>
                <w:bCs/>
                <w:color w:val="000000" w:themeColor="text1"/>
                <w:sz w:val="24"/>
                <w:lang w:bidi="ar"/>
                <w14:textFill>
                  <w14:solidFill>
                    <w14:schemeClr w14:val="tx1"/>
                  </w14:solidFill>
                </w14:textFill>
              </w:rPr>
            </w:pPr>
            <w:bookmarkStart w:id="4" w:name="_Hlk41382555"/>
            <w:r>
              <w:rPr>
                <w:rFonts w:hint="default" w:ascii="Times New Roman" w:hAnsi="Times New Roman" w:cs="Times New Roman"/>
                <w:color w:val="000000" w:themeColor="text1"/>
                <w:sz w:val="24"/>
                <w14:textFill>
                  <w14:solidFill>
                    <w14:schemeClr w14:val="tx1"/>
                  </w14:solidFill>
                </w14:textFill>
              </w:rPr>
              <w:t>本项目固体废物的处理、处置均应满足《中华人民共和国固体废物污染环境防治法</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的有关规定要求</w:t>
            </w:r>
            <w:r>
              <w:rPr>
                <w:rFonts w:hint="default" w:ascii="Times New Roman" w:hAnsi="Times New Roman" w:cs="Times New Roman"/>
                <w:bCs/>
                <w:color w:val="000000" w:themeColor="text1"/>
                <w:sz w:val="24"/>
                <w:lang w:bidi="ar"/>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采用库房、包装工具（罐、桶、包装袋等）贮存一般工业固体废物过程的污染控制，其贮存过程应满足相应防渗漏、防雨淋、防扬尘等环境保护要求</w:t>
            </w:r>
            <w:r>
              <w:rPr>
                <w:rFonts w:hint="default" w:ascii="Times New Roman" w:hAnsi="Times New Roman" w:cs="Times New Roman"/>
                <w:bCs/>
                <w:color w:val="000000" w:themeColor="text1"/>
                <w:sz w:val="24"/>
                <w:lang w:bidi="ar"/>
                <w14:textFill>
                  <w14:solidFill>
                    <w14:schemeClr w14:val="tx1"/>
                  </w14:solidFill>
                </w14:textFill>
              </w:rPr>
              <w:t>。</w:t>
            </w:r>
          </w:p>
          <w:bookmarkEnd w:id="4"/>
          <w:p w14:paraId="0F88704C">
            <w:pPr>
              <w:adjustRightInd w:val="0"/>
              <w:snapToGrid w:val="0"/>
              <w:spacing w:line="360" w:lineRule="auto"/>
              <w:ind w:firstLine="420" w:firstLineChars="200"/>
              <w:jc w:val="left"/>
              <w:rPr>
                <w:rFonts w:hint="default" w:ascii="Times New Roman" w:hAnsi="Times New Roman" w:cs="Times New Roman"/>
                <w:color w:val="000000" w:themeColor="text1"/>
                <w:kern w:val="0"/>
                <w:szCs w:val="21"/>
                <w14:textFill>
                  <w14:solidFill>
                    <w14:schemeClr w14:val="tx1"/>
                  </w14:solidFill>
                </w14:textFill>
              </w:rPr>
            </w:pPr>
          </w:p>
        </w:tc>
      </w:tr>
      <w:tr w14:paraId="2B971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426" w:type="dxa"/>
            <w:noWrap w:val="0"/>
            <w:vAlign w:val="center"/>
          </w:tcPr>
          <w:p w14:paraId="56BCD5B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总量</w:t>
            </w:r>
          </w:p>
          <w:p w14:paraId="76A9F83F">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控制</w:t>
            </w:r>
          </w:p>
          <w:p w14:paraId="4CF725FA">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指标</w:t>
            </w:r>
          </w:p>
        </w:tc>
        <w:tc>
          <w:tcPr>
            <w:tcW w:w="8635" w:type="dxa"/>
            <w:noWrap w:val="0"/>
            <w:vAlign w:val="center"/>
          </w:tcPr>
          <w:p w14:paraId="211135C2">
            <w:pPr>
              <w:spacing w:line="360" w:lineRule="auto"/>
              <w:ind w:firstLine="480" w:firstLineChars="200"/>
              <w:jc w:val="both"/>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根据“十四五”期间总量控制要求，并结合本项目实际情况，本项目涉及的总量控制指标为氮氧化物。本项目涉及的总量控制</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建议</w:t>
            </w:r>
            <w:r>
              <w:rPr>
                <w:rFonts w:hint="default" w:ascii="Times New Roman" w:hAnsi="Times New Roman" w:eastAsia="宋体" w:cs="Times New Roman"/>
                <w:color w:val="000000" w:themeColor="text1"/>
                <w:sz w:val="24"/>
                <w:szCs w:val="32"/>
                <w14:textFill>
                  <w14:solidFill>
                    <w14:schemeClr w14:val="tx1"/>
                  </w14:solidFill>
                </w14:textFill>
              </w:rPr>
              <w:t>为</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氮氧化物：0.</w:t>
            </w:r>
            <w:r>
              <w:rPr>
                <w:rFonts w:hint="eastAsia" w:cs="Times New Roman"/>
                <w:color w:val="000000" w:themeColor="text1"/>
                <w:sz w:val="24"/>
                <w:szCs w:val="32"/>
                <w:lang w:val="en-US" w:eastAsia="zh-CN"/>
                <w14:textFill>
                  <w14:solidFill>
                    <w14:schemeClr w14:val="tx1"/>
                  </w14:solidFill>
                </w14:textFill>
              </w:rPr>
              <w:t>56</w:t>
            </w:r>
            <w:r>
              <w:rPr>
                <w:rFonts w:hint="default" w:ascii="Times New Roman" w:hAnsi="Times New Roman" w:eastAsia="宋体" w:cs="Times New Roman"/>
                <w:color w:val="000000" w:themeColor="text1"/>
                <w:sz w:val="24"/>
                <w:szCs w:val="32"/>
                <w14:textFill>
                  <w14:solidFill>
                    <w14:schemeClr w14:val="tx1"/>
                  </w14:solidFill>
                </w14:textFill>
              </w:rPr>
              <w:t>t/a</w:t>
            </w:r>
            <w:r>
              <w:rPr>
                <w:rFonts w:hint="default" w:ascii="Times New Roman" w:hAnsi="Times New Roman" w:eastAsia="宋体" w:cs="Times New Roman"/>
                <w:color w:val="000000" w:themeColor="text1"/>
                <w:sz w:val="24"/>
                <w:szCs w:val="32"/>
                <w:lang w:eastAsia="zh-CN"/>
                <w14:textFill>
                  <w14:solidFill>
                    <w14:schemeClr w14:val="tx1"/>
                  </w14:solidFill>
                </w14:textFill>
              </w:rPr>
              <w:t>。</w:t>
            </w:r>
          </w:p>
          <w:p w14:paraId="79D37E64">
            <w:pPr>
              <w:spacing w:line="360" w:lineRule="auto"/>
              <w:ind w:firstLine="480" w:firstLineChars="200"/>
              <w:jc w:val="both"/>
              <w:rPr>
                <w:rFonts w:hint="default" w:ascii="Times New Roman" w:hAnsi="Times New Roman" w:eastAsia="宋体" w:cs="Times New Roman"/>
                <w:color w:val="000000" w:themeColor="text1"/>
                <w:sz w:val="24"/>
                <w:szCs w:val="32"/>
                <w14:textFill>
                  <w14:solidFill>
                    <w14:schemeClr w14:val="tx1"/>
                  </w14:solidFill>
                </w14:textFill>
              </w:rPr>
            </w:pPr>
            <w:r>
              <w:rPr>
                <w:rFonts w:hint="eastAsia"/>
                <w:color w:val="000000" w:themeColor="text1"/>
                <w:sz w:val="24"/>
                <w:szCs w:val="20"/>
                <w:lang w:val="en-US" w:eastAsia="zh-CN"/>
                <w14:textFill>
                  <w14:solidFill>
                    <w14:schemeClr w14:val="tx1"/>
                  </w14:solidFill>
                </w14:textFill>
              </w:rPr>
              <w:t>要求企业根据《陕西省主要污染物排污权有偿使用和交易试点实施方案（试行）》（陕政办发〔2016〕51号）要求，在办理排污许可证或实际排污前，参加排污权交易，取得主要污染物排污权。</w:t>
            </w:r>
          </w:p>
          <w:p w14:paraId="41323886">
            <w:pPr>
              <w:spacing w:line="360" w:lineRule="auto"/>
              <w:jc w:val="both"/>
              <w:rPr>
                <w:rFonts w:hint="default" w:ascii="Times New Roman" w:hAnsi="Times New Roman" w:eastAsia="宋体" w:cs="Times New Roman"/>
                <w:color w:val="000000" w:themeColor="text1"/>
                <w:sz w:val="24"/>
                <w:szCs w:val="32"/>
                <w14:textFill>
                  <w14:solidFill>
                    <w14:schemeClr w14:val="tx1"/>
                  </w14:solidFill>
                </w14:textFill>
              </w:rPr>
            </w:pPr>
          </w:p>
        </w:tc>
      </w:tr>
    </w:tbl>
    <w:p w14:paraId="09472710">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6"/>
          <w:szCs w:val="36"/>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p>
    <w:tbl>
      <w:tblPr>
        <w:tblStyle w:val="3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0"/>
        <w:gridCol w:w="8701"/>
      </w:tblGrid>
      <w:tr w14:paraId="4BC29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6" w:hRule="atLeast"/>
          <w:jc w:val="center"/>
        </w:trPr>
        <w:tc>
          <w:tcPr>
            <w:tcW w:w="487" w:type="dxa"/>
            <w:noWrap w:val="0"/>
            <w:tcMar>
              <w:left w:w="28" w:type="dxa"/>
              <w:right w:w="28" w:type="dxa"/>
            </w:tcMar>
            <w:vAlign w:val="center"/>
          </w:tcPr>
          <w:p w14:paraId="2961672A">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施工</w:t>
            </w:r>
          </w:p>
          <w:p w14:paraId="668EC6A8">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期环</w:t>
            </w:r>
          </w:p>
          <w:p w14:paraId="6561373A">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境保</w:t>
            </w:r>
          </w:p>
          <w:p w14:paraId="7E268788">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护措</w:t>
            </w:r>
          </w:p>
          <w:p w14:paraId="1B0C8DC2">
            <w:pPr>
              <w:pStyle w:val="26"/>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8494" w:type="dxa"/>
            <w:noWrap w:val="0"/>
            <w:vAlign w:val="center"/>
          </w:tcPr>
          <w:p w14:paraId="0EA9303F">
            <w:pPr>
              <w:adjustRightInd w:val="0"/>
              <w:snapToGrid w:val="0"/>
              <w:spacing w:line="360" w:lineRule="auto"/>
              <w:ind w:firstLine="480" w:firstLineChars="200"/>
              <w:rPr>
                <w:rFonts w:hint="eastAsia"/>
                <w:bCs/>
                <w:color w:val="000000" w:themeColor="text1"/>
                <w:kern w:val="0"/>
                <w:sz w:val="24"/>
                <w:lang w:eastAsia="zh-CN"/>
                <w14:textFill>
                  <w14:solidFill>
                    <w14:schemeClr w14:val="tx1"/>
                  </w14:solidFill>
                </w14:textFill>
              </w:rPr>
            </w:pPr>
            <w:r>
              <w:rPr>
                <w:rFonts w:hint="default" w:ascii="Times New Roman" w:hAnsi="Times New Roman" w:cs="Times New Roman"/>
                <w:bCs/>
                <w:color w:val="000000" w:themeColor="text1"/>
                <w:kern w:val="44"/>
                <w:sz w:val="24"/>
                <w:szCs w:val="24"/>
                <w:lang w:val="en-US" w:eastAsia="zh-CN"/>
                <w14:textFill>
                  <w14:solidFill>
                    <w14:schemeClr w14:val="tx1"/>
                  </w14:solidFill>
                </w14:textFill>
              </w:rPr>
              <w:t>本项目</w:t>
            </w:r>
            <w:r>
              <w:rPr>
                <w:rFonts w:hint="eastAsia" w:ascii="Times New Roman" w:hAnsi="Times New Roman" w:cs="Times New Roman"/>
                <w:bCs/>
                <w:color w:val="000000" w:themeColor="text1"/>
                <w:kern w:val="44"/>
                <w:sz w:val="24"/>
                <w:szCs w:val="24"/>
                <w:lang w:val="en-US" w:eastAsia="zh-CN"/>
                <w14:textFill>
                  <w14:solidFill>
                    <w14:schemeClr w14:val="tx1"/>
                  </w14:solidFill>
                </w14:textFill>
              </w:rPr>
              <w:t>施工期主要对锅炉房内原有锅炉及治理设施进行拆除，锅炉房主要为砖混结构，施工期不涉及土石方，主要环境影响为</w:t>
            </w:r>
            <w:r>
              <w:rPr>
                <w:rFonts w:hint="eastAsia"/>
                <w:bCs/>
                <w:color w:val="000000" w:themeColor="text1"/>
                <w:kern w:val="0"/>
                <w:sz w:val="24"/>
                <w:lang w:val="en-US" w:eastAsia="zh-CN"/>
                <w14:textFill>
                  <w14:solidFill>
                    <w14:schemeClr w14:val="tx1"/>
                  </w14:solidFill>
                </w14:textFill>
              </w:rPr>
              <w:t>锅炉</w:t>
            </w:r>
            <w:r>
              <w:rPr>
                <w:rFonts w:hint="eastAsia"/>
                <w:bCs/>
                <w:color w:val="000000" w:themeColor="text1"/>
                <w:kern w:val="0"/>
                <w:sz w:val="24"/>
                <w:lang w:eastAsia="zh-CN"/>
                <w14:textFill>
                  <w14:solidFill>
                    <w14:schemeClr w14:val="tx1"/>
                  </w14:solidFill>
                </w14:textFill>
              </w:rPr>
              <w:t>的拆除及安装过程，需进行少量焊接、切割工作，因此会产生一定的废气及噪声。</w:t>
            </w:r>
          </w:p>
          <w:p w14:paraId="669F1010">
            <w:pPr>
              <w:adjustRightInd w:val="0"/>
              <w:snapToGrid w:val="0"/>
              <w:spacing w:line="360" w:lineRule="auto"/>
              <w:ind w:firstLine="480" w:firstLineChars="200"/>
              <w:rPr>
                <w:rFonts w:hint="default"/>
                <w:bCs/>
                <w:color w:val="000000" w:themeColor="text1"/>
                <w:kern w:val="0"/>
                <w:sz w:val="24"/>
                <w:lang w:val="en-US"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（1）评价要求施工作业尽量在生产车间内进行，减少露天焊接和切割，随着施工期的结束，废气的影响将消失，对周围环境的影响也随之消失。</w:t>
            </w:r>
          </w:p>
          <w:p w14:paraId="163F1AD8">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2</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对</w:t>
            </w:r>
            <w:r>
              <w:rPr>
                <w:rFonts w:hint="eastAsia"/>
                <w:bCs/>
                <w:color w:val="000000" w:themeColor="text1"/>
                <w:kern w:val="0"/>
                <w:sz w:val="24"/>
                <w:lang w:eastAsia="zh-CN"/>
                <w14:textFill>
                  <w14:solidFill>
                    <w14:schemeClr w14:val="tx1"/>
                  </w14:solidFill>
                </w14:textFill>
              </w:rPr>
              <w:t>施工期产生的</w:t>
            </w:r>
            <w:r>
              <w:rPr>
                <w:rFonts w:hint="eastAsia"/>
                <w:bCs/>
                <w:color w:val="000000" w:themeColor="text1"/>
                <w:kern w:val="0"/>
                <w:sz w:val="24"/>
                <w14:textFill>
                  <w14:solidFill>
                    <w14:schemeClr w14:val="tx1"/>
                  </w14:solidFill>
                </w14:textFill>
              </w:rPr>
              <w:t xml:space="preserve">噪声控制提出以下措施： </w:t>
            </w:r>
          </w:p>
          <w:p w14:paraId="16BAE663">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①严格控制施工时间，合理安排施工计划，避开夜间、昼间午休时间施工，以免产生扰民现象。</w:t>
            </w:r>
          </w:p>
          <w:p w14:paraId="6E43F0A5">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②要求施工单位进行文明施工，减轻施工期间施工人员产生的社会噪声对</w:t>
            </w:r>
            <w:r>
              <w:rPr>
                <w:rFonts w:hint="eastAsia"/>
                <w:bCs/>
                <w:color w:val="000000" w:themeColor="text1"/>
                <w:kern w:val="0"/>
                <w:sz w:val="24"/>
                <w:lang w:eastAsia="zh-CN"/>
                <w14:textFill>
                  <w14:solidFill>
                    <w14:schemeClr w14:val="tx1"/>
                  </w14:solidFill>
                </w14:textFill>
              </w:rPr>
              <w:t>周围环境</w:t>
            </w:r>
            <w:r>
              <w:rPr>
                <w:rFonts w:hint="eastAsia"/>
                <w:bCs/>
                <w:color w:val="000000" w:themeColor="text1"/>
                <w:kern w:val="0"/>
                <w:sz w:val="24"/>
                <w14:textFill>
                  <w14:solidFill>
                    <w14:schemeClr w14:val="tx1"/>
                  </w14:solidFill>
                </w14:textFill>
              </w:rPr>
              <w:t>的影响。</w:t>
            </w:r>
          </w:p>
          <w:p w14:paraId="31F837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宋体"/>
                <w:bCs/>
                <w:color w:val="000000" w:themeColor="text1"/>
                <w:kern w:val="0"/>
                <w:sz w:val="24"/>
                <w:lang w:eastAsia="zh-CN"/>
                <w14:textFill>
                  <w14:solidFill>
                    <w14:schemeClr w14:val="tx1"/>
                  </w14:solidFill>
                </w14:textFill>
              </w:rPr>
            </w:pP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3</w:t>
            </w:r>
            <w:r>
              <w:rPr>
                <w:rFonts w:hint="eastAsia"/>
                <w:bCs/>
                <w:color w:val="000000" w:themeColor="text1"/>
                <w:kern w:val="0"/>
                <w:sz w:val="24"/>
                <w:lang w:eastAsia="zh-CN"/>
                <w14:textFill>
                  <w14:solidFill>
                    <w14:schemeClr w14:val="tx1"/>
                  </w14:solidFill>
                </w14:textFill>
              </w:rPr>
              <w:t>）本项目施工期较短，工程量较小，施工过程中人员产生的生活污水</w:t>
            </w:r>
            <w:r>
              <w:rPr>
                <w:rFonts w:hint="eastAsia"/>
                <w:bCs/>
                <w:color w:val="000000" w:themeColor="text1"/>
                <w:kern w:val="0"/>
                <w:sz w:val="24"/>
                <w:lang w:val="en-US" w:eastAsia="zh-CN"/>
                <w14:textFill>
                  <w14:solidFill>
                    <w14:schemeClr w14:val="tx1"/>
                  </w14:solidFill>
                </w14:textFill>
              </w:rPr>
              <w:t>依托厂区原有项目化粪池处理后拉运堆肥</w:t>
            </w:r>
            <w:r>
              <w:rPr>
                <w:rFonts w:hint="eastAsia"/>
                <w:bCs/>
                <w:color w:val="000000" w:themeColor="text1"/>
                <w:kern w:val="0"/>
                <w:sz w:val="24"/>
                <w:lang w:eastAsia="zh-CN"/>
                <w14:textFill>
                  <w14:solidFill>
                    <w14:schemeClr w14:val="tx1"/>
                  </w14:solidFill>
                </w14:textFill>
              </w:rPr>
              <w:t>。</w:t>
            </w:r>
          </w:p>
          <w:p w14:paraId="1B66DCA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eastAsia="宋体"/>
                <w:bCs/>
                <w:color w:val="000000" w:themeColor="text1"/>
                <w:kern w:val="0"/>
                <w:sz w:val="24"/>
                <w:lang w:val="en-US" w:eastAsia="zh-CN"/>
                <w14:textFill>
                  <w14:solidFill>
                    <w14:schemeClr w14:val="tx1"/>
                  </w14:solidFill>
                </w14:textFill>
              </w:rPr>
            </w:pP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4</w:t>
            </w:r>
            <w:r>
              <w:rPr>
                <w:rFonts w:hint="eastAsia"/>
                <w:bCs/>
                <w:color w:val="000000" w:themeColor="text1"/>
                <w:kern w:val="0"/>
                <w:sz w:val="24"/>
                <w:lang w:eastAsia="zh-CN"/>
                <w14:textFill>
                  <w14:solidFill>
                    <w14:schemeClr w14:val="tx1"/>
                  </w14:solidFill>
                </w14:textFill>
              </w:rPr>
              <w:t>）施工过程中产生的固体废物主要为施工材料的废外包装、切割废料及施工人员的生活垃圾，依托厂区生活垃圾桶对生活垃圾进行收集，定期交由环卫部门清运处置；废外包装、切割废料经收集后外售至物资回收公司综合利用。</w:t>
            </w:r>
          </w:p>
          <w:p w14:paraId="26129D4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bCs/>
                <w:color w:val="000000" w:themeColor="text1"/>
                <w:kern w:val="0"/>
                <w:sz w:val="24"/>
                <w:lang w:eastAsia="zh-CN"/>
                <w14:textFill>
                  <w14:solidFill>
                    <w14:schemeClr w14:val="tx1"/>
                  </w14:solidFill>
                </w14:textFill>
              </w:rPr>
              <w:t>通过上述措施，</w:t>
            </w:r>
            <w:r>
              <w:rPr>
                <w:rFonts w:hint="eastAsia"/>
                <w:bCs/>
                <w:color w:val="000000" w:themeColor="text1"/>
                <w:kern w:val="0"/>
                <w:sz w:val="24"/>
                <w14:textFill>
                  <w14:solidFill>
                    <w14:schemeClr w14:val="tx1"/>
                  </w14:solidFill>
                </w14:textFill>
              </w:rPr>
              <w:t>本项目施工期较短，随着施工期的结束，施工期</w:t>
            </w:r>
            <w:r>
              <w:rPr>
                <w:rFonts w:hint="eastAsia"/>
                <w:bCs/>
                <w:color w:val="000000" w:themeColor="text1"/>
                <w:kern w:val="0"/>
                <w:sz w:val="24"/>
                <w:lang w:eastAsia="zh-CN"/>
                <w14:textFill>
                  <w14:solidFill>
                    <w14:schemeClr w14:val="tx1"/>
                  </w14:solidFill>
                </w14:textFill>
              </w:rPr>
              <w:t>的污染</w:t>
            </w:r>
            <w:r>
              <w:rPr>
                <w:rFonts w:hint="eastAsia"/>
                <w:bCs/>
                <w:color w:val="000000" w:themeColor="text1"/>
                <w:kern w:val="0"/>
                <w:sz w:val="24"/>
                <w:lang w:val="en-US" w:eastAsia="zh-CN"/>
                <w14:textFill>
                  <w14:solidFill>
                    <w14:schemeClr w14:val="tx1"/>
                  </w14:solidFill>
                </w14:textFill>
              </w:rPr>
              <w:t>也</w:t>
            </w:r>
            <w:r>
              <w:rPr>
                <w:rFonts w:hint="eastAsia"/>
                <w:bCs/>
                <w:color w:val="000000" w:themeColor="text1"/>
                <w:kern w:val="0"/>
                <w:sz w:val="24"/>
                <w14:textFill>
                  <w14:solidFill>
                    <w14:schemeClr w14:val="tx1"/>
                  </w14:solidFill>
                </w14:textFill>
              </w:rPr>
              <w:t>随之结束，对周围环境影响较小。</w:t>
            </w:r>
          </w:p>
        </w:tc>
      </w:tr>
      <w:tr w14:paraId="43B56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noWrap w:val="0"/>
            <w:tcMar>
              <w:left w:w="28" w:type="dxa"/>
              <w:right w:w="28" w:type="dxa"/>
            </w:tcMar>
            <w:vAlign w:val="center"/>
          </w:tcPr>
          <w:p w14:paraId="14DE6F1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717636C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52E63178">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52F46C0F">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1187CF17">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710BCE29">
            <w:pPr>
              <w:adjustRightInd w:val="0"/>
              <w:snapToGrid w:val="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8494" w:type="dxa"/>
            <w:noWrap w:val="0"/>
            <w:vAlign w:val="center"/>
          </w:tcPr>
          <w:p w14:paraId="4C41F4A4">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黑体" w:cs="Times New Roman"/>
                <w:bCs/>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一、运营期大气环境影响和保护措施</w:t>
            </w:r>
          </w:p>
          <w:p w14:paraId="21C19C5F">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黑体" w:cs="Times New Roman"/>
                <w:bCs/>
                <w:color w:val="000000" w:themeColor="text1"/>
                <w:sz w:val="24"/>
                <w:szCs w:val="28"/>
                <w14:textFill>
                  <w14:solidFill>
                    <w14:schemeClr w14:val="tx1"/>
                  </w14:solidFill>
                </w14:textFill>
              </w:rPr>
            </w:pPr>
            <w:r>
              <w:rPr>
                <w:rFonts w:hint="default" w:ascii="Times New Roman" w:hAnsi="Times New Roman" w:eastAsia="宋体" w:cs="Times New Roman"/>
                <w:b/>
                <w:bCs w:val="0"/>
                <w:color w:val="000000" w:themeColor="text1"/>
                <w:sz w:val="24"/>
                <w:szCs w:val="28"/>
                <w14:textFill>
                  <w14:solidFill>
                    <w14:schemeClr w14:val="tx1"/>
                  </w14:solidFill>
                </w14:textFill>
              </w:rPr>
              <w:t>1</w:t>
            </w:r>
            <w:r>
              <w:rPr>
                <w:rFonts w:hint="eastAsia"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大气环境污染工序、源强分析及影响分析</w:t>
            </w:r>
          </w:p>
          <w:p w14:paraId="78033A63">
            <w:pPr>
              <w:keepNext/>
              <w:keepLines/>
              <w:pageBreakBefore w:val="0"/>
              <w:widowControl/>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color w:val="000000" w:themeColor="text1"/>
                <w:sz w:val="24"/>
                <w:szCs w:val="22"/>
                <w:lang w:eastAsia="zh-CN"/>
                <w14:textFill>
                  <w14:solidFill>
                    <w14:schemeClr w14:val="tx1"/>
                  </w14:solidFill>
                </w14:textFill>
              </w:rPr>
            </w:pPr>
            <w:r>
              <w:rPr>
                <w:rFonts w:hint="default" w:ascii="Times New Roman" w:hAnsi="Times New Roman" w:cs="Times New Roman"/>
                <w:color w:val="000000" w:themeColor="text1"/>
                <w:sz w:val="24"/>
                <w:szCs w:val="22"/>
                <w:lang w:val="en-US" w:eastAsia="zh-CN"/>
                <w14:textFill>
                  <w14:solidFill>
                    <w14:schemeClr w14:val="tx1"/>
                  </w14:solidFill>
                </w14:textFill>
              </w:rPr>
              <w:t>1</w:t>
            </w:r>
            <w:r>
              <w:rPr>
                <w:rFonts w:hint="default" w:ascii="Times New Roman" w:hAnsi="Times New Roman" w:cs="Times New Roman"/>
                <w:color w:val="000000" w:themeColor="text1"/>
                <w:sz w:val="24"/>
                <w:szCs w:val="22"/>
                <w:lang w:eastAsia="zh-CN"/>
                <w14:textFill>
                  <w14:solidFill>
                    <w14:schemeClr w14:val="tx1"/>
                  </w14:solidFill>
                </w14:textFill>
              </w:rPr>
              <w:t>）废气产排污情况一览表</w:t>
            </w:r>
          </w:p>
          <w:p w14:paraId="6FC7C268">
            <w:pPr>
              <w:keepNext/>
              <w:keepLines/>
              <w:pageBreakBefore w:val="0"/>
              <w:widowControl/>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本项目运营期</w:t>
            </w:r>
            <w:r>
              <w:rPr>
                <w:rFonts w:hint="eastAsia" w:cs="Times New Roman"/>
                <w:color w:val="000000" w:themeColor="text1"/>
                <w:sz w:val="24"/>
                <w:szCs w:val="22"/>
                <w:lang w:val="en-US" w:eastAsia="zh-CN"/>
                <w14:textFill>
                  <w14:solidFill>
                    <w14:schemeClr w14:val="tx1"/>
                  </w14:solidFill>
                </w14:textFill>
              </w:rPr>
              <w:t>产生的</w:t>
            </w:r>
            <w:r>
              <w:rPr>
                <w:rFonts w:hint="default" w:ascii="Times New Roman" w:hAnsi="Times New Roman" w:cs="Times New Roman"/>
                <w:color w:val="000000" w:themeColor="text1"/>
                <w:sz w:val="24"/>
                <w:szCs w:val="22"/>
                <w14:textFill>
                  <w14:solidFill>
                    <w14:schemeClr w14:val="tx1"/>
                  </w14:solidFill>
                </w14:textFill>
              </w:rPr>
              <w:t>废气</w:t>
            </w:r>
            <w:r>
              <w:rPr>
                <w:rFonts w:hint="default" w:ascii="Times New Roman" w:hAnsi="Times New Roman" w:cs="Times New Roman"/>
                <w:color w:val="000000" w:themeColor="text1"/>
                <w:sz w:val="24"/>
                <w:szCs w:val="22"/>
                <w:lang w:eastAsia="zh-CN"/>
                <w14:textFill>
                  <w14:solidFill>
                    <w14:schemeClr w14:val="tx1"/>
                  </w14:solidFill>
                </w14:textFill>
              </w:rPr>
              <w:t>主要为</w:t>
            </w:r>
            <w:r>
              <w:rPr>
                <w:rFonts w:hint="default" w:ascii="Times New Roman" w:hAnsi="Times New Roman" w:cs="Times New Roman"/>
                <w:color w:val="000000" w:themeColor="text1"/>
                <w:sz w:val="24"/>
                <w:szCs w:val="22"/>
                <w:lang w:val="en-US" w:eastAsia="zh-CN"/>
                <w14:textFill>
                  <w14:solidFill>
                    <w14:schemeClr w14:val="tx1"/>
                  </w14:solidFill>
                </w14:textFill>
              </w:rPr>
              <w:t>锅炉运行产生的废气</w:t>
            </w:r>
            <w:r>
              <w:rPr>
                <w:rFonts w:hint="default" w:ascii="Times New Roman" w:hAnsi="Times New Roman" w:cs="Times New Roman"/>
                <w:color w:val="000000" w:themeColor="text1"/>
                <w:sz w:val="24"/>
                <w:szCs w:val="22"/>
                <w14:textFill>
                  <w14:solidFill>
                    <w14:schemeClr w14:val="tx1"/>
                  </w14:solidFill>
                </w14:textFill>
              </w:rPr>
              <w:t>。</w:t>
            </w:r>
          </w:p>
          <w:p w14:paraId="2E394DF6">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表4-1  项目废气产排污情况一览表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304"/>
              <w:gridCol w:w="1442"/>
              <w:gridCol w:w="1608"/>
              <w:gridCol w:w="1155"/>
              <w:gridCol w:w="2232"/>
            </w:tblGrid>
            <w:tr w14:paraId="4C738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675ED8F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产污环节</w:t>
                  </w:r>
                </w:p>
              </w:tc>
              <w:tc>
                <w:tcPr>
                  <w:tcW w:w="3807" w:type="pct"/>
                  <w:gridSpan w:val="4"/>
                  <w:tcBorders>
                    <w:tl2br w:val="nil"/>
                    <w:tr2bl w:val="nil"/>
                  </w:tcBorders>
                  <w:noWrap w:val="0"/>
                  <w:vAlign w:val="center"/>
                </w:tcPr>
                <w:p w14:paraId="469A1C2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锅炉</w:t>
                  </w:r>
                </w:p>
              </w:tc>
            </w:tr>
            <w:tr w14:paraId="247AA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15B6595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污染物种类</w:t>
                  </w:r>
                </w:p>
              </w:tc>
              <w:tc>
                <w:tcPr>
                  <w:tcW w:w="853" w:type="pct"/>
                  <w:tcBorders>
                    <w:tl2br w:val="nil"/>
                    <w:tr2bl w:val="nil"/>
                  </w:tcBorders>
                  <w:noWrap w:val="0"/>
                  <w:vAlign w:val="center"/>
                </w:tcPr>
                <w:p w14:paraId="237A703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951" w:type="pct"/>
                  <w:tcBorders>
                    <w:tl2br w:val="nil"/>
                    <w:tr2bl w:val="nil"/>
                  </w:tcBorders>
                  <w:noWrap w:val="0"/>
                  <w:vAlign w:val="center"/>
                </w:tcPr>
                <w:p w14:paraId="4E9A682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氮氧化物</w:t>
                  </w:r>
                </w:p>
              </w:tc>
              <w:tc>
                <w:tcPr>
                  <w:tcW w:w="683" w:type="pct"/>
                  <w:tcBorders>
                    <w:tl2br w:val="nil"/>
                    <w:tr2bl w:val="nil"/>
                  </w:tcBorders>
                  <w:noWrap w:val="0"/>
                  <w:vAlign w:val="center"/>
                </w:tcPr>
                <w:p w14:paraId="5FF5CFB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二氧化硫</w:t>
                  </w:r>
                </w:p>
              </w:tc>
              <w:tc>
                <w:tcPr>
                  <w:tcW w:w="1320" w:type="pct"/>
                  <w:tcBorders>
                    <w:tl2br w:val="nil"/>
                    <w:tr2bl w:val="nil"/>
                  </w:tcBorders>
                  <w:noWrap w:val="0"/>
                  <w:vAlign w:val="center"/>
                </w:tcPr>
                <w:p w14:paraId="3435D55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氨</w:t>
                  </w:r>
                </w:p>
              </w:tc>
            </w:tr>
            <w:tr w14:paraId="7A0A1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5F3EEB6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污染物产生量（t/a）</w:t>
                  </w:r>
                </w:p>
              </w:tc>
              <w:tc>
                <w:tcPr>
                  <w:tcW w:w="853" w:type="pct"/>
                  <w:tcBorders>
                    <w:tl2br w:val="nil"/>
                    <w:tr2bl w:val="nil"/>
                  </w:tcBorders>
                  <w:noWrap w:val="0"/>
                  <w:vAlign w:val="center"/>
                </w:tcPr>
                <w:p w14:paraId="5EB0BBA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54</w:t>
                  </w:r>
                </w:p>
              </w:tc>
              <w:tc>
                <w:tcPr>
                  <w:tcW w:w="951" w:type="pct"/>
                  <w:tcBorders>
                    <w:tl2br w:val="nil"/>
                    <w:tr2bl w:val="nil"/>
                  </w:tcBorders>
                  <w:noWrap w:val="0"/>
                  <w:vAlign w:val="center"/>
                </w:tcPr>
                <w:p w14:paraId="293C590F">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1.10</w:t>
                  </w:r>
                </w:p>
              </w:tc>
              <w:tc>
                <w:tcPr>
                  <w:tcW w:w="683" w:type="pct"/>
                  <w:tcBorders>
                    <w:tl2br w:val="nil"/>
                    <w:tr2bl w:val="nil"/>
                  </w:tcBorders>
                  <w:noWrap w:val="0"/>
                  <w:vAlign w:val="center"/>
                </w:tcPr>
                <w:p w14:paraId="4C0F99B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0.001</w:t>
                  </w:r>
                  <w:r>
                    <w:rPr>
                      <w:rFonts w:hint="eastAsia" w:cs="Times New Roman"/>
                      <w:color w:val="000000" w:themeColor="text1"/>
                      <w:lang w:val="en-US" w:eastAsia="zh-CN"/>
                      <w14:textFill>
                        <w14:solidFill>
                          <w14:schemeClr w14:val="tx1"/>
                        </w14:solidFill>
                      </w14:textFill>
                    </w:rPr>
                    <w:t>8</w:t>
                  </w:r>
                </w:p>
              </w:tc>
              <w:tc>
                <w:tcPr>
                  <w:tcW w:w="1320" w:type="pct"/>
                  <w:tcBorders>
                    <w:tl2br w:val="nil"/>
                    <w:tr2bl w:val="nil"/>
                  </w:tcBorders>
                  <w:noWrap w:val="0"/>
                  <w:vAlign w:val="center"/>
                </w:tcPr>
                <w:p w14:paraId="1B8299A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033AD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53D0AA5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污染物产生浓度（mg/m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tc>
              <w:tc>
                <w:tcPr>
                  <w:tcW w:w="853" w:type="pct"/>
                  <w:tcBorders>
                    <w:tl2br w:val="nil"/>
                    <w:tr2bl w:val="nil"/>
                  </w:tcBorders>
                  <w:noWrap w:val="0"/>
                  <w:vAlign w:val="center"/>
                </w:tcPr>
                <w:p w14:paraId="00692C6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80.13</w:t>
                  </w:r>
                </w:p>
              </w:tc>
              <w:tc>
                <w:tcPr>
                  <w:tcW w:w="951" w:type="pct"/>
                  <w:tcBorders>
                    <w:tl2br w:val="nil"/>
                    <w:tr2bl w:val="nil"/>
                  </w:tcBorders>
                  <w:noWrap w:val="0"/>
                  <w:vAlign w:val="center"/>
                </w:tcPr>
                <w:p w14:paraId="6908727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163.4</w:t>
                  </w:r>
                  <w:r>
                    <w:rPr>
                      <w:rFonts w:hint="eastAsia" w:cs="Times New Roman"/>
                      <w:color w:val="000000" w:themeColor="text1"/>
                      <w:lang w:val="en-US" w:eastAsia="zh-CN"/>
                      <w14:textFill>
                        <w14:solidFill>
                          <w14:schemeClr w14:val="tx1"/>
                        </w14:solidFill>
                      </w14:textFill>
                    </w:rPr>
                    <w:t>7</w:t>
                  </w:r>
                </w:p>
              </w:tc>
              <w:tc>
                <w:tcPr>
                  <w:tcW w:w="683" w:type="pct"/>
                  <w:tcBorders>
                    <w:tl2br w:val="nil"/>
                    <w:tr2bl w:val="nil"/>
                  </w:tcBorders>
                  <w:noWrap w:val="0"/>
                  <w:vAlign w:val="center"/>
                </w:tcPr>
                <w:p w14:paraId="65B81253">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0.27</w:t>
                  </w:r>
                </w:p>
              </w:tc>
              <w:tc>
                <w:tcPr>
                  <w:tcW w:w="1320" w:type="pct"/>
                  <w:tcBorders>
                    <w:tl2br w:val="nil"/>
                    <w:tr2bl w:val="nil"/>
                  </w:tcBorders>
                  <w:noWrap w:val="0"/>
                  <w:vAlign w:val="center"/>
                </w:tcPr>
                <w:p w14:paraId="55EAA2A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2AD31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00D9D93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排放形式</w:t>
                  </w:r>
                </w:p>
              </w:tc>
              <w:tc>
                <w:tcPr>
                  <w:tcW w:w="3807" w:type="pct"/>
                  <w:gridSpan w:val="4"/>
                  <w:tcBorders>
                    <w:tl2br w:val="nil"/>
                    <w:tr2bl w:val="nil"/>
                  </w:tcBorders>
                  <w:noWrap w:val="0"/>
                  <w:vAlign w:val="center"/>
                </w:tcPr>
                <w:p w14:paraId="2A0D402C">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w:t>
                  </w:r>
                  <w:r>
                    <w:rPr>
                      <w:rFonts w:hint="default" w:ascii="Times New Roman" w:hAnsi="Times New Roman" w:eastAsia="宋体" w:cs="Times New Roman"/>
                      <w:color w:val="000000" w:themeColor="text1"/>
                      <w14:textFill>
                        <w14:solidFill>
                          <w14:schemeClr w14:val="tx1"/>
                        </w14:solidFill>
                      </w14:textFill>
                    </w:rPr>
                    <w:t>组织</w:t>
                  </w:r>
                </w:p>
              </w:tc>
            </w:tr>
            <w:tr w14:paraId="42ED0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restart"/>
                  <w:tcBorders>
                    <w:tl2br w:val="nil"/>
                    <w:tr2bl w:val="nil"/>
                  </w:tcBorders>
                  <w:noWrap w:val="0"/>
                  <w:vAlign w:val="center"/>
                </w:tcPr>
                <w:p w14:paraId="7FCA796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治理设施</w:t>
                  </w:r>
                </w:p>
              </w:tc>
              <w:tc>
                <w:tcPr>
                  <w:tcW w:w="771" w:type="pct"/>
                  <w:tcBorders>
                    <w:tl2br w:val="nil"/>
                    <w:tr2bl w:val="nil"/>
                  </w:tcBorders>
                  <w:noWrap w:val="0"/>
                  <w:vAlign w:val="center"/>
                </w:tcPr>
                <w:p w14:paraId="16C56A2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处理能力</w:t>
                  </w:r>
                </w:p>
              </w:tc>
              <w:tc>
                <w:tcPr>
                  <w:tcW w:w="2487" w:type="pct"/>
                  <w:gridSpan w:val="3"/>
                  <w:tcBorders>
                    <w:tl2br w:val="nil"/>
                    <w:tr2bl w:val="nil"/>
                  </w:tcBorders>
                  <w:noWrap w:val="0"/>
                  <w:vAlign w:val="center"/>
                </w:tcPr>
                <w:p w14:paraId="1DF6EE4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SNCR</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袋式除尘器（TA002）</w:t>
                  </w:r>
                </w:p>
              </w:tc>
              <w:tc>
                <w:tcPr>
                  <w:tcW w:w="1320" w:type="pct"/>
                  <w:tcBorders>
                    <w:tl2br w:val="nil"/>
                    <w:tr2bl w:val="nil"/>
                  </w:tcBorders>
                  <w:noWrap w:val="0"/>
                  <w:vAlign w:val="center"/>
                </w:tcPr>
                <w:p w14:paraId="20B4529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1CED3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2EE0497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7896A6F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收集</w:t>
                  </w:r>
                </w:p>
                <w:p w14:paraId="7A48C8E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效率</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w:t>
                  </w:r>
                </w:p>
              </w:tc>
              <w:tc>
                <w:tcPr>
                  <w:tcW w:w="2487" w:type="pct"/>
                  <w:gridSpan w:val="3"/>
                  <w:tcBorders>
                    <w:tl2br w:val="nil"/>
                    <w:tr2bl w:val="nil"/>
                  </w:tcBorders>
                  <w:noWrap w:val="0"/>
                  <w:vAlign w:val="center"/>
                </w:tcPr>
                <w:p w14:paraId="7B293F0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320" w:type="pct"/>
                  <w:tcBorders>
                    <w:tl2br w:val="nil"/>
                    <w:tr2bl w:val="nil"/>
                  </w:tcBorders>
                  <w:noWrap w:val="0"/>
                  <w:vAlign w:val="center"/>
                </w:tcPr>
                <w:p w14:paraId="3829031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64A38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256CB1D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4A0E5C7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治理工艺去除率</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w:t>
                  </w:r>
                </w:p>
              </w:tc>
              <w:tc>
                <w:tcPr>
                  <w:tcW w:w="853" w:type="pct"/>
                  <w:tcBorders>
                    <w:tl2br w:val="nil"/>
                    <w:tr2bl w:val="nil"/>
                  </w:tcBorders>
                  <w:noWrap w:val="0"/>
                  <w:vAlign w:val="center"/>
                </w:tcPr>
                <w:p w14:paraId="75AB07C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99.</w:t>
                  </w: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951" w:type="pct"/>
                  <w:tcBorders>
                    <w:tl2br w:val="nil"/>
                    <w:tr2bl w:val="nil"/>
                  </w:tcBorders>
                  <w:noWrap w:val="0"/>
                  <w:vAlign w:val="center"/>
                </w:tcPr>
                <w:p w14:paraId="740706B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49</w:t>
                  </w:r>
                </w:p>
              </w:tc>
              <w:tc>
                <w:tcPr>
                  <w:tcW w:w="683" w:type="pct"/>
                  <w:tcBorders>
                    <w:tl2br w:val="nil"/>
                    <w:tr2bl w:val="nil"/>
                  </w:tcBorders>
                  <w:noWrap w:val="0"/>
                  <w:vAlign w:val="center"/>
                </w:tcPr>
                <w:p w14:paraId="6A59226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320" w:type="pct"/>
                  <w:tcBorders>
                    <w:tl2br w:val="nil"/>
                    <w:tr2bl w:val="nil"/>
                  </w:tcBorders>
                  <w:noWrap w:val="0"/>
                  <w:vAlign w:val="center"/>
                </w:tcPr>
                <w:p w14:paraId="163FC64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1F26C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21" w:type="pct"/>
                  <w:vMerge w:val="continue"/>
                  <w:tcBorders>
                    <w:tl2br w:val="nil"/>
                    <w:tr2bl w:val="nil"/>
                  </w:tcBorders>
                  <w:noWrap w:val="0"/>
                  <w:vAlign w:val="center"/>
                </w:tcPr>
                <w:p w14:paraId="53A6B04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41ED377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是否为可行技术</w:t>
                  </w:r>
                </w:p>
              </w:tc>
              <w:tc>
                <w:tcPr>
                  <w:tcW w:w="2487" w:type="pct"/>
                  <w:gridSpan w:val="3"/>
                  <w:tcBorders>
                    <w:tl2br w:val="nil"/>
                    <w:tr2bl w:val="nil"/>
                  </w:tcBorders>
                  <w:noWrap w:val="0"/>
                  <w:vAlign w:val="center"/>
                </w:tcPr>
                <w:p w14:paraId="60A593D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p w14:paraId="2E0EAAA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是</w:t>
                  </w:r>
                </w:p>
              </w:tc>
              <w:tc>
                <w:tcPr>
                  <w:tcW w:w="1320" w:type="pct"/>
                  <w:tcBorders>
                    <w:tl2br w:val="nil"/>
                    <w:tr2bl w:val="nil"/>
                  </w:tcBorders>
                  <w:noWrap w:val="0"/>
                  <w:vAlign w:val="center"/>
                </w:tcPr>
                <w:p w14:paraId="1197770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0B379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54744B33">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污染物排放浓度（mg/</w:t>
                  </w:r>
                  <w:r>
                    <w:rPr>
                      <w:rFonts w:hint="default" w:ascii="Times New Roman" w:hAnsi="Times New Roman" w:eastAsia="宋体" w:cs="Times New Roman"/>
                      <w:color w:val="000000" w:themeColor="text1"/>
                      <w:lang w:val="en-US" w:eastAsia="zh-CN"/>
                      <w14:textFill>
                        <w14:solidFill>
                          <w14:schemeClr w14:val="tx1"/>
                        </w14:solidFill>
                      </w14:textFill>
                    </w:rPr>
                    <w:t>m³</w:t>
                  </w:r>
                  <w:r>
                    <w:rPr>
                      <w:rFonts w:hint="default" w:ascii="Times New Roman" w:hAnsi="Times New Roman" w:eastAsia="宋体" w:cs="Times New Roman"/>
                      <w:color w:val="000000" w:themeColor="text1"/>
                      <w14:textFill>
                        <w14:solidFill>
                          <w14:schemeClr w14:val="tx1"/>
                        </w14:solidFill>
                      </w14:textFill>
                    </w:rPr>
                    <w:t>）</w:t>
                  </w:r>
                </w:p>
              </w:tc>
              <w:tc>
                <w:tcPr>
                  <w:tcW w:w="853" w:type="pct"/>
                  <w:tcBorders>
                    <w:tl2br w:val="nil"/>
                    <w:tr2bl w:val="nil"/>
                  </w:tcBorders>
                  <w:noWrap w:val="0"/>
                  <w:vAlign w:val="center"/>
                </w:tcPr>
                <w:p w14:paraId="62DB84F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0.24</w:t>
                  </w:r>
                </w:p>
              </w:tc>
              <w:tc>
                <w:tcPr>
                  <w:tcW w:w="951" w:type="pct"/>
                  <w:tcBorders>
                    <w:tl2br w:val="nil"/>
                    <w:tr2bl w:val="nil"/>
                  </w:tcBorders>
                  <w:noWrap w:val="0"/>
                  <w:vAlign w:val="center"/>
                </w:tcPr>
                <w:p w14:paraId="350DFFC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83.37</w:t>
                  </w:r>
                </w:p>
              </w:tc>
              <w:tc>
                <w:tcPr>
                  <w:tcW w:w="683" w:type="pct"/>
                  <w:tcBorders>
                    <w:tl2br w:val="nil"/>
                    <w:tr2bl w:val="nil"/>
                  </w:tcBorders>
                  <w:noWrap w:val="0"/>
                  <w:vAlign w:val="center"/>
                </w:tcPr>
                <w:p w14:paraId="2788667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0.27</w:t>
                  </w:r>
                </w:p>
              </w:tc>
              <w:tc>
                <w:tcPr>
                  <w:tcW w:w="1320" w:type="pct"/>
                  <w:tcBorders>
                    <w:tl2br w:val="nil"/>
                    <w:tr2bl w:val="nil"/>
                  </w:tcBorders>
                  <w:noWrap w:val="0"/>
                  <w:vAlign w:val="center"/>
                </w:tcPr>
                <w:p w14:paraId="722FFD2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p>
              </w:tc>
            </w:tr>
            <w:tr w14:paraId="0FD65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4F972E4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污染物排放速率（kg/h）</w:t>
                  </w:r>
                </w:p>
              </w:tc>
              <w:tc>
                <w:tcPr>
                  <w:tcW w:w="853" w:type="pct"/>
                  <w:tcBorders>
                    <w:tl2br w:val="nil"/>
                    <w:tr2bl w:val="nil"/>
                  </w:tcBorders>
                  <w:noWrap w:val="0"/>
                  <w:vAlign w:val="center"/>
                </w:tcPr>
                <w:p w14:paraId="5C34F0C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0.0007</w:t>
                  </w:r>
                  <w:r>
                    <w:rPr>
                      <w:rFonts w:hint="eastAsia" w:cs="Times New Roman"/>
                      <w:color w:val="000000" w:themeColor="text1"/>
                      <w:lang w:val="en-US" w:eastAsia="zh-CN"/>
                      <w14:textFill>
                        <w14:solidFill>
                          <w14:schemeClr w14:val="tx1"/>
                        </w14:solidFill>
                      </w14:textFill>
                    </w:rPr>
                    <w:t>5</w:t>
                  </w:r>
                </w:p>
              </w:tc>
              <w:tc>
                <w:tcPr>
                  <w:tcW w:w="951" w:type="pct"/>
                  <w:tcBorders>
                    <w:tl2br w:val="nil"/>
                    <w:tr2bl w:val="nil"/>
                  </w:tcBorders>
                  <w:noWrap w:val="0"/>
                  <w:vAlign w:val="center"/>
                </w:tcPr>
                <w:p w14:paraId="2BD9752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0.26</w:t>
                  </w:r>
                </w:p>
              </w:tc>
              <w:tc>
                <w:tcPr>
                  <w:tcW w:w="683" w:type="pct"/>
                  <w:tcBorders>
                    <w:tl2br w:val="nil"/>
                    <w:tr2bl w:val="nil"/>
                  </w:tcBorders>
                  <w:noWrap w:val="0"/>
                  <w:vAlign w:val="center"/>
                </w:tcPr>
                <w:p w14:paraId="07D39F3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0.0008</w:t>
                  </w:r>
                  <w:r>
                    <w:rPr>
                      <w:rFonts w:hint="eastAsia" w:cs="Times New Roman"/>
                      <w:color w:val="000000" w:themeColor="text1"/>
                      <w:lang w:val="en-US" w:eastAsia="zh-CN"/>
                      <w14:textFill>
                        <w14:solidFill>
                          <w14:schemeClr w14:val="tx1"/>
                        </w14:solidFill>
                      </w14:textFill>
                    </w:rPr>
                    <w:t>5</w:t>
                  </w:r>
                </w:p>
              </w:tc>
              <w:tc>
                <w:tcPr>
                  <w:tcW w:w="1320" w:type="pct"/>
                  <w:tcBorders>
                    <w:tl2br w:val="nil"/>
                    <w:tr2bl w:val="nil"/>
                  </w:tcBorders>
                  <w:noWrap w:val="0"/>
                  <w:vAlign w:val="center"/>
                </w:tcPr>
                <w:p w14:paraId="224FA76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0.025</w:t>
                  </w:r>
                </w:p>
              </w:tc>
            </w:tr>
            <w:tr w14:paraId="76C2C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0607A1E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污染物排放量（t/a）</w:t>
                  </w:r>
                </w:p>
              </w:tc>
              <w:tc>
                <w:tcPr>
                  <w:tcW w:w="853" w:type="pct"/>
                  <w:tcBorders>
                    <w:tl2br w:val="nil"/>
                    <w:tr2bl w:val="nil"/>
                  </w:tcBorders>
                  <w:noWrap w:val="0"/>
                  <w:vAlign w:val="center"/>
                </w:tcPr>
                <w:p w14:paraId="34933CB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16</w:t>
                  </w:r>
                </w:p>
              </w:tc>
              <w:tc>
                <w:tcPr>
                  <w:tcW w:w="951" w:type="pct"/>
                  <w:tcBorders>
                    <w:tl2br w:val="nil"/>
                    <w:tr2bl w:val="nil"/>
                  </w:tcBorders>
                  <w:noWrap w:val="0"/>
                  <w:vAlign w:val="center"/>
                </w:tcPr>
                <w:p w14:paraId="1364DE6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56</w:t>
                  </w:r>
                </w:p>
              </w:tc>
              <w:tc>
                <w:tcPr>
                  <w:tcW w:w="683" w:type="pct"/>
                  <w:tcBorders>
                    <w:tl2br w:val="nil"/>
                    <w:tr2bl w:val="nil"/>
                  </w:tcBorders>
                  <w:noWrap w:val="0"/>
                  <w:vAlign w:val="center"/>
                </w:tcPr>
                <w:p w14:paraId="0287162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18</w:t>
                  </w:r>
                </w:p>
              </w:tc>
              <w:tc>
                <w:tcPr>
                  <w:tcW w:w="1320" w:type="pct"/>
                  <w:tcBorders>
                    <w:tl2br w:val="nil"/>
                    <w:tr2bl w:val="nil"/>
                  </w:tcBorders>
                  <w:noWrap w:val="0"/>
                  <w:vAlign w:val="center"/>
                </w:tcPr>
                <w:p w14:paraId="7B4AB9F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54</w:t>
                  </w:r>
                </w:p>
              </w:tc>
            </w:tr>
            <w:tr w14:paraId="35CCC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restart"/>
                  <w:tcBorders>
                    <w:tl2br w:val="nil"/>
                    <w:tr2bl w:val="nil"/>
                  </w:tcBorders>
                  <w:noWrap w:val="0"/>
                  <w:vAlign w:val="center"/>
                </w:tcPr>
                <w:p w14:paraId="496296E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排放口基本信息</w:t>
                  </w:r>
                </w:p>
              </w:tc>
              <w:tc>
                <w:tcPr>
                  <w:tcW w:w="771" w:type="pct"/>
                  <w:tcBorders>
                    <w:tl2br w:val="nil"/>
                    <w:tr2bl w:val="nil"/>
                  </w:tcBorders>
                  <w:noWrap w:val="0"/>
                  <w:vAlign w:val="center"/>
                </w:tcPr>
                <w:p w14:paraId="69507DB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高度（m）</w:t>
                  </w:r>
                </w:p>
              </w:tc>
              <w:tc>
                <w:tcPr>
                  <w:tcW w:w="3807" w:type="pct"/>
                  <w:gridSpan w:val="4"/>
                  <w:tcBorders>
                    <w:tl2br w:val="nil"/>
                    <w:tr2bl w:val="nil"/>
                  </w:tcBorders>
                  <w:noWrap w:val="0"/>
                  <w:vAlign w:val="center"/>
                </w:tcPr>
                <w:p w14:paraId="6AFBEEF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r>
            <w:tr w14:paraId="079D6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0FDD606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22FD13B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排气筒内径（m）</w:t>
                  </w:r>
                </w:p>
              </w:tc>
              <w:tc>
                <w:tcPr>
                  <w:tcW w:w="3807" w:type="pct"/>
                  <w:gridSpan w:val="4"/>
                  <w:tcBorders>
                    <w:tl2br w:val="nil"/>
                    <w:tr2bl w:val="nil"/>
                  </w:tcBorders>
                  <w:noWrap w:val="0"/>
                  <w:vAlign w:val="center"/>
                </w:tcPr>
                <w:p w14:paraId="6ED7533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ascii="Times New Roman" w:hAnsi="Times New Roman" w:eastAsia="宋体" w:cs="Times New Roman"/>
                      <w:color w:val="000000" w:themeColor="text1"/>
                      <w:lang w:val="en-US" w:eastAsia="zh-CN"/>
                      <w14:textFill>
                        <w14:solidFill>
                          <w14:schemeClr w14:val="tx1"/>
                        </w14:solidFill>
                      </w14:textFill>
                    </w:rPr>
                    <w:t>4</w:t>
                  </w:r>
                </w:p>
              </w:tc>
            </w:tr>
            <w:tr w14:paraId="4F978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262E67E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26CB8D3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温度（℃）</w:t>
                  </w:r>
                </w:p>
              </w:tc>
              <w:tc>
                <w:tcPr>
                  <w:tcW w:w="3807" w:type="pct"/>
                  <w:gridSpan w:val="4"/>
                  <w:tcBorders>
                    <w:tl2br w:val="nil"/>
                    <w:tr2bl w:val="nil"/>
                  </w:tcBorders>
                  <w:noWrap w:val="0"/>
                  <w:vAlign w:val="center"/>
                </w:tcPr>
                <w:p w14:paraId="37C2AA0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150</w:t>
                  </w:r>
                </w:p>
              </w:tc>
            </w:tr>
            <w:tr w14:paraId="65E74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1BC41D3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5279C60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编号及名称</w:t>
                  </w:r>
                </w:p>
              </w:tc>
              <w:tc>
                <w:tcPr>
                  <w:tcW w:w="3807" w:type="pct"/>
                  <w:gridSpan w:val="4"/>
                  <w:tcBorders>
                    <w:tl2br w:val="nil"/>
                    <w:tr2bl w:val="nil"/>
                  </w:tcBorders>
                  <w:noWrap w:val="0"/>
                  <w:vAlign w:val="center"/>
                </w:tcPr>
                <w:p w14:paraId="0C0FBB8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DA00</w:t>
                  </w:r>
                  <w:r>
                    <w:rPr>
                      <w:rFonts w:hint="eastAsia" w:ascii="Times New Roman" w:hAnsi="Times New Roman" w:eastAsia="宋体" w:cs="Times New Roman"/>
                      <w:color w:val="000000" w:themeColor="text1"/>
                      <w:lang w:val="en-US" w:eastAsia="zh-CN"/>
                      <w14:textFill>
                        <w14:solidFill>
                          <w14:schemeClr w14:val="tx1"/>
                        </w14:solidFill>
                      </w14:textFill>
                    </w:rPr>
                    <w:t>3</w:t>
                  </w:r>
                </w:p>
              </w:tc>
            </w:tr>
            <w:tr w14:paraId="349C0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15BAEB1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4A1EDEC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类型</w:t>
                  </w:r>
                </w:p>
              </w:tc>
              <w:tc>
                <w:tcPr>
                  <w:tcW w:w="3807" w:type="pct"/>
                  <w:gridSpan w:val="4"/>
                  <w:tcBorders>
                    <w:tl2br w:val="nil"/>
                    <w:tr2bl w:val="nil"/>
                  </w:tcBorders>
                  <w:noWrap w:val="0"/>
                  <w:vAlign w:val="center"/>
                </w:tcPr>
                <w:p w14:paraId="3E9AF1F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生物质锅炉</w:t>
                  </w:r>
                </w:p>
              </w:tc>
            </w:tr>
            <w:tr w14:paraId="41890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0A59056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4D34FF2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地理</w:t>
                  </w:r>
                </w:p>
                <w:p w14:paraId="624B0B8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坐标（°）</w:t>
                  </w:r>
                </w:p>
              </w:tc>
              <w:tc>
                <w:tcPr>
                  <w:tcW w:w="3807" w:type="pct"/>
                  <w:gridSpan w:val="4"/>
                  <w:tcBorders>
                    <w:tl2br w:val="nil"/>
                    <w:tr2bl w:val="nil"/>
                  </w:tcBorders>
                  <w:noWrap w:val="0"/>
                  <w:vAlign w:val="center"/>
                </w:tcPr>
                <w:p w14:paraId="5E839A7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东经107°15′</w:t>
                  </w:r>
                  <w:r>
                    <w:rPr>
                      <w:rFonts w:hint="eastAsia" w:ascii="Times New Roman" w:hAnsi="Times New Roman" w:eastAsia="宋体" w:cs="Times New Roman"/>
                      <w:color w:val="000000" w:themeColor="text1"/>
                      <w:lang w:val="en-US" w:eastAsia="zh-CN"/>
                      <w14:textFill>
                        <w14:solidFill>
                          <w14:schemeClr w14:val="tx1"/>
                        </w14:solidFill>
                      </w14:textFill>
                    </w:rPr>
                    <w:t>46.076</w:t>
                  </w:r>
                  <w:r>
                    <w:rPr>
                      <w:rFonts w:hint="default" w:ascii="Times New Roman" w:hAnsi="Times New Roman" w:eastAsia="宋体" w:cs="Times New Roman"/>
                      <w:color w:val="000000" w:themeColor="text1"/>
                      <w14:textFill>
                        <w14:solidFill>
                          <w14:schemeClr w14:val="tx1"/>
                        </w14:solidFill>
                      </w14:textFill>
                    </w:rPr>
                    <w:t>″</w:t>
                  </w:r>
                </w:p>
                <w:p w14:paraId="0A94A51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北纬34°2</w:t>
                  </w:r>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24.200</w:t>
                  </w:r>
                  <w:r>
                    <w:rPr>
                      <w:rFonts w:hint="default" w:ascii="Times New Roman" w:hAnsi="Times New Roman" w:eastAsia="宋体" w:cs="Times New Roman"/>
                      <w:color w:val="000000" w:themeColor="text1"/>
                      <w14:textFill>
                        <w14:solidFill>
                          <w14:schemeClr w14:val="tx1"/>
                        </w14:solidFill>
                      </w14:textFill>
                    </w:rPr>
                    <w:t>″</w:t>
                  </w:r>
                </w:p>
              </w:tc>
            </w:tr>
            <w:tr w14:paraId="6D547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gridSpan w:val="2"/>
                  <w:tcBorders>
                    <w:tl2br w:val="nil"/>
                    <w:tr2bl w:val="nil"/>
                  </w:tcBorders>
                  <w:noWrap w:val="0"/>
                  <w:vAlign w:val="center"/>
                </w:tcPr>
                <w:p w14:paraId="4E48F58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排放标准</w:t>
                  </w:r>
                </w:p>
              </w:tc>
              <w:tc>
                <w:tcPr>
                  <w:tcW w:w="2487" w:type="pct"/>
                  <w:gridSpan w:val="3"/>
                  <w:tcBorders>
                    <w:tl2br w:val="nil"/>
                    <w:tr2bl w:val="nil"/>
                  </w:tcBorders>
                  <w:noWrap w:val="0"/>
                  <w:vAlign w:val="center"/>
                </w:tcPr>
                <w:p w14:paraId="4839FC1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《锅炉大气污染物排放标准》（DB</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61/1226-2018）</w:t>
                  </w:r>
                </w:p>
              </w:tc>
              <w:tc>
                <w:tcPr>
                  <w:tcW w:w="1320" w:type="pct"/>
                  <w:tcBorders>
                    <w:tl2br w:val="nil"/>
                    <w:tr2bl w:val="nil"/>
                  </w:tcBorders>
                  <w:noWrap w:val="0"/>
                  <w:vAlign w:val="center"/>
                </w:tcPr>
                <w:p w14:paraId="5A75520C">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《火电厂烟气脱硝工程技术规范选择性非催化还原法》</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HJ</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563-2010</w:t>
                  </w:r>
                  <w:r>
                    <w:rPr>
                      <w:rFonts w:hint="eastAsia" w:cs="Times New Roman"/>
                      <w:color w:val="000000" w:themeColor="text1"/>
                      <w:lang w:eastAsia="zh-CN"/>
                      <w14:textFill>
                        <w14:solidFill>
                          <w14:schemeClr w14:val="tx1"/>
                        </w14:solidFill>
                      </w14:textFill>
                    </w:rPr>
                    <w:t>）</w:t>
                  </w:r>
                </w:p>
              </w:tc>
            </w:tr>
            <w:tr w14:paraId="519FE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restart"/>
                  <w:tcBorders>
                    <w:tl2br w:val="nil"/>
                    <w:tr2bl w:val="nil"/>
                  </w:tcBorders>
                  <w:noWrap w:val="0"/>
                  <w:vAlign w:val="center"/>
                </w:tcPr>
                <w:p w14:paraId="11C64E0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监测要求</w:t>
                  </w:r>
                </w:p>
              </w:tc>
              <w:tc>
                <w:tcPr>
                  <w:tcW w:w="771" w:type="pct"/>
                  <w:tcBorders>
                    <w:tl2br w:val="nil"/>
                    <w:tr2bl w:val="nil"/>
                  </w:tcBorders>
                  <w:noWrap w:val="0"/>
                  <w:vAlign w:val="center"/>
                </w:tcPr>
                <w:p w14:paraId="07FF53C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监测点位</w:t>
                  </w:r>
                </w:p>
              </w:tc>
              <w:tc>
                <w:tcPr>
                  <w:tcW w:w="3807" w:type="pct"/>
                  <w:gridSpan w:val="4"/>
                  <w:tcBorders>
                    <w:tl2br w:val="nil"/>
                    <w:tr2bl w:val="nil"/>
                  </w:tcBorders>
                  <w:noWrap w:val="0"/>
                  <w:vAlign w:val="center"/>
                </w:tcPr>
                <w:p w14:paraId="5ECE35C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DA00</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出口</w:t>
                  </w:r>
                </w:p>
              </w:tc>
            </w:tr>
            <w:tr w14:paraId="74280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7FEE5383">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p>
              </w:tc>
              <w:tc>
                <w:tcPr>
                  <w:tcW w:w="771" w:type="pct"/>
                  <w:tcBorders>
                    <w:tl2br w:val="nil"/>
                    <w:tr2bl w:val="nil"/>
                  </w:tcBorders>
                  <w:noWrap w:val="0"/>
                  <w:vAlign w:val="center"/>
                </w:tcPr>
                <w:p w14:paraId="0659163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监测因子</w:t>
                  </w:r>
                </w:p>
              </w:tc>
              <w:tc>
                <w:tcPr>
                  <w:tcW w:w="853" w:type="pct"/>
                  <w:tcBorders>
                    <w:tl2br w:val="nil"/>
                    <w:tr2bl w:val="nil"/>
                  </w:tcBorders>
                  <w:noWrap w:val="0"/>
                  <w:vAlign w:val="center"/>
                </w:tcPr>
                <w:p w14:paraId="5824BA9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951" w:type="pct"/>
                  <w:tcBorders>
                    <w:tl2br w:val="nil"/>
                    <w:tr2bl w:val="nil"/>
                  </w:tcBorders>
                  <w:noWrap w:val="0"/>
                  <w:vAlign w:val="center"/>
                </w:tcPr>
                <w:p w14:paraId="04494A53">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氮氧化物</w:t>
                  </w:r>
                </w:p>
              </w:tc>
              <w:tc>
                <w:tcPr>
                  <w:tcW w:w="683" w:type="pct"/>
                  <w:tcBorders>
                    <w:tl2br w:val="nil"/>
                    <w:tr2bl w:val="nil"/>
                  </w:tcBorders>
                  <w:noWrap w:val="0"/>
                  <w:vAlign w:val="center"/>
                </w:tcPr>
                <w:p w14:paraId="7CE2E16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二氧化硫</w:t>
                  </w:r>
                </w:p>
              </w:tc>
              <w:tc>
                <w:tcPr>
                  <w:tcW w:w="1320" w:type="pct"/>
                  <w:tcBorders>
                    <w:tl2br w:val="nil"/>
                    <w:tr2bl w:val="nil"/>
                  </w:tcBorders>
                  <w:noWrap w:val="0"/>
                  <w:vAlign w:val="center"/>
                </w:tcPr>
                <w:p w14:paraId="448CEE3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氨</w:t>
                  </w:r>
                </w:p>
              </w:tc>
            </w:tr>
            <w:tr w14:paraId="65E45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vMerge w:val="continue"/>
                  <w:tcBorders>
                    <w:tl2br w:val="nil"/>
                    <w:tr2bl w:val="nil"/>
                  </w:tcBorders>
                  <w:noWrap w:val="0"/>
                  <w:vAlign w:val="center"/>
                </w:tcPr>
                <w:p w14:paraId="2605ADDF">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1" w:type="pct"/>
                  <w:tcBorders>
                    <w:tl2br w:val="nil"/>
                    <w:tr2bl w:val="nil"/>
                  </w:tcBorders>
                  <w:noWrap w:val="0"/>
                  <w:vAlign w:val="center"/>
                </w:tcPr>
                <w:p w14:paraId="622B832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c>
                <w:tcPr>
                  <w:tcW w:w="2487" w:type="pct"/>
                  <w:gridSpan w:val="3"/>
                  <w:tcBorders>
                    <w:tl2br w:val="nil"/>
                    <w:tr2bl w:val="nil"/>
                  </w:tcBorders>
                  <w:noWrap w:val="0"/>
                  <w:vAlign w:val="center"/>
                </w:tcPr>
                <w:p w14:paraId="01D7AB7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w:t>
                  </w:r>
                  <w:r>
                    <w:rPr>
                      <w:rFonts w:hint="default" w:ascii="Times New Roman" w:hAnsi="Times New Roman" w:eastAsia="宋体" w:cs="Times New Roman"/>
                      <w:color w:val="000000" w:themeColor="text1"/>
                      <w:lang w:val="en-US" w:eastAsia="zh-CN"/>
                      <w14:textFill>
                        <w14:solidFill>
                          <w14:schemeClr w14:val="tx1"/>
                        </w14:solidFill>
                      </w14:textFill>
                    </w:rPr>
                    <w:t>月</w:t>
                  </w:r>
                </w:p>
              </w:tc>
              <w:tc>
                <w:tcPr>
                  <w:tcW w:w="1320" w:type="pct"/>
                  <w:tcBorders>
                    <w:tl2br w:val="nil"/>
                    <w:tr2bl w:val="nil"/>
                  </w:tcBorders>
                  <w:noWrap w:val="0"/>
                  <w:vAlign w:val="center"/>
                </w:tcPr>
                <w:p w14:paraId="372F565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1次/季度</w:t>
                  </w:r>
                </w:p>
              </w:tc>
            </w:tr>
          </w:tbl>
          <w:p w14:paraId="1D8CC61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2）污染源源强核算过程</w:t>
            </w:r>
          </w:p>
          <w:p w14:paraId="51B63C6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1）锅炉燃烧</w:t>
            </w:r>
          </w:p>
          <w:p w14:paraId="52B1BD9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本项目采用生物质为燃料，经过</w:t>
            </w:r>
            <w:r>
              <w:rPr>
                <w:rFonts w:hint="eastAsia" w:ascii="Times New Roman" w:hAnsi="Times New Roman" w:eastAsia="宋体" w:cs="Times New Roman"/>
                <w:color w:val="000000" w:themeColor="text1"/>
                <w:sz w:val="24"/>
                <w:lang w:val="en-US" w:eastAsia="zh-CN"/>
                <w14:textFill>
                  <w14:solidFill>
                    <w14:schemeClr w14:val="tx1"/>
                  </w14:solidFill>
                </w14:textFill>
              </w:rPr>
              <w:t>SNCR高温脱硝设施（炉内脱硝）+高效袋式除尘器</w:t>
            </w:r>
            <w:r>
              <w:rPr>
                <w:rFonts w:hint="default" w:ascii="Times New Roman" w:hAnsi="Times New Roman" w:eastAsia="宋体" w:cs="Times New Roman"/>
                <w:color w:val="000000" w:themeColor="text1"/>
                <w:sz w:val="24"/>
                <w:lang w:val="en-US" w:eastAsia="zh-CN"/>
                <w14:textFill>
                  <w14:solidFill>
                    <w14:schemeClr w14:val="tx1"/>
                  </w14:solidFill>
                </w14:textFill>
              </w:rPr>
              <w:t>，产生的废气通过1根15m高的排气筒DA00</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有组织排放</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生物质用量为</w:t>
            </w:r>
            <w:r>
              <w:rPr>
                <w:rFonts w:hint="eastAsia" w:cs="Times New Roman"/>
                <w:color w:val="000000" w:themeColor="text1"/>
                <w:sz w:val="24"/>
                <w:lang w:val="en-US" w:eastAsia="zh-CN"/>
                <w14:textFill>
                  <w14:solidFill>
                    <w14:schemeClr w14:val="tx1"/>
                  </w14:solidFill>
                </w14:textFill>
              </w:rPr>
              <w:t>1081</w:t>
            </w:r>
            <w:r>
              <w:rPr>
                <w:rFonts w:hint="default" w:ascii="Times New Roman" w:hAnsi="Times New Roman" w:eastAsia="宋体" w:cs="Times New Roman"/>
                <w:color w:val="000000" w:themeColor="text1"/>
                <w:sz w:val="24"/>
                <w:lang w:val="en-US" w:eastAsia="zh-CN"/>
                <w14:textFill>
                  <w14:solidFill>
                    <w14:schemeClr w14:val="tx1"/>
                  </w14:solidFill>
                </w14:textFill>
              </w:rPr>
              <w:t>t/a，项目年运行时间</w:t>
            </w:r>
            <w:r>
              <w:rPr>
                <w:rFonts w:hint="eastAsia" w:cs="Times New Roman"/>
                <w:color w:val="000000" w:themeColor="text1"/>
                <w:sz w:val="24"/>
                <w:lang w:val="en-US" w:eastAsia="zh-CN"/>
                <w14:textFill>
                  <w14:solidFill>
                    <w14:schemeClr w14:val="tx1"/>
                  </w14:solidFill>
                </w14:textFill>
              </w:rPr>
              <w:t>2160</w:t>
            </w:r>
            <w:r>
              <w:rPr>
                <w:rFonts w:hint="default" w:ascii="Times New Roman" w:hAnsi="Times New Roman" w:eastAsia="宋体" w:cs="Times New Roman"/>
                <w:color w:val="000000" w:themeColor="text1"/>
                <w:sz w:val="24"/>
                <w:lang w:val="en-US" w:eastAsia="zh-CN"/>
                <w14:textFill>
                  <w14:solidFill>
                    <w14:schemeClr w14:val="tx1"/>
                  </w14:solidFill>
                </w14:textFill>
              </w:rPr>
              <w:t>h。</w:t>
            </w:r>
          </w:p>
          <w:p w14:paraId="69C9EA61">
            <w:pPr>
              <w:adjustRightInd w:val="0"/>
              <w:snapToGrid w:val="0"/>
              <w:spacing w:line="360" w:lineRule="auto"/>
              <w:ind w:firstLine="480" w:firstLineChars="200"/>
              <w:jc w:val="left"/>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项目生物质锅炉为室燃炉，生物质锅炉废气量根据</w:t>
            </w:r>
            <w:r>
              <w:rPr>
                <w:rFonts w:hint="default" w:ascii="Times New Roman" w:hAnsi="Times New Roman" w:cs="Times New Roman"/>
                <w:color w:val="000000" w:themeColor="text1"/>
                <w:sz w:val="24"/>
                <w:szCs w:val="24"/>
                <w:highlight w:val="none"/>
                <w14:textFill>
                  <w14:solidFill>
                    <w14:schemeClr w14:val="tx1"/>
                  </w14:solidFill>
                </w14:textFill>
              </w:rPr>
              <w:t>《排放源统计调查产排污核算方法和系数手册》中</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4430工业锅炉（热力供应）行业系数手册</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可知，为6240Nm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/t-原料；颗粒物、二氧化硫、氮氧化物产排污系数根据</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排污许可证申请与核发技术规范 锅炉</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HJ 953-2018</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中</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表F.4 燃生物质工业锅炉的废气产排污系数</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具体生物质锅炉燃烧废气产污系数如下所示：</w:t>
            </w:r>
          </w:p>
          <w:p w14:paraId="112275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4-2 生物质锅炉产污系数表（摘录）</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137"/>
              <w:gridCol w:w="1117"/>
              <w:gridCol w:w="1303"/>
              <w:gridCol w:w="1264"/>
              <w:gridCol w:w="2470"/>
            </w:tblGrid>
            <w:tr w14:paraId="2346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noWrap w:val="0"/>
                  <w:vAlign w:val="center"/>
                </w:tcPr>
                <w:p w14:paraId="6465F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产品名称</w:t>
                  </w:r>
                </w:p>
              </w:tc>
              <w:tc>
                <w:tcPr>
                  <w:tcW w:w="671" w:type="pct"/>
                  <w:noWrap w:val="0"/>
                  <w:vAlign w:val="center"/>
                </w:tcPr>
                <w:p w14:paraId="41A689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原料</w:t>
                  </w:r>
                  <w:r>
                    <w:rPr>
                      <w:rFonts w:hint="default" w:ascii="Times New Roman" w:hAnsi="Times New Roman" w:cs="Times New Roman"/>
                      <w:b w:val="0"/>
                      <w:bCs w:val="0"/>
                      <w:color w:val="000000" w:themeColor="text1"/>
                      <w:sz w:val="21"/>
                      <w:szCs w:val="21"/>
                      <w:highlight w:val="none"/>
                      <w14:textFill>
                        <w14:solidFill>
                          <w14:schemeClr w14:val="tx1"/>
                        </w14:solidFill>
                      </w14:textFill>
                    </w:rPr>
                    <w:t>名称</w:t>
                  </w:r>
                </w:p>
              </w:tc>
              <w:tc>
                <w:tcPr>
                  <w:tcW w:w="659" w:type="pct"/>
                  <w:noWrap w:val="0"/>
                  <w:vAlign w:val="center"/>
                </w:tcPr>
                <w:p w14:paraId="04A35C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工艺名称</w:t>
                  </w:r>
                </w:p>
              </w:tc>
              <w:tc>
                <w:tcPr>
                  <w:tcW w:w="769" w:type="pct"/>
                  <w:noWrap w:val="0"/>
                  <w:vAlign w:val="center"/>
                </w:tcPr>
                <w:p w14:paraId="4671CE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污染物指标</w:t>
                  </w:r>
                </w:p>
              </w:tc>
              <w:tc>
                <w:tcPr>
                  <w:tcW w:w="746" w:type="pct"/>
                  <w:noWrap w:val="0"/>
                  <w:vAlign w:val="center"/>
                </w:tcPr>
                <w:p w14:paraId="3195B4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单位</w:t>
                  </w:r>
                </w:p>
              </w:tc>
              <w:tc>
                <w:tcPr>
                  <w:tcW w:w="1454" w:type="pct"/>
                  <w:noWrap w:val="0"/>
                  <w:vAlign w:val="center"/>
                </w:tcPr>
                <w:p w14:paraId="021B0F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产污系数</w:t>
                  </w:r>
                </w:p>
              </w:tc>
            </w:tr>
            <w:tr w14:paraId="4222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97" w:type="pct"/>
                  <w:vMerge w:val="restart"/>
                  <w:noWrap w:val="0"/>
                  <w:vAlign w:val="center"/>
                </w:tcPr>
                <w:p w14:paraId="3444FD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蒸汽/热水/其他</w:t>
                  </w:r>
                </w:p>
              </w:tc>
              <w:tc>
                <w:tcPr>
                  <w:tcW w:w="671" w:type="pct"/>
                  <w:vMerge w:val="restart"/>
                  <w:noWrap w:val="0"/>
                  <w:vAlign w:val="center"/>
                </w:tcPr>
                <w:p w14:paraId="0177FF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生物质燃料</w:t>
                  </w:r>
                </w:p>
              </w:tc>
              <w:tc>
                <w:tcPr>
                  <w:tcW w:w="659" w:type="pct"/>
                  <w:vMerge w:val="restart"/>
                  <w:noWrap w:val="0"/>
                  <w:vAlign w:val="center"/>
                </w:tcPr>
                <w:p w14:paraId="3E8DB8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室燃炉</w:t>
                  </w:r>
                </w:p>
              </w:tc>
              <w:tc>
                <w:tcPr>
                  <w:tcW w:w="769" w:type="pct"/>
                  <w:noWrap w:val="0"/>
                  <w:vAlign w:val="center"/>
                </w:tcPr>
                <w:p w14:paraId="6DF354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工业废气量</w:t>
                  </w:r>
                </w:p>
              </w:tc>
              <w:tc>
                <w:tcPr>
                  <w:tcW w:w="746" w:type="pct"/>
                  <w:noWrap w:val="0"/>
                  <w:vAlign w:val="center"/>
                </w:tcPr>
                <w:p w14:paraId="273140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Nm</w:t>
                  </w:r>
                  <w:r>
                    <w:rPr>
                      <w:rFonts w:hint="default" w:ascii="Times New Roman" w:hAnsi="Times New Roman" w:cs="Times New Roman"/>
                      <w:b w:val="0"/>
                      <w:bCs w:val="0"/>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t</w:t>
                  </w: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原料</w:t>
                  </w:r>
                </w:p>
              </w:tc>
              <w:tc>
                <w:tcPr>
                  <w:tcW w:w="1454" w:type="pct"/>
                  <w:noWrap w:val="0"/>
                  <w:vAlign w:val="center"/>
                </w:tcPr>
                <w:p w14:paraId="45F659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6240</w:t>
                  </w:r>
                </w:p>
              </w:tc>
            </w:tr>
            <w:tr w14:paraId="3A17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97" w:type="pct"/>
                  <w:vMerge w:val="continue"/>
                  <w:noWrap w:val="0"/>
                  <w:vAlign w:val="center"/>
                </w:tcPr>
                <w:p w14:paraId="0D5E94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71" w:type="pct"/>
                  <w:vMerge w:val="continue"/>
                  <w:noWrap w:val="0"/>
                  <w:vAlign w:val="center"/>
                </w:tcPr>
                <w:p w14:paraId="7EEC47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59" w:type="pct"/>
                  <w:vMerge w:val="continue"/>
                  <w:noWrap w:val="0"/>
                  <w:vAlign w:val="center"/>
                </w:tcPr>
                <w:p w14:paraId="7EDC72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769" w:type="pct"/>
                  <w:noWrap w:val="0"/>
                  <w:vAlign w:val="center"/>
                </w:tcPr>
                <w:p w14:paraId="0EBACF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颗粒物</w:t>
                  </w:r>
                </w:p>
              </w:tc>
              <w:tc>
                <w:tcPr>
                  <w:tcW w:w="746" w:type="pct"/>
                  <w:noWrap w:val="0"/>
                  <w:vAlign w:val="center"/>
                </w:tcPr>
                <w:p w14:paraId="6196D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kg/</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t</w:t>
                  </w: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燃料</w:t>
                  </w:r>
                </w:p>
              </w:tc>
              <w:tc>
                <w:tcPr>
                  <w:tcW w:w="1454" w:type="pct"/>
                  <w:noWrap w:val="0"/>
                  <w:vAlign w:val="center"/>
                </w:tcPr>
                <w:p w14:paraId="1AE7EA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0.5</w:t>
                  </w:r>
                  <w:r>
                    <w:rPr>
                      <w:rFonts w:hint="eastAsia"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成型燃料</w:t>
                  </w:r>
                  <w:r>
                    <w:rPr>
                      <w:rFonts w:hint="eastAsia" w:cs="Times New Roman"/>
                      <w:b w:val="0"/>
                      <w:bCs w:val="0"/>
                      <w:color w:val="000000" w:themeColor="text1"/>
                      <w:sz w:val="21"/>
                      <w:szCs w:val="21"/>
                      <w:highlight w:val="none"/>
                      <w:lang w:eastAsia="zh-CN"/>
                      <w14:textFill>
                        <w14:solidFill>
                          <w14:schemeClr w14:val="tx1"/>
                        </w14:solidFill>
                      </w14:textFill>
                    </w:rPr>
                    <w:t>）</w:t>
                  </w:r>
                </w:p>
              </w:tc>
            </w:tr>
            <w:tr w14:paraId="7F9E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7" w:type="pct"/>
                  <w:vMerge w:val="continue"/>
                  <w:noWrap w:val="0"/>
                  <w:vAlign w:val="center"/>
                </w:tcPr>
                <w:p w14:paraId="12A424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71" w:type="pct"/>
                  <w:vMerge w:val="continue"/>
                  <w:noWrap w:val="0"/>
                  <w:vAlign w:val="center"/>
                </w:tcPr>
                <w:p w14:paraId="782C1A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59" w:type="pct"/>
                  <w:vMerge w:val="continue"/>
                  <w:noWrap w:val="0"/>
                  <w:vAlign w:val="center"/>
                </w:tcPr>
                <w:p w14:paraId="50C58E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769" w:type="pct"/>
                  <w:noWrap w:val="0"/>
                  <w:vAlign w:val="center"/>
                </w:tcPr>
                <w:p w14:paraId="5286D6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SO</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p>
              </w:tc>
              <w:tc>
                <w:tcPr>
                  <w:tcW w:w="746" w:type="pct"/>
                  <w:noWrap w:val="0"/>
                  <w:vAlign w:val="center"/>
                </w:tcPr>
                <w:p w14:paraId="05FF1B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kg/</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t</w:t>
                  </w: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燃料</w:t>
                  </w:r>
                </w:p>
              </w:tc>
              <w:tc>
                <w:tcPr>
                  <w:tcW w:w="1454" w:type="pct"/>
                  <w:noWrap w:val="0"/>
                  <w:vAlign w:val="center"/>
                </w:tcPr>
                <w:p w14:paraId="088AA3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17S</w:t>
                  </w:r>
                </w:p>
              </w:tc>
            </w:tr>
            <w:tr w14:paraId="349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7" w:type="pct"/>
                  <w:vMerge w:val="continue"/>
                  <w:noWrap w:val="0"/>
                  <w:vAlign w:val="center"/>
                </w:tcPr>
                <w:p w14:paraId="7C0AE9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71" w:type="pct"/>
                  <w:vMerge w:val="continue"/>
                  <w:noWrap w:val="0"/>
                  <w:vAlign w:val="center"/>
                </w:tcPr>
                <w:p w14:paraId="064264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59" w:type="pct"/>
                  <w:vMerge w:val="continue"/>
                  <w:noWrap w:val="0"/>
                  <w:vAlign w:val="center"/>
                </w:tcPr>
                <w:p w14:paraId="7C200A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769" w:type="pct"/>
                  <w:vMerge w:val="restart"/>
                  <w:noWrap w:val="0"/>
                  <w:vAlign w:val="center"/>
                </w:tcPr>
                <w:p w14:paraId="5FA20E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NOx</w:t>
                  </w:r>
                </w:p>
              </w:tc>
              <w:tc>
                <w:tcPr>
                  <w:tcW w:w="746" w:type="pct"/>
                  <w:vMerge w:val="restart"/>
                  <w:noWrap w:val="0"/>
                  <w:vAlign w:val="center"/>
                </w:tcPr>
                <w:p w14:paraId="5EA62B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kg/</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t</w:t>
                  </w: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燃料</w:t>
                  </w:r>
                </w:p>
              </w:tc>
              <w:tc>
                <w:tcPr>
                  <w:tcW w:w="1454" w:type="pct"/>
                  <w:noWrap w:val="0"/>
                  <w:vAlign w:val="center"/>
                </w:tcPr>
                <w:p w14:paraId="215DB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1.02（直排，无低氮燃烧）</w:t>
                  </w:r>
                </w:p>
              </w:tc>
            </w:tr>
            <w:tr w14:paraId="58BB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7" w:type="pct"/>
                  <w:vMerge w:val="continue"/>
                  <w:noWrap w:val="0"/>
                  <w:vAlign w:val="center"/>
                </w:tcPr>
                <w:p w14:paraId="1767A0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71" w:type="pct"/>
                  <w:vMerge w:val="continue"/>
                  <w:noWrap w:val="0"/>
                  <w:vAlign w:val="center"/>
                </w:tcPr>
                <w:p w14:paraId="0DD6D0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659" w:type="pct"/>
                  <w:vMerge w:val="continue"/>
                  <w:noWrap w:val="0"/>
                  <w:vAlign w:val="center"/>
                </w:tcPr>
                <w:p w14:paraId="3C4A70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769" w:type="pct"/>
                  <w:vMerge w:val="continue"/>
                  <w:noWrap w:val="0"/>
                  <w:vAlign w:val="center"/>
                </w:tcPr>
                <w:p w14:paraId="65D06D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14:textFill>
                        <w14:solidFill>
                          <w14:schemeClr w14:val="tx1"/>
                        </w14:solidFill>
                      </w14:textFill>
                    </w:rPr>
                  </w:pPr>
                </w:p>
              </w:tc>
              <w:tc>
                <w:tcPr>
                  <w:tcW w:w="746" w:type="pct"/>
                  <w:vMerge w:val="continue"/>
                  <w:noWrap w:val="0"/>
                  <w:vAlign w:val="center"/>
                </w:tcPr>
                <w:p w14:paraId="06E32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pPr>
                </w:p>
              </w:tc>
              <w:tc>
                <w:tcPr>
                  <w:tcW w:w="1454" w:type="pct"/>
                  <w:noWrap w:val="0"/>
                  <w:vAlign w:val="center"/>
                </w:tcPr>
                <w:p w14:paraId="3DE314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排污系数：0.51（SNCR）</w:t>
                  </w:r>
                </w:p>
              </w:tc>
            </w:tr>
            <w:tr w14:paraId="7BD7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noWrap w:val="0"/>
                  <w:vAlign w:val="center"/>
                </w:tcPr>
                <w:p w14:paraId="24BE728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备注：</w:t>
                  </w:r>
                  <w:r>
                    <w:rPr>
                      <w:rFonts w:hint="eastAsia" w:cs="Times New Roman"/>
                      <w:b w:val="0"/>
                      <w:bCs w:val="0"/>
                      <w:color w:val="000000" w:themeColor="text1"/>
                      <w:kern w:val="0"/>
                      <w:sz w:val="21"/>
                      <w:szCs w:val="21"/>
                      <w:highlight w:val="none"/>
                      <w:lang w:eastAsia="zh-CN" w:bidi="ar"/>
                      <w14:textFill>
                        <w14:solidFill>
                          <w14:schemeClr w14:val="tx1"/>
                        </w14:solidFill>
                      </w14:textFill>
                    </w:rPr>
                    <w:t>生物质燃料含硫量极小，一般小于</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0.01%，同时参考原有生物质锅炉自行监测数据中SO</w:t>
                  </w:r>
                  <w:r>
                    <w:rPr>
                      <w:rFonts w:hint="eastAsia" w:cs="Times New Roman"/>
                      <w:b w:val="0"/>
                      <w:bCs w:val="0"/>
                      <w:color w:val="000000" w:themeColor="text1"/>
                      <w:kern w:val="0"/>
                      <w:sz w:val="21"/>
                      <w:szCs w:val="21"/>
                      <w:highlight w:val="none"/>
                      <w:vertAlign w:val="subscript"/>
                      <w:lang w:val="en-US" w:eastAsia="zh-CN" w:bidi="ar"/>
                      <w14:textFill>
                        <w14:solidFill>
                          <w14:schemeClr w14:val="tx1"/>
                        </w14:solidFill>
                      </w14:textFill>
                    </w:rPr>
                    <w:t>2</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排放浓度未检出，因此本项目生物质燃料含硫量以0.01%计</w:t>
                  </w:r>
                  <w:r>
                    <w:rPr>
                      <w:rFonts w:hint="default" w:ascii="Times New Roman" w:hAnsi="Times New Roman" w:cs="Times New Roman"/>
                      <w:b w:val="0"/>
                      <w:bCs w:val="0"/>
                      <w:color w:val="000000" w:themeColor="text1"/>
                      <w:kern w:val="0"/>
                      <w:sz w:val="21"/>
                      <w:szCs w:val="21"/>
                      <w:highlight w:val="none"/>
                      <w:lang w:bidi="ar"/>
                      <w14:textFill>
                        <w14:solidFill>
                          <w14:schemeClr w14:val="tx1"/>
                        </w14:solidFill>
                      </w14:textFill>
                    </w:rPr>
                    <w:t>。</w:t>
                  </w:r>
                </w:p>
              </w:tc>
            </w:tr>
          </w:tbl>
          <w:p w14:paraId="4EFE347F">
            <w:pPr>
              <w:pStyle w:val="181"/>
              <w:spacing w:before="61" w:line="347" w:lineRule="auto"/>
              <w:ind w:left="108" w:right="103"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经核算，项目生物质锅炉废气产</w:t>
            </w:r>
            <w:r>
              <w:rPr>
                <w:rFonts w:hint="default" w:ascii="Times New Roman" w:hAnsi="Times New Roman" w:cs="Times New Roman"/>
                <w:color w:val="000000" w:themeColor="text1"/>
                <w:spacing w:val="-1"/>
                <w14:textFill>
                  <w14:solidFill>
                    <w14:schemeClr w14:val="tx1"/>
                  </w14:solidFill>
                </w14:textFill>
              </w:rPr>
              <w:t>生量及排放量如下表所示：</w:t>
            </w:r>
          </w:p>
          <w:p w14:paraId="33617762">
            <w:pPr>
              <w:pStyle w:val="181"/>
              <w:spacing w:before="32" w:line="222" w:lineRule="auto"/>
              <w:ind w:left="2462"/>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 4-</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生物质锅炉废气产排一览表</w:t>
            </w:r>
          </w:p>
          <w:tbl>
            <w:tblPr>
              <w:tblStyle w:val="182"/>
              <w:tblW w:w="82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32"/>
              <w:gridCol w:w="1428"/>
              <w:gridCol w:w="1167"/>
              <w:gridCol w:w="1205"/>
              <w:gridCol w:w="995"/>
              <w:gridCol w:w="1344"/>
              <w:gridCol w:w="1226"/>
            </w:tblGrid>
            <w:tr w14:paraId="71254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2" w:type="dxa"/>
                  <w:tcBorders>
                    <w:tl2br w:val="nil"/>
                    <w:tr2bl w:val="nil"/>
                  </w:tcBorders>
                  <w:noWrap w:val="0"/>
                  <w:vAlign w:val="center"/>
                </w:tcPr>
                <w:p w14:paraId="2E9DB19A">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污染物</w:t>
                  </w:r>
                </w:p>
              </w:tc>
              <w:tc>
                <w:tcPr>
                  <w:tcW w:w="1428" w:type="dxa"/>
                  <w:tcBorders>
                    <w:tl2br w:val="nil"/>
                    <w:tr2bl w:val="nil"/>
                  </w:tcBorders>
                  <w:noWrap w:val="0"/>
                  <w:vAlign w:val="center"/>
                </w:tcPr>
                <w:p w14:paraId="094BB8F9">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产生量</w:t>
                  </w:r>
                </w:p>
              </w:tc>
              <w:tc>
                <w:tcPr>
                  <w:tcW w:w="1167" w:type="dxa"/>
                  <w:tcBorders>
                    <w:tl2br w:val="nil"/>
                    <w:tr2bl w:val="nil"/>
                  </w:tcBorders>
                  <w:noWrap w:val="0"/>
                  <w:vAlign w:val="center"/>
                </w:tcPr>
                <w:p w14:paraId="02A06BC1">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产生速率</w:t>
                  </w:r>
                </w:p>
              </w:tc>
              <w:tc>
                <w:tcPr>
                  <w:tcW w:w="1205" w:type="dxa"/>
                  <w:tcBorders>
                    <w:tl2br w:val="nil"/>
                    <w:tr2bl w:val="nil"/>
                  </w:tcBorders>
                  <w:noWrap w:val="0"/>
                  <w:vAlign w:val="center"/>
                </w:tcPr>
                <w:p w14:paraId="1289FF1E">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治理措施</w:t>
                  </w:r>
                </w:p>
              </w:tc>
              <w:tc>
                <w:tcPr>
                  <w:tcW w:w="995" w:type="dxa"/>
                  <w:tcBorders>
                    <w:tl2br w:val="nil"/>
                    <w:tr2bl w:val="nil"/>
                  </w:tcBorders>
                  <w:noWrap w:val="0"/>
                  <w:vAlign w:val="center"/>
                </w:tcPr>
                <w:p w14:paraId="6709C374">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排污系数</w:t>
                  </w:r>
                </w:p>
              </w:tc>
              <w:tc>
                <w:tcPr>
                  <w:tcW w:w="1344" w:type="dxa"/>
                  <w:tcBorders>
                    <w:tl2br w:val="nil"/>
                    <w:tr2bl w:val="nil"/>
                  </w:tcBorders>
                  <w:noWrap w:val="0"/>
                  <w:vAlign w:val="center"/>
                </w:tcPr>
                <w:p w14:paraId="3B63A986">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排放量</w:t>
                  </w:r>
                </w:p>
              </w:tc>
              <w:tc>
                <w:tcPr>
                  <w:tcW w:w="1226" w:type="dxa"/>
                  <w:tcBorders>
                    <w:tl2br w:val="nil"/>
                    <w:tr2bl w:val="nil"/>
                  </w:tcBorders>
                  <w:noWrap w:val="0"/>
                  <w:vAlign w:val="center"/>
                </w:tcPr>
                <w:p w14:paraId="0ADAC9CF">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排放速率</w:t>
                  </w:r>
                </w:p>
              </w:tc>
            </w:tr>
            <w:tr w14:paraId="0628C1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2" w:type="dxa"/>
                  <w:tcBorders>
                    <w:tl2br w:val="nil"/>
                    <w:tr2bl w:val="nil"/>
                  </w:tcBorders>
                  <w:noWrap w:val="0"/>
                  <w:vAlign w:val="center"/>
                </w:tcPr>
                <w:p w14:paraId="23B831E5">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废气量</w:t>
                  </w:r>
                </w:p>
              </w:tc>
              <w:tc>
                <w:tcPr>
                  <w:tcW w:w="1428" w:type="dxa"/>
                  <w:tcBorders>
                    <w:tl2br w:val="nil"/>
                    <w:tr2bl w:val="nil"/>
                  </w:tcBorders>
                  <w:noWrap w:val="0"/>
                  <w:vAlign w:val="center"/>
                </w:tcPr>
                <w:p w14:paraId="0F32E3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370万</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m³</w:t>
                  </w:r>
                  <w:r>
                    <w:rPr>
                      <w:rFonts w:hint="default" w:ascii="Times New Roman" w:hAnsi="Times New Roman" w:eastAsia="Times New Roman" w:cs="Times New Roman"/>
                      <w:color w:val="000000" w:themeColor="text1"/>
                      <w:spacing w:val="3"/>
                      <w:sz w:val="21"/>
                      <w:szCs w:val="21"/>
                      <w14:textFill>
                        <w14:solidFill>
                          <w14:schemeClr w14:val="tx1"/>
                        </w14:solidFill>
                      </w14:textFill>
                    </w:rPr>
                    <w:t>/a</w:t>
                  </w:r>
                </w:p>
              </w:tc>
              <w:tc>
                <w:tcPr>
                  <w:tcW w:w="1167" w:type="dxa"/>
                  <w:tcBorders>
                    <w:tl2br w:val="nil"/>
                    <w:tr2bl w:val="nil"/>
                  </w:tcBorders>
                  <w:noWrap w:val="0"/>
                  <w:vAlign w:val="center"/>
                </w:tcPr>
                <w:p w14:paraId="03ADC5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2"/>
                      <w:sz w:val="21"/>
                      <w:szCs w:val="21"/>
                      <w14:textFill>
                        <w14:solidFill>
                          <w14:schemeClr w14:val="tx1"/>
                        </w14:solidFill>
                      </w14:textFill>
                    </w:rPr>
                    <w:t>/</w:t>
                  </w:r>
                </w:p>
              </w:tc>
              <w:tc>
                <w:tcPr>
                  <w:tcW w:w="1205" w:type="dxa"/>
                  <w:vMerge w:val="restart"/>
                  <w:tcBorders>
                    <w:tl2br w:val="nil"/>
                    <w:tr2bl w:val="nil"/>
                  </w:tcBorders>
                  <w:noWrap w:val="0"/>
                  <w:vAlign w:val="center"/>
                </w:tcPr>
                <w:p w14:paraId="6FC17123">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pacing w:val="8"/>
                      <w:sz w:val="21"/>
                      <w:szCs w:val="21"/>
                      <w:lang w:eastAsia="zh-CN"/>
                      <w14:textFill>
                        <w14:solidFill>
                          <w14:schemeClr w14:val="tx1"/>
                        </w14:solidFill>
                      </w14:textFill>
                    </w:rPr>
                    <w:t>SNCR+布袋除尘</w:t>
                  </w:r>
                  <w:r>
                    <w:rPr>
                      <w:rFonts w:hint="default" w:ascii="Times New Roman" w:hAnsi="Times New Roman" w:eastAsia="Times New Roman" w:cs="Times New Roman"/>
                      <w:color w:val="000000" w:themeColor="text1"/>
                      <w:spacing w:val="5"/>
                      <w:sz w:val="21"/>
                      <w:szCs w:val="21"/>
                      <w14:textFill>
                        <w14:solidFill>
                          <w14:schemeClr w14:val="tx1"/>
                        </w14:solidFill>
                      </w14:textFill>
                    </w:rPr>
                    <w:t>+</w:t>
                  </w:r>
                  <w:r>
                    <w:rPr>
                      <w:rFonts w:hint="default" w:ascii="Times New Roman" w:hAnsi="Times New Roman" w:cs="Times New Roman"/>
                      <w:color w:val="000000" w:themeColor="text1"/>
                      <w:spacing w:val="5"/>
                      <w:sz w:val="21"/>
                      <w:szCs w:val="21"/>
                      <w:lang w:val="en-US" w:eastAsia="zh-CN"/>
                      <w14:textFill>
                        <w14:solidFill>
                          <w14:schemeClr w14:val="tx1"/>
                        </w14:solidFill>
                      </w14:textFill>
                    </w:rPr>
                    <w:t>1</w:t>
                  </w:r>
                  <w:r>
                    <w:rPr>
                      <w:rFonts w:hint="default" w:ascii="Times New Roman" w:hAnsi="Times New Roman" w:eastAsia="Times New Roman" w:cs="Times New Roman"/>
                      <w:color w:val="000000" w:themeColor="text1"/>
                      <w:spacing w:val="5"/>
                      <w:sz w:val="21"/>
                      <w:szCs w:val="21"/>
                      <w14:textFill>
                        <w14:solidFill>
                          <w14:schemeClr w14:val="tx1"/>
                        </w14:solidFill>
                      </w14:textFill>
                    </w:rPr>
                    <w:t>5m</w:t>
                  </w:r>
                  <w:r>
                    <w:rPr>
                      <w:rFonts w:hint="default" w:ascii="Times New Roman" w:hAnsi="Times New Roman" w:cs="Times New Roman"/>
                      <w:color w:val="000000" w:themeColor="text1"/>
                      <w:spacing w:val="5"/>
                      <w:sz w:val="21"/>
                      <w:szCs w:val="21"/>
                      <w14:textFill>
                        <w14:solidFill>
                          <w14:schemeClr w14:val="tx1"/>
                        </w14:solidFill>
                      </w14:textFill>
                    </w:rPr>
                    <w:t>排气筒</w:t>
                  </w:r>
                </w:p>
              </w:tc>
              <w:tc>
                <w:tcPr>
                  <w:tcW w:w="995" w:type="dxa"/>
                  <w:tcBorders>
                    <w:tl2br w:val="nil"/>
                    <w:tr2bl w:val="nil"/>
                  </w:tcBorders>
                  <w:noWrap w:val="0"/>
                  <w:vAlign w:val="center"/>
                </w:tcPr>
                <w:p w14:paraId="4E3E19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w:t>
                  </w:r>
                </w:p>
              </w:tc>
              <w:tc>
                <w:tcPr>
                  <w:tcW w:w="1344" w:type="dxa"/>
                  <w:tcBorders>
                    <w:tl2br w:val="nil"/>
                    <w:tr2bl w:val="nil"/>
                  </w:tcBorders>
                  <w:noWrap w:val="0"/>
                  <w:vAlign w:val="center"/>
                </w:tcPr>
                <w:p w14:paraId="73DA02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370万</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m³</w:t>
                  </w:r>
                  <w:r>
                    <w:rPr>
                      <w:rFonts w:hint="default" w:ascii="Times New Roman" w:hAnsi="Times New Roman" w:eastAsia="Times New Roman" w:cs="Times New Roman"/>
                      <w:color w:val="000000" w:themeColor="text1"/>
                      <w:spacing w:val="3"/>
                      <w:sz w:val="21"/>
                      <w:szCs w:val="21"/>
                      <w14:textFill>
                        <w14:solidFill>
                          <w14:schemeClr w14:val="tx1"/>
                        </w14:solidFill>
                      </w14:textFill>
                    </w:rPr>
                    <w:t>/a</w:t>
                  </w:r>
                </w:p>
              </w:tc>
              <w:tc>
                <w:tcPr>
                  <w:tcW w:w="1226" w:type="dxa"/>
                  <w:tcBorders>
                    <w:tl2br w:val="nil"/>
                    <w:tr2bl w:val="nil"/>
                  </w:tcBorders>
                  <w:noWrap w:val="0"/>
                  <w:vAlign w:val="center"/>
                </w:tcPr>
                <w:p w14:paraId="5C5EA6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2"/>
                      <w:sz w:val="21"/>
                      <w:szCs w:val="21"/>
                      <w14:textFill>
                        <w14:solidFill>
                          <w14:schemeClr w14:val="tx1"/>
                        </w14:solidFill>
                      </w14:textFill>
                    </w:rPr>
                    <w:t>/</w:t>
                  </w:r>
                </w:p>
              </w:tc>
            </w:tr>
            <w:tr w14:paraId="7661F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932" w:type="dxa"/>
                  <w:tcBorders>
                    <w:tl2br w:val="nil"/>
                    <w:tr2bl w:val="nil"/>
                  </w:tcBorders>
                  <w:noWrap w:val="0"/>
                  <w:vAlign w:val="center"/>
                </w:tcPr>
                <w:p w14:paraId="43A701C8">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颗粒物</w:t>
                  </w:r>
                </w:p>
              </w:tc>
              <w:tc>
                <w:tcPr>
                  <w:tcW w:w="1428" w:type="dxa"/>
                  <w:tcBorders>
                    <w:tl2br w:val="nil"/>
                    <w:tr2bl w:val="nil"/>
                  </w:tcBorders>
                  <w:noWrap w:val="0"/>
                  <w:vAlign w:val="center"/>
                </w:tcPr>
                <w:p w14:paraId="67E9A7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0.</w:t>
                  </w:r>
                  <w:r>
                    <w:rPr>
                      <w:rFonts w:hint="eastAsia" w:cs="Times New Roman"/>
                      <w:color w:val="000000" w:themeColor="text1"/>
                      <w:spacing w:val="2"/>
                      <w:sz w:val="21"/>
                      <w:szCs w:val="21"/>
                      <w:lang w:val="en-US" w:eastAsia="zh-CN"/>
                      <w14:textFill>
                        <w14:solidFill>
                          <w14:schemeClr w14:val="tx1"/>
                        </w14:solidFill>
                      </w14:textFill>
                    </w:rPr>
                    <w:t>54</w:t>
                  </w:r>
                  <w:r>
                    <w:rPr>
                      <w:rFonts w:hint="default" w:ascii="Times New Roman" w:hAnsi="Times New Roman" w:eastAsia="Times New Roman" w:cs="Times New Roman"/>
                      <w:color w:val="000000" w:themeColor="text1"/>
                      <w:spacing w:val="2"/>
                      <w:sz w:val="21"/>
                      <w:szCs w:val="21"/>
                      <w14:textFill>
                        <w14:solidFill>
                          <w14:schemeClr w14:val="tx1"/>
                        </w14:solidFill>
                      </w14:textFill>
                    </w:rPr>
                    <w:t>t/a</w:t>
                  </w:r>
                </w:p>
              </w:tc>
              <w:tc>
                <w:tcPr>
                  <w:tcW w:w="1167" w:type="dxa"/>
                  <w:tcBorders>
                    <w:tl2br w:val="nil"/>
                    <w:tr2bl w:val="nil"/>
                  </w:tcBorders>
                  <w:noWrap w:val="0"/>
                  <w:vAlign w:val="center"/>
                </w:tcPr>
                <w:p w14:paraId="0AF70D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25</w:t>
                  </w:r>
                  <w:r>
                    <w:rPr>
                      <w:rFonts w:hint="default" w:ascii="Times New Roman" w:hAnsi="Times New Roman" w:eastAsia="Times New Roman" w:cs="Times New Roman"/>
                      <w:color w:val="000000" w:themeColor="text1"/>
                      <w:sz w:val="21"/>
                      <w:szCs w:val="21"/>
                      <w14:textFill>
                        <w14:solidFill>
                          <w14:schemeClr w14:val="tx1"/>
                        </w14:solidFill>
                      </w14:textFill>
                    </w:rPr>
                    <w:t>kg</w:t>
                  </w:r>
                  <w:r>
                    <w:rPr>
                      <w:rFonts w:hint="default" w:ascii="Times New Roman" w:hAnsi="Times New Roman" w:eastAsia="Times New Roman" w:cs="Times New Roman"/>
                      <w:color w:val="000000" w:themeColor="text1"/>
                      <w:spacing w:val="4"/>
                      <w:sz w:val="21"/>
                      <w:szCs w:val="21"/>
                      <w14:textFill>
                        <w14:solidFill>
                          <w14:schemeClr w14:val="tx1"/>
                        </w14:solidFill>
                      </w14:textFill>
                    </w:rPr>
                    <w:t>/h</w:t>
                  </w:r>
                </w:p>
              </w:tc>
              <w:tc>
                <w:tcPr>
                  <w:tcW w:w="1205" w:type="dxa"/>
                  <w:vMerge w:val="continue"/>
                  <w:tcBorders>
                    <w:tl2br w:val="nil"/>
                    <w:tr2bl w:val="nil"/>
                  </w:tcBorders>
                  <w:noWrap w:val="0"/>
                  <w:vAlign w:val="center"/>
                </w:tcPr>
                <w:p w14:paraId="6F5548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5" w:type="dxa"/>
                  <w:tcBorders>
                    <w:tl2br w:val="nil"/>
                    <w:tr2bl w:val="nil"/>
                  </w:tcBorders>
                  <w:noWrap w:val="0"/>
                  <w:vAlign w:val="center"/>
                </w:tcPr>
                <w:p w14:paraId="74021D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0.00</w:t>
                  </w: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3</w:t>
                  </w:r>
                </w:p>
              </w:tc>
              <w:tc>
                <w:tcPr>
                  <w:tcW w:w="1344" w:type="dxa"/>
                  <w:tcBorders>
                    <w:tl2br w:val="nil"/>
                    <w:tr2bl w:val="nil"/>
                  </w:tcBorders>
                  <w:noWrap w:val="0"/>
                  <w:vAlign w:val="center"/>
                </w:tcPr>
                <w:p w14:paraId="502C42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0.00</w:t>
                  </w:r>
                  <w:r>
                    <w:rPr>
                      <w:rFonts w:hint="eastAsia" w:cs="Times New Roman"/>
                      <w:color w:val="000000" w:themeColor="text1"/>
                      <w:spacing w:val="2"/>
                      <w:sz w:val="21"/>
                      <w:szCs w:val="21"/>
                      <w:lang w:val="en-US" w:eastAsia="zh-CN"/>
                      <w14:textFill>
                        <w14:solidFill>
                          <w14:schemeClr w14:val="tx1"/>
                        </w14:solidFill>
                      </w14:textFill>
                    </w:rPr>
                    <w:t>16</w:t>
                  </w:r>
                  <w:r>
                    <w:rPr>
                      <w:rFonts w:hint="default" w:ascii="Times New Roman" w:hAnsi="Times New Roman" w:eastAsia="Times New Roman" w:cs="Times New Roman"/>
                      <w:color w:val="000000" w:themeColor="text1"/>
                      <w:spacing w:val="2"/>
                      <w:sz w:val="21"/>
                      <w:szCs w:val="21"/>
                      <w14:textFill>
                        <w14:solidFill>
                          <w14:schemeClr w14:val="tx1"/>
                        </w14:solidFill>
                      </w14:textFill>
                    </w:rPr>
                    <w:t>t/a</w:t>
                  </w:r>
                </w:p>
              </w:tc>
              <w:tc>
                <w:tcPr>
                  <w:tcW w:w="1226" w:type="dxa"/>
                  <w:tcBorders>
                    <w:tl2br w:val="nil"/>
                    <w:tr2bl w:val="nil"/>
                  </w:tcBorders>
                  <w:noWrap w:val="0"/>
                  <w:vAlign w:val="center"/>
                </w:tcPr>
                <w:p w14:paraId="5CF7985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4"/>
                      <w:sz w:val="21"/>
                      <w:szCs w:val="21"/>
                      <w14:textFill>
                        <w14:solidFill>
                          <w14:schemeClr w14:val="tx1"/>
                        </w14:solidFill>
                      </w14:textFill>
                    </w:rPr>
                    <w:t>0.0</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0</w:t>
                  </w:r>
                  <w:r>
                    <w:rPr>
                      <w:rFonts w:hint="default" w:ascii="Times New Roman" w:hAnsi="Times New Roman" w:eastAsia="Times New Roman" w:cs="Times New Roman"/>
                      <w:color w:val="000000" w:themeColor="text1"/>
                      <w:spacing w:val="4"/>
                      <w:sz w:val="21"/>
                      <w:szCs w:val="21"/>
                      <w14:textFill>
                        <w14:solidFill>
                          <w14:schemeClr w14:val="tx1"/>
                        </w14:solidFill>
                      </w14:textFill>
                    </w:rPr>
                    <w:t>0</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7</w:t>
                  </w:r>
                  <w:r>
                    <w:rPr>
                      <w:rFonts w:hint="eastAsia" w:cs="Times New Roman"/>
                      <w:color w:val="000000" w:themeColor="text1"/>
                      <w:spacing w:val="4"/>
                      <w:sz w:val="21"/>
                      <w:szCs w:val="21"/>
                      <w:lang w:val="en-US" w:eastAsia="zh-CN"/>
                      <w14:textFill>
                        <w14:solidFill>
                          <w14:schemeClr w14:val="tx1"/>
                        </w14:solidFill>
                      </w14:textFill>
                    </w:rPr>
                    <w:t>5</w:t>
                  </w:r>
                  <w:r>
                    <w:rPr>
                      <w:rFonts w:hint="default" w:ascii="Times New Roman" w:hAnsi="Times New Roman" w:eastAsia="Times New Roman" w:cs="Times New Roman"/>
                      <w:color w:val="000000" w:themeColor="text1"/>
                      <w:sz w:val="21"/>
                      <w:szCs w:val="21"/>
                      <w14:textFill>
                        <w14:solidFill>
                          <w14:schemeClr w14:val="tx1"/>
                        </w14:solidFill>
                      </w14:textFill>
                    </w:rPr>
                    <w:t>kg</w:t>
                  </w:r>
                  <w:r>
                    <w:rPr>
                      <w:rFonts w:hint="default" w:ascii="Times New Roman" w:hAnsi="Times New Roman" w:eastAsia="Times New Roman" w:cs="Times New Roman"/>
                      <w:color w:val="000000" w:themeColor="text1"/>
                      <w:spacing w:val="4"/>
                      <w:sz w:val="21"/>
                      <w:szCs w:val="21"/>
                      <w14:textFill>
                        <w14:solidFill>
                          <w14:schemeClr w14:val="tx1"/>
                        </w14:solidFill>
                      </w14:textFill>
                    </w:rPr>
                    <w:t>/h</w:t>
                  </w:r>
                </w:p>
              </w:tc>
            </w:tr>
            <w:tr w14:paraId="4589D6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2" w:type="dxa"/>
                  <w:tcBorders>
                    <w:tl2br w:val="nil"/>
                    <w:tr2bl w:val="nil"/>
                  </w:tcBorders>
                  <w:noWrap w:val="0"/>
                  <w:vAlign w:val="center"/>
                </w:tcPr>
                <w:p w14:paraId="2CC850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SO</w:t>
                  </w:r>
                  <w:r>
                    <w:rPr>
                      <w:rFonts w:hint="default" w:ascii="Times New Roman" w:hAnsi="Times New Roman" w:eastAsia="Times New Roman" w:cs="Times New Roman"/>
                      <w:color w:val="000000" w:themeColor="text1"/>
                      <w:spacing w:val="1"/>
                      <w:position w:val="-1"/>
                      <w:sz w:val="21"/>
                      <w:szCs w:val="21"/>
                      <w:vertAlign w:val="subscript"/>
                      <w14:textFill>
                        <w14:solidFill>
                          <w14:schemeClr w14:val="tx1"/>
                        </w14:solidFill>
                      </w14:textFill>
                    </w:rPr>
                    <w:t>2</w:t>
                  </w:r>
                </w:p>
              </w:tc>
              <w:tc>
                <w:tcPr>
                  <w:tcW w:w="1428" w:type="dxa"/>
                  <w:tcBorders>
                    <w:tl2br w:val="nil"/>
                    <w:tr2bl w:val="nil"/>
                  </w:tcBorders>
                  <w:noWrap w:val="0"/>
                  <w:vAlign w:val="center"/>
                </w:tcPr>
                <w:p w14:paraId="30A4F6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0.00</w:t>
                  </w:r>
                  <w:r>
                    <w:rPr>
                      <w:rFonts w:hint="eastAsia" w:cs="Times New Roman"/>
                      <w:color w:val="000000" w:themeColor="text1"/>
                      <w:spacing w:val="2"/>
                      <w:sz w:val="21"/>
                      <w:szCs w:val="21"/>
                      <w:lang w:val="en-US" w:eastAsia="zh-CN"/>
                      <w14:textFill>
                        <w14:solidFill>
                          <w14:schemeClr w14:val="tx1"/>
                        </w14:solidFill>
                      </w14:textFill>
                    </w:rPr>
                    <w:t>18</w:t>
                  </w:r>
                  <w:r>
                    <w:rPr>
                      <w:rFonts w:hint="default" w:ascii="Times New Roman" w:hAnsi="Times New Roman" w:eastAsia="Times New Roman" w:cs="Times New Roman"/>
                      <w:color w:val="000000" w:themeColor="text1"/>
                      <w:spacing w:val="2"/>
                      <w:sz w:val="21"/>
                      <w:szCs w:val="21"/>
                      <w14:textFill>
                        <w14:solidFill>
                          <w14:schemeClr w14:val="tx1"/>
                        </w14:solidFill>
                      </w14:textFill>
                    </w:rPr>
                    <w:t>t/a</w:t>
                  </w:r>
                </w:p>
              </w:tc>
              <w:tc>
                <w:tcPr>
                  <w:tcW w:w="1167" w:type="dxa"/>
                  <w:tcBorders>
                    <w:tl2br w:val="nil"/>
                    <w:tr2bl w:val="nil"/>
                  </w:tcBorders>
                  <w:noWrap w:val="0"/>
                  <w:vAlign w:val="center"/>
                </w:tcPr>
                <w:p w14:paraId="72C419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0.0008</w:t>
                  </w:r>
                  <w:r>
                    <w:rPr>
                      <w:rFonts w:hint="eastAsia" w:cs="Times New Roman"/>
                      <w:color w:val="000000" w:themeColor="text1"/>
                      <w:spacing w:val="4"/>
                      <w:sz w:val="21"/>
                      <w:szCs w:val="21"/>
                      <w:lang w:val="en-US" w:eastAsia="zh-CN"/>
                      <w14:textFill>
                        <w14:solidFill>
                          <w14:schemeClr w14:val="tx1"/>
                        </w14:solidFill>
                      </w14:textFill>
                    </w:rPr>
                    <w:t>5</w:t>
                  </w:r>
                  <w:r>
                    <w:rPr>
                      <w:rFonts w:hint="default" w:ascii="Times New Roman" w:hAnsi="Times New Roman" w:eastAsia="Times New Roman" w:cs="Times New Roman"/>
                      <w:color w:val="000000" w:themeColor="text1"/>
                      <w:sz w:val="21"/>
                      <w:szCs w:val="21"/>
                      <w14:textFill>
                        <w14:solidFill>
                          <w14:schemeClr w14:val="tx1"/>
                        </w14:solidFill>
                      </w14:textFill>
                    </w:rPr>
                    <w:t>kg</w:t>
                  </w:r>
                  <w:r>
                    <w:rPr>
                      <w:rFonts w:hint="default" w:ascii="Times New Roman" w:hAnsi="Times New Roman" w:eastAsia="Times New Roman" w:cs="Times New Roman"/>
                      <w:color w:val="000000" w:themeColor="text1"/>
                      <w:spacing w:val="4"/>
                      <w:sz w:val="21"/>
                      <w:szCs w:val="21"/>
                      <w14:textFill>
                        <w14:solidFill>
                          <w14:schemeClr w14:val="tx1"/>
                        </w14:solidFill>
                      </w14:textFill>
                    </w:rPr>
                    <w:t>/h</w:t>
                  </w:r>
                </w:p>
              </w:tc>
              <w:tc>
                <w:tcPr>
                  <w:tcW w:w="1205" w:type="dxa"/>
                  <w:vMerge w:val="continue"/>
                  <w:tcBorders>
                    <w:tl2br w:val="nil"/>
                    <w:tr2bl w:val="nil"/>
                  </w:tcBorders>
                  <w:noWrap w:val="0"/>
                  <w:vAlign w:val="center"/>
                </w:tcPr>
                <w:p w14:paraId="12A218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5" w:type="dxa"/>
                  <w:tcBorders>
                    <w:tl2br w:val="nil"/>
                    <w:tr2bl w:val="nil"/>
                  </w:tcBorders>
                  <w:noWrap w:val="0"/>
                  <w:vAlign w:val="center"/>
                </w:tcPr>
                <w:p w14:paraId="30AFF8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w:t>
                  </w:r>
                </w:p>
              </w:tc>
              <w:tc>
                <w:tcPr>
                  <w:tcW w:w="1344" w:type="dxa"/>
                  <w:tcBorders>
                    <w:tl2br w:val="nil"/>
                    <w:tr2bl w:val="nil"/>
                  </w:tcBorders>
                  <w:noWrap w:val="0"/>
                  <w:vAlign w:val="center"/>
                </w:tcPr>
                <w:p w14:paraId="2672C4A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0.00</w:t>
                  </w:r>
                  <w:r>
                    <w:rPr>
                      <w:rFonts w:hint="eastAsia" w:cs="Times New Roman"/>
                      <w:color w:val="000000" w:themeColor="text1"/>
                      <w:spacing w:val="2"/>
                      <w:sz w:val="21"/>
                      <w:szCs w:val="21"/>
                      <w:lang w:val="en-US" w:eastAsia="zh-CN"/>
                      <w14:textFill>
                        <w14:solidFill>
                          <w14:schemeClr w14:val="tx1"/>
                        </w14:solidFill>
                      </w14:textFill>
                    </w:rPr>
                    <w:t>18</w:t>
                  </w:r>
                  <w:r>
                    <w:rPr>
                      <w:rFonts w:hint="default" w:ascii="Times New Roman" w:hAnsi="Times New Roman" w:eastAsia="Times New Roman" w:cs="Times New Roman"/>
                      <w:color w:val="000000" w:themeColor="text1"/>
                      <w:spacing w:val="2"/>
                      <w:sz w:val="21"/>
                      <w:szCs w:val="21"/>
                      <w14:textFill>
                        <w14:solidFill>
                          <w14:schemeClr w14:val="tx1"/>
                        </w14:solidFill>
                      </w14:textFill>
                    </w:rPr>
                    <w:t>t/a</w:t>
                  </w:r>
                </w:p>
              </w:tc>
              <w:tc>
                <w:tcPr>
                  <w:tcW w:w="1226" w:type="dxa"/>
                  <w:tcBorders>
                    <w:tl2br w:val="nil"/>
                    <w:tr2bl w:val="nil"/>
                  </w:tcBorders>
                  <w:noWrap w:val="0"/>
                  <w:vAlign w:val="center"/>
                </w:tcPr>
                <w:p w14:paraId="1504A9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0.0008</w:t>
                  </w:r>
                  <w:r>
                    <w:rPr>
                      <w:rFonts w:hint="eastAsia" w:cs="Times New Roman"/>
                      <w:color w:val="000000" w:themeColor="text1"/>
                      <w:spacing w:val="4"/>
                      <w:sz w:val="21"/>
                      <w:szCs w:val="21"/>
                      <w:lang w:val="en-US" w:eastAsia="zh-CN"/>
                      <w14:textFill>
                        <w14:solidFill>
                          <w14:schemeClr w14:val="tx1"/>
                        </w14:solidFill>
                      </w14:textFill>
                    </w:rPr>
                    <w:t>5</w:t>
                  </w:r>
                  <w:r>
                    <w:rPr>
                      <w:rFonts w:hint="default" w:ascii="Times New Roman" w:hAnsi="Times New Roman" w:eastAsia="Times New Roman" w:cs="Times New Roman"/>
                      <w:color w:val="000000" w:themeColor="text1"/>
                      <w:sz w:val="21"/>
                      <w:szCs w:val="21"/>
                      <w14:textFill>
                        <w14:solidFill>
                          <w14:schemeClr w14:val="tx1"/>
                        </w14:solidFill>
                      </w14:textFill>
                    </w:rPr>
                    <w:t>kg</w:t>
                  </w:r>
                  <w:r>
                    <w:rPr>
                      <w:rFonts w:hint="default" w:ascii="Times New Roman" w:hAnsi="Times New Roman" w:eastAsia="Times New Roman" w:cs="Times New Roman"/>
                      <w:color w:val="000000" w:themeColor="text1"/>
                      <w:spacing w:val="4"/>
                      <w:sz w:val="21"/>
                      <w:szCs w:val="21"/>
                      <w14:textFill>
                        <w14:solidFill>
                          <w14:schemeClr w14:val="tx1"/>
                        </w14:solidFill>
                      </w14:textFill>
                    </w:rPr>
                    <w:t>/h</w:t>
                  </w:r>
                </w:p>
              </w:tc>
            </w:tr>
            <w:tr w14:paraId="6B89D1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2" w:type="dxa"/>
                  <w:tcBorders>
                    <w:tl2br w:val="nil"/>
                    <w:tr2bl w:val="nil"/>
                  </w:tcBorders>
                  <w:noWrap w:val="0"/>
                  <w:vAlign w:val="center"/>
                </w:tcPr>
                <w:p w14:paraId="051267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6"/>
                      <w:sz w:val="21"/>
                      <w:szCs w:val="21"/>
                      <w14:textFill>
                        <w14:solidFill>
                          <w14:schemeClr w14:val="tx1"/>
                        </w14:solidFill>
                      </w14:textFill>
                    </w:rPr>
                    <w:t>NO</w:t>
                  </w:r>
                  <w:r>
                    <w:rPr>
                      <w:rFonts w:hint="default" w:ascii="Times New Roman" w:hAnsi="Times New Roman" w:eastAsia="Times New Roman" w:cs="Times New Roman"/>
                      <w:color w:val="000000" w:themeColor="text1"/>
                      <w:spacing w:val="6"/>
                      <w:sz w:val="21"/>
                      <w:szCs w:val="21"/>
                      <w:vertAlign w:val="subscript"/>
                      <w14:textFill>
                        <w14:solidFill>
                          <w14:schemeClr w14:val="tx1"/>
                        </w14:solidFill>
                      </w14:textFill>
                    </w:rPr>
                    <w:t>x</w:t>
                  </w:r>
                </w:p>
              </w:tc>
              <w:tc>
                <w:tcPr>
                  <w:tcW w:w="1428" w:type="dxa"/>
                  <w:tcBorders>
                    <w:tl2br w:val="nil"/>
                    <w:tr2bl w:val="nil"/>
                  </w:tcBorders>
                  <w:noWrap w:val="0"/>
                  <w:vAlign w:val="center"/>
                </w:tcPr>
                <w:p w14:paraId="0DE75A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1.10</w:t>
                  </w:r>
                  <w:r>
                    <w:rPr>
                      <w:rFonts w:hint="default" w:ascii="Times New Roman" w:hAnsi="Times New Roman" w:eastAsia="Times New Roman" w:cs="Times New Roman"/>
                      <w:color w:val="000000" w:themeColor="text1"/>
                      <w:sz w:val="21"/>
                      <w:szCs w:val="21"/>
                      <w14:textFill>
                        <w14:solidFill>
                          <w14:schemeClr w14:val="tx1"/>
                        </w14:solidFill>
                      </w14:textFill>
                    </w:rPr>
                    <w:t>t/a</w:t>
                  </w:r>
                </w:p>
              </w:tc>
              <w:tc>
                <w:tcPr>
                  <w:tcW w:w="1167" w:type="dxa"/>
                  <w:tcBorders>
                    <w:tl2br w:val="nil"/>
                    <w:tr2bl w:val="nil"/>
                  </w:tcBorders>
                  <w:noWrap w:val="0"/>
                  <w:vAlign w:val="center"/>
                </w:tcPr>
                <w:p w14:paraId="63EB5B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5</w:t>
                  </w:r>
                  <w:r>
                    <w:rPr>
                      <w:rFonts w:hint="eastAsia" w:cs="Times New Roman"/>
                      <w:color w:val="000000" w:themeColor="text1"/>
                      <w:spacing w:val="4"/>
                      <w:sz w:val="21"/>
                      <w:szCs w:val="21"/>
                      <w:lang w:val="en-US" w:eastAsia="zh-CN"/>
                      <w14:textFill>
                        <w14:solidFill>
                          <w14:schemeClr w14:val="tx1"/>
                        </w14:solidFill>
                      </w14:textFill>
                    </w:rPr>
                    <w:t>1</w:t>
                  </w:r>
                  <w:r>
                    <w:rPr>
                      <w:rFonts w:hint="default" w:ascii="Times New Roman" w:hAnsi="Times New Roman" w:eastAsia="Times New Roman" w:cs="Times New Roman"/>
                      <w:color w:val="000000" w:themeColor="text1"/>
                      <w:sz w:val="21"/>
                      <w:szCs w:val="21"/>
                      <w14:textFill>
                        <w14:solidFill>
                          <w14:schemeClr w14:val="tx1"/>
                        </w14:solidFill>
                      </w14:textFill>
                    </w:rPr>
                    <w:t>kg</w:t>
                  </w:r>
                  <w:r>
                    <w:rPr>
                      <w:rFonts w:hint="default" w:ascii="Times New Roman" w:hAnsi="Times New Roman" w:eastAsia="Times New Roman" w:cs="Times New Roman"/>
                      <w:color w:val="000000" w:themeColor="text1"/>
                      <w:spacing w:val="4"/>
                      <w:sz w:val="21"/>
                      <w:szCs w:val="21"/>
                      <w14:textFill>
                        <w14:solidFill>
                          <w14:schemeClr w14:val="tx1"/>
                        </w14:solidFill>
                      </w14:textFill>
                    </w:rPr>
                    <w:t>/h</w:t>
                  </w:r>
                </w:p>
              </w:tc>
              <w:tc>
                <w:tcPr>
                  <w:tcW w:w="1205" w:type="dxa"/>
                  <w:vMerge w:val="continue"/>
                  <w:tcBorders>
                    <w:tl2br w:val="nil"/>
                    <w:tr2bl w:val="nil"/>
                  </w:tcBorders>
                  <w:noWrap w:val="0"/>
                  <w:vAlign w:val="center"/>
                </w:tcPr>
                <w:p w14:paraId="6C1490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5" w:type="dxa"/>
                  <w:tcBorders>
                    <w:tl2br w:val="nil"/>
                    <w:tr2bl w:val="nil"/>
                  </w:tcBorders>
                  <w:noWrap w:val="0"/>
                  <w:vAlign w:val="center"/>
                </w:tcPr>
                <w:p w14:paraId="34D652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0.51</w:t>
                  </w:r>
                </w:p>
              </w:tc>
              <w:tc>
                <w:tcPr>
                  <w:tcW w:w="1344" w:type="dxa"/>
                  <w:tcBorders>
                    <w:tl2br w:val="nil"/>
                    <w:tr2bl w:val="nil"/>
                  </w:tcBorders>
                  <w:noWrap w:val="0"/>
                  <w:vAlign w:val="center"/>
                </w:tcPr>
                <w:p w14:paraId="015955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0.</w:t>
                  </w:r>
                  <w:r>
                    <w:rPr>
                      <w:rFonts w:hint="eastAsia" w:cs="Times New Roman"/>
                      <w:color w:val="000000" w:themeColor="text1"/>
                      <w:spacing w:val="2"/>
                      <w:sz w:val="21"/>
                      <w:szCs w:val="21"/>
                      <w:lang w:val="en-US" w:eastAsia="zh-CN"/>
                      <w14:textFill>
                        <w14:solidFill>
                          <w14:schemeClr w14:val="tx1"/>
                        </w14:solidFill>
                      </w14:textFill>
                    </w:rPr>
                    <w:t>56</w:t>
                  </w:r>
                  <w:r>
                    <w:rPr>
                      <w:rFonts w:hint="default" w:ascii="Times New Roman" w:hAnsi="Times New Roman" w:eastAsia="Times New Roman" w:cs="Times New Roman"/>
                      <w:color w:val="000000" w:themeColor="text1"/>
                      <w:spacing w:val="2"/>
                      <w:sz w:val="21"/>
                      <w:szCs w:val="21"/>
                      <w14:textFill>
                        <w14:solidFill>
                          <w14:schemeClr w14:val="tx1"/>
                        </w14:solidFill>
                      </w14:textFill>
                    </w:rPr>
                    <w:t>t/a</w:t>
                  </w:r>
                </w:p>
              </w:tc>
              <w:tc>
                <w:tcPr>
                  <w:tcW w:w="1226" w:type="dxa"/>
                  <w:tcBorders>
                    <w:tl2br w:val="nil"/>
                    <w:tr2bl w:val="nil"/>
                  </w:tcBorders>
                  <w:noWrap w:val="0"/>
                  <w:vAlign w:val="center"/>
                </w:tcPr>
                <w:p w14:paraId="26A26D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4"/>
                      <w:sz w:val="21"/>
                      <w:szCs w:val="21"/>
                      <w14:textFill>
                        <w14:solidFill>
                          <w14:schemeClr w14:val="tx1"/>
                        </w14:solidFill>
                      </w14:textFill>
                    </w:rPr>
                    <w:t>0.</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26</w:t>
                  </w:r>
                  <w:r>
                    <w:rPr>
                      <w:rFonts w:hint="default" w:ascii="Times New Roman" w:hAnsi="Times New Roman" w:eastAsia="Times New Roman" w:cs="Times New Roman"/>
                      <w:color w:val="000000" w:themeColor="text1"/>
                      <w:sz w:val="21"/>
                      <w:szCs w:val="21"/>
                      <w14:textFill>
                        <w14:solidFill>
                          <w14:schemeClr w14:val="tx1"/>
                        </w14:solidFill>
                      </w14:textFill>
                    </w:rPr>
                    <w:t>kg</w:t>
                  </w:r>
                  <w:r>
                    <w:rPr>
                      <w:rFonts w:hint="default" w:ascii="Times New Roman" w:hAnsi="Times New Roman" w:eastAsia="Times New Roman" w:cs="Times New Roman"/>
                      <w:color w:val="000000" w:themeColor="text1"/>
                      <w:spacing w:val="4"/>
                      <w:sz w:val="21"/>
                      <w:szCs w:val="21"/>
                      <w14:textFill>
                        <w14:solidFill>
                          <w14:schemeClr w14:val="tx1"/>
                        </w14:solidFill>
                      </w14:textFill>
                    </w:rPr>
                    <w:t>/h</w:t>
                  </w:r>
                </w:p>
              </w:tc>
            </w:tr>
            <w:tr w14:paraId="6B81A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297" w:type="dxa"/>
                  <w:gridSpan w:val="7"/>
                  <w:tcBorders>
                    <w:tl2br w:val="nil"/>
                    <w:tr2bl w:val="nil"/>
                  </w:tcBorders>
                  <w:noWrap w:val="0"/>
                  <w:vAlign w:val="center"/>
                </w:tcPr>
                <w:p w14:paraId="73D7791F">
                  <w:pPr>
                    <w:pStyle w:val="181"/>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9"/>
                      <w:sz w:val="21"/>
                      <w:szCs w:val="21"/>
                      <w14:textFill>
                        <w14:solidFill>
                          <w14:schemeClr w14:val="tx1"/>
                        </w14:solidFill>
                      </w14:textFill>
                    </w:rPr>
                    <w:t>注：根据《排污许可证申请与核发技术规范 锅炉》（</w:t>
                  </w:r>
                  <w:r>
                    <w:rPr>
                      <w:rFonts w:hint="default" w:ascii="Times New Roman" w:hAnsi="Times New Roman" w:eastAsia="Times New Roman" w:cs="Times New Roman"/>
                      <w:color w:val="000000" w:themeColor="text1"/>
                      <w:sz w:val="21"/>
                      <w:szCs w:val="21"/>
                      <w14:textFill>
                        <w14:solidFill>
                          <w14:schemeClr w14:val="tx1"/>
                        </w14:solidFill>
                      </w14:textFill>
                    </w:rPr>
                    <w:t>HJ</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Times New Roman" w:cs="Times New Roman"/>
                      <w:color w:val="000000" w:themeColor="text1"/>
                      <w:spacing w:val="9"/>
                      <w:sz w:val="21"/>
                      <w:szCs w:val="21"/>
                      <w14:textFill>
                        <w14:solidFill>
                          <w14:schemeClr w14:val="tx1"/>
                        </w14:solidFill>
                      </w14:textFill>
                    </w:rPr>
                    <w:t>953-2018</w:t>
                  </w:r>
                  <w:r>
                    <w:rPr>
                      <w:rFonts w:hint="default" w:ascii="Times New Roman" w:hAnsi="Times New Roman" w:cs="Times New Roman"/>
                      <w:color w:val="000000" w:themeColor="text1"/>
                      <w:spacing w:val="9"/>
                      <w:sz w:val="21"/>
                      <w:szCs w:val="21"/>
                      <w14:textFill>
                        <w14:solidFill>
                          <w14:schemeClr w14:val="tx1"/>
                        </w14:solidFill>
                      </w14:textFill>
                    </w:rPr>
                    <w:t>）</w:t>
                  </w:r>
                  <w:r>
                    <w:rPr>
                      <w:rFonts w:hint="default" w:ascii="Times New Roman" w:hAnsi="Times New Roman" w:cs="Times New Roman"/>
                      <w:color w:val="000000" w:themeColor="text1"/>
                      <w:spacing w:val="9"/>
                      <w:sz w:val="21"/>
                      <w:szCs w:val="21"/>
                      <w:lang w:val="en-US" w:eastAsia="zh-CN"/>
                      <w14:textFill>
                        <w14:solidFill>
                          <w14:schemeClr w14:val="tx1"/>
                        </w14:solidFill>
                      </w14:textFill>
                    </w:rPr>
                    <w:t>颗粒物采用袋式除尘器</w:t>
                  </w:r>
                  <w:r>
                    <w:rPr>
                      <w:rFonts w:hint="eastAsia" w:ascii="Times New Roman" w:hAnsi="Times New Roman" w:cs="Times New Roman"/>
                      <w:color w:val="000000" w:themeColor="text1"/>
                      <w:spacing w:val="9"/>
                      <w:sz w:val="21"/>
                      <w:szCs w:val="21"/>
                      <w:lang w:val="en-US" w:eastAsia="zh-CN"/>
                      <w14:textFill>
                        <w14:solidFill>
                          <w14:schemeClr w14:val="tx1"/>
                        </w14:solidFill>
                      </w14:textFill>
                    </w:rPr>
                    <w:t>处理</w:t>
                  </w:r>
                  <w:r>
                    <w:rPr>
                      <w:rFonts w:hint="default" w:ascii="Times New Roman" w:hAnsi="Times New Roman" w:cs="Times New Roman"/>
                      <w:color w:val="000000" w:themeColor="text1"/>
                      <w:spacing w:val="9"/>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5"/>
                      <w:sz w:val="21"/>
                      <w:szCs w:val="21"/>
                      <w14:textFill>
                        <w14:solidFill>
                          <w14:schemeClr w14:val="tx1"/>
                        </w14:solidFill>
                      </w14:textFill>
                    </w:rPr>
                    <w:t>氮氧化物采用</w:t>
                  </w:r>
                  <w:r>
                    <w:rPr>
                      <w:rFonts w:hint="default" w:ascii="Times New Roman" w:hAnsi="Times New Roman" w:eastAsia="Times New Roman" w:cs="Times New Roman"/>
                      <w:color w:val="000000" w:themeColor="text1"/>
                      <w:sz w:val="21"/>
                      <w:szCs w:val="21"/>
                      <w14:textFill>
                        <w14:solidFill>
                          <w14:schemeClr w14:val="tx1"/>
                        </w14:solidFill>
                      </w14:textFill>
                    </w:rPr>
                    <w:t>SNCR</w:t>
                  </w:r>
                  <w:r>
                    <w:rPr>
                      <w:rFonts w:hint="default" w:ascii="Times New Roman" w:hAnsi="Times New Roman" w:cs="Times New Roman"/>
                      <w:color w:val="000000" w:themeColor="text1"/>
                      <w:spacing w:val="5"/>
                      <w:sz w:val="21"/>
                      <w:szCs w:val="21"/>
                      <w14:textFill>
                        <w14:solidFill>
                          <w14:schemeClr w14:val="tx1"/>
                        </w14:solidFill>
                      </w14:textFill>
                    </w:rPr>
                    <w:t>脱硝</w:t>
                  </w:r>
                  <w:r>
                    <w:rPr>
                      <w:rFonts w:hint="default" w:ascii="Times New Roman" w:hAnsi="Times New Roman" w:cs="Times New Roman"/>
                      <w:color w:val="000000" w:themeColor="text1"/>
                      <w:spacing w:val="9"/>
                      <w:sz w:val="21"/>
                      <w:szCs w:val="21"/>
                      <w14:textFill>
                        <w14:solidFill>
                          <w14:schemeClr w14:val="tx1"/>
                        </w14:solidFill>
                      </w14:textFill>
                    </w:rPr>
                    <w:t>技术处理，</w:t>
                  </w:r>
                  <w:r>
                    <w:rPr>
                      <w:rFonts w:hint="default" w:ascii="Times New Roman" w:hAnsi="Times New Roman" w:cs="Times New Roman"/>
                      <w:color w:val="000000" w:themeColor="text1"/>
                      <w:spacing w:val="9"/>
                      <w:sz w:val="21"/>
                      <w:szCs w:val="21"/>
                      <w:lang w:val="en-US" w:eastAsia="zh-CN"/>
                      <w14:textFill>
                        <w14:solidFill>
                          <w14:schemeClr w14:val="tx1"/>
                        </w14:solidFill>
                      </w14:textFill>
                    </w:rPr>
                    <w:t>经治理后颗粒物及氮氧化物排污系数分别</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为0.00</w:t>
                  </w:r>
                  <w:r>
                    <w:rPr>
                      <w:rFonts w:hint="eastAsia" w:ascii="Times New Roman" w:hAnsi="Times New Roman" w:eastAsia="宋体" w:cs="Times New Roman"/>
                      <w:color w:val="000000" w:themeColor="text1"/>
                      <w:spacing w:val="4"/>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4"/>
                      <w:sz w:val="21"/>
                      <w:szCs w:val="21"/>
                      <w:lang w:val="en-US" w:eastAsia="zh-CN"/>
                      <w14:textFill>
                        <w14:solidFill>
                          <w14:schemeClr w14:val="tx1"/>
                        </w14:solidFill>
                      </w14:textFill>
                    </w:rPr>
                    <w:t>和0</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.51</w:t>
                  </w:r>
                  <w:r>
                    <w:rPr>
                      <w:rFonts w:hint="default" w:ascii="Times New Roman" w:hAnsi="Times New Roman" w:cs="Times New Roman"/>
                      <w:color w:val="000000" w:themeColor="text1"/>
                      <w:spacing w:val="4"/>
                      <w:sz w:val="21"/>
                      <w:szCs w:val="21"/>
                      <w14:textFill>
                        <w14:solidFill>
                          <w14:schemeClr w14:val="tx1"/>
                        </w14:solidFill>
                      </w14:textFill>
                    </w:rPr>
                    <w:t>。</w:t>
                  </w:r>
                </w:p>
              </w:tc>
            </w:tr>
          </w:tbl>
          <w:p w14:paraId="3A98BEA1">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jc w:val="left"/>
              <w:textAlignment w:val="auto"/>
              <w:rPr>
                <w:rFonts w:hint="default" w:ascii="Times New Roman" w:hAnsi="Times New Roman" w:eastAsia="宋体" w:cs="Times New Roman"/>
                <w:b/>
                <w:bCs w:val="0"/>
                <w:i w:val="0"/>
                <w:iCs w:val="0"/>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b/>
                <w:bCs w:val="0"/>
                <w:i w:val="0"/>
                <w:iCs w:val="0"/>
                <w:color w:val="000000" w:themeColor="text1"/>
                <w:sz w:val="24"/>
                <w:szCs w:val="28"/>
                <w:lang w:val="en-US" w:eastAsia="zh-CN"/>
                <w14:textFill>
                  <w14:solidFill>
                    <w14:schemeClr w14:val="tx1"/>
                  </w14:solidFill>
                </w14:textFill>
              </w:rPr>
              <w:t>2）</w:t>
            </w:r>
            <w:r>
              <w:rPr>
                <w:rFonts w:hint="eastAsia" w:cs="Times New Roman"/>
                <w:b/>
                <w:bCs w:val="0"/>
                <w:i w:val="0"/>
                <w:iCs w:val="0"/>
                <w:color w:val="000000" w:themeColor="text1"/>
                <w:sz w:val="24"/>
                <w:szCs w:val="28"/>
                <w:lang w:val="en-US" w:eastAsia="zh-CN"/>
                <w14:textFill>
                  <w14:solidFill>
                    <w14:schemeClr w14:val="tx1"/>
                  </w14:solidFill>
                </w14:textFill>
              </w:rPr>
              <w:t>脱硝</w:t>
            </w:r>
            <w:r>
              <w:rPr>
                <w:rFonts w:hint="eastAsia" w:ascii="Times New Roman" w:hAnsi="Times New Roman" w:eastAsia="宋体" w:cs="Times New Roman"/>
                <w:b/>
                <w:bCs w:val="0"/>
                <w:i w:val="0"/>
                <w:iCs w:val="0"/>
                <w:color w:val="000000" w:themeColor="text1"/>
                <w:sz w:val="24"/>
                <w:szCs w:val="28"/>
                <w:lang w:val="en-US" w:eastAsia="zh-CN"/>
                <w14:textFill>
                  <w14:solidFill>
                    <w14:schemeClr w14:val="tx1"/>
                  </w14:solidFill>
                </w14:textFill>
              </w:rPr>
              <w:t>过程</w:t>
            </w:r>
          </w:p>
          <w:p w14:paraId="37377861">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本项目采用尿素溶液SNCR脱硝工艺，系统无原生氨污染物产生；氨气由脱硝还原剂尿素在锅炉高温炉膛内热解生成：</w:t>
            </w:r>
          </w:p>
          <w:p w14:paraId="6D3535E3">
            <w:pPr>
              <w:pStyle w:val="3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3432175" cy="580390"/>
                  <wp:effectExtent l="0" t="0" r="0" b="0"/>
                  <wp:docPr id="24" name="图片 99" descr="70743256d847beedafdb90123708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9" descr="70743256d847beedafdb901237084614"/>
                          <pic:cNvPicPr>
                            <a:picLocks noChangeAspect="1"/>
                          </pic:cNvPicPr>
                        </pic:nvPicPr>
                        <pic:blipFill>
                          <a:blip r:embed="rId18">
                            <a:clrChange>
                              <a:clrFrom>
                                <a:srgbClr val="F7F7F7"/>
                              </a:clrFrom>
                              <a:clrTo>
                                <a:srgbClr val="F7F7F7">
                                  <a:alpha val="0"/>
                                </a:srgbClr>
                              </a:clrTo>
                            </a:clrChange>
                          </a:blip>
                          <a:stretch>
                            <a:fillRect/>
                          </a:stretch>
                        </pic:blipFill>
                        <pic:spPr>
                          <a:xfrm>
                            <a:off x="0" y="0"/>
                            <a:ext cx="3432175" cy="580390"/>
                          </a:xfrm>
                          <a:prstGeom prst="rect">
                            <a:avLst/>
                          </a:prstGeom>
                          <a:noFill/>
                          <a:ln>
                            <a:noFill/>
                          </a:ln>
                        </pic:spPr>
                      </pic:pic>
                    </a:graphicData>
                  </a:graphic>
                </wp:inline>
              </w:drawing>
            </w:r>
          </w:p>
          <w:p w14:paraId="0C1CFD9B">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生成的氨气主要与烟气中氮氧化物发生还原反应实现脱硝。因药剂投加量、温度工况、混合效果等因素，少量未参与反应的残余氨气随烟气外排，形成氨逃逸</w:t>
            </w:r>
            <w:r>
              <w:rPr>
                <w:rFonts w:hint="eastAsia" w:cs="Times New Roman"/>
                <w:color w:val="000000" w:themeColor="text1"/>
                <w:sz w:val="24"/>
                <w:szCs w:val="24"/>
                <w:lang w:val="en-US" w:eastAsia="zh-CN"/>
                <w14:textFill>
                  <w14:solidFill>
                    <w14:schemeClr w14:val="tx1"/>
                  </w14:solidFill>
                </w14:textFill>
              </w:rPr>
              <w:t>。</w:t>
            </w:r>
          </w:p>
          <w:p w14:paraId="143BBF8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其排放浓度执行《火电厂烟气脱硝工程技术规范 选择性非催化还原法》（HJ 563-2010），控制限值≤8mg/m³。</w:t>
            </w:r>
          </w:p>
          <w:p w14:paraId="4C32775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本次按氨的最大逃逸浓度8mg/m³进行计算，年运行时间为</w:t>
            </w:r>
            <w:r>
              <w:rPr>
                <w:rFonts w:hint="eastAsia" w:cs="Times New Roman"/>
                <w:color w:val="000000" w:themeColor="text1"/>
                <w:sz w:val="24"/>
                <w:szCs w:val="24"/>
                <w:lang w:val="en-US" w:eastAsia="zh-CN"/>
                <w14:textFill>
                  <w14:solidFill>
                    <w14:schemeClr w14:val="tx1"/>
                  </w14:solidFill>
                </w14:textFill>
              </w:rPr>
              <w:t>2160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h，小时烟气量为31</w:t>
            </w:r>
            <w:r>
              <w:rPr>
                <w:rFonts w:hint="eastAsia" w:cs="Times New Roman"/>
                <w:color w:val="000000" w:themeColor="text1"/>
                <w:sz w:val="24"/>
                <w:szCs w:val="24"/>
                <w:lang w:val="en-US" w:eastAsia="zh-CN"/>
                <w14:textFill>
                  <w14:solidFill>
                    <w14:schemeClr w14:val="tx1"/>
                  </w14:solidFill>
                </w14:textFill>
              </w:rPr>
              <w:t>22.89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/h（Q=</w:t>
            </w:r>
            <m:oMath>
              <m:f>
                <m:fPr>
                  <m:ctrlPr>
                    <w:rPr>
                      <w:rFonts w:ascii="Cambria Math" w:hAnsi="Cambria Math" w:cs="Times New Roman"/>
                      <w:i/>
                      <w:color w:val="000000" w:themeColor="text1"/>
                      <w:sz w:val="24"/>
                      <w:szCs w:val="24"/>
                      <w:lang w:val="en-US"/>
                      <w14:textFill>
                        <w14:solidFill>
                          <w14:schemeClr w14:val="tx1"/>
                        </w14:solidFill>
                      </w14:textFill>
                    </w:rPr>
                  </m:ctrlPr>
                </m:fPr>
                <m:num>
                  <m:r>
                    <m:rPr/>
                    <w:rPr>
                      <w:rFonts w:hint="default" w:ascii="Cambria Math" w:hAnsi="Cambria Math" w:cs="Times New Roman"/>
                      <w:color w:val="000000" w:themeColor="text1"/>
                      <w:sz w:val="24"/>
                      <w:szCs w:val="24"/>
                      <w:lang w:val="en-US" w:eastAsia="zh-CN"/>
                      <w14:textFill>
                        <w14:solidFill>
                          <w14:schemeClr w14:val="tx1"/>
                        </w14:solidFill>
                      </w14:textFill>
                    </w:rPr>
                    <m:t>1081×6240</m:t>
                  </m:r>
                  <m:ctrlPr>
                    <w:rPr>
                      <w:rFonts w:ascii="Cambria Math" w:hAnsi="Cambria Math" w:cs="Times New Roman"/>
                      <w:i/>
                      <w:color w:val="000000" w:themeColor="text1"/>
                      <w:sz w:val="24"/>
                      <w:szCs w:val="24"/>
                      <w:lang w:val="en-US"/>
                      <w14:textFill>
                        <w14:solidFill>
                          <w14:schemeClr w14:val="tx1"/>
                        </w14:solidFill>
                      </w14:textFill>
                    </w:rPr>
                  </m:ctrlPr>
                </m:num>
                <m:den>
                  <m:r>
                    <m:rPr/>
                    <w:rPr>
                      <w:rFonts w:hint="default" w:ascii="Cambria Math" w:hAnsi="Cambria Math" w:cs="Times New Roman"/>
                      <w:color w:val="000000" w:themeColor="text1"/>
                      <w:sz w:val="24"/>
                      <w:szCs w:val="24"/>
                      <w:lang w:val="en-US" w:eastAsia="zh-CN"/>
                      <w14:textFill>
                        <w14:solidFill>
                          <w14:schemeClr w14:val="tx1"/>
                        </w14:solidFill>
                      </w14:textFill>
                    </w:rPr>
                    <m:t>2160</m:t>
                  </m:r>
                  <m:ctrlPr>
                    <w:rPr>
                      <w:rFonts w:ascii="Cambria Math" w:hAnsi="Cambria Math" w:cs="Times New Roman"/>
                      <w:i/>
                      <w:color w:val="000000" w:themeColor="text1"/>
                      <w:sz w:val="24"/>
                      <w:szCs w:val="24"/>
                      <w:lang w:val="en-US"/>
                      <w14:textFill>
                        <w14:solidFill>
                          <w14:schemeClr w14:val="tx1"/>
                        </w14:solidFill>
                      </w14:textFill>
                    </w:rPr>
                  </m:ctrlPr>
                </m:den>
              </m:f>
            </m:oMath>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/h），则氨逃逸小时排放速率为0.025kg/h（</w:t>
            </w:r>
            <m:oMath>
              <m:f>
                <m:fPr>
                  <m:ctrlPr>
                    <w:rPr>
                      <w:rFonts w:ascii="Cambria Math" w:hAnsi="Cambria Math" w:cs="Times New Roman"/>
                      <w:i/>
                      <w:color w:val="000000" w:themeColor="text1"/>
                      <w:sz w:val="24"/>
                      <w:szCs w:val="24"/>
                      <w:lang w:val="en-US"/>
                      <w14:textFill>
                        <w14:solidFill>
                          <w14:schemeClr w14:val="tx1"/>
                        </w14:solidFill>
                      </w14:textFill>
                    </w:rPr>
                  </m:ctrlPr>
                </m:fPr>
                <m:num>
                  <m:r>
                    <m:rPr/>
                    <w:rPr>
                      <w:rFonts w:hint="default" w:ascii="Cambria Math" w:hAnsi="Cambria Math" w:cs="Times New Roman"/>
                      <w:color w:val="000000" w:themeColor="text1"/>
                      <w:sz w:val="24"/>
                      <w:szCs w:val="24"/>
                      <w:lang w:val="en-US" w:eastAsia="zh-CN"/>
                      <w14:textFill>
                        <w14:solidFill>
                          <w14:schemeClr w14:val="tx1"/>
                        </w14:solidFill>
                      </w14:textFill>
                    </w:rPr>
                    <m:t>8×3122.89</m:t>
                  </m:r>
                  <m:ctrlPr>
                    <w:rPr>
                      <w:rFonts w:ascii="Cambria Math" w:hAnsi="Cambria Math" w:cs="Times New Roman"/>
                      <w:i/>
                      <w:color w:val="000000" w:themeColor="text1"/>
                      <w:sz w:val="24"/>
                      <w:szCs w:val="24"/>
                      <w:lang w:val="en-US"/>
                      <w14:textFill>
                        <w14:solidFill>
                          <w14:schemeClr w14:val="tx1"/>
                        </w14:solidFill>
                      </w14:textFill>
                    </w:rPr>
                  </m:ctrlPr>
                </m:num>
                <m:den>
                  <m:sSup>
                    <m:sSupPr>
                      <m:ctrlPr>
                        <w:rPr>
                          <w:rFonts w:ascii="Cambria Math" w:hAnsi="Cambria Math" w:cs="Times New Roman"/>
                          <w:i/>
                          <w:color w:val="000000" w:themeColor="text1"/>
                          <w:sz w:val="24"/>
                          <w:szCs w:val="24"/>
                          <w:lang w:val="en-US"/>
                          <w14:textFill>
                            <w14:solidFill>
                              <w14:schemeClr w14:val="tx1"/>
                            </w14:solidFill>
                          </w14:textFill>
                        </w:rPr>
                      </m:ctrlPr>
                    </m:sSupPr>
                    <m:e>
                      <m:r>
                        <m:rPr/>
                        <w:rPr>
                          <w:rFonts w:hint="default" w:ascii="Cambria Math" w:hAnsi="Cambria Math" w:cs="Times New Roman"/>
                          <w:color w:val="000000" w:themeColor="text1"/>
                          <w:sz w:val="24"/>
                          <w:szCs w:val="24"/>
                          <w:lang w:val="en-US" w:eastAsia="zh-CN"/>
                          <w14:textFill>
                            <w14:solidFill>
                              <w14:schemeClr w14:val="tx1"/>
                            </w14:solidFill>
                          </w14:textFill>
                        </w:rPr>
                        <m:t>10</m:t>
                      </m:r>
                      <m:ctrlPr>
                        <w:rPr>
                          <w:rFonts w:ascii="Cambria Math" w:hAnsi="Cambria Math" w:cs="Times New Roman"/>
                          <w:i/>
                          <w:color w:val="000000" w:themeColor="text1"/>
                          <w:sz w:val="24"/>
                          <w:szCs w:val="24"/>
                          <w:lang w:val="en-US"/>
                          <w14:textFill>
                            <w14:solidFill>
                              <w14:schemeClr w14:val="tx1"/>
                            </w14:solidFill>
                          </w14:textFill>
                        </w:rPr>
                      </m:ctrlPr>
                    </m:e>
                    <m:sup>
                      <m:r>
                        <m:rPr/>
                        <w:rPr>
                          <w:rFonts w:hint="default" w:ascii="Cambria Math" w:hAnsi="Cambria Math" w:cs="Times New Roman"/>
                          <w:color w:val="000000" w:themeColor="text1"/>
                          <w:sz w:val="24"/>
                          <w:szCs w:val="24"/>
                          <w:lang w:val="en-US" w:eastAsia="zh-CN"/>
                          <w14:textFill>
                            <w14:solidFill>
                              <w14:schemeClr w14:val="tx1"/>
                            </w14:solidFill>
                          </w14:textFill>
                        </w:rPr>
                        <m:t>6</m:t>
                      </m:r>
                      <m:ctrlPr>
                        <w:rPr>
                          <w:rFonts w:ascii="Cambria Math" w:hAnsi="Cambria Math" w:cs="Times New Roman"/>
                          <w:i/>
                          <w:color w:val="000000" w:themeColor="text1"/>
                          <w:sz w:val="24"/>
                          <w:szCs w:val="24"/>
                          <w:lang w:val="en-US"/>
                          <w14:textFill>
                            <w14:solidFill>
                              <w14:schemeClr w14:val="tx1"/>
                            </w14:solidFill>
                          </w14:textFill>
                        </w:rPr>
                      </m:ctrlPr>
                    </m:sup>
                  </m:sSup>
                  <m:ctrlPr>
                    <w:rPr>
                      <w:rFonts w:ascii="Cambria Math" w:hAnsi="Cambria Math" w:cs="Times New Roman"/>
                      <w:i/>
                      <w:color w:val="000000" w:themeColor="text1"/>
                      <w:sz w:val="24"/>
                      <w:szCs w:val="24"/>
                      <w:lang w:val="en-US"/>
                      <w14:textFill>
                        <w14:solidFill>
                          <w14:schemeClr w14:val="tx1"/>
                        </w14:solidFill>
                      </w14:textFill>
                    </w:rPr>
                  </m:ctrlPr>
                </m:den>
              </m:f>
            </m:oMath>
            <w:r>
              <w:rPr>
                <w:rFonts w:hint="eastAsia" w:hAnsi="Cambria Math" w:cs="Times New Roman"/>
                <w:i w:val="0"/>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），排放量为0.025kg/h×</w:t>
            </w:r>
            <w:r>
              <w:rPr>
                <w:rFonts w:hint="eastAsia" w:cs="Times New Roman"/>
                <w:color w:val="000000" w:themeColor="text1"/>
                <w:sz w:val="24"/>
                <w:szCs w:val="24"/>
                <w:lang w:val="en-US" w:eastAsia="zh-CN"/>
                <w14:textFill>
                  <w14:solidFill>
                    <w14:schemeClr w14:val="tx1"/>
                  </w14:solidFill>
                </w14:textFill>
              </w:rPr>
              <w:t>2160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w:t>
            </w:r>
            <w:r>
              <w:rPr>
                <w:rFonts w:hint="eastAsia" w:cs="Times New Roman"/>
                <w:color w:val="000000" w:themeColor="text1"/>
                <w:sz w:val="24"/>
                <w:szCs w:val="24"/>
                <w:lang w:val="en-US" w:eastAsia="zh-CN"/>
                <w14:textFill>
                  <w14:solidFill>
                    <w14:schemeClr w14:val="tx1"/>
                  </w14:solidFill>
                </w14:textFill>
              </w:rPr>
              <w:t>53.96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kg/a</w:t>
            </w:r>
            <w:r>
              <w:rPr>
                <w:rFonts w:hint="eastAsia" w:cs="Times New Roman"/>
                <w:color w:val="000000" w:themeColor="text1"/>
                <w:sz w:val="24"/>
                <w:szCs w:val="24"/>
                <w:lang w:val="en-US" w:eastAsia="zh-CN"/>
                <w14:textFill>
                  <w14:solidFill>
                    <w14:schemeClr w14:val="tx1"/>
                  </w14:solidFill>
                </w14:textFill>
              </w:rPr>
              <w:t>≈0.054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w:t>
            </w:r>
          </w:p>
          <w:p w14:paraId="7DE3612D">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jc w:val="left"/>
              <w:textAlignment w:val="auto"/>
              <w:rPr>
                <w:rFonts w:hint="default" w:ascii="Times New Roman" w:hAnsi="Times New Roman" w:eastAsia="宋体" w:cs="Times New Roman"/>
                <w:b/>
                <w:bCs w:val="0"/>
                <w:i w:val="0"/>
                <w:iCs w:val="0"/>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b/>
                <w:bCs w:val="0"/>
                <w:i w:val="0"/>
                <w:iCs w:val="0"/>
                <w:color w:val="000000" w:themeColor="text1"/>
                <w:sz w:val="24"/>
                <w:szCs w:val="28"/>
                <w:lang w:val="en-US" w:eastAsia="zh-CN"/>
                <w14:textFill>
                  <w14:solidFill>
                    <w14:schemeClr w14:val="tx1"/>
                  </w14:solidFill>
                </w14:textFill>
              </w:rPr>
              <w:t>2</w:t>
            </w:r>
            <w:r>
              <w:rPr>
                <w:rFonts w:hint="eastAsia" w:cs="Times New Roman"/>
                <w:b/>
                <w:bCs w:val="0"/>
                <w:i w:val="0"/>
                <w:i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i w:val="0"/>
                <w:iCs w:val="0"/>
                <w:color w:val="000000" w:themeColor="text1"/>
                <w:sz w:val="24"/>
                <w:szCs w:val="28"/>
                <w:lang w:val="en-US" w:eastAsia="zh-CN"/>
                <w14:textFill>
                  <w14:solidFill>
                    <w14:schemeClr w14:val="tx1"/>
                  </w14:solidFill>
                </w14:textFill>
              </w:rPr>
              <w:t>污染物达标排放情况</w:t>
            </w:r>
          </w:p>
          <w:p w14:paraId="4149C8BE">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废气主要为锅炉废气</w:t>
            </w:r>
            <w:r>
              <w:rPr>
                <w:rFonts w:hint="default" w:ascii="Times New Roman" w:hAnsi="Times New Roman" w:eastAsia="宋体" w:cs="Times New Roman"/>
                <w:color w:val="000000" w:themeColor="text1"/>
                <w:sz w:val="24"/>
                <w14:textFill>
                  <w14:solidFill>
                    <w14:schemeClr w14:val="tx1"/>
                  </w14:solidFill>
                </w14:textFill>
              </w:rPr>
              <w:t>。</w:t>
            </w:r>
          </w:p>
          <w:p w14:paraId="02AACC8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本项目建成后对生物质锅炉产生的废气</w:t>
            </w:r>
            <w:r>
              <w:rPr>
                <w:rFonts w:hint="default" w:ascii="Times New Roman" w:hAnsi="Times New Roman" w:eastAsia="宋体" w:cs="Times New Roman"/>
                <w:color w:val="000000" w:themeColor="text1"/>
                <w:sz w:val="24"/>
                <w:szCs w:val="24"/>
                <w:lang w:eastAsia="zh-CN"/>
                <w14:textFill>
                  <w14:solidFill>
                    <w14:schemeClr w14:val="tx1"/>
                  </w14:solidFill>
                </w14:textFill>
              </w:rPr>
              <w:t>设置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SNCR+袋式除尘器（TA002）</w:t>
            </w:r>
            <w:r>
              <w:rPr>
                <w:rFonts w:hint="default" w:ascii="Times New Roman" w:hAnsi="Times New Roman" w:eastAsia="宋体" w:cs="Times New Roman"/>
                <w:color w:val="000000" w:themeColor="text1"/>
                <w:sz w:val="24"/>
                <w:szCs w:val="24"/>
                <w14:textFill>
                  <w14:solidFill>
                    <w14:schemeClr w14:val="tx1"/>
                  </w14:solidFill>
                </w14:textFill>
              </w:rPr>
              <w:t>处理后通过一根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m高排气筒</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DA00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颗粒物、氮氧化物、二氧化硫排放浓度分别为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83.37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mg/m³，均</w:t>
            </w:r>
            <w:r>
              <w:rPr>
                <w:rFonts w:hint="default" w:ascii="Times New Roman" w:hAnsi="Times New Roman" w:eastAsia="宋体" w:cs="Times New Roman"/>
                <w:color w:val="000000" w:themeColor="text1"/>
                <w:sz w:val="24"/>
                <w:szCs w:val="24"/>
                <w14:textFill>
                  <w14:solidFill>
                    <w14:schemeClr w14:val="tx1"/>
                  </w14:solidFill>
                </w14:textFill>
              </w:rPr>
              <w:t>可满足《锅炉大气污染物排放标准》（DB</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61/1226-2018）中表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生物质</w:t>
            </w:r>
            <w:r>
              <w:rPr>
                <w:rFonts w:hint="default" w:ascii="Times New Roman" w:hAnsi="Times New Roman" w:eastAsia="宋体" w:cs="Times New Roman"/>
                <w:color w:val="000000" w:themeColor="text1"/>
                <w:sz w:val="24"/>
                <w:szCs w:val="24"/>
                <w14:textFill>
                  <w14:solidFill>
                    <w14:schemeClr w14:val="tx1"/>
                  </w14:solidFill>
                </w14:textFill>
              </w:rPr>
              <w:t>锅炉大气污染物排放浓度限值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颗粒物：20mg/m³、氮氧化物：150mg/m³、二氧化硫：35mg/m³</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氨逃逸浓度满足《火电厂烟气脱硝工程技术规范 选择性非催化还原法》（HJ 563-2010）中控制限值≤8mg/m³的要求。</w:t>
            </w:r>
          </w:p>
          <w:p w14:paraId="24BF836D">
            <w:pPr>
              <w:keepNext/>
              <w:keepLines/>
              <w:pageBreakBefore w:val="0"/>
              <w:widowControl/>
              <w:kinsoku/>
              <w:wordWrap/>
              <w:overflowPunct/>
              <w:topLinePunct w:val="0"/>
              <w:autoSpaceDE/>
              <w:autoSpaceDN/>
              <w:bidi w:val="0"/>
              <w:adjustRightInd/>
              <w:snapToGrid/>
              <w:spacing w:beforeAutospacing="0" w:afterAutospacing="0" w:line="360" w:lineRule="auto"/>
              <w:ind w:firstLine="482" w:firstLineChars="200"/>
              <w:jc w:val="left"/>
              <w:textAlignment w:val="auto"/>
              <w:rPr>
                <w:rFonts w:hint="default" w:ascii="Times New Roman" w:hAnsi="Times New Roman" w:eastAsia="黑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废气治理措施可行性分析</w:t>
            </w:r>
          </w:p>
          <w:p w14:paraId="72AF6002">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治理措施可行性：</w:t>
            </w:r>
            <w:r>
              <w:rPr>
                <w:rFonts w:hint="eastAsia" w:cs="Times New Roman"/>
                <w:b w:val="0"/>
                <w:bCs w:val="0"/>
                <w:color w:val="000000" w:themeColor="text1"/>
                <w:sz w:val="24"/>
                <w:szCs w:val="24"/>
                <w:highlight w:val="none"/>
                <w:lang w:val="en-US" w:eastAsia="zh-CN"/>
                <w14:textFill>
                  <w14:solidFill>
                    <w14:schemeClr w14:val="tx1"/>
                  </w14:solidFill>
                </w14:textFill>
              </w:rPr>
              <w:t>经查阅</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排污许可证申请与核发技术规范 锅炉</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HJ 953-2018</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中“表7 锅炉烟气污染防治可行技术”可知，本项目生物质锅炉氮氧化物采用SNCR脱硝技术，颗粒物采用袋式除尘技术均</w:t>
            </w:r>
            <w:r>
              <w:rPr>
                <w:rFonts w:hint="eastAsia" w:cs="Times New Roman"/>
                <w:b w:val="0"/>
                <w:bCs w:val="0"/>
                <w:color w:val="000000" w:themeColor="text1"/>
                <w:sz w:val="24"/>
                <w:szCs w:val="24"/>
                <w:highlight w:val="none"/>
                <w:lang w:val="en-US" w:eastAsia="zh-CN"/>
                <w14:textFill>
                  <w14:solidFill>
                    <w14:schemeClr w14:val="tx1"/>
                  </w14:solidFill>
                </w14:textFill>
              </w:rPr>
              <w:t>为可行技术，</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因此，本项目废气处理措施可行。</w:t>
            </w:r>
          </w:p>
          <w:p w14:paraId="11421B75">
            <w:pPr>
              <w:adjustRightInd w:val="0"/>
              <w:snapToGrid w:val="0"/>
              <w:spacing w:line="360" w:lineRule="auto"/>
              <w:ind w:firstLine="480" w:firstLineChars="200"/>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本项目采用</w:t>
            </w:r>
            <w:r>
              <w:rPr>
                <w:rFonts w:hint="eastAsia" w:cs="Times New Roman"/>
                <w:color w:val="000000" w:themeColor="text1"/>
                <w:sz w:val="24"/>
                <w:szCs w:val="24"/>
                <w:highlight w:val="none"/>
                <w:lang w:val="en-US" w:eastAsia="zh-CN"/>
                <w14:textFill>
                  <w14:solidFill>
                    <w14:schemeClr w14:val="tx1"/>
                  </w14:solidFill>
                </w14:textFill>
              </w:rPr>
              <w:t>SNCR高温炉内脱硝设施，将配好的氨水溶液喷入炉膛温度为850℃-1150℃的区域，氨水溶液通过计量泵自动调节流量等参数，经喷枪喷入，在高温区域迅速分解成NH</w:t>
            </w:r>
            <w:r>
              <w:rPr>
                <w:rFonts w:hint="eastAsia" w:cs="Times New Roman"/>
                <w:color w:val="000000" w:themeColor="text1"/>
                <w:sz w:val="24"/>
                <w:szCs w:val="24"/>
                <w:highlight w:val="none"/>
                <w:vertAlign w:val="sub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及其他产物，随后NH</w:t>
            </w:r>
            <w:r>
              <w:rPr>
                <w:rFonts w:hint="eastAsia" w:cs="Times New Roman"/>
                <w:color w:val="000000" w:themeColor="text1"/>
                <w:sz w:val="24"/>
                <w:szCs w:val="24"/>
                <w:highlight w:val="none"/>
                <w:vertAlign w:val="sub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与烟气中的NOx进行反应生产N</w:t>
            </w:r>
            <w:r>
              <w:rPr>
                <w:rFonts w:hint="eastAsia" w:cs="Times New Roman"/>
                <w:color w:val="000000" w:themeColor="text1"/>
                <w:sz w:val="24"/>
                <w:szCs w:val="24"/>
                <w:highlight w:val="none"/>
                <w:vertAlign w:val="sub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和H</w:t>
            </w:r>
            <w:r>
              <w:rPr>
                <w:rFonts w:hint="eastAsia" w:cs="Times New Roman"/>
                <w:color w:val="000000" w:themeColor="text1"/>
                <w:sz w:val="24"/>
                <w:szCs w:val="24"/>
                <w:highlight w:val="none"/>
                <w:vertAlign w:val="sub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O，由于烟气温度较高，最终水分全部蒸发。</w:t>
            </w:r>
          </w:p>
          <w:p w14:paraId="12C82F9F">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根据生态环境部</w:t>
            </w:r>
            <w:r>
              <w:rPr>
                <w:rFonts w:hint="eastAsia" w:cs="Times New Roman"/>
                <w:color w:val="000000" w:themeColor="text1"/>
                <w:sz w:val="24"/>
                <w:szCs w:val="24"/>
                <w:highlight w:val="none"/>
                <w:lang w:val="en-US" w:eastAsia="zh-CN"/>
                <w14:textFill>
                  <w14:solidFill>
                    <w14:schemeClr w14:val="tx1"/>
                  </w14:solidFill>
                </w14:textFill>
              </w:rPr>
              <w:t>2024年8月14日发布的《国家污染防治技术指导目录（2024年，限制类和淘汰类）》（征求意见稿），可知“无控制系统或控制系统未实现对脱硝剂投加泵电流、流量、液位等关键参数进行自动调节控制的脱硝设施”划分为</w:t>
            </w:r>
            <w:r>
              <w:rPr>
                <w:rFonts w:hint="eastAsia" w:cs="Times New Roman"/>
                <w:b/>
                <w:bCs/>
                <w:color w:val="000000" w:themeColor="text1"/>
                <w:sz w:val="24"/>
                <w:szCs w:val="24"/>
                <w:highlight w:val="none"/>
                <w:lang w:val="en-US" w:eastAsia="zh-CN"/>
                <w14:textFill>
                  <w14:solidFill>
                    <w14:schemeClr w14:val="tx1"/>
                  </w14:solidFill>
                </w14:textFill>
              </w:rPr>
              <w:t>限制类。</w:t>
            </w:r>
            <w:r>
              <w:rPr>
                <w:rFonts w:hint="eastAsia" w:cs="Times New Roman"/>
                <w:color w:val="000000" w:themeColor="text1"/>
                <w:sz w:val="24"/>
                <w:szCs w:val="24"/>
                <w:highlight w:val="none"/>
                <w:lang w:val="en-US" w:eastAsia="zh-CN"/>
                <w14:textFill>
                  <w14:solidFill>
                    <w14:schemeClr w14:val="tx1"/>
                  </w14:solidFill>
                </w14:textFill>
              </w:rPr>
              <w:t>本项目采用SNCR脱硝设施，配套搅拌机、计量泵、控制柜等设施，能够实现对脱硝剂的投加泵电流、流量、液位等关键参数进行自动调节，因此不属于限制类环保设施，符合使用要求。</w:t>
            </w:r>
          </w:p>
          <w:p w14:paraId="45A6B0EA">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结合本项目表4-1中锅炉废气的产排情况，产生的废气由</w:t>
            </w:r>
            <w:r>
              <w:rPr>
                <w:rFonts w:hint="eastAsia" w:ascii="Times New Roman" w:hAnsi="Times New Roman" w:eastAsia="宋体" w:cs="Times New Roman"/>
                <w:color w:val="000000" w:themeColor="text1"/>
                <w:sz w:val="24"/>
                <w:lang w:val="en-US" w:eastAsia="zh-CN"/>
                <w14:textFill>
                  <w14:solidFill>
                    <w14:schemeClr w14:val="tx1"/>
                  </w14:solidFill>
                </w14:textFill>
              </w:rPr>
              <w:t>“SNCR高温脱硝设施（炉内脱硝）+高效袋式除尘器”</w:t>
            </w:r>
            <w:r>
              <w:rPr>
                <w:rFonts w:hint="default" w:ascii="Times New Roman" w:hAnsi="Times New Roman" w:eastAsia="宋体" w:cs="Times New Roman"/>
                <w:color w:val="000000" w:themeColor="text1"/>
                <w:sz w:val="24"/>
                <w:lang w:val="en-US" w:eastAsia="zh-CN"/>
                <w14:textFill>
                  <w14:solidFill>
                    <w14:schemeClr w14:val="tx1"/>
                  </w14:solidFill>
                </w14:textFill>
              </w:rPr>
              <w:t>处理后经15米高（DA00</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）排气筒有组织排放。</w:t>
            </w:r>
          </w:p>
          <w:p w14:paraId="0548DF98">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综上，本项目</w:t>
            </w:r>
            <w:r>
              <w:rPr>
                <w:rFonts w:hint="default" w:ascii="Times New Roman" w:hAnsi="Times New Roman" w:eastAsia="宋体" w:cs="Times New Roman"/>
                <w:color w:val="000000" w:themeColor="text1"/>
                <w:sz w:val="24"/>
                <w:lang w:val="en-US" w:eastAsia="zh-CN"/>
                <w14:textFill>
                  <w14:solidFill>
                    <w14:schemeClr w14:val="tx1"/>
                  </w14:solidFill>
                </w14:textFill>
              </w:rPr>
              <w:t>废气治理设施</w:t>
            </w:r>
            <w:r>
              <w:rPr>
                <w:rFonts w:hint="default" w:ascii="Times New Roman" w:hAnsi="Times New Roman" w:eastAsia="宋体" w:cs="Times New Roman"/>
                <w:color w:val="000000" w:themeColor="text1"/>
                <w:sz w:val="24"/>
                <w14:textFill>
                  <w14:solidFill>
                    <w14:schemeClr w14:val="tx1"/>
                  </w14:solidFill>
                </w14:textFill>
              </w:rPr>
              <w:t>可行。</w:t>
            </w:r>
          </w:p>
          <w:p w14:paraId="2534BFF7">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4</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非正常情况污染物排放</w:t>
            </w:r>
          </w:p>
          <w:p w14:paraId="40182EB4">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项目非正常情况主要是停电或设备开停、检修时，环保装置未提前开启，造成废气超标排放</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以最不利情况下废气处理系统净化效率为零考虑，源强最大的时段废气排放0.5h对周围环境的影响，具体见下表。</w:t>
            </w:r>
          </w:p>
          <w:p w14:paraId="73A3AE2A">
            <w:pPr>
              <w:keepNext/>
              <w:keepLines/>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非正常工况污染物排放情况</w:t>
            </w:r>
          </w:p>
          <w:tbl>
            <w:tblPr>
              <w:tblStyle w:val="32"/>
              <w:tblW w:w="82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688"/>
              <w:gridCol w:w="852"/>
              <w:gridCol w:w="924"/>
              <w:gridCol w:w="1195"/>
              <w:gridCol w:w="1122"/>
              <w:gridCol w:w="863"/>
              <w:gridCol w:w="753"/>
            </w:tblGrid>
            <w:tr w14:paraId="6736F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tcBorders>
                    <w:tl2br w:val="nil"/>
                    <w:tr2bl w:val="nil"/>
                  </w:tcBorders>
                  <w:noWrap w:val="0"/>
                  <w:vAlign w:val="center"/>
                </w:tcPr>
                <w:p w14:paraId="3631D3ED">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非正常排放源</w:t>
                  </w:r>
                </w:p>
              </w:tc>
              <w:tc>
                <w:tcPr>
                  <w:tcW w:w="1688" w:type="dxa"/>
                  <w:tcBorders>
                    <w:tl2br w:val="nil"/>
                    <w:tr2bl w:val="nil"/>
                  </w:tcBorders>
                  <w:noWrap w:val="0"/>
                  <w:vAlign w:val="center"/>
                </w:tcPr>
                <w:p w14:paraId="2CDAD078">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非正常排放原因</w:t>
                  </w:r>
                </w:p>
              </w:tc>
              <w:tc>
                <w:tcPr>
                  <w:tcW w:w="852" w:type="dxa"/>
                  <w:tcBorders>
                    <w:tl2br w:val="nil"/>
                    <w:tr2bl w:val="nil"/>
                  </w:tcBorders>
                  <w:noWrap w:val="0"/>
                  <w:vAlign w:val="center"/>
                </w:tcPr>
                <w:p w14:paraId="32DF248C">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污染物</w:t>
                  </w:r>
                </w:p>
              </w:tc>
              <w:tc>
                <w:tcPr>
                  <w:tcW w:w="924" w:type="dxa"/>
                  <w:tcBorders>
                    <w:tl2br w:val="nil"/>
                    <w:tr2bl w:val="nil"/>
                  </w:tcBorders>
                  <w:noWrap w:val="0"/>
                  <w:vAlign w:val="center"/>
                </w:tcPr>
                <w:p w14:paraId="75E2469B">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排放量</w:t>
                  </w:r>
                </w:p>
              </w:tc>
              <w:tc>
                <w:tcPr>
                  <w:tcW w:w="1195" w:type="dxa"/>
                  <w:tcBorders>
                    <w:tl2br w:val="nil"/>
                    <w:tr2bl w:val="nil"/>
                  </w:tcBorders>
                  <w:noWrap w:val="0"/>
                  <w:vAlign w:val="center"/>
                </w:tcPr>
                <w:p w14:paraId="43F41968">
                  <w:pPr>
                    <w:adjustRightInd w:val="0"/>
                    <w:jc w:val="center"/>
                    <w:rPr>
                      <w:rFonts w:hint="eastAsia" w:eastAsia="宋体"/>
                      <w:b w:val="0"/>
                      <w:bCs w:val="0"/>
                      <w:color w:val="000000" w:themeColor="text1"/>
                      <w:sz w:val="21"/>
                      <w:szCs w:val="21"/>
                      <w:highlight w:val="none"/>
                      <w:lang w:eastAsia="zh-CN"/>
                      <w14:textFill>
                        <w14:solidFill>
                          <w14:schemeClr w14:val="tx1"/>
                        </w14:solidFill>
                      </w14:textFill>
                    </w:rPr>
                  </w:pPr>
                  <w:r>
                    <w:rPr>
                      <w:b w:val="0"/>
                      <w:bCs w:val="0"/>
                      <w:color w:val="000000" w:themeColor="text1"/>
                      <w:sz w:val="21"/>
                      <w:szCs w:val="21"/>
                      <w:highlight w:val="none"/>
                      <w14:textFill>
                        <w14:solidFill>
                          <w14:schemeClr w14:val="tx1"/>
                        </w14:solidFill>
                      </w14:textFill>
                    </w:rPr>
                    <w:t>排放浓度</w:t>
                  </w:r>
                  <w:r>
                    <w:rPr>
                      <w:rFonts w:hint="eastAsia"/>
                      <w:b w:val="0"/>
                      <w:bCs w:val="0"/>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eastAsia="zh-Hans"/>
                      <w14:textFill>
                        <w14:solidFill>
                          <w14:schemeClr w14:val="tx1"/>
                        </w14:solidFill>
                      </w14:textFill>
                    </w:rPr>
                    <w:t>mg/m</w:t>
                  </w:r>
                  <w:r>
                    <w:rPr>
                      <w:rFonts w:hint="eastAsia"/>
                      <w:color w:val="000000" w:themeColor="text1"/>
                      <w:sz w:val="21"/>
                      <w:szCs w:val="21"/>
                      <w:highlight w:val="none"/>
                      <w:vertAlign w:val="superscript"/>
                      <w:lang w:eastAsia="zh-Hans"/>
                      <w14:textFill>
                        <w14:solidFill>
                          <w14:schemeClr w14:val="tx1"/>
                        </w14:solidFill>
                      </w14:textFill>
                    </w:rPr>
                    <w:t>3</w:t>
                  </w:r>
                  <w:r>
                    <w:rPr>
                      <w:rFonts w:hint="eastAsia"/>
                      <w:b w:val="0"/>
                      <w:bCs w:val="0"/>
                      <w:color w:val="000000" w:themeColor="text1"/>
                      <w:sz w:val="21"/>
                      <w:szCs w:val="21"/>
                      <w:highlight w:val="none"/>
                      <w:lang w:eastAsia="zh-CN"/>
                      <w14:textFill>
                        <w14:solidFill>
                          <w14:schemeClr w14:val="tx1"/>
                        </w14:solidFill>
                      </w14:textFill>
                    </w:rPr>
                    <w:t>）</w:t>
                  </w:r>
                </w:p>
              </w:tc>
              <w:tc>
                <w:tcPr>
                  <w:tcW w:w="1122" w:type="dxa"/>
                  <w:tcBorders>
                    <w:tl2br w:val="nil"/>
                    <w:tr2bl w:val="nil"/>
                  </w:tcBorders>
                  <w:noWrap w:val="0"/>
                  <w:vAlign w:val="center"/>
                </w:tcPr>
                <w:p w14:paraId="109F4C3C">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非正常排放速率</w:t>
                  </w:r>
                </w:p>
              </w:tc>
              <w:tc>
                <w:tcPr>
                  <w:tcW w:w="863" w:type="dxa"/>
                  <w:tcBorders>
                    <w:tl2br w:val="nil"/>
                    <w:tr2bl w:val="nil"/>
                  </w:tcBorders>
                  <w:noWrap w:val="0"/>
                  <w:vAlign w:val="center"/>
                </w:tcPr>
                <w:p w14:paraId="35B4302D">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单次持续时间</w:t>
                  </w:r>
                </w:p>
              </w:tc>
              <w:tc>
                <w:tcPr>
                  <w:tcW w:w="753" w:type="dxa"/>
                  <w:tcBorders>
                    <w:tl2br w:val="nil"/>
                    <w:tr2bl w:val="nil"/>
                  </w:tcBorders>
                  <w:noWrap w:val="0"/>
                  <w:vAlign w:val="center"/>
                </w:tcPr>
                <w:p w14:paraId="3657A608">
                  <w:pPr>
                    <w:adjustRightInd w:val="0"/>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发生频次</w:t>
                  </w:r>
                </w:p>
              </w:tc>
            </w:tr>
            <w:tr w14:paraId="00C60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881" w:type="dxa"/>
                  <w:vMerge w:val="restart"/>
                  <w:tcBorders>
                    <w:tl2br w:val="nil"/>
                    <w:tr2bl w:val="nil"/>
                  </w:tcBorders>
                  <w:noWrap w:val="0"/>
                  <w:vAlign w:val="center"/>
                </w:tcPr>
                <w:p w14:paraId="2CDD2D0C">
                  <w:pPr>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DA003</w:t>
                  </w:r>
                </w:p>
              </w:tc>
              <w:tc>
                <w:tcPr>
                  <w:tcW w:w="1688" w:type="dxa"/>
                  <w:tcBorders>
                    <w:tl2br w:val="nil"/>
                    <w:tr2bl w:val="nil"/>
                  </w:tcBorders>
                  <w:noWrap w:val="0"/>
                  <w:vAlign w:val="center"/>
                </w:tcPr>
                <w:p w14:paraId="12552B19">
                  <w:pPr>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布袋除尘器故障</w:t>
                  </w:r>
                </w:p>
              </w:tc>
              <w:tc>
                <w:tcPr>
                  <w:tcW w:w="852" w:type="dxa"/>
                  <w:tcBorders>
                    <w:tl2br w:val="nil"/>
                    <w:tr2bl w:val="nil"/>
                  </w:tcBorders>
                  <w:noWrap w:val="0"/>
                  <w:vAlign w:val="center"/>
                </w:tcPr>
                <w:p w14:paraId="40E666F6">
                  <w:pPr>
                    <w:adjustRightInd w:val="0"/>
                    <w:jc w:val="center"/>
                    <w:rPr>
                      <w:rFonts w:hint="eastAsia"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颗粒物</w:t>
                  </w:r>
                </w:p>
              </w:tc>
              <w:tc>
                <w:tcPr>
                  <w:tcW w:w="924" w:type="dxa"/>
                  <w:tcBorders>
                    <w:tl2br w:val="nil"/>
                    <w:tr2bl w:val="nil"/>
                  </w:tcBorders>
                  <w:noWrap w:val="0"/>
                  <w:vAlign w:val="center"/>
                </w:tcPr>
                <w:p w14:paraId="411D3C52">
                  <w:pPr>
                    <w:adjustRightInd w:val="0"/>
                    <w:jc w:val="center"/>
                    <w:rPr>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0.125kg</w:t>
                  </w:r>
                </w:p>
              </w:tc>
              <w:tc>
                <w:tcPr>
                  <w:tcW w:w="1195" w:type="dxa"/>
                  <w:tcBorders>
                    <w:tl2br w:val="nil"/>
                    <w:tr2bl w:val="nil"/>
                  </w:tcBorders>
                  <w:noWrap w:val="0"/>
                  <w:vAlign w:val="center"/>
                </w:tcPr>
                <w:p w14:paraId="04256B49">
                  <w:pPr>
                    <w:adjustRightInd w:val="0"/>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80.13</w:t>
                  </w:r>
                </w:p>
              </w:tc>
              <w:tc>
                <w:tcPr>
                  <w:tcW w:w="1122" w:type="dxa"/>
                  <w:tcBorders>
                    <w:tl2br w:val="nil"/>
                    <w:tr2bl w:val="nil"/>
                  </w:tcBorders>
                  <w:noWrap w:val="0"/>
                  <w:vAlign w:val="center"/>
                </w:tcPr>
                <w:p w14:paraId="3F9ED6C3">
                  <w:pPr>
                    <w:adjustRightInd w:val="0"/>
                    <w:jc w:val="center"/>
                    <w:rPr>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0.25kg/h</w:t>
                  </w:r>
                </w:p>
              </w:tc>
              <w:tc>
                <w:tcPr>
                  <w:tcW w:w="863" w:type="dxa"/>
                  <w:tcBorders>
                    <w:tl2br w:val="nil"/>
                    <w:tr2bl w:val="nil"/>
                  </w:tcBorders>
                  <w:noWrap w:val="0"/>
                  <w:vAlign w:val="center"/>
                </w:tcPr>
                <w:p w14:paraId="39ECEA8F">
                  <w:pPr>
                    <w:adjustRightInd w:val="0"/>
                    <w:jc w:val="center"/>
                    <w:rPr>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r>
                    <w:rPr>
                      <w:color w:val="000000" w:themeColor="text1"/>
                      <w:sz w:val="21"/>
                      <w:szCs w:val="21"/>
                      <w:highlight w:val="none"/>
                      <w14:textFill>
                        <w14:solidFill>
                          <w14:schemeClr w14:val="tx1"/>
                        </w14:solidFill>
                      </w14:textFill>
                    </w:rPr>
                    <w:t>h</w:t>
                  </w:r>
                </w:p>
              </w:tc>
              <w:tc>
                <w:tcPr>
                  <w:tcW w:w="753" w:type="dxa"/>
                  <w:tcBorders>
                    <w:tl2br w:val="nil"/>
                    <w:tr2bl w:val="nil"/>
                  </w:tcBorders>
                  <w:noWrap w:val="0"/>
                  <w:vAlign w:val="center"/>
                </w:tcPr>
                <w:p w14:paraId="78032740">
                  <w:pPr>
                    <w:adjustRightInd w:val="0"/>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1次/a</w:t>
                  </w:r>
                </w:p>
              </w:tc>
            </w:tr>
            <w:tr w14:paraId="2BDC7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Merge w:val="continue"/>
                  <w:tcBorders>
                    <w:tl2br w:val="nil"/>
                    <w:tr2bl w:val="nil"/>
                  </w:tcBorders>
                  <w:noWrap w:val="0"/>
                  <w:vAlign w:val="center"/>
                </w:tcPr>
                <w:p w14:paraId="19CC4850">
                  <w:pPr>
                    <w:adjustRightInd w:val="0"/>
                    <w:jc w:val="center"/>
                    <w:rPr>
                      <w:rFonts w:hint="eastAsia"/>
                      <w:color w:val="000000" w:themeColor="text1"/>
                      <w:sz w:val="21"/>
                      <w:szCs w:val="21"/>
                      <w:highlight w:val="none"/>
                      <w:lang w:val="en-US" w:eastAsia="zh-CN"/>
                      <w14:textFill>
                        <w14:solidFill>
                          <w14:schemeClr w14:val="tx1"/>
                        </w14:solidFill>
                      </w14:textFill>
                    </w:rPr>
                  </w:pPr>
                </w:p>
              </w:tc>
              <w:tc>
                <w:tcPr>
                  <w:tcW w:w="1688" w:type="dxa"/>
                  <w:vMerge w:val="restart"/>
                  <w:tcBorders>
                    <w:tl2br w:val="nil"/>
                    <w:tr2bl w:val="nil"/>
                  </w:tcBorders>
                  <w:noWrap w:val="0"/>
                  <w:vAlign w:val="center"/>
                </w:tcPr>
                <w:p w14:paraId="5542EE1B">
                  <w:pPr>
                    <w:adjustRightIn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SNCR设施故障</w:t>
                  </w:r>
                </w:p>
              </w:tc>
              <w:tc>
                <w:tcPr>
                  <w:tcW w:w="852" w:type="dxa"/>
                  <w:tcBorders>
                    <w:tl2br w:val="nil"/>
                    <w:tr2bl w:val="nil"/>
                  </w:tcBorders>
                  <w:noWrap w:val="0"/>
                  <w:vAlign w:val="center"/>
                </w:tcPr>
                <w:p w14:paraId="7FDCD16A">
                  <w:pPr>
                    <w:adjustRightInd w:val="0"/>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NOx</w:t>
                  </w:r>
                </w:p>
              </w:tc>
              <w:tc>
                <w:tcPr>
                  <w:tcW w:w="924" w:type="dxa"/>
                  <w:tcBorders>
                    <w:tl2br w:val="nil"/>
                    <w:tr2bl w:val="nil"/>
                  </w:tcBorders>
                  <w:noWrap w:val="0"/>
                  <w:vAlign w:val="center"/>
                </w:tcPr>
                <w:p w14:paraId="1ACC8586">
                  <w:pPr>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0.255kg</w:t>
                  </w:r>
                </w:p>
              </w:tc>
              <w:tc>
                <w:tcPr>
                  <w:tcW w:w="1195" w:type="dxa"/>
                  <w:tcBorders>
                    <w:tl2br w:val="nil"/>
                    <w:tr2bl w:val="nil"/>
                  </w:tcBorders>
                  <w:noWrap w:val="0"/>
                  <w:vAlign w:val="center"/>
                </w:tcPr>
                <w:p w14:paraId="362E9B95">
                  <w:pPr>
                    <w:adjustRightInd w:val="0"/>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163.</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47</w:t>
                  </w:r>
                </w:p>
              </w:tc>
              <w:tc>
                <w:tcPr>
                  <w:tcW w:w="1122" w:type="dxa"/>
                  <w:tcBorders>
                    <w:tl2br w:val="nil"/>
                    <w:tr2bl w:val="nil"/>
                  </w:tcBorders>
                  <w:noWrap w:val="0"/>
                  <w:vAlign w:val="center"/>
                </w:tcPr>
                <w:p w14:paraId="06B54CD2">
                  <w:pPr>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0.51kg/h</w:t>
                  </w:r>
                </w:p>
              </w:tc>
              <w:tc>
                <w:tcPr>
                  <w:tcW w:w="863" w:type="dxa"/>
                  <w:tcBorders>
                    <w:tl2br w:val="nil"/>
                    <w:tr2bl w:val="nil"/>
                  </w:tcBorders>
                  <w:noWrap w:val="0"/>
                  <w:vAlign w:val="center"/>
                </w:tcPr>
                <w:p w14:paraId="00EFD2AA">
                  <w:pPr>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r>
                    <w:rPr>
                      <w:color w:val="000000" w:themeColor="text1"/>
                      <w:sz w:val="21"/>
                      <w:szCs w:val="21"/>
                      <w:highlight w:val="none"/>
                      <w14:textFill>
                        <w14:solidFill>
                          <w14:schemeClr w14:val="tx1"/>
                        </w14:solidFill>
                      </w14:textFill>
                    </w:rPr>
                    <w:t>h</w:t>
                  </w:r>
                </w:p>
              </w:tc>
              <w:tc>
                <w:tcPr>
                  <w:tcW w:w="753" w:type="dxa"/>
                  <w:tcBorders>
                    <w:tl2br w:val="nil"/>
                    <w:tr2bl w:val="nil"/>
                  </w:tcBorders>
                  <w:noWrap w:val="0"/>
                  <w:vAlign w:val="center"/>
                </w:tcPr>
                <w:p w14:paraId="12129487">
                  <w:pPr>
                    <w:adjustRightInd w:val="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1次/a</w:t>
                  </w:r>
                </w:p>
              </w:tc>
            </w:tr>
            <w:tr w14:paraId="5F4F5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Merge w:val="continue"/>
                  <w:tcBorders>
                    <w:tl2br w:val="nil"/>
                    <w:tr2bl w:val="nil"/>
                  </w:tcBorders>
                  <w:noWrap w:val="0"/>
                  <w:vAlign w:val="center"/>
                </w:tcPr>
                <w:p w14:paraId="763CE170">
                  <w:pPr>
                    <w:adjustRightInd w:val="0"/>
                    <w:jc w:val="center"/>
                    <w:rPr>
                      <w:rFonts w:hint="eastAsia"/>
                      <w:color w:val="000000" w:themeColor="text1"/>
                      <w:sz w:val="21"/>
                      <w:szCs w:val="21"/>
                      <w:highlight w:val="none"/>
                      <w:lang w:val="en-US" w:eastAsia="zh-CN"/>
                      <w14:textFill>
                        <w14:solidFill>
                          <w14:schemeClr w14:val="tx1"/>
                        </w14:solidFill>
                      </w14:textFill>
                    </w:rPr>
                  </w:pPr>
                </w:p>
              </w:tc>
              <w:tc>
                <w:tcPr>
                  <w:tcW w:w="1688" w:type="dxa"/>
                  <w:vMerge w:val="continue"/>
                  <w:tcBorders>
                    <w:tl2br w:val="nil"/>
                    <w:tr2bl w:val="nil"/>
                  </w:tcBorders>
                  <w:noWrap w:val="0"/>
                  <w:vAlign w:val="center"/>
                </w:tcPr>
                <w:p w14:paraId="0D86CAE4">
                  <w:pPr>
                    <w:adjustRightInd w:val="0"/>
                    <w:jc w:val="center"/>
                    <w:rPr>
                      <w:rFonts w:hint="eastAsia"/>
                      <w:color w:val="000000" w:themeColor="text1"/>
                      <w:sz w:val="21"/>
                      <w:szCs w:val="21"/>
                      <w:highlight w:val="none"/>
                      <w:lang w:val="en-US" w:eastAsia="zh-CN"/>
                      <w14:textFill>
                        <w14:solidFill>
                          <w14:schemeClr w14:val="tx1"/>
                        </w14:solidFill>
                      </w14:textFill>
                    </w:rPr>
                  </w:pPr>
                </w:p>
              </w:tc>
              <w:tc>
                <w:tcPr>
                  <w:tcW w:w="852" w:type="dxa"/>
                  <w:tcBorders>
                    <w:tl2br w:val="nil"/>
                    <w:tr2bl w:val="nil"/>
                  </w:tcBorders>
                  <w:noWrap w:val="0"/>
                  <w:vAlign w:val="center"/>
                </w:tcPr>
                <w:p w14:paraId="7B7EB487">
                  <w:pPr>
                    <w:adjustRightInd w:val="0"/>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氨逃逸</w:t>
                  </w:r>
                </w:p>
              </w:tc>
              <w:tc>
                <w:tcPr>
                  <w:tcW w:w="924" w:type="dxa"/>
                  <w:tcBorders>
                    <w:tl2br w:val="nil"/>
                    <w:tr2bl w:val="nil"/>
                  </w:tcBorders>
                  <w:noWrap w:val="0"/>
                  <w:vAlign w:val="center"/>
                </w:tcPr>
                <w:p w14:paraId="47E8BB42">
                  <w:pPr>
                    <w:adjustRightInd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195" w:type="dxa"/>
                  <w:tcBorders>
                    <w:tl2br w:val="nil"/>
                    <w:tr2bl w:val="nil"/>
                  </w:tcBorders>
                  <w:noWrap w:val="0"/>
                  <w:vAlign w:val="center"/>
                </w:tcPr>
                <w:p w14:paraId="5284AD06">
                  <w:pPr>
                    <w:adjustRightInd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1122" w:type="dxa"/>
                  <w:tcBorders>
                    <w:tl2br w:val="nil"/>
                    <w:tr2bl w:val="nil"/>
                  </w:tcBorders>
                  <w:noWrap w:val="0"/>
                  <w:vAlign w:val="center"/>
                </w:tcPr>
                <w:p w14:paraId="70CF764B">
                  <w:pPr>
                    <w:adjustRightInd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863" w:type="dxa"/>
                  <w:tcBorders>
                    <w:tl2br w:val="nil"/>
                    <w:tr2bl w:val="nil"/>
                  </w:tcBorders>
                  <w:shd w:val="clear" w:color="auto" w:fill="auto"/>
                  <w:noWrap w:val="0"/>
                  <w:vAlign w:val="center"/>
                </w:tcPr>
                <w:p w14:paraId="4D0EBC8D">
                  <w:pPr>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r>
                    <w:rPr>
                      <w:color w:val="000000" w:themeColor="text1"/>
                      <w:sz w:val="21"/>
                      <w:szCs w:val="21"/>
                      <w:highlight w:val="none"/>
                      <w14:textFill>
                        <w14:solidFill>
                          <w14:schemeClr w14:val="tx1"/>
                        </w14:solidFill>
                      </w14:textFill>
                    </w:rPr>
                    <w:t>h</w:t>
                  </w:r>
                </w:p>
              </w:tc>
              <w:tc>
                <w:tcPr>
                  <w:tcW w:w="753" w:type="dxa"/>
                  <w:tcBorders>
                    <w:tl2br w:val="nil"/>
                    <w:tr2bl w:val="nil"/>
                  </w:tcBorders>
                  <w:shd w:val="clear" w:color="auto" w:fill="auto"/>
                  <w:noWrap w:val="0"/>
                  <w:vAlign w:val="center"/>
                </w:tcPr>
                <w:p w14:paraId="4B66BEBE">
                  <w:pPr>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1次/a</w:t>
                  </w:r>
                </w:p>
              </w:tc>
            </w:tr>
          </w:tbl>
          <w:p w14:paraId="7809C2AF">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正常情况下比正常工况下各污染物排放量明显偏大，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63909154">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①安排专人负责环保设备的日常维护和管理，每隔固定时间检查、汇报情况，及时发现废气处理设备的隐患，确保废气处理系统正常运行；</w:t>
            </w:r>
          </w:p>
          <w:p w14:paraId="52FD8FDA">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②严格按照环保设备使用手册，定期对布袋收尘灰进行清理，</w:t>
            </w:r>
            <w:r>
              <w:rPr>
                <w:rFonts w:hint="eastAsia" w:cs="Times New Roman"/>
                <w:color w:val="000000" w:themeColor="text1"/>
                <w:sz w:val="24"/>
                <w:szCs w:val="24"/>
                <w:lang w:val="en-US" w:eastAsia="zh-CN"/>
                <w14:textFill>
                  <w14:solidFill>
                    <w14:schemeClr w14:val="tx1"/>
                  </w14:solidFill>
                </w14:textFill>
              </w:rPr>
              <w:t>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定期对 SNCR 高温脱硝设施进行维护；</w:t>
            </w:r>
          </w:p>
          <w:p w14:paraId="25DA63B3">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③建立健全的环保管理机构，对环保管理人员和技术人员进行岗位培训，委托具有专业资质的环境检测单位对项目排放的各类污染物进行定期检测；</w:t>
            </w:r>
          </w:p>
          <w:p w14:paraId="42B9D31C">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④应定期维护、检修废气处理装置，以保持废气处理装置的净化能力和净化容量。</w:t>
            </w:r>
          </w:p>
          <w:p w14:paraId="49090AEE">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jc w:val="both"/>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5</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环境影响分析</w:t>
            </w:r>
          </w:p>
          <w:p w14:paraId="1C15D039">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项目所在地区域环境空气</w:t>
            </w:r>
            <w:r>
              <w:rPr>
                <w:rFonts w:hint="eastAsia" w:cs="Times New Roman"/>
                <w:color w:val="000000" w:themeColor="text1"/>
                <w:sz w:val="24"/>
                <w:szCs w:val="24"/>
                <w:lang w:val="en-US" w:eastAsia="zh-CN"/>
                <w14:textFill>
                  <w14:solidFill>
                    <w14:schemeClr w14:val="tx1"/>
                  </w14:solidFill>
                </w14:textFill>
              </w:rPr>
              <w:t>质量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为达标区。项目废气经相关污染防治措施后可以达标排放，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的实施不会对周边大气环境产生不利影响，不会影响区域环境质量目标的实现，周边环境空气质量可维持现状。本评价要求建设单位定期对废气处理设备进行维修保养，确保废气处理设施正常运行，如发生故障立即停产检修，经调试合格后方可投入生产。</w:t>
            </w:r>
          </w:p>
          <w:p w14:paraId="2D92E81F">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6</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监测计划</w:t>
            </w:r>
          </w:p>
          <w:p w14:paraId="1C5933D0">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改建部分内容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新增</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氨逃逸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故需在原有锅炉的基础上增加氨</w:t>
            </w:r>
            <w:r>
              <w:rPr>
                <w:rFonts w:hint="eastAsia" w:cs="Times New Roman"/>
                <w:color w:val="000000" w:themeColor="text1"/>
                <w:sz w:val="24"/>
                <w:szCs w:val="24"/>
                <w:lang w:val="en-US" w:eastAsia="zh-CN"/>
                <w14:textFill>
                  <w14:solidFill>
                    <w14:schemeClr w14:val="tx1"/>
                  </w14:solidFill>
                </w14:textFill>
              </w:rPr>
              <w:t>逃逸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的监测，</w:t>
            </w:r>
            <w:r>
              <w:rPr>
                <w:rFonts w:hint="eastAsia" w:cs="Times New Roman"/>
                <w:color w:val="000000" w:themeColor="text1"/>
                <w:sz w:val="24"/>
                <w:szCs w:val="24"/>
                <w:lang w:val="en-US" w:eastAsia="zh-CN"/>
                <w14:textFill>
                  <w14:solidFill>
                    <w14:schemeClr w14:val="tx1"/>
                  </w14:solidFill>
                </w14:textFill>
              </w:rPr>
              <w:t>根据《排污单位自行监测技术指南 火力发电及锅炉》（HJ820-2017），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具体废气监测计划如下。</w:t>
            </w:r>
          </w:p>
          <w:p w14:paraId="49318335">
            <w:pPr>
              <w:keepNext/>
              <w:keepLines/>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运营期污染源监测内容及计划</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746"/>
              <w:gridCol w:w="1701"/>
              <w:gridCol w:w="1495"/>
              <w:gridCol w:w="1158"/>
              <w:gridCol w:w="2816"/>
            </w:tblGrid>
            <w:tr w14:paraId="3932C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pct"/>
                  <w:gridSpan w:val="2"/>
                  <w:noWrap w:val="0"/>
                  <w:vAlign w:val="center"/>
                </w:tcPr>
                <w:p w14:paraId="6122180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监测要素</w:t>
                  </w:r>
                </w:p>
              </w:tc>
              <w:tc>
                <w:tcPr>
                  <w:tcW w:w="1006" w:type="pct"/>
                  <w:noWrap w:val="0"/>
                  <w:vAlign w:val="center"/>
                </w:tcPr>
                <w:p w14:paraId="33B4B11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监测点位</w:t>
                  </w:r>
                </w:p>
              </w:tc>
              <w:tc>
                <w:tcPr>
                  <w:tcW w:w="884" w:type="pct"/>
                  <w:noWrap w:val="0"/>
                  <w:vAlign w:val="center"/>
                </w:tcPr>
                <w:p w14:paraId="66FEA3F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监测项目</w:t>
                  </w:r>
                </w:p>
              </w:tc>
              <w:tc>
                <w:tcPr>
                  <w:tcW w:w="685" w:type="pct"/>
                  <w:noWrap w:val="0"/>
                  <w:vAlign w:val="center"/>
                </w:tcPr>
                <w:p w14:paraId="178999E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c>
                <w:tcPr>
                  <w:tcW w:w="1665" w:type="pct"/>
                  <w:noWrap w:val="0"/>
                  <w:vAlign w:val="center"/>
                </w:tcPr>
                <w:p w14:paraId="38F44EB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r>
            <w:tr w14:paraId="22B68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restart"/>
                  <w:noWrap w:val="0"/>
                  <w:vAlign w:val="center"/>
                </w:tcPr>
                <w:p w14:paraId="6C486C7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污染源监测</w:t>
                  </w:r>
                </w:p>
              </w:tc>
              <w:tc>
                <w:tcPr>
                  <w:tcW w:w="441" w:type="pct"/>
                  <w:vMerge w:val="restart"/>
                  <w:noWrap w:val="0"/>
                  <w:vAlign w:val="center"/>
                </w:tcPr>
                <w:p w14:paraId="3D08445C">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生物质锅炉</w:t>
                  </w:r>
                  <w:r>
                    <w:rPr>
                      <w:rFonts w:hint="default" w:ascii="Times New Roman" w:hAnsi="Times New Roman" w:eastAsia="宋体" w:cs="Times New Roman"/>
                      <w:color w:val="000000" w:themeColor="text1"/>
                      <w14:textFill>
                        <w14:solidFill>
                          <w14:schemeClr w14:val="tx1"/>
                        </w14:solidFill>
                      </w14:textFill>
                    </w:rPr>
                    <w:t>废气</w:t>
                  </w:r>
                </w:p>
              </w:tc>
              <w:tc>
                <w:tcPr>
                  <w:tcW w:w="1006" w:type="pct"/>
                  <w:vMerge w:val="restart"/>
                  <w:noWrap w:val="0"/>
                  <w:vAlign w:val="center"/>
                </w:tcPr>
                <w:p w14:paraId="507B1AD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锅炉废气排放口（DA00</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884" w:type="pct"/>
                  <w:noWrap w:val="0"/>
                  <w:vAlign w:val="center"/>
                </w:tcPr>
                <w:p w14:paraId="194C40A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tc>
              <w:tc>
                <w:tcPr>
                  <w:tcW w:w="685" w:type="pct"/>
                  <w:vMerge w:val="restart"/>
                  <w:noWrap w:val="0"/>
                  <w:vAlign w:val="center"/>
                </w:tcPr>
                <w:p w14:paraId="164F6B3F">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w:t>
                  </w:r>
                  <w:r>
                    <w:rPr>
                      <w:rFonts w:hint="default" w:ascii="Times New Roman" w:hAnsi="Times New Roman" w:eastAsia="宋体" w:cs="Times New Roman"/>
                      <w:color w:val="000000" w:themeColor="text1"/>
                      <w:lang w:val="en-US" w:eastAsia="zh-CN"/>
                      <w14:textFill>
                        <w14:solidFill>
                          <w14:schemeClr w14:val="tx1"/>
                        </w14:solidFill>
                      </w14:textFill>
                    </w:rPr>
                    <w:t>月</w:t>
                  </w:r>
                </w:p>
              </w:tc>
              <w:tc>
                <w:tcPr>
                  <w:tcW w:w="1665" w:type="pct"/>
                  <w:vMerge w:val="restart"/>
                  <w:noWrap w:val="0"/>
                  <w:vAlign w:val="center"/>
                </w:tcPr>
                <w:p w14:paraId="05C07171">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《锅炉大气污染物排放标准》（DB</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61/1226-2018）</w:t>
                  </w:r>
                  <w:r>
                    <w:rPr>
                      <w:rFonts w:hint="default" w:ascii="Times New Roman" w:hAnsi="Times New Roman" w:eastAsia="宋体" w:cs="Times New Roman"/>
                      <w:color w:val="000000" w:themeColor="text1"/>
                      <w:lang w:val="en-US" w:eastAsia="zh-CN"/>
                      <w14:textFill>
                        <w14:solidFill>
                          <w14:schemeClr w14:val="tx1"/>
                        </w14:solidFill>
                      </w14:textFill>
                    </w:rPr>
                    <w:t>中表5要求</w:t>
                  </w:r>
                  <w:r>
                    <w:rPr>
                      <w:rFonts w:hint="eastAsia" w:cs="Times New Roman"/>
                      <w:color w:val="000000" w:themeColor="text1"/>
                      <w:lang w:val="en-US" w:eastAsia="zh-CN"/>
                      <w14:textFill>
                        <w14:solidFill>
                          <w14:schemeClr w14:val="tx1"/>
                        </w14:solidFill>
                      </w14:textFill>
                    </w:rPr>
                    <w:t>。</w:t>
                  </w:r>
                </w:p>
              </w:tc>
            </w:tr>
            <w:tr w14:paraId="61C39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noWrap w:val="0"/>
                  <w:vAlign w:val="center"/>
                </w:tcPr>
                <w:p w14:paraId="1A68E041">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441" w:type="pct"/>
                  <w:vMerge w:val="continue"/>
                  <w:noWrap w:val="0"/>
                  <w:vAlign w:val="center"/>
                </w:tcPr>
                <w:p w14:paraId="45448B64">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1006" w:type="pct"/>
                  <w:vMerge w:val="continue"/>
                  <w:noWrap w:val="0"/>
                  <w:vAlign w:val="center"/>
                </w:tcPr>
                <w:p w14:paraId="486F3779">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884" w:type="pct"/>
                  <w:noWrap w:val="0"/>
                  <w:vAlign w:val="center"/>
                </w:tcPr>
                <w:p w14:paraId="50F01BF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二氧化硫</w:t>
                  </w:r>
                </w:p>
              </w:tc>
              <w:tc>
                <w:tcPr>
                  <w:tcW w:w="685" w:type="pct"/>
                  <w:vMerge w:val="continue"/>
                  <w:noWrap w:val="0"/>
                  <w:vAlign w:val="center"/>
                </w:tcPr>
                <w:p w14:paraId="2B720D6D">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1665" w:type="pct"/>
                  <w:vMerge w:val="continue"/>
                  <w:noWrap w:val="0"/>
                  <w:vAlign w:val="center"/>
                </w:tcPr>
                <w:p w14:paraId="6B4C975A">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zh-TW"/>
                      <w14:textFill>
                        <w14:solidFill>
                          <w14:schemeClr w14:val="tx1"/>
                        </w14:solidFill>
                      </w14:textFill>
                    </w:rPr>
                  </w:pPr>
                </w:p>
              </w:tc>
            </w:tr>
            <w:tr w14:paraId="027E1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noWrap w:val="0"/>
                  <w:vAlign w:val="center"/>
                </w:tcPr>
                <w:p w14:paraId="0E27E054">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441" w:type="pct"/>
                  <w:vMerge w:val="continue"/>
                  <w:noWrap w:val="0"/>
                  <w:vAlign w:val="center"/>
                </w:tcPr>
                <w:p w14:paraId="4DCD5693">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1006" w:type="pct"/>
                  <w:vMerge w:val="continue"/>
                  <w:noWrap w:val="0"/>
                  <w:vAlign w:val="center"/>
                </w:tcPr>
                <w:p w14:paraId="5835D484">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884" w:type="pct"/>
                  <w:noWrap w:val="0"/>
                  <w:vAlign w:val="center"/>
                </w:tcPr>
                <w:p w14:paraId="10E77B5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氮氧化物</w:t>
                  </w:r>
                </w:p>
              </w:tc>
              <w:tc>
                <w:tcPr>
                  <w:tcW w:w="685" w:type="pct"/>
                  <w:vMerge w:val="continue"/>
                  <w:noWrap w:val="0"/>
                  <w:vAlign w:val="center"/>
                </w:tcPr>
                <w:p w14:paraId="3380E12C">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665" w:type="pct"/>
                  <w:vMerge w:val="continue"/>
                  <w:noWrap w:val="0"/>
                  <w:vAlign w:val="center"/>
                </w:tcPr>
                <w:p w14:paraId="413DB238">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zh-TW"/>
                      <w14:textFill>
                        <w14:solidFill>
                          <w14:schemeClr w14:val="tx1"/>
                        </w14:solidFill>
                      </w14:textFill>
                    </w:rPr>
                  </w:pPr>
                </w:p>
              </w:tc>
            </w:tr>
            <w:tr w14:paraId="10D92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noWrap w:val="0"/>
                  <w:vAlign w:val="center"/>
                </w:tcPr>
                <w:p w14:paraId="0EA87C57">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441" w:type="pct"/>
                  <w:vMerge w:val="continue"/>
                  <w:noWrap w:val="0"/>
                  <w:vAlign w:val="center"/>
                </w:tcPr>
                <w:p w14:paraId="14A332BA">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1006" w:type="pct"/>
                  <w:vMerge w:val="continue"/>
                  <w:noWrap w:val="0"/>
                  <w:vAlign w:val="center"/>
                </w:tcPr>
                <w:p w14:paraId="56A9D427">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884" w:type="pct"/>
                  <w:noWrap w:val="0"/>
                  <w:vAlign w:val="center"/>
                </w:tcPr>
                <w:p w14:paraId="7C7F20B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林格曼黑度</w:t>
                  </w:r>
                </w:p>
              </w:tc>
              <w:tc>
                <w:tcPr>
                  <w:tcW w:w="685" w:type="pct"/>
                  <w:vMerge w:val="continue"/>
                  <w:noWrap w:val="0"/>
                  <w:vAlign w:val="center"/>
                </w:tcPr>
                <w:p w14:paraId="4ABAF5DF">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665" w:type="pct"/>
                  <w:noWrap w:val="0"/>
                  <w:vAlign w:val="center"/>
                </w:tcPr>
                <w:p w14:paraId="6A00A977">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《锅炉大气污染物排放标准》</w:t>
                  </w:r>
                  <w:r>
                    <w:rPr>
                      <w:rFonts w:hint="default" w:ascii="Times New Roman" w:hAnsi="Times New Roman" w:eastAsia="宋体" w:cs="Times New Roman"/>
                      <w:color w:val="000000" w:themeColor="text1"/>
                      <w:lang w:val="en-US" w:eastAsia="zh-CN"/>
                      <w14:textFill>
                        <w14:solidFill>
                          <w14:schemeClr w14:val="tx1"/>
                        </w14:solidFill>
                      </w14:textFill>
                    </w:rPr>
                    <w:t>GB</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13271-2014</w:t>
                  </w: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2</w:t>
                  </w:r>
                </w:p>
              </w:tc>
            </w:tr>
            <w:tr w14:paraId="32E3F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noWrap w:val="0"/>
                  <w:vAlign w:val="center"/>
                </w:tcPr>
                <w:p w14:paraId="7964B320">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441" w:type="pct"/>
                  <w:noWrap w:val="0"/>
                  <w:vAlign w:val="center"/>
                </w:tcPr>
                <w:p w14:paraId="7FDD590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氨逃逸</w:t>
                  </w:r>
                </w:p>
              </w:tc>
              <w:tc>
                <w:tcPr>
                  <w:tcW w:w="1006" w:type="pct"/>
                  <w:vMerge w:val="continue"/>
                  <w:noWrap w:val="0"/>
                  <w:vAlign w:val="center"/>
                </w:tcPr>
                <w:p w14:paraId="1888D031">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884" w:type="pct"/>
                  <w:noWrap w:val="0"/>
                  <w:vAlign w:val="center"/>
                </w:tcPr>
                <w:p w14:paraId="540FB8E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氨</w:t>
                  </w:r>
                </w:p>
              </w:tc>
              <w:tc>
                <w:tcPr>
                  <w:tcW w:w="685" w:type="pct"/>
                  <w:noWrap w:val="0"/>
                  <w:vAlign w:val="center"/>
                </w:tcPr>
                <w:p w14:paraId="730F36BB">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1次/季度</w:t>
                  </w:r>
                </w:p>
              </w:tc>
              <w:tc>
                <w:tcPr>
                  <w:tcW w:w="1665" w:type="pct"/>
                  <w:noWrap w:val="0"/>
                  <w:vAlign w:val="center"/>
                </w:tcPr>
                <w:p w14:paraId="6C6104B4">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《火电厂烟气脱硝工程技术规范 选择性非催化还原法》（HJ 563-2010）中控制限值≤8mg/m³的要求</w:t>
                  </w:r>
                  <w:r>
                    <w:rPr>
                      <w:rFonts w:hint="eastAsia" w:cs="Times New Roman"/>
                      <w:color w:val="000000" w:themeColor="text1"/>
                      <w:lang w:eastAsia="zh-CN"/>
                      <w14:textFill>
                        <w14:solidFill>
                          <w14:schemeClr w14:val="tx1"/>
                        </w14:solidFill>
                      </w14:textFill>
                    </w:rPr>
                    <w:t>。</w:t>
                  </w:r>
                </w:p>
              </w:tc>
            </w:tr>
          </w:tbl>
          <w:p w14:paraId="7E2B8A09">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黑体" w:cs="Times New Roman"/>
                <w:bCs/>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二、运营期废水环境影响和保护措施</w:t>
            </w:r>
          </w:p>
          <w:p w14:paraId="61649AB7">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黑体" w:cs="Times New Roman"/>
                <w:bCs/>
                <w:color w:val="000000" w:themeColor="text1"/>
                <w:sz w:val="24"/>
                <w:szCs w:val="28"/>
                <w14:textFill>
                  <w14:solidFill>
                    <w14:schemeClr w14:val="tx1"/>
                  </w14:solidFill>
                </w14:textFill>
              </w:rPr>
            </w:pPr>
            <w:r>
              <w:rPr>
                <w:rFonts w:hint="default" w:ascii="Times New Roman" w:hAnsi="Times New Roman" w:eastAsia="宋体" w:cs="Times New Roman"/>
                <w:b/>
                <w:bCs w:val="0"/>
                <w:color w:val="000000" w:themeColor="text1"/>
                <w:sz w:val="24"/>
                <w:szCs w:val="28"/>
                <w14:textFill>
                  <w14:solidFill>
                    <w14:schemeClr w14:val="tx1"/>
                  </w14:solidFill>
                </w14:textFill>
              </w:rPr>
              <w:t>1</w:t>
            </w:r>
            <w:r>
              <w:rPr>
                <w:rFonts w:hint="eastAsia"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地表水污染工序及源强分析</w:t>
            </w:r>
          </w:p>
          <w:p w14:paraId="3D86EB6E">
            <w:pPr>
              <w:widowControl/>
              <w:adjustRightInd w:val="0"/>
              <w:snapToGrid w:val="0"/>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生活用水：</w:t>
            </w:r>
            <w:r>
              <w:rPr>
                <w:rFonts w:hint="default" w:ascii="Times New Roman" w:hAnsi="Times New Roman" w:eastAsia="宋体" w:cs="Times New Roman"/>
                <w:color w:val="000000" w:themeColor="text1"/>
                <w:sz w:val="24"/>
                <w:lang w:val="en-US" w:eastAsia="zh-CN"/>
                <w14:textFill>
                  <w14:solidFill>
                    <w14:schemeClr w14:val="tx1"/>
                  </w14:solidFill>
                </w14:textFill>
              </w:rPr>
              <w:t>本项目无新</w:t>
            </w:r>
            <w:r>
              <w:rPr>
                <w:rFonts w:hint="default" w:ascii="Times New Roman" w:hAnsi="Times New Roman" w:cs="Times New Roman"/>
                <w:color w:val="000000" w:themeColor="text1"/>
                <w:sz w:val="24"/>
                <w:lang w:val="en-US" w:eastAsia="zh-CN"/>
                <w14:textFill>
                  <w14:solidFill>
                    <w14:schemeClr w14:val="tx1"/>
                  </w14:solidFill>
                </w14:textFill>
              </w:rPr>
              <w:t>增员工，</w:t>
            </w:r>
            <w:r>
              <w:rPr>
                <w:rFonts w:hint="eastAsia" w:ascii="Times New Roman" w:hAnsi="Times New Roman" w:cs="Times New Roman"/>
                <w:color w:val="000000" w:themeColor="text1"/>
                <w:sz w:val="24"/>
                <w:lang w:val="en-US" w:eastAsia="zh-CN"/>
                <w14:textFill>
                  <w14:solidFill>
                    <w14:schemeClr w14:val="tx1"/>
                  </w14:solidFill>
                </w14:textFill>
              </w:rPr>
              <w:t>无新增生活用水及生活污水排放；</w:t>
            </w:r>
          </w:p>
          <w:p w14:paraId="17A9F8C4">
            <w:pPr>
              <w:widowControl/>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生产用水：</w:t>
            </w:r>
            <w:r>
              <w:rPr>
                <w:rFonts w:hint="default" w:ascii="Times New Roman" w:hAnsi="Times New Roman" w:cs="Times New Roman"/>
                <w:color w:val="000000" w:themeColor="text1"/>
                <w:sz w:val="24"/>
                <w:lang w:val="en-US" w:eastAsia="zh-CN"/>
                <w14:textFill>
                  <w14:solidFill>
                    <w14:schemeClr w14:val="tx1"/>
                  </w14:solidFill>
                </w14:textFill>
              </w:rPr>
              <w:t>供水及污水处理依托原有设施，</w:t>
            </w:r>
            <w:r>
              <w:rPr>
                <w:rFonts w:hint="eastAsia" w:cs="Times New Roman"/>
                <w:color w:val="000000" w:themeColor="text1"/>
                <w:sz w:val="24"/>
                <w:lang w:val="en-US" w:eastAsia="zh-CN"/>
                <w14:textFill>
                  <w14:solidFill>
                    <w14:schemeClr w14:val="tx1"/>
                  </w14:solidFill>
                </w14:textFill>
              </w:rPr>
              <w:t>本项目用水主要为锅炉用水及尿素溶液配制用水，按锅炉年运行270天、每天8h满负荷运行计算</w:t>
            </w:r>
            <w:r>
              <w:rPr>
                <w:rFonts w:hint="default" w:ascii="Times New Roman" w:hAnsi="Times New Roman" w:cs="Times New Roman"/>
                <w:color w:val="000000" w:themeColor="text1"/>
                <w:sz w:val="24"/>
                <w:lang w:val="en-US" w:eastAsia="zh-CN"/>
                <w14:textFill>
                  <w14:solidFill>
                    <w14:schemeClr w14:val="tx1"/>
                  </w14:solidFill>
                </w14:textFill>
              </w:rPr>
              <w:t>。</w:t>
            </w:r>
          </w:p>
          <w:p w14:paraId="7A3CE9AE">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①锅炉用水：</w:t>
            </w:r>
            <w:r>
              <w:rPr>
                <w:rFonts w:hint="eastAsia"/>
                <w:color w:val="000000" w:themeColor="text1"/>
                <w:sz w:val="24"/>
                <w:szCs w:val="32"/>
                <w:highlight w:val="none"/>
                <w:lang w:val="en-US" w:eastAsia="zh-CN"/>
                <w14:textFill>
                  <w14:solidFill>
                    <w14:schemeClr w14:val="tx1"/>
                  </w14:solidFill>
                </w14:textFill>
              </w:rPr>
              <w:t>项目建成2.5t/h专用生物质锅炉后，氨锅炉满负荷运行（即年运行时间2160h），则需软水5400m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/a，软水制备效率约90%，锅炉使用过程中，排污损失以0.1%计，管道汽水损失以3%计，则</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蒸汽损失</w:t>
            </w:r>
            <w:r>
              <w:rPr>
                <w:rFonts w:hint="eastAsia" w:cs="Times New Roman"/>
                <w:color w:val="000000" w:themeColor="text1"/>
                <w:kern w:val="0"/>
                <w:sz w:val="24"/>
                <w:szCs w:val="24"/>
                <w:highlight w:val="none"/>
                <w:lang w:val="en-US" w:eastAsia="zh-CN" w:bidi="ar"/>
                <w14:textFill>
                  <w14:solidFill>
                    <w14:schemeClr w14:val="tx1"/>
                  </w14:solidFill>
                </w14:textFill>
              </w:rPr>
              <w:t>162</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/a，锅炉排污废水为</w:t>
            </w:r>
            <w:r>
              <w:rPr>
                <w:rFonts w:hint="eastAsia" w:cs="Times New Roman"/>
                <w:color w:val="000000" w:themeColor="text1"/>
                <w:kern w:val="0"/>
                <w:sz w:val="24"/>
                <w:szCs w:val="24"/>
                <w:highlight w:val="none"/>
                <w:lang w:val="en-US" w:eastAsia="zh-CN" w:bidi="ar"/>
                <w14:textFill>
                  <w14:solidFill>
                    <w14:schemeClr w14:val="tx1"/>
                  </w14:solidFill>
                </w14:textFill>
              </w:rPr>
              <w:t>5.4</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，则软水制备新鲜水量为6000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22.22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，软水制备废水产生量为</w:t>
            </w:r>
            <w:r>
              <w:rPr>
                <w:rFonts w:hint="eastAsia" w:cs="Times New Roman"/>
                <w:color w:val="000000" w:themeColor="text1"/>
                <w:kern w:val="0"/>
                <w:sz w:val="24"/>
                <w:szCs w:val="24"/>
                <w:highlight w:val="none"/>
                <w:lang w:val="en-US" w:eastAsia="zh-CN" w:bidi="ar"/>
                <w14:textFill>
                  <w14:solidFill>
                    <w14:schemeClr w14:val="tx1"/>
                  </w14:solidFill>
                </w14:textFill>
              </w:rPr>
              <w:t>600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/a（</w:t>
            </w:r>
            <w:r>
              <w:rPr>
                <w:rFonts w:hint="eastAsia" w:cs="Times New Roman"/>
                <w:color w:val="000000" w:themeColor="text1"/>
                <w:kern w:val="0"/>
                <w:sz w:val="24"/>
                <w:szCs w:val="24"/>
                <w:highlight w:val="none"/>
                <w:lang w:val="en-US" w:eastAsia="zh-CN" w:bidi="ar"/>
                <w14:textFill>
                  <w14:solidFill>
                    <w14:schemeClr w14:val="tx1"/>
                  </w14:solidFill>
                </w14:textFill>
              </w:rPr>
              <w:t>2.22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。软水制备废水（含锅炉排污废水</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进入厂内</w:t>
            </w:r>
            <w:r>
              <w:rPr>
                <w:rFonts w:hint="eastAsia" w:cs="Times New Roman"/>
                <w:color w:val="000000" w:themeColor="text1"/>
                <w:sz w:val="24"/>
                <w:szCs w:val="32"/>
                <w:highlight w:val="none"/>
                <w:lang w:val="en-US" w:eastAsia="zh-CN"/>
                <w14:textFill>
                  <w14:solidFill>
                    <w14:schemeClr w14:val="tx1"/>
                  </w14:solidFill>
                </w14:textFill>
              </w:rPr>
              <w:t>原有</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清水池收集后部分用于原有酿造冷却水和绿化用水，剩余部分拉运至上海中耀环保实业陕西有限公司进行处理。</w:t>
            </w:r>
          </w:p>
          <w:p w14:paraId="007BB339">
            <w:pPr>
              <w:widowControl/>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②尿素溶液用水：</w:t>
            </w:r>
            <w:r>
              <w:rPr>
                <w:rFonts w:hint="default" w:ascii="Times New Roman" w:hAnsi="Times New Roman" w:cs="Times New Roman"/>
                <w:color w:val="000000" w:themeColor="text1"/>
                <w:sz w:val="24"/>
                <w:lang w:val="en-US" w:eastAsia="zh-CN"/>
                <w14:textFill>
                  <w14:solidFill>
                    <w14:schemeClr w14:val="tx1"/>
                  </w14:solidFill>
                </w14:textFill>
              </w:rPr>
              <w:t>根据前文尿素用量核算可知</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项目所用新鲜水为</w:t>
            </w:r>
            <w:r>
              <w:rPr>
                <w:rFonts w:hint="eastAsia" w:ascii="Times New Roman" w:hAnsi="Times New Roman" w:cs="Times New Roman"/>
                <w:color w:val="000000" w:themeColor="text1"/>
                <w:sz w:val="24"/>
                <w:lang w:val="en-US" w:eastAsia="zh-CN"/>
                <w14:textFill>
                  <w14:solidFill>
                    <w14:schemeClr w14:val="tx1"/>
                  </w14:solidFill>
                </w14:textFill>
              </w:rPr>
              <w:t>49.77</w:t>
            </w:r>
            <w:r>
              <w:rPr>
                <w:rFonts w:hint="default" w:ascii="Times New Roman" w:hAnsi="Times New Roman" w:cs="Times New Roman"/>
                <w:color w:val="000000" w:themeColor="text1"/>
                <w:sz w:val="24"/>
                <w:lang w:val="en-US" w:eastAsia="zh-CN"/>
                <w14:textFill>
                  <w14:solidFill>
                    <w14:schemeClr w14:val="tx1"/>
                  </w14:solidFill>
                </w14:textFill>
              </w:rPr>
              <w:t>m³/a</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用水皆在设备运行过程</w:t>
            </w:r>
            <w:r>
              <w:rPr>
                <w:rFonts w:hint="eastAsia" w:cs="Times New Roman"/>
                <w:color w:val="000000" w:themeColor="text1"/>
                <w:sz w:val="24"/>
                <w:lang w:val="en-US" w:eastAsia="zh-CN"/>
                <w14:textFill>
                  <w14:solidFill>
                    <w14:schemeClr w14:val="tx1"/>
                  </w14:solidFill>
                </w14:textFill>
              </w:rPr>
              <w:t>中</w:t>
            </w:r>
            <w:r>
              <w:rPr>
                <w:rFonts w:hint="default" w:ascii="Times New Roman" w:hAnsi="Times New Roman" w:cs="Times New Roman"/>
                <w:color w:val="000000" w:themeColor="text1"/>
                <w:sz w:val="24"/>
                <w:lang w:val="en-US" w:eastAsia="zh-CN"/>
                <w14:textFill>
                  <w14:solidFill>
                    <w14:schemeClr w14:val="tx1"/>
                  </w14:solidFill>
                </w14:textFill>
              </w:rPr>
              <w:t>蒸发损耗</w:t>
            </w:r>
            <w:r>
              <w:rPr>
                <w:rFonts w:hint="eastAsia" w:cs="Times New Roman"/>
                <w:color w:val="000000" w:themeColor="text1"/>
                <w:sz w:val="24"/>
                <w:lang w:val="en-US" w:eastAsia="zh-CN"/>
                <w14:textFill>
                  <w14:solidFill>
                    <w14:schemeClr w14:val="tx1"/>
                  </w14:solidFill>
                </w14:textFill>
              </w:rPr>
              <w:t>，无外排废水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03A1B42F">
            <w:pPr>
              <w:adjustRightInd w:val="0"/>
              <w:snapToGrid w:val="0"/>
              <w:spacing w:line="360" w:lineRule="auto"/>
              <w:ind w:firstLine="480" w:firstLineChars="200"/>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本项目主要用水量为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脱硝</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用水</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及锅炉软化用水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脱硝</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用水在设备运行过程中自然蒸发损耗，</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软水制备产生的废水（含锅炉排污水）</w:t>
            </w:r>
            <w:r>
              <w:rPr>
                <w:rFonts w:hint="eastAsia"/>
                <w:color w:val="000000" w:themeColor="text1"/>
                <w:sz w:val="24"/>
                <w:szCs w:val="24"/>
                <w:lang w:eastAsia="zh-CN"/>
                <w14:textFill>
                  <w14:solidFill>
                    <w14:schemeClr w14:val="tx1"/>
                  </w14:solidFill>
                </w14:textFill>
              </w:rPr>
              <w:t>产生量为</w:t>
            </w:r>
            <w:r>
              <w:rPr>
                <w:rFonts w:hint="eastAsia"/>
                <w:color w:val="000000" w:themeColor="text1"/>
                <w:sz w:val="24"/>
                <w:szCs w:val="24"/>
                <w:lang w:val="en-US" w:eastAsia="zh-CN"/>
                <w14:textFill>
                  <w14:solidFill>
                    <w14:schemeClr w14:val="tx1"/>
                  </w14:solidFill>
                </w14:textFill>
              </w:rPr>
              <w:t>2.24m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进入厂内清水池收集后部分用于原有酿造冷却水和绿化用水，剩余部分拉运至上海中耀环保实业陕西有限公司进行处理。</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4D7BEA7">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2</w:t>
            </w:r>
            <w:r>
              <w:rPr>
                <w:rFonts w:hint="eastAsia" w:cs="Times New Roman"/>
                <w:b/>
                <w:bCs w:val="0"/>
                <w:color w:val="000000" w:themeColor="text1"/>
                <w:sz w:val="24"/>
                <w:szCs w:val="28"/>
                <w:lang w:val="en-US" w:eastAsia="zh-CN"/>
                <w14:textFill>
                  <w14:solidFill>
                    <w14:schemeClr w14:val="tx1"/>
                  </w14:solidFill>
                </w14:textFill>
              </w:rPr>
              <w:t>.</w:t>
            </w: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可行性分析</w:t>
            </w:r>
          </w:p>
          <w:p w14:paraId="47AF28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cs="Times New Roman"/>
                <w:b w:val="0"/>
                <w:bCs/>
                <w:color w:val="000000" w:themeColor="text1"/>
                <w:sz w:val="24"/>
                <w:szCs w:val="28"/>
                <w:lang w:val="en-US" w:eastAsia="zh-CN"/>
                <w14:textFill>
                  <w14:solidFill>
                    <w14:schemeClr w14:val="tx1"/>
                  </w14:solidFill>
                </w14:textFill>
              </w:rPr>
            </w:pPr>
            <w:r>
              <w:rPr>
                <w:rFonts w:hint="eastAsia" w:cs="Times New Roman"/>
                <w:b/>
                <w:bCs w:val="0"/>
                <w:color w:val="000000" w:themeColor="text1"/>
                <w:sz w:val="24"/>
                <w:szCs w:val="28"/>
                <w:lang w:val="en-US" w:eastAsia="zh-CN"/>
                <w14:textFill>
                  <w14:solidFill>
                    <w14:schemeClr w14:val="tx1"/>
                  </w14:solidFill>
                </w14:textFill>
              </w:rPr>
              <w:t>软水制备设备可行性：</w:t>
            </w:r>
            <w:r>
              <w:rPr>
                <w:rFonts w:hint="eastAsia" w:cs="Times New Roman"/>
                <w:b w:val="0"/>
                <w:bCs/>
                <w:color w:val="000000" w:themeColor="text1"/>
                <w:sz w:val="24"/>
                <w:szCs w:val="28"/>
                <w:lang w:val="en-US" w:eastAsia="zh-CN"/>
                <w14:textFill>
                  <w14:solidFill>
                    <w14:schemeClr w14:val="tx1"/>
                  </w14:solidFill>
                </w14:textFill>
              </w:rPr>
              <w:t>原有项目有一台软水制备设备，台时产量为8000L/h，原有项目年运行时间为2160h，需用软水量为3240m</w:t>
            </w:r>
            <w:r>
              <w:rPr>
                <w:rFonts w:hint="eastAsia" w:cs="Times New Roman"/>
                <w:b w:val="0"/>
                <w:bCs/>
                <w:color w:val="000000" w:themeColor="text1"/>
                <w:sz w:val="24"/>
                <w:szCs w:val="28"/>
                <w:vertAlign w:val="superscript"/>
                <w:lang w:val="en-US" w:eastAsia="zh-CN"/>
                <w14:textFill>
                  <w14:solidFill>
                    <w14:schemeClr w14:val="tx1"/>
                  </w14:solidFill>
                </w14:textFill>
              </w:rPr>
              <w:t>3</w:t>
            </w:r>
            <w:r>
              <w:rPr>
                <w:rFonts w:hint="eastAsia" w:cs="Times New Roman"/>
                <w:b w:val="0"/>
                <w:bCs/>
                <w:color w:val="000000" w:themeColor="text1"/>
                <w:sz w:val="24"/>
                <w:szCs w:val="28"/>
                <w:lang w:val="en-US" w:eastAsia="zh-CN"/>
                <w14:textFill>
                  <w14:solidFill>
                    <w14:schemeClr w14:val="tx1"/>
                  </w14:solidFill>
                </w14:textFill>
              </w:rPr>
              <w:t>/a（1.5m</w:t>
            </w:r>
            <w:r>
              <w:rPr>
                <w:rFonts w:hint="eastAsia" w:cs="Times New Roman"/>
                <w:b w:val="0"/>
                <w:bCs/>
                <w:color w:val="000000" w:themeColor="text1"/>
                <w:sz w:val="24"/>
                <w:szCs w:val="28"/>
                <w:vertAlign w:val="superscript"/>
                <w:lang w:val="en-US" w:eastAsia="zh-CN"/>
                <w14:textFill>
                  <w14:solidFill>
                    <w14:schemeClr w14:val="tx1"/>
                  </w14:solidFill>
                </w14:textFill>
              </w:rPr>
              <w:t>3</w:t>
            </w:r>
            <w:r>
              <w:rPr>
                <w:rFonts w:hint="eastAsia" w:cs="Times New Roman"/>
                <w:b w:val="0"/>
                <w:bCs/>
                <w:color w:val="000000" w:themeColor="text1"/>
                <w:sz w:val="24"/>
                <w:szCs w:val="28"/>
                <w:lang w:val="en-US" w:eastAsia="zh-CN"/>
                <w14:textFill>
                  <w14:solidFill>
                    <w14:schemeClr w14:val="tx1"/>
                  </w14:solidFill>
                </w14:textFill>
              </w:rPr>
              <w:t>/h），本次新增软水2160m</w:t>
            </w:r>
            <w:r>
              <w:rPr>
                <w:rFonts w:hint="eastAsia" w:cs="Times New Roman"/>
                <w:b w:val="0"/>
                <w:bCs/>
                <w:color w:val="000000" w:themeColor="text1"/>
                <w:sz w:val="24"/>
                <w:szCs w:val="28"/>
                <w:vertAlign w:val="superscript"/>
                <w:lang w:val="en-US" w:eastAsia="zh-CN"/>
                <w14:textFill>
                  <w14:solidFill>
                    <w14:schemeClr w14:val="tx1"/>
                  </w14:solidFill>
                </w14:textFill>
              </w:rPr>
              <w:t>3</w:t>
            </w:r>
            <w:r>
              <w:rPr>
                <w:rFonts w:hint="eastAsia" w:cs="Times New Roman"/>
                <w:b w:val="0"/>
                <w:bCs/>
                <w:color w:val="000000" w:themeColor="text1"/>
                <w:sz w:val="24"/>
                <w:szCs w:val="28"/>
                <w:lang w:val="en-US" w:eastAsia="zh-CN"/>
                <w14:textFill>
                  <w14:solidFill>
                    <w14:schemeClr w14:val="tx1"/>
                  </w14:solidFill>
                </w14:textFill>
              </w:rPr>
              <w:t>/a（1m</w:t>
            </w:r>
            <w:r>
              <w:rPr>
                <w:rFonts w:hint="eastAsia" w:cs="Times New Roman"/>
                <w:b w:val="0"/>
                <w:bCs/>
                <w:color w:val="000000" w:themeColor="text1"/>
                <w:sz w:val="24"/>
                <w:szCs w:val="28"/>
                <w:vertAlign w:val="superscript"/>
                <w:lang w:val="en-US" w:eastAsia="zh-CN"/>
                <w14:textFill>
                  <w14:solidFill>
                    <w14:schemeClr w14:val="tx1"/>
                  </w14:solidFill>
                </w14:textFill>
              </w:rPr>
              <w:t>3</w:t>
            </w:r>
            <w:r>
              <w:rPr>
                <w:rFonts w:hint="eastAsia" w:cs="Times New Roman"/>
                <w:b w:val="0"/>
                <w:bCs/>
                <w:color w:val="000000" w:themeColor="text1"/>
                <w:sz w:val="24"/>
                <w:szCs w:val="28"/>
                <w:lang w:val="en-US" w:eastAsia="zh-CN"/>
                <w14:textFill>
                  <w14:solidFill>
                    <w14:schemeClr w14:val="tx1"/>
                  </w14:solidFill>
                </w14:textFill>
              </w:rPr>
              <w:t>/h），合计所需软水2.5m</w:t>
            </w:r>
            <w:r>
              <w:rPr>
                <w:rFonts w:hint="eastAsia" w:cs="Times New Roman"/>
                <w:b w:val="0"/>
                <w:bCs/>
                <w:color w:val="000000" w:themeColor="text1"/>
                <w:sz w:val="24"/>
                <w:szCs w:val="28"/>
                <w:vertAlign w:val="superscript"/>
                <w:lang w:val="en-US" w:eastAsia="zh-CN"/>
                <w14:textFill>
                  <w14:solidFill>
                    <w14:schemeClr w14:val="tx1"/>
                  </w14:solidFill>
                </w14:textFill>
              </w:rPr>
              <w:t>3</w:t>
            </w:r>
            <w:r>
              <w:rPr>
                <w:rFonts w:hint="eastAsia" w:cs="Times New Roman"/>
                <w:b w:val="0"/>
                <w:bCs/>
                <w:color w:val="000000" w:themeColor="text1"/>
                <w:sz w:val="24"/>
                <w:szCs w:val="28"/>
                <w:lang w:val="en-US" w:eastAsia="zh-CN"/>
                <w14:textFill>
                  <w14:solidFill>
                    <w14:schemeClr w14:val="tx1"/>
                  </w14:solidFill>
                </w14:textFill>
              </w:rPr>
              <w:t>/h，小于软水制备设备的产水量。</w:t>
            </w:r>
          </w:p>
          <w:p w14:paraId="324FC6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废水依托</w:t>
            </w:r>
            <w:r>
              <w:rPr>
                <w:rFonts w:hint="eastAsia" w:cs="Times New Roman"/>
                <w:b/>
                <w:bCs w:val="0"/>
                <w:color w:val="000000" w:themeColor="text1"/>
                <w:sz w:val="24"/>
                <w:szCs w:val="28"/>
                <w:lang w:val="en-US" w:eastAsia="zh-CN"/>
                <w14:textFill>
                  <w14:solidFill>
                    <w14:schemeClr w14:val="tx1"/>
                  </w14:solidFill>
                </w14:textFill>
              </w:rPr>
              <w:t>可行性：</w:t>
            </w:r>
            <w:r>
              <w:rPr>
                <w:rFonts w:hint="eastAsia" w:cs="Times New Roman"/>
                <w:b w:val="0"/>
                <w:bCs w:val="0"/>
                <w:color w:val="000000" w:themeColor="text1"/>
                <w:sz w:val="24"/>
                <w:szCs w:val="24"/>
                <w:highlight w:val="none"/>
                <w:lang w:val="en-US" w:eastAsia="zh-CN"/>
                <w14:textFill>
                  <w14:solidFill>
                    <w14:schemeClr w14:val="tx1"/>
                  </w14:solidFill>
                </w14:textFill>
              </w:rPr>
              <w:t>本项目建成后污水的种类未增加，只增加污水量，故本项目废水依托原有项目清水池，原有项目清水池约4m</w:t>
            </w:r>
            <w:r>
              <w:rPr>
                <w:rFonts w:hint="eastAsia"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sz w:val="24"/>
                <w:szCs w:val="24"/>
                <w:highlight w:val="none"/>
                <w:lang w:val="en-US" w:eastAsia="zh-CN"/>
                <w14:textFill>
                  <w14:solidFill>
                    <w14:schemeClr w14:val="tx1"/>
                  </w14:solidFill>
                </w14:textFill>
              </w:rPr>
              <w:t>，本项目建成后锅炉废水产生量为2.24m</w:t>
            </w:r>
            <w:r>
              <w:rPr>
                <w:rFonts w:hint="eastAsia"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sz w:val="24"/>
                <w:szCs w:val="24"/>
                <w:highlight w:val="none"/>
                <w:lang w:val="en-US" w:eastAsia="zh-CN"/>
                <w14:textFill>
                  <w14:solidFill>
                    <w14:schemeClr w14:val="tx1"/>
                  </w14:solidFill>
                </w14:textFill>
              </w:rPr>
              <w:t>/d，清水池收集后部分用于原有酿造循环冷却水（2.2m</w:t>
            </w:r>
            <w:r>
              <w:rPr>
                <w:rFonts w:hint="eastAsia"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eastAsia" w:cs="Times New Roman"/>
                <w:b w:val="0"/>
                <w:bCs w:val="0"/>
                <w:color w:val="000000" w:themeColor="text1"/>
                <w:sz w:val="24"/>
                <w:szCs w:val="24"/>
                <w:highlight w:val="none"/>
                <w:lang w:val="en-US" w:eastAsia="zh-CN"/>
                <w14:textFill>
                  <w14:solidFill>
                    <w14:schemeClr w14:val="tx1"/>
                  </w14:solidFill>
                </w14:textFill>
              </w:rPr>
              <w:t>/d）和绿化用水，剩余部分拉运至上海中耀环保实业陕西有限公司进行处理，可满足本项目需求。</w:t>
            </w:r>
          </w:p>
          <w:p w14:paraId="354B062B">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三、运营期噪声环境影响和保护措施</w:t>
            </w:r>
          </w:p>
          <w:p w14:paraId="20F13411">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1.噪声源强</w:t>
            </w:r>
          </w:p>
          <w:p w14:paraId="269E9F7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本项目噪声主要</w:t>
            </w:r>
            <w:r>
              <w:rPr>
                <w:rFonts w:hint="eastAsia"/>
                <w:color w:val="000000" w:themeColor="text1"/>
                <w:sz w:val="24"/>
                <w:lang w:val="en-US" w:eastAsia="zh-CN"/>
                <w14:textFill>
                  <w14:solidFill>
                    <w14:schemeClr w14:val="tx1"/>
                  </w14:solidFill>
                </w14:textFill>
              </w:rPr>
              <w:t>来自生物质锅炉及SNCR高温脱硝设施</w:t>
            </w:r>
            <w:r>
              <w:rPr>
                <w:rFonts w:hint="eastAsia"/>
                <w:color w:val="000000" w:themeColor="text1"/>
                <w:sz w:val="24"/>
                <w14:textFill>
                  <w14:solidFill>
                    <w14:schemeClr w14:val="tx1"/>
                  </w14:solidFill>
                </w14:textFill>
              </w:rPr>
              <w:t>等运行时的噪声</w:t>
            </w:r>
            <w:r>
              <w:rPr>
                <w:rFonts w:hint="eastAsia"/>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拆除原有风机，新增风量较大的风机，故</w:t>
            </w:r>
            <w:r>
              <w:rPr>
                <w:rFonts w:hint="eastAsia"/>
                <w:color w:val="000000" w:themeColor="text1"/>
                <w:sz w:val="24"/>
                <w:lang w:val="en-US" w:eastAsia="zh-CN"/>
                <w14:textFill>
                  <w14:solidFill>
                    <w14:schemeClr w14:val="tx1"/>
                  </w14:solidFill>
                </w14:textFill>
              </w:rPr>
              <w:t>本次环评的噪声值小于新增SNCR高温脱硝设施及锅炉风机与原有项目厂界噪声的叠加值</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本项目以锅炉房西南角为原点（0，0，0），向东为X轴正方向，向北为Y轴正方向，向上为Z轴正方向，本项目噪声源基本信息见下表</w:t>
            </w:r>
            <w:r>
              <w:rPr>
                <w:rFonts w:hint="eastAsia"/>
                <w:color w:val="000000" w:themeColor="text1"/>
                <w:sz w:val="24"/>
                <w14:textFill>
                  <w14:solidFill>
                    <w14:schemeClr w14:val="tx1"/>
                  </w14:solidFill>
                </w14:textFill>
              </w:rPr>
              <w:t>：</w:t>
            </w:r>
          </w:p>
          <w:p w14:paraId="0EB3D66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w:t>
            </w:r>
            <w:r>
              <w:rPr>
                <w:rFonts w:hint="eastAsia"/>
                <w:color w:val="000000" w:themeColor="text1"/>
                <w:szCs w:val="21"/>
                <w:lang w:val="en-US" w:eastAsia="zh-CN"/>
                <w14:textFill>
                  <w14:solidFill>
                    <w14:schemeClr w14:val="tx1"/>
                  </w14:solidFill>
                </w14:textFill>
              </w:rPr>
              <w:t>4</w:t>
            </w:r>
            <w:r>
              <w:rPr>
                <w:rFonts w:hint="eastAsia"/>
                <w:bCs/>
                <w:color w:val="000000" w:themeColor="text1"/>
                <w:lang w:val="en-US" w:eastAsia="zh-CN"/>
                <w14:textFill>
                  <w14:solidFill>
                    <w14:schemeClr w14:val="tx1"/>
                  </w14:solidFill>
                </w14:textFill>
              </w:rPr>
              <w:t>-6</w:t>
            </w:r>
            <w:r>
              <w:rPr>
                <w:rFonts w:hint="eastAsia"/>
                <w:color w:val="000000" w:themeColor="text1"/>
                <w:szCs w:val="21"/>
                <w14:textFill>
                  <w14:solidFill>
                    <w14:schemeClr w14:val="tx1"/>
                  </w14:solidFill>
                </w14:textFill>
              </w:rPr>
              <w:t xml:space="preserve">  </w:t>
            </w:r>
            <w:r>
              <w:rPr>
                <w:rFonts w:hint="eastAsia"/>
                <w:color w:val="000000" w:themeColor="text1"/>
                <w:szCs w:val="21"/>
                <w:lang w:val="en-US" w:eastAsia="zh-CN"/>
                <w14:textFill>
                  <w14:solidFill>
                    <w14:schemeClr w14:val="tx1"/>
                  </w14:solidFill>
                </w14:textFill>
              </w:rPr>
              <w:t>工业企业噪声源强调查清单（室内声源）</w:t>
            </w:r>
          </w:p>
          <w:tbl>
            <w:tblPr>
              <w:tblStyle w:val="3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537"/>
              <w:gridCol w:w="805"/>
              <w:gridCol w:w="693"/>
              <w:gridCol w:w="479"/>
              <w:gridCol w:w="426"/>
              <w:gridCol w:w="345"/>
              <w:gridCol w:w="496"/>
              <w:gridCol w:w="788"/>
              <w:gridCol w:w="1243"/>
              <w:gridCol w:w="788"/>
              <w:gridCol w:w="788"/>
              <w:gridCol w:w="481"/>
            </w:tblGrid>
            <w:tr w14:paraId="0EFE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vMerge w:val="restart"/>
                  <w:noWrap w:val="0"/>
                  <w:vAlign w:val="center"/>
                </w:tcPr>
                <w:p w14:paraId="27ED01FE">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537" w:type="dxa"/>
                  <w:vMerge w:val="restart"/>
                  <w:noWrap w:val="0"/>
                  <w:vAlign w:val="center"/>
                </w:tcPr>
                <w:p w14:paraId="0C31A35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声源名称</w:t>
                  </w:r>
                </w:p>
              </w:tc>
              <w:tc>
                <w:tcPr>
                  <w:tcW w:w="805" w:type="dxa"/>
                  <w:vMerge w:val="restart"/>
                  <w:noWrap w:val="0"/>
                  <w:vAlign w:val="center"/>
                </w:tcPr>
                <w:p w14:paraId="298736F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声压级/距声压级距离（dB（A）/m）</w:t>
                  </w:r>
                </w:p>
              </w:tc>
              <w:tc>
                <w:tcPr>
                  <w:tcW w:w="693" w:type="dxa"/>
                  <w:vMerge w:val="restart"/>
                  <w:noWrap w:val="0"/>
                  <w:vAlign w:val="center"/>
                </w:tcPr>
                <w:p w14:paraId="4DA60B8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声源控制措施</w:t>
                  </w:r>
                </w:p>
              </w:tc>
              <w:tc>
                <w:tcPr>
                  <w:tcW w:w="1250" w:type="dxa"/>
                  <w:gridSpan w:val="3"/>
                  <w:noWrap w:val="0"/>
                  <w:vAlign w:val="center"/>
                </w:tcPr>
                <w:p w14:paraId="1AC22D3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空间相对位置/m</w:t>
                  </w:r>
                </w:p>
              </w:tc>
              <w:tc>
                <w:tcPr>
                  <w:tcW w:w="496" w:type="dxa"/>
                  <w:vMerge w:val="restart"/>
                  <w:noWrap w:val="0"/>
                  <w:vAlign w:val="center"/>
                </w:tcPr>
                <w:p w14:paraId="7DDA2CB5">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距室内边界距离/m</w:t>
                  </w:r>
                </w:p>
              </w:tc>
              <w:tc>
                <w:tcPr>
                  <w:tcW w:w="788" w:type="dxa"/>
                  <w:vMerge w:val="restart"/>
                  <w:noWrap w:val="0"/>
                  <w:vAlign w:val="center"/>
                </w:tcPr>
                <w:p w14:paraId="3DC8780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室内边界声级/dB（A）</w:t>
                  </w:r>
                </w:p>
              </w:tc>
              <w:tc>
                <w:tcPr>
                  <w:tcW w:w="1243" w:type="dxa"/>
                  <w:vMerge w:val="restart"/>
                  <w:noWrap w:val="0"/>
                  <w:vAlign w:val="center"/>
                </w:tcPr>
                <w:p w14:paraId="1EE7DB51">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运行时段</w:t>
                  </w:r>
                </w:p>
              </w:tc>
              <w:tc>
                <w:tcPr>
                  <w:tcW w:w="788" w:type="dxa"/>
                  <w:vMerge w:val="restart"/>
                  <w:noWrap w:val="0"/>
                  <w:vAlign w:val="center"/>
                </w:tcPr>
                <w:p w14:paraId="13BEEE89">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建筑物插入损失/dB（A）</w:t>
                  </w:r>
                </w:p>
              </w:tc>
              <w:tc>
                <w:tcPr>
                  <w:tcW w:w="1269" w:type="dxa"/>
                  <w:gridSpan w:val="2"/>
                  <w:noWrap w:val="0"/>
                  <w:vAlign w:val="center"/>
                </w:tcPr>
                <w:p w14:paraId="1066030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建筑物外噪声</w:t>
                  </w:r>
                </w:p>
              </w:tc>
            </w:tr>
            <w:tr w14:paraId="1A5E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433" w:type="dxa"/>
                  <w:vMerge w:val="continue"/>
                  <w:noWrap w:val="0"/>
                  <w:vAlign w:val="center"/>
                </w:tcPr>
                <w:p w14:paraId="71E29D6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537" w:type="dxa"/>
                  <w:vMerge w:val="continue"/>
                  <w:noWrap w:val="0"/>
                  <w:vAlign w:val="center"/>
                </w:tcPr>
                <w:p w14:paraId="6B2B18A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805" w:type="dxa"/>
                  <w:vMerge w:val="continue"/>
                  <w:noWrap w:val="0"/>
                  <w:vAlign w:val="center"/>
                </w:tcPr>
                <w:p w14:paraId="430E578B">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693" w:type="dxa"/>
                  <w:vMerge w:val="continue"/>
                  <w:noWrap w:val="0"/>
                  <w:vAlign w:val="center"/>
                </w:tcPr>
                <w:p w14:paraId="53212043">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479" w:type="dxa"/>
                  <w:noWrap w:val="0"/>
                  <w:vAlign w:val="center"/>
                </w:tcPr>
                <w:p w14:paraId="38E37A8C">
                  <w:pPr>
                    <w:adjustRightInd w:val="0"/>
                    <w:snapToGrid w:val="0"/>
                    <w:spacing w:line="240" w:lineRule="auto"/>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X</w:t>
                  </w:r>
                </w:p>
              </w:tc>
              <w:tc>
                <w:tcPr>
                  <w:tcW w:w="426" w:type="dxa"/>
                  <w:noWrap w:val="0"/>
                  <w:vAlign w:val="center"/>
                </w:tcPr>
                <w:p w14:paraId="0B44D23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Y</w:t>
                  </w:r>
                </w:p>
              </w:tc>
              <w:tc>
                <w:tcPr>
                  <w:tcW w:w="345" w:type="dxa"/>
                  <w:noWrap w:val="0"/>
                  <w:vAlign w:val="center"/>
                </w:tcPr>
                <w:p w14:paraId="6D1FB08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Z</w:t>
                  </w:r>
                </w:p>
              </w:tc>
              <w:tc>
                <w:tcPr>
                  <w:tcW w:w="496" w:type="dxa"/>
                  <w:vMerge w:val="continue"/>
                  <w:noWrap w:val="0"/>
                  <w:vAlign w:val="center"/>
                </w:tcPr>
                <w:p w14:paraId="03DEE1AE">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788" w:type="dxa"/>
                  <w:vMerge w:val="continue"/>
                  <w:noWrap w:val="0"/>
                  <w:vAlign w:val="center"/>
                </w:tcPr>
                <w:p w14:paraId="4DD825F3">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243" w:type="dxa"/>
                  <w:vMerge w:val="continue"/>
                  <w:noWrap w:val="0"/>
                  <w:vAlign w:val="center"/>
                </w:tcPr>
                <w:p w14:paraId="321EBCE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88" w:type="dxa"/>
                  <w:vMerge w:val="continue"/>
                  <w:noWrap w:val="0"/>
                  <w:vAlign w:val="center"/>
                </w:tcPr>
                <w:p w14:paraId="55E2255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88" w:type="dxa"/>
                  <w:noWrap w:val="0"/>
                  <w:vAlign w:val="center"/>
                </w:tcPr>
                <w:p w14:paraId="73E8DFA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声压级/dB（A）</w:t>
                  </w:r>
                </w:p>
              </w:tc>
              <w:tc>
                <w:tcPr>
                  <w:tcW w:w="481" w:type="dxa"/>
                  <w:noWrap w:val="0"/>
                  <w:vAlign w:val="center"/>
                </w:tcPr>
                <w:p w14:paraId="040F2EC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建筑物外距离</w:t>
                  </w:r>
                </w:p>
              </w:tc>
            </w:tr>
            <w:tr w14:paraId="7C12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433" w:type="dxa"/>
                  <w:noWrap w:val="0"/>
                  <w:vAlign w:val="center"/>
                </w:tcPr>
                <w:p w14:paraId="70CBD0FE">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537" w:type="dxa"/>
                  <w:noWrap w:val="0"/>
                  <w:vAlign w:val="center"/>
                </w:tcPr>
                <w:p w14:paraId="0BD8E17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搅拌机</w:t>
                  </w:r>
                </w:p>
              </w:tc>
              <w:tc>
                <w:tcPr>
                  <w:tcW w:w="805" w:type="dxa"/>
                  <w:noWrap w:val="0"/>
                  <w:vAlign w:val="center"/>
                </w:tcPr>
                <w:p w14:paraId="2252567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693" w:type="dxa"/>
                  <w:vMerge w:val="restart"/>
                  <w:noWrap w:val="0"/>
                  <w:vAlign w:val="center"/>
                </w:tcPr>
                <w:p w14:paraId="36BCEE74">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厂房、厂区建筑、绿化带等隔声；距离衰减</w:t>
                  </w:r>
                </w:p>
              </w:tc>
              <w:tc>
                <w:tcPr>
                  <w:tcW w:w="479" w:type="dxa"/>
                  <w:noWrap w:val="0"/>
                  <w:vAlign w:val="center"/>
                </w:tcPr>
                <w:p w14:paraId="6D46F9A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w:t>
                  </w:r>
                </w:p>
              </w:tc>
              <w:tc>
                <w:tcPr>
                  <w:tcW w:w="426" w:type="dxa"/>
                  <w:noWrap w:val="0"/>
                  <w:vAlign w:val="center"/>
                </w:tcPr>
                <w:p w14:paraId="0F24328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w:t>
                  </w:r>
                </w:p>
              </w:tc>
              <w:tc>
                <w:tcPr>
                  <w:tcW w:w="345" w:type="dxa"/>
                  <w:noWrap w:val="0"/>
                  <w:vAlign w:val="center"/>
                </w:tcPr>
                <w:p w14:paraId="49DBDAAD">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496" w:type="dxa"/>
                  <w:noWrap w:val="0"/>
                  <w:vAlign w:val="center"/>
                </w:tcPr>
                <w:p w14:paraId="753ABA05">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788" w:type="dxa"/>
                  <w:noWrap w:val="0"/>
                  <w:vAlign w:val="center"/>
                </w:tcPr>
                <w:p w14:paraId="26C10D74">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85</w:t>
                  </w:r>
                </w:p>
              </w:tc>
              <w:tc>
                <w:tcPr>
                  <w:tcW w:w="1243" w:type="dxa"/>
                  <w:vMerge w:val="restart"/>
                  <w:noWrap w:val="0"/>
                  <w:vAlign w:val="center"/>
                </w:tcPr>
                <w:p w14:paraId="54A421A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08:00-18:00</w:t>
                  </w:r>
                </w:p>
              </w:tc>
              <w:tc>
                <w:tcPr>
                  <w:tcW w:w="788" w:type="dxa"/>
                  <w:noWrap w:val="0"/>
                  <w:vAlign w:val="center"/>
                </w:tcPr>
                <w:p w14:paraId="0C52C0B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w:t>
                  </w:r>
                </w:p>
              </w:tc>
              <w:tc>
                <w:tcPr>
                  <w:tcW w:w="788" w:type="dxa"/>
                  <w:noWrap w:val="0"/>
                  <w:vAlign w:val="center"/>
                </w:tcPr>
                <w:p w14:paraId="31A179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w:t>
                  </w:r>
                </w:p>
              </w:tc>
              <w:tc>
                <w:tcPr>
                  <w:tcW w:w="481" w:type="dxa"/>
                  <w:noWrap w:val="0"/>
                  <w:vAlign w:val="center"/>
                </w:tcPr>
                <w:p w14:paraId="3E7F01F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r>
            <w:tr w14:paraId="4552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noWrap w:val="0"/>
                  <w:vAlign w:val="center"/>
                </w:tcPr>
                <w:p w14:paraId="50A5ECEE">
                  <w:pPr>
                    <w:adjustRightInd w:val="0"/>
                    <w:snapToGrid w:val="0"/>
                    <w:spacing w:line="240" w:lineRule="auto"/>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537" w:type="dxa"/>
                  <w:noWrap w:val="0"/>
                  <w:vAlign w:val="center"/>
                </w:tcPr>
                <w:p w14:paraId="60249FE5">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计量泵</w:t>
                  </w:r>
                </w:p>
              </w:tc>
              <w:tc>
                <w:tcPr>
                  <w:tcW w:w="805" w:type="dxa"/>
                  <w:noWrap w:val="0"/>
                  <w:vAlign w:val="center"/>
                </w:tcPr>
                <w:p w14:paraId="3EFE410F">
                  <w:pPr>
                    <w:adjustRightInd w:val="0"/>
                    <w:snapToGrid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70</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693" w:type="dxa"/>
                  <w:vMerge w:val="continue"/>
                  <w:noWrap w:val="0"/>
                  <w:vAlign w:val="center"/>
                </w:tcPr>
                <w:p w14:paraId="326C2CDB">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479" w:type="dxa"/>
                  <w:noWrap w:val="0"/>
                  <w:vAlign w:val="center"/>
                </w:tcPr>
                <w:p w14:paraId="05E57804">
                  <w:pPr>
                    <w:adjustRightInd w:val="0"/>
                    <w:snapToGrid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w:t>
                  </w:r>
                </w:p>
              </w:tc>
              <w:tc>
                <w:tcPr>
                  <w:tcW w:w="426" w:type="dxa"/>
                  <w:noWrap w:val="0"/>
                  <w:vAlign w:val="center"/>
                </w:tcPr>
                <w:p w14:paraId="290BFB8A">
                  <w:pPr>
                    <w:adjustRightInd w:val="0"/>
                    <w:snapToGrid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w:t>
                  </w:r>
                </w:p>
              </w:tc>
              <w:tc>
                <w:tcPr>
                  <w:tcW w:w="345" w:type="dxa"/>
                  <w:noWrap w:val="0"/>
                  <w:vAlign w:val="center"/>
                </w:tcPr>
                <w:p w14:paraId="105C4726">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496" w:type="dxa"/>
                  <w:noWrap w:val="0"/>
                  <w:vAlign w:val="center"/>
                </w:tcPr>
                <w:p w14:paraId="5CE5D969">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788" w:type="dxa"/>
                  <w:noWrap w:val="0"/>
                  <w:vAlign w:val="center"/>
                </w:tcPr>
                <w:p w14:paraId="3923CAE8">
                  <w:pPr>
                    <w:adjustRightInd w:val="0"/>
                    <w:snapToGrid w:val="0"/>
                    <w:spacing w:line="240" w:lineRule="auto"/>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70</w:t>
                  </w:r>
                </w:p>
              </w:tc>
              <w:tc>
                <w:tcPr>
                  <w:tcW w:w="1243" w:type="dxa"/>
                  <w:vMerge w:val="continue"/>
                  <w:noWrap w:val="0"/>
                  <w:vAlign w:val="center"/>
                </w:tcPr>
                <w:p w14:paraId="6C33D99C">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88" w:type="dxa"/>
                  <w:noWrap w:val="0"/>
                  <w:vAlign w:val="center"/>
                </w:tcPr>
                <w:p w14:paraId="01F3DBAE">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25</w:t>
                  </w:r>
                </w:p>
              </w:tc>
              <w:tc>
                <w:tcPr>
                  <w:tcW w:w="788" w:type="dxa"/>
                  <w:noWrap w:val="0"/>
                  <w:vAlign w:val="center"/>
                </w:tcPr>
                <w:p w14:paraId="76063D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50</w:t>
                  </w:r>
                </w:p>
              </w:tc>
              <w:tc>
                <w:tcPr>
                  <w:tcW w:w="481" w:type="dxa"/>
                  <w:noWrap w:val="0"/>
                  <w:vAlign w:val="center"/>
                </w:tcPr>
                <w:p w14:paraId="0D735C91">
                  <w:pPr>
                    <w:adjustRightInd w:val="0"/>
                    <w:snapToGrid w:val="0"/>
                    <w:spacing w:line="240" w:lineRule="auto"/>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r>
            <w:tr w14:paraId="39A0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noWrap w:val="0"/>
                  <w:vAlign w:val="center"/>
                </w:tcPr>
                <w:p w14:paraId="326A3D4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537" w:type="dxa"/>
                  <w:noWrap w:val="0"/>
                  <w:vAlign w:val="center"/>
                </w:tcPr>
                <w:p w14:paraId="7364457B">
                  <w:pPr>
                    <w:adjustRightInd w:val="0"/>
                    <w:snapToGrid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风机</w:t>
                  </w:r>
                </w:p>
              </w:tc>
              <w:tc>
                <w:tcPr>
                  <w:tcW w:w="805" w:type="dxa"/>
                  <w:noWrap w:val="0"/>
                  <w:vAlign w:val="center"/>
                </w:tcPr>
                <w:p w14:paraId="1C66543A">
                  <w:pPr>
                    <w:adjustRightInd w:val="0"/>
                    <w:snapToGrid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95/1</w:t>
                  </w:r>
                </w:p>
              </w:tc>
              <w:tc>
                <w:tcPr>
                  <w:tcW w:w="693" w:type="dxa"/>
                  <w:vMerge w:val="continue"/>
                  <w:noWrap w:val="0"/>
                  <w:vAlign w:val="center"/>
                </w:tcPr>
                <w:p w14:paraId="732FC900">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479" w:type="dxa"/>
                  <w:noWrap w:val="0"/>
                  <w:vAlign w:val="center"/>
                </w:tcPr>
                <w:p w14:paraId="5B36D589">
                  <w:pPr>
                    <w:adjustRightInd w:val="0"/>
                    <w:snapToGrid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w:t>
                  </w:r>
                </w:p>
              </w:tc>
              <w:tc>
                <w:tcPr>
                  <w:tcW w:w="426" w:type="dxa"/>
                  <w:noWrap w:val="0"/>
                  <w:vAlign w:val="center"/>
                </w:tcPr>
                <w:p w14:paraId="727A5B40">
                  <w:pPr>
                    <w:adjustRightInd w:val="0"/>
                    <w:snapToGrid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p>
              </w:tc>
              <w:tc>
                <w:tcPr>
                  <w:tcW w:w="345" w:type="dxa"/>
                  <w:noWrap w:val="0"/>
                  <w:vAlign w:val="center"/>
                </w:tcPr>
                <w:p w14:paraId="77D2205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496" w:type="dxa"/>
                  <w:noWrap w:val="0"/>
                  <w:vAlign w:val="center"/>
                </w:tcPr>
                <w:p w14:paraId="218212C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788" w:type="dxa"/>
                  <w:noWrap w:val="0"/>
                  <w:vAlign w:val="center"/>
                </w:tcPr>
                <w:p w14:paraId="0831E4CF">
                  <w:pPr>
                    <w:adjustRightInd w:val="0"/>
                    <w:snapToGrid w:val="0"/>
                    <w:spacing w:line="240" w:lineRule="auto"/>
                    <w:jc w:val="center"/>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95</w:t>
                  </w:r>
                </w:p>
              </w:tc>
              <w:tc>
                <w:tcPr>
                  <w:tcW w:w="1243" w:type="dxa"/>
                  <w:vMerge w:val="continue"/>
                  <w:noWrap w:val="0"/>
                  <w:vAlign w:val="center"/>
                </w:tcPr>
                <w:p w14:paraId="18F0B98D">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88" w:type="dxa"/>
                  <w:noWrap w:val="0"/>
                  <w:vAlign w:val="center"/>
                </w:tcPr>
                <w:p w14:paraId="1B494A3E">
                  <w:pPr>
                    <w:adjustRightInd w:val="0"/>
                    <w:snapToGrid w:val="0"/>
                    <w:spacing w:line="240" w:lineRule="auto"/>
                    <w:jc w:val="center"/>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25</w:t>
                  </w:r>
                </w:p>
              </w:tc>
              <w:tc>
                <w:tcPr>
                  <w:tcW w:w="788" w:type="dxa"/>
                  <w:noWrap w:val="0"/>
                  <w:vAlign w:val="center"/>
                </w:tcPr>
                <w:p w14:paraId="44BE6E47">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70</w:t>
                  </w:r>
                </w:p>
              </w:tc>
              <w:tc>
                <w:tcPr>
                  <w:tcW w:w="481" w:type="dxa"/>
                  <w:noWrap w:val="0"/>
                  <w:vAlign w:val="center"/>
                </w:tcPr>
                <w:p w14:paraId="3D4F23C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r>
          </w:tbl>
          <w:p w14:paraId="152E137D">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2.降噪治理措施</w:t>
            </w:r>
          </w:p>
          <w:p w14:paraId="29619F83">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期噪声主要是锅炉及其配套设备运行时产生的噪声，为减轻对周围声环境的影响，项目可从隔声</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降噪等方面考虑噪声的防治措施。具体可采取的治理措施如下： </w:t>
            </w:r>
          </w:p>
          <w:p w14:paraId="0654AE03">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（1）企业选购低噪音设备，设备安装过程中设备安放稳固，与地面保持良好接触，并且使用减振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基础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，使用减振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基础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是简单有效的减振方法； </w:t>
            </w:r>
          </w:p>
          <w:p w14:paraId="5E1A77D9">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（2）生产过程中，加强检查、维护和保养机械设备，保持润滑，紧固各部件，减少运行振动噪声； </w:t>
            </w:r>
          </w:p>
          <w:p w14:paraId="62660642">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（3）设备均安装在室内，充分利用建筑物和构筑物阻隔声波的传播； </w:t>
            </w:r>
          </w:p>
          <w:p w14:paraId="2871AB94">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（4）加强职工环保意识教育，提倡文明生产，防止人为噪声； </w:t>
            </w:r>
          </w:p>
          <w:p w14:paraId="5ED1FB51">
            <w:pPr>
              <w:keepNext/>
              <w:keepLines/>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（5）加强车辆管理，车辆进入厂区</w:t>
            </w:r>
            <w:r>
              <w:rPr>
                <w:rFonts w:hint="eastAsia" w:cs="Times New Roman"/>
                <w:color w:val="000000" w:themeColor="text1"/>
                <w:sz w:val="24"/>
                <w:szCs w:val="24"/>
                <w:lang w:val="en-US" w:eastAsia="zh-CN"/>
                <w14:textFill>
                  <w14:solidFill>
                    <w14:schemeClr w14:val="tx1"/>
                  </w14:solidFill>
                </w14:textFill>
              </w:rPr>
              <w:t>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尽量避免鸣笛。 </w:t>
            </w:r>
          </w:p>
          <w:p w14:paraId="3E355209">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3.预测模式</w:t>
            </w:r>
          </w:p>
          <w:p w14:paraId="32AD5E61">
            <w:pPr>
              <w:widowControl w:val="0"/>
              <w:spacing w:line="360" w:lineRule="auto"/>
              <w:ind w:leftChars="0"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1）条件概化</w:t>
            </w:r>
          </w:p>
          <w:p w14:paraId="0CE36E13">
            <w:pPr>
              <w:widowControl w:val="0"/>
              <w:spacing w:line="360" w:lineRule="auto"/>
              <w:ind w:leftChars="0"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①所有产噪设备均在正常工况条件下运行；</w:t>
            </w:r>
          </w:p>
          <w:p w14:paraId="5935BB9E">
            <w:pPr>
              <w:widowControl w:val="0"/>
              <w:spacing w:line="360" w:lineRule="auto"/>
              <w:ind w:leftChars="0"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②室内噪声源</w:t>
            </w:r>
            <w:r>
              <w:rPr>
                <w:rFonts w:hint="eastAsia" w:cs="Times New Roman"/>
                <w:color w:val="000000" w:themeColor="text1"/>
                <w:kern w:val="0"/>
                <w:sz w:val="24"/>
                <w:szCs w:val="24"/>
                <w:lang w:val="en-US" w:eastAsia="zh-CN" w:bidi="ar-SA"/>
                <w14:textFill>
                  <w14:solidFill>
                    <w14:schemeClr w14:val="tx1"/>
                  </w14:solidFill>
                </w14:textFill>
              </w:rPr>
              <w:t>应</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考虑声源所在厂房围护结构处的声屏障作用；</w:t>
            </w:r>
          </w:p>
          <w:p w14:paraId="3A1D387D">
            <w:pPr>
              <w:widowControl w:val="0"/>
              <w:spacing w:line="360" w:lineRule="auto"/>
              <w:ind w:leftChars="0"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③考虑声源至预测点的距离衰减，忽略传播中建筑物的阻挡、地面反射以及空气吸收、雨、雪、温度等影响。</w:t>
            </w:r>
          </w:p>
          <w:p w14:paraId="1E583DC5">
            <w:pPr>
              <w:widowControl w:val="0"/>
              <w:spacing w:line="360" w:lineRule="auto"/>
              <w:ind w:leftChars="0" w:firstLine="480" w:firstLineChars="200"/>
              <w:jc w:val="both"/>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2）室内声源噪声预测模式</w:t>
            </w:r>
          </w:p>
          <w:p w14:paraId="0020C0A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pacing w:val="0"/>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本项目仅考虑距离衰减值，忽略大气吸收、障碍物屏障等因素，从最为不利的情况出发，根据《环境影响评价技术导则声环境》</w:t>
            </w:r>
            <w:r>
              <w:rPr>
                <w:rFonts w:hint="eastAsia" w:cs="Times New Roman"/>
                <w:color w:val="000000" w:themeColor="text1"/>
                <w:spacing w:val="0"/>
                <w:positio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HJ</w:t>
            </w:r>
            <w:r>
              <w:rPr>
                <w:rFonts w:hint="eastAsia" w:cs="Times New Roman"/>
                <w:color w:val="000000" w:themeColor="text1"/>
                <w:spacing w:val="0"/>
                <w:position w:val="0"/>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2.4-2021</w:t>
            </w:r>
            <w:r>
              <w:rPr>
                <w:rFonts w:hint="eastAsia" w:cs="Times New Roman"/>
                <w:color w:val="000000" w:themeColor="text1"/>
                <w:spacing w:val="0"/>
                <w:positio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的要求，采用以下计算公式计算某一室内声源靠近围护结构处产生的倍频带声压级或A声级：</w:t>
            </w:r>
          </w:p>
          <w:p w14:paraId="637840F6">
            <w:pPr>
              <w:widowControl w:val="0"/>
              <w:spacing w:line="360" w:lineRule="auto"/>
              <w:ind w:left="0" w:leftChars="0" w:firstLine="0" w:firstLineChars="0"/>
              <w:jc w:val="cente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position w:val="0"/>
                <w:sz w:val="24"/>
                <w:szCs w:val="24"/>
                <w:lang w:val="en-US" w:eastAsia="zh-CN" w:bidi="ar"/>
                <w14:textFill>
                  <w14:solidFill>
                    <w14:schemeClr w14:val="tx1"/>
                  </w14:solidFill>
                </w14:textFill>
              </w:rPr>
              <w:t>L</w:t>
            </w:r>
            <w:r>
              <w:rPr>
                <w:rFonts w:hint="default" w:ascii="Times New Roman" w:hAnsi="Times New Roman" w:eastAsia="宋体" w:cs="Times New Roman"/>
                <w:i w:val="0"/>
                <w:iCs w:val="0"/>
                <w:color w:val="000000" w:themeColor="text1"/>
                <w:spacing w:val="0"/>
                <w:kern w:val="0"/>
                <w:position w:val="0"/>
                <w:sz w:val="24"/>
                <w:szCs w:val="24"/>
                <w:vertAlign w:val="subscript"/>
                <w:lang w:val="en-US" w:eastAsia="zh-CN" w:bidi="ar"/>
                <w14:textFill>
                  <w14:solidFill>
                    <w14:schemeClr w14:val="tx1"/>
                  </w14:solidFill>
                </w14:textFill>
              </w:rPr>
              <w:t>p1=</w:t>
            </w:r>
            <w:r>
              <w:rPr>
                <w:rFonts w:hint="default" w:ascii="Times New Roman" w:hAnsi="Times New Roman" w:eastAsia="宋体" w:cs="Times New Roman"/>
                <w:i w:val="0"/>
                <w:iCs w:val="0"/>
                <w:color w:val="000000" w:themeColor="text1"/>
                <w:spacing w:val="0"/>
                <w:kern w:val="0"/>
                <w:position w:val="0"/>
                <w:sz w:val="24"/>
                <w:szCs w:val="24"/>
                <w:lang w:val="en-US" w:eastAsia="zh-CN" w:bidi="ar"/>
                <w14:textFill>
                  <w14:solidFill>
                    <w14:schemeClr w14:val="tx1"/>
                  </w14:solidFill>
                </w14:textFill>
              </w:rPr>
              <w:t>L</w:t>
            </w:r>
            <w:r>
              <w:rPr>
                <w:rFonts w:hint="default" w:ascii="Times New Roman" w:hAnsi="Times New Roman" w:eastAsia="宋体" w:cs="Times New Roman"/>
                <w:i w:val="0"/>
                <w:iCs w:val="0"/>
                <w:color w:val="000000" w:themeColor="text1"/>
                <w:spacing w:val="0"/>
                <w:kern w:val="0"/>
                <w:position w:val="0"/>
                <w:sz w:val="24"/>
                <w:szCs w:val="24"/>
                <w:vertAlign w:val="subscript"/>
                <w:lang w:val="en-US" w:eastAsia="zh-CN" w:bidi="ar"/>
                <w14:textFill>
                  <w14:solidFill>
                    <w14:schemeClr w14:val="tx1"/>
                  </w14:solidFill>
                </w14:textFill>
              </w:rPr>
              <w:t>W</w:t>
            </w:r>
            <w:r>
              <w:rPr>
                <w:rFonts w:hint="default" w:ascii="Times New Roman" w:hAnsi="Times New Roman" w:eastAsia="宋体" w:cs="Times New Roman"/>
                <w:i w:val="0"/>
                <w:iCs w:val="0"/>
                <w:color w:val="000000" w:themeColor="text1"/>
                <w:spacing w:val="0"/>
                <w:kern w:val="0"/>
                <w:position w:val="0"/>
                <w:sz w:val="24"/>
                <w:szCs w:val="24"/>
                <w:vertAlign w:val="baseline"/>
                <w:lang w:val="en-US" w:eastAsia="zh-CN" w:bidi="ar"/>
                <w14:textFill>
                  <w14:solidFill>
                    <w14:schemeClr w14:val="tx1"/>
                  </w14:solidFill>
                </w14:textFill>
              </w:rPr>
              <w:t>+10lg（Q/4πr</w:t>
            </w:r>
            <w:r>
              <w:rPr>
                <w:rFonts w:hint="default" w:ascii="Times New Roman" w:hAnsi="Times New Roman" w:eastAsia="宋体" w:cs="Times New Roman"/>
                <w:i w:val="0"/>
                <w:iCs w:val="0"/>
                <w:color w:val="000000" w:themeColor="text1"/>
                <w:spacing w:val="0"/>
                <w:kern w:val="0"/>
                <w:positio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spacing w:val="0"/>
                <w:kern w:val="0"/>
                <w:position w:val="0"/>
                <w:sz w:val="24"/>
                <w:szCs w:val="24"/>
                <w:vertAlign w:val="baseline"/>
                <w:lang w:val="en-US" w:eastAsia="zh-CN" w:bidi="ar"/>
                <w14:textFill>
                  <w14:solidFill>
                    <w14:schemeClr w14:val="tx1"/>
                  </w14:solidFill>
                </w14:textFill>
              </w:rPr>
              <w:t>+4/R）</w:t>
            </w:r>
          </w:p>
          <w:p w14:paraId="28A59C9F">
            <w:pPr>
              <w:widowControl w:val="0"/>
              <w:spacing w:line="360" w:lineRule="auto"/>
              <w:ind w:leftChars="0" w:firstLine="480" w:firstLineChars="2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式中：L</w:t>
            </w:r>
            <w:r>
              <w:rPr>
                <w:rFonts w:hint="default" w:ascii="Times New Roman" w:hAnsi="Times New Roman" w:eastAsia="宋体" w:cs="Times New Roman"/>
                <w:color w:val="000000" w:themeColor="text1"/>
                <w:spacing w:val="0"/>
                <w:kern w:val="0"/>
                <w:position w:val="0"/>
                <w:sz w:val="24"/>
                <w:szCs w:val="24"/>
                <w:vertAlign w:val="subscript"/>
                <w:lang w:val="en-US" w:eastAsia="zh-CN" w:bidi="ar-SA"/>
                <w14:textFill>
                  <w14:solidFill>
                    <w14:schemeClr w14:val="tx1"/>
                  </w14:solidFill>
                </w14:textFill>
              </w:rPr>
              <w:t>p1</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—靠近开口处（或窗户）室内某倍频带的声压级或A声级</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dB；</w:t>
            </w:r>
          </w:p>
          <w:p w14:paraId="0B8BFD73">
            <w:pPr>
              <w:widowControl w:val="0"/>
              <w:spacing w:line="360" w:lineRule="auto"/>
              <w:ind w:leftChars="0" w:firstLine="1200" w:firstLineChars="5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0"/>
                <w:kern w:val="0"/>
                <w:position w:val="0"/>
                <w:sz w:val="24"/>
                <w:szCs w:val="24"/>
                <w:lang w:val="en-US" w:eastAsia="zh-CN" w:bidi="ar"/>
                <w14:textFill>
                  <w14:solidFill>
                    <w14:schemeClr w14:val="tx1"/>
                  </w14:solidFill>
                </w14:textFill>
              </w:rPr>
              <w:t>L</w:t>
            </w:r>
            <w:r>
              <w:rPr>
                <w:rFonts w:hint="default" w:ascii="Times New Roman" w:hAnsi="Times New Roman" w:eastAsia="宋体" w:cs="Times New Roman"/>
                <w:i/>
                <w:iCs/>
                <w:color w:val="000000" w:themeColor="text1"/>
                <w:spacing w:val="0"/>
                <w:kern w:val="0"/>
                <w:position w:val="0"/>
                <w:sz w:val="24"/>
                <w:szCs w:val="24"/>
                <w:vertAlign w:val="subscript"/>
                <w:lang w:val="en-US" w:eastAsia="zh-CN" w:bidi="ar"/>
                <w14:textFill>
                  <w14:solidFill>
                    <w14:schemeClr w14:val="tx1"/>
                  </w14:solidFill>
                </w14:textFill>
              </w:rPr>
              <w:t>W</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—点声源声功率级</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A计权或倍频带</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dB；</w:t>
            </w:r>
          </w:p>
          <w:p w14:paraId="2426DC80">
            <w:pPr>
              <w:widowControl w:val="0"/>
              <w:spacing w:line="360" w:lineRule="auto"/>
              <w:ind w:leftChars="0" w:firstLine="1200" w:firstLineChars="5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Q—指向性因子；通常对无指向性声源，当声源放在房间中心时，Q=1；</w:t>
            </w:r>
          </w:p>
          <w:p w14:paraId="0FAFE039">
            <w:pPr>
              <w:widowControl w:val="0"/>
              <w:spacing w:line="360" w:lineRule="auto"/>
              <w:ind w:leftChars="0" w:firstLine="1200" w:firstLineChars="5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R—房间常数；R=Sα/</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1-α</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，S为房间内表面面积</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spacing w:val="0"/>
                <w:kern w:val="0"/>
                <w:position w:val="0"/>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；α为平均吸声系数，参照《噪声控制与建筑声学设备和材料选用手册》</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化学工业出版社</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，本评价取0.01；</w:t>
            </w:r>
          </w:p>
          <w:p w14:paraId="1441BE00">
            <w:pPr>
              <w:widowControl w:val="0"/>
              <w:spacing w:line="360" w:lineRule="auto"/>
              <w:ind w:leftChars="0" w:firstLine="1200" w:firstLineChars="5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r—声源到靠近围护结构某点处的距离</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m。</w:t>
            </w:r>
          </w:p>
          <w:p w14:paraId="530B060A">
            <w:pPr>
              <w:widowControl w:val="0"/>
              <w:spacing w:line="360" w:lineRule="auto"/>
              <w:ind w:left="0" w:leftChars="0" w:firstLine="480" w:firstLineChars="2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3）总等效声级</w:t>
            </w:r>
          </w:p>
          <w:p w14:paraId="5D656BA7">
            <w:pPr>
              <w:widowControl w:val="0"/>
              <w:spacing w:line="360" w:lineRule="auto"/>
              <w:ind w:left="0" w:leftChars="0" w:firstLine="480" w:firstLineChars="2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根据上式计算出所有室内声源在围护结构处产生的i倍频带叠加声压级：</w:t>
            </w:r>
          </w:p>
          <w:p w14:paraId="492DEA2F">
            <w:pPr>
              <w:widowControl w:val="0"/>
              <w:spacing w:line="360" w:lineRule="auto"/>
              <w:ind w:left="0" w:leftChars="0" w:firstLine="0" w:firstLineChars="0"/>
              <w:jc w:val="cente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drawing>
                <wp:inline distT="0" distB="0" distL="114300" distR="114300">
                  <wp:extent cx="1518920" cy="481330"/>
                  <wp:effectExtent l="0" t="0" r="5080" b="139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9"/>
                          <a:stretch>
                            <a:fillRect/>
                          </a:stretch>
                        </pic:blipFill>
                        <pic:spPr>
                          <a:xfrm>
                            <a:off x="0" y="0"/>
                            <a:ext cx="1518920" cy="481330"/>
                          </a:xfrm>
                          <a:prstGeom prst="rect">
                            <a:avLst/>
                          </a:prstGeom>
                          <a:noFill/>
                          <a:ln>
                            <a:noFill/>
                          </a:ln>
                        </pic:spPr>
                      </pic:pic>
                    </a:graphicData>
                  </a:graphic>
                </wp:inline>
              </w:drawing>
            </w:r>
          </w:p>
          <w:p w14:paraId="0617C86B">
            <w:pPr>
              <w:widowControl w:val="0"/>
              <w:spacing w:line="360" w:lineRule="auto"/>
              <w:ind w:left="0" w:leftChars="0" w:firstLine="480" w:firstLineChars="2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式中：</w:t>
            </w:r>
            <w:r>
              <w:rPr>
                <w:rFonts w:hint="default" w:ascii="Times New Roman" w:hAnsi="Times New Roman" w:eastAsia="宋体" w:cs="Times New Roman"/>
                <w:i/>
                <w:iCs/>
                <w:color w:val="000000" w:themeColor="text1"/>
                <w:spacing w:val="0"/>
                <w:kern w:val="2"/>
                <w:position w:val="0"/>
                <w:sz w:val="24"/>
                <w:szCs w:val="24"/>
                <w:lang w:val="en-US" w:eastAsia="zh-CN" w:bidi="ar-SA"/>
                <w14:textFill>
                  <w14:solidFill>
                    <w14:schemeClr w14:val="tx1"/>
                  </w14:solidFill>
                </w14:textFill>
              </w:rPr>
              <w:t>Lpli</w:t>
            </w:r>
            <w:r>
              <w:rPr>
                <w:rFonts w:hint="eastAsia" w:cs="Times New Roman"/>
                <w:color w:val="000000" w:themeColor="text1"/>
                <w:spacing w:val="0"/>
                <w:kern w:val="2"/>
                <w:positio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T</w:t>
            </w:r>
            <w:r>
              <w:rPr>
                <w:rFonts w:hint="eastAsia" w:cs="Times New Roman"/>
                <w:color w:val="000000" w:themeColor="text1"/>
                <w:spacing w:val="0"/>
                <w:kern w:val="2"/>
                <w:positio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—靠近围护结构处室内N个声源i倍频带的叠加声压级</w:t>
            </w:r>
            <w:r>
              <w:rPr>
                <w:rFonts w:hint="eastAsia" w:cs="Times New Roman"/>
                <w:color w:val="000000" w:themeColor="text1"/>
                <w:spacing w:val="0"/>
                <w:kern w:val="2"/>
                <w:positio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dB</w:t>
            </w: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w:t>
            </w:r>
          </w:p>
          <w:p w14:paraId="452005B1">
            <w:pPr>
              <w:widowControl w:val="0"/>
              <w:spacing w:line="360" w:lineRule="auto"/>
              <w:ind w:leftChars="0" w:firstLine="1200" w:firstLineChars="5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i/>
                <w:iCs/>
                <w:color w:val="000000" w:themeColor="text1"/>
                <w:spacing w:val="0"/>
                <w:kern w:val="2"/>
                <w:position w:val="0"/>
                <w:sz w:val="24"/>
                <w:szCs w:val="24"/>
                <w:lang w:val="en-US" w:eastAsia="zh-CN" w:bidi="ar-SA"/>
                <w14:textFill>
                  <w14:solidFill>
                    <w14:schemeClr w14:val="tx1"/>
                  </w14:solidFill>
                </w14:textFill>
              </w:rPr>
              <w:t>Lpij</w:t>
            </w:r>
            <w:r>
              <w:rPr>
                <w:rFonts w:hint="default"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—室内j声源i倍频带的声压级</w:t>
            </w:r>
            <w:r>
              <w:rPr>
                <w:rFonts w:hint="eastAsia" w:cs="Times New Roman"/>
                <w:color w:val="000000" w:themeColor="text1"/>
                <w:spacing w:val="0"/>
                <w:kern w:val="2"/>
                <w:positio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dB；</w:t>
            </w:r>
          </w:p>
          <w:p w14:paraId="3D231CAC">
            <w:pPr>
              <w:widowControl w:val="0"/>
              <w:spacing w:line="360" w:lineRule="auto"/>
              <w:ind w:left="899" w:leftChars="428" w:firstLine="240" w:firstLineChars="100"/>
              <w:jc w:val="both"/>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N—室内声源总数。</w:t>
            </w:r>
          </w:p>
          <w:p w14:paraId="70A33D45">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预测结果及达标性分析</w:t>
            </w:r>
          </w:p>
          <w:p w14:paraId="2AC76DE6">
            <w:pPr>
              <w:adjustRightInd w:val="0"/>
              <w:snapToGrid w:val="0"/>
              <w:spacing w:line="360" w:lineRule="auto"/>
              <w:ind w:firstLine="480" w:firstLineChars="200"/>
              <w:jc w:val="left"/>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预测结果见下表。</w:t>
            </w:r>
          </w:p>
          <w:p w14:paraId="15F7A75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表4-7  项目主要噪声源产生及治理情况</w:t>
            </w:r>
          </w:p>
          <w:tbl>
            <w:tblPr>
              <w:tblStyle w:val="3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49"/>
              <w:gridCol w:w="774"/>
              <w:gridCol w:w="112"/>
              <w:gridCol w:w="732"/>
              <w:gridCol w:w="1233"/>
              <w:gridCol w:w="656"/>
              <w:gridCol w:w="751"/>
              <w:gridCol w:w="803"/>
              <w:gridCol w:w="722"/>
              <w:gridCol w:w="1206"/>
              <w:gridCol w:w="1114"/>
            </w:tblGrid>
            <w:tr w14:paraId="14300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07" w:type="pct"/>
                  <w:vMerge w:val="restart"/>
                  <w:tcBorders>
                    <w:tl2br w:val="nil"/>
                    <w:tr2bl w:val="nil"/>
                  </w:tcBorders>
                  <w:noWrap w:val="0"/>
                  <w:vAlign w:val="center"/>
                </w:tcPr>
                <w:p w14:paraId="2C6F3C5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458" w:type="pct"/>
                  <w:vMerge w:val="restart"/>
                  <w:tcBorders>
                    <w:tl2br w:val="nil"/>
                    <w:tr2bl w:val="nil"/>
                  </w:tcBorders>
                  <w:noWrap w:val="0"/>
                  <w:vAlign w:val="center"/>
                </w:tcPr>
                <w:p w14:paraId="4DF9BE4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设备</w:t>
                  </w:r>
                </w:p>
              </w:tc>
              <w:tc>
                <w:tcPr>
                  <w:tcW w:w="499" w:type="pct"/>
                  <w:gridSpan w:val="2"/>
                  <w:vMerge w:val="restart"/>
                  <w:tcBorders>
                    <w:tl2br w:val="nil"/>
                    <w:tr2bl w:val="nil"/>
                  </w:tcBorders>
                  <w:noWrap w:val="0"/>
                  <w:vAlign w:val="center"/>
                </w:tcPr>
                <w:p w14:paraId="616E2A2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降噪后</w:t>
                  </w:r>
                </w:p>
                <w:p w14:paraId="508A897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源强</w:t>
                  </w:r>
                </w:p>
              </w:tc>
              <w:tc>
                <w:tcPr>
                  <w:tcW w:w="2462" w:type="pct"/>
                  <w:gridSpan w:val="5"/>
                  <w:tcBorders>
                    <w:tl2br w:val="nil"/>
                    <w:tr2bl w:val="nil"/>
                  </w:tcBorders>
                  <w:noWrap w:val="0"/>
                  <w:vAlign w:val="center"/>
                </w:tcPr>
                <w:p w14:paraId="5C45BB5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距离各厂界</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及敏感点</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的距离（m）</w:t>
                  </w:r>
                </w:p>
                <w:p w14:paraId="4BA9E60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及贡献值dB（A）</w:t>
                  </w:r>
                </w:p>
              </w:tc>
              <w:tc>
                <w:tcPr>
                  <w:tcW w:w="1372" w:type="pct"/>
                  <w:gridSpan w:val="2"/>
                  <w:tcBorders>
                    <w:right w:val="single" w:color="000000" w:sz="12" w:space="0"/>
                    <w:tl2br w:val="nil"/>
                    <w:tr2bl w:val="nil"/>
                  </w:tcBorders>
                  <w:noWrap w:val="0"/>
                  <w:vAlign w:val="center"/>
                </w:tcPr>
                <w:p w14:paraId="29D3690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敏感点</w:t>
                  </w:r>
                </w:p>
              </w:tc>
            </w:tr>
            <w:tr w14:paraId="4A781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7" w:type="pct"/>
                  <w:vMerge w:val="continue"/>
                  <w:tcBorders>
                    <w:tl2br w:val="nil"/>
                    <w:tr2bl w:val="nil"/>
                  </w:tcBorders>
                  <w:noWrap w:val="0"/>
                  <w:vAlign w:val="center"/>
                </w:tcPr>
                <w:p w14:paraId="3CBBF1B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58" w:type="pct"/>
                  <w:vMerge w:val="continue"/>
                  <w:tcBorders>
                    <w:tl2br w:val="nil"/>
                    <w:tr2bl w:val="nil"/>
                  </w:tcBorders>
                  <w:noWrap w:val="0"/>
                  <w:vAlign w:val="center"/>
                </w:tcPr>
                <w:p w14:paraId="5949AFA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99" w:type="pct"/>
                  <w:gridSpan w:val="2"/>
                  <w:vMerge w:val="continue"/>
                  <w:tcBorders>
                    <w:tl2br w:val="nil"/>
                    <w:tr2bl w:val="nil"/>
                  </w:tcBorders>
                  <w:noWrap w:val="0"/>
                  <w:vAlign w:val="center"/>
                </w:tcPr>
                <w:p w14:paraId="2E99702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728" w:type="pct"/>
                  <w:tcBorders>
                    <w:tl2br w:val="nil"/>
                    <w:tr2bl w:val="nil"/>
                  </w:tcBorders>
                  <w:noWrap w:val="0"/>
                  <w:vAlign w:val="center"/>
                </w:tcPr>
                <w:p w14:paraId="2E3958D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方位</w:t>
                  </w:r>
                </w:p>
              </w:tc>
              <w:tc>
                <w:tcPr>
                  <w:tcW w:w="388" w:type="pct"/>
                  <w:tcBorders>
                    <w:tl2br w:val="nil"/>
                    <w:tr2bl w:val="nil"/>
                  </w:tcBorders>
                  <w:noWrap w:val="0"/>
                  <w:vAlign w:val="center"/>
                </w:tcPr>
                <w:p w14:paraId="0C7DF51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东</w:t>
                  </w:r>
                </w:p>
              </w:tc>
              <w:tc>
                <w:tcPr>
                  <w:tcW w:w="444" w:type="pct"/>
                  <w:tcBorders>
                    <w:tl2br w:val="nil"/>
                    <w:tr2bl w:val="nil"/>
                  </w:tcBorders>
                  <w:noWrap w:val="0"/>
                  <w:vAlign w:val="center"/>
                </w:tcPr>
                <w:p w14:paraId="3D0FF0F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sz w:val="21"/>
                      <w:szCs w:val="21"/>
                      <w:highlight w:val="none"/>
                      <w14:textFill>
                        <w14:solidFill>
                          <w14:schemeClr w14:val="tx1"/>
                        </w14:solidFill>
                      </w14:textFill>
                    </w:rPr>
                    <w:t>南</w:t>
                  </w:r>
                </w:p>
              </w:tc>
              <w:tc>
                <w:tcPr>
                  <w:tcW w:w="475" w:type="pct"/>
                  <w:tcBorders>
                    <w:tl2br w:val="nil"/>
                    <w:tr2bl w:val="nil"/>
                  </w:tcBorders>
                  <w:noWrap w:val="0"/>
                  <w:vAlign w:val="center"/>
                </w:tcPr>
                <w:p w14:paraId="021BE83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西</w:t>
                  </w:r>
                </w:p>
              </w:tc>
              <w:tc>
                <w:tcPr>
                  <w:tcW w:w="426" w:type="pct"/>
                  <w:tcBorders>
                    <w:tl2br w:val="nil"/>
                    <w:tr2bl w:val="nil"/>
                  </w:tcBorders>
                  <w:noWrap w:val="0"/>
                  <w:vAlign w:val="center"/>
                </w:tcPr>
                <w:p w14:paraId="3292948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北</w:t>
                  </w:r>
                </w:p>
              </w:tc>
              <w:tc>
                <w:tcPr>
                  <w:tcW w:w="713" w:type="pct"/>
                  <w:tcBorders>
                    <w:tl2br w:val="nil"/>
                    <w:tr2bl w:val="nil"/>
                  </w:tcBorders>
                  <w:noWrap w:val="0"/>
                  <w:vAlign w:val="center"/>
                </w:tcPr>
                <w:p w14:paraId="703C9FA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小海子村东</w:t>
                  </w:r>
                </w:p>
              </w:tc>
              <w:tc>
                <w:tcPr>
                  <w:tcW w:w="659" w:type="pct"/>
                  <w:tcBorders>
                    <w:tl2br w:val="nil"/>
                    <w:tr2bl w:val="nil"/>
                  </w:tcBorders>
                  <w:noWrap w:val="0"/>
                  <w:vAlign w:val="center"/>
                </w:tcPr>
                <w:p w14:paraId="722ABA0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小海子村南</w:t>
                  </w:r>
                </w:p>
              </w:tc>
            </w:tr>
            <w:tr w14:paraId="3DF36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07" w:type="pct"/>
                  <w:vMerge w:val="restart"/>
                  <w:tcBorders>
                    <w:tl2br w:val="nil"/>
                    <w:tr2bl w:val="nil"/>
                  </w:tcBorders>
                  <w:noWrap w:val="0"/>
                  <w:vAlign w:val="center"/>
                </w:tcPr>
                <w:p w14:paraId="4FDE952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58" w:type="pct"/>
                  <w:vMerge w:val="restart"/>
                  <w:tcBorders>
                    <w:tl2br w:val="nil"/>
                    <w:tr2bl w:val="nil"/>
                  </w:tcBorders>
                  <w:noWrap w:val="0"/>
                  <w:vAlign w:val="center"/>
                </w:tcPr>
                <w:p w14:paraId="786F947E">
                  <w:pPr>
                    <w:pageBreakBefore w:val="0"/>
                    <w:kinsoku/>
                    <w:wordWrap/>
                    <w:overflowPunct w:val="0"/>
                    <w:topLinePunct w:val="0"/>
                    <w:bidi w:val="0"/>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搅拌机</w:t>
                  </w:r>
                </w:p>
              </w:tc>
              <w:tc>
                <w:tcPr>
                  <w:tcW w:w="499" w:type="pct"/>
                  <w:gridSpan w:val="2"/>
                  <w:vMerge w:val="restart"/>
                  <w:tcBorders>
                    <w:tl2br w:val="nil"/>
                    <w:tr2bl w:val="nil"/>
                  </w:tcBorders>
                  <w:noWrap w:val="0"/>
                  <w:vAlign w:val="center"/>
                </w:tcPr>
                <w:p w14:paraId="0FF6CB29">
                  <w:pPr>
                    <w:pageBreakBefore w:val="0"/>
                    <w:kinsoku/>
                    <w:wordWrap/>
                    <w:overflowPunct w:val="0"/>
                    <w:topLinePunct w:val="0"/>
                    <w:bidi w:val="0"/>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728" w:type="pct"/>
                  <w:tcBorders>
                    <w:tl2br w:val="nil"/>
                    <w:tr2bl w:val="nil"/>
                  </w:tcBorders>
                  <w:noWrap w:val="0"/>
                  <w:vAlign w:val="center"/>
                </w:tcPr>
                <w:p w14:paraId="7F79F13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距离</w:t>
                  </w:r>
                </w:p>
              </w:tc>
              <w:tc>
                <w:tcPr>
                  <w:tcW w:w="388" w:type="pct"/>
                  <w:tcBorders>
                    <w:tl2br w:val="nil"/>
                    <w:tr2bl w:val="nil"/>
                  </w:tcBorders>
                  <w:noWrap w:val="0"/>
                  <w:vAlign w:val="center"/>
                </w:tcPr>
                <w:p w14:paraId="488DCB2D">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79</w:t>
                  </w:r>
                </w:p>
              </w:tc>
              <w:tc>
                <w:tcPr>
                  <w:tcW w:w="444" w:type="pct"/>
                  <w:tcBorders>
                    <w:tl2br w:val="nil"/>
                    <w:tr2bl w:val="nil"/>
                  </w:tcBorders>
                  <w:noWrap w:val="0"/>
                  <w:vAlign w:val="center"/>
                </w:tcPr>
                <w:p w14:paraId="211AF1C4">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72</w:t>
                  </w:r>
                </w:p>
              </w:tc>
              <w:tc>
                <w:tcPr>
                  <w:tcW w:w="475" w:type="pct"/>
                  <w:tcBorders>
                    <w:tl2br w:val="nil"/>
                    <w:tr2bl w:val="nil"/>
                  </w:tcBorders>
                  <w:noWrap w:val="0"/>
                  <w:vAlign w:val="center"/>
                </w:tcPr>
                <w:p w14:paraId="52C4FD03">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426" w:type="pct"/>
                  <w:tcBorders>
                    <w:tl2br w:val="nil"/>
                    <w:tr2bl w:val="nil"/>
                  </w:tcBorders>
                  <w:noWrap w:val="0"/>
                  <w:vAlign w:val="center"/>
                </w:tcPr>
                <w:p w14:paraId="6791CB5A">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28</w:t>
                  </w:r>
                </w:p>
              </w:tc>
              <w:tc>
                <w:tcPr>
                  <w:tcW w:w="713" w:type="pct"/>
                  <w:tcBorders>
                    <w:tl2br w:val="nil"/>
                    <w:tr2bl w:val="nil"/>
                  </w:tcBorders>
                  <w:noWrap w:val="0"/>
                  <w:vAlign w:val="center"/>
                </w:tcPr>
                <w:p w14:paraId="560F9BB2">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121</w:t>
                  </w:r>
                </w:p>
              </w:tc>
              <w:tc>
                <w:tcPr>
                  <w:tcW w:w="659" w:type="pct"/>
                  <w:tcBorders>
                    <w:tl2br w:val="nil"/>
                    <w:tr2bl w:val="nil"/>
                  </w:tcBorders>
                  <w:noWrap w:val="0"/>
                  <w:vAlign w:val="center"/>
                </w:tcPr>
                <w:p w14:paraId="2CBDCC83">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97</w:t>
                  </w:r>
                </w:p>
              </w:tc>
            </w:tr>
            <w:tr w14:paraId="579708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7" w:type="pct"/>
                  <w:vMerge w:val="continue"/>
                  <w:tcBorders>
                    <w:tl2br w:val="nil"/>
                    <w:tr2bl w:val="nil"/>
                  </w:tcBorders>
                  <w:noWrap w:val="0"/>
                  <w:vAlign w:val="center"/>
                </w:tcPr>
                <w:p w14:paraId="246B437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vMerge w:val="continue"/>
                  <w:tcBorders>
                    <w:tl2br w:val="nil"/>
                    <w:tr2bl w:val="nil"/>
                  </w:tcBorders>
                  <w:noWrap w:val="0"/>
                  <w:vAlign w:val="center"/>
                </w:tcPr>
                <w:p w14:paraId="3BD7B3B8">
                  <w:pPr>
                    <w:pageBreakBefore w:val="0"/>
                    <w:kinsoku/>
                    <w:wordWrap/>
                    <w:overflowPunct w:val="0"/>
                    <w:topLinePunct w:val="0"/>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99" w:type="pct"/>
                  <w:gridSpan w:val="2"/>
                  <w:vMerge w:val="continue"/>
                  <w:tcBorders>
                    <w:tl2br w:val="nil"/>
                    <w:tr2bl w:val="nil"/>
                  </w:tcBorders>
                  <w:noWrap w:val="0"/>
                  <w:vAlign w:val="center"/>
                </w:tcPr>
                <w:p w14:paraId="71AF3B3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28" w:type="pct"/>
                  <w:tcBorders>
                    <w:tl2br w:val="nil"/>
                    <w:tr2bl w:val="nil"/>
                  </w:tcBorders>
                  <w:noWrap w:val="0"/>
                  <w:vAlign w:val="center"/>
                </w:tcPr>
                <w:p w14:paraId="7818A1C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贡献值</w:t>
                  </w:r>
                </w:p>
              </w:tc>
              <w:tc>
                <w:tcPr>
                  <w:tcW w:w="388" w:type="pct"/>
                  <w:tcBorders>
                    <w:tl2br w:val="nil"/>
                    <w:tr2bl w:val="nil"/>
                  </w:tcBorders>
                  <w:noWrap w:val="0"/>
                  <w:vAlign w:val="center"/>
                </w:tcPr>
                <w:p w14:paraId="25F384B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444" w:type="pct"/>
                  <w:tcBorders>
                    <w:tl2br w:val="nil"/>
                    <w:tr2bl w:val="nil"/>
                  </w:tcBorders>
                  <w:noWrap w:val="0"/>
                  <w:vAlign w:val="center"/>
                </w:tcPr>
                <w:p w14:paraId="33BBB7A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475" w:type="pct"/>
                  <w:tcBorders>
                    <w:tl2br w:val="nil"/>
                    <w:tr2bl w:val="nil"/>
                  </w:tcBorders>
                  <w:noWrap w:val="0"/>
                  <w:vAlign w:val="center"/>
                </w:tcPr>
                <w:p w14:paraId="25F4183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426" w:type="pct"/>
                  <w:tcBorders>
                    <w:tl2br w:val="nil"/>
                    <w:tr2bl w:val="nil"/>
                  </w:tcBorders>
                  <w:noWrap w:val="0"/>
                  <w:vAlign w:val="center"/>
                </w:tcPr>
                <w:p w14:paraId="59F19B5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w:t>
                  </w:r>
                </w:p>
              </w:tc>
              <w:tc>
                <w:tcPr>
                  <w:tcW w:w="713" w:type="pct"/>
                  <w:tcBorders>
                    <w:tl2br w:val="nil"/>
                    <w:tr2bl w:val="nil"/>
                  </w:tcBorders>
                  <w:noWrap w:val="0"/>
                  <w:vAlign w:val="center"/>
                </w:tcPr>
                <w:p w14:paraId="5B53B74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659" w:type="pct"/>
                  <w:tcBorders>
                    <w:tl2br w:val="nil"/>
                    <w:tr2bl w:val="nil"/>
                  </w:tcBorders>
                  <w:noWrap w:val="0"/>
                  <w:vAlign w:val="center"/>
                </w:tcPr>
                <w:p w14:paraId="00352A3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r>
            <w:tr w14:paraId="72230E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7" w:type="pct"/>
                  <w:vMerge w:val="restart"/>
                  <w:tcBorders>
                    <w:tl2br w:val="nil"/>
                    <w:tr2bl w:val="nil"/>
                  </w:tcBorders>
                  <w:noWrap w:val="0"/>
                  <w:vAlign w:val="center"/>
                </w:tcPr>
                <w:p w14:paraId="112B5BB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458" w:type="pct"/>
                  <w:vMerge w:val="restart"/>
                  <w:tcBorders>
                    <w:tl2br w:val="nil"/>
                    <w:tr2bl w:val="nil"/>
                  </w:tcBorders>
                  <w:noWrap w:val="0"/>
                  <w:vAlign w:val="center"/>
                </w:tcPr>
                <w:p w14:paraId="11E393F6">
                  <w:pPr>
                    <w:pageBreakBefore w:val="0"/>
                    <w:kinsoku/>
                    <w:wordWrap/>
                    <w:overflowPunct w:val="0"/>
                    <w:topLinePunct w:val="0"/>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计量泵</w:t>
                  </w:r>
                </w:p>
              </w:tc>
              <w:tc>
                <w:tcPr>
                  <w:tcW w:w="499" w:type="pct"/>
                  <w:gridSpan w:val="2"/>
                  <w:vMerge w:val="restart"/>
                  <w:tcBorders>
                    <w:tl2br w:val="nil"/>
                    <w:tr2bl w:val="nil"/>
                  </w:tcBorders>
                  <w:noWrap w:val="0"/>
                  <w:vAlign w:val="center"/>
                </w:tcPr>
                <w:p w14:paraId="2C9C4FEE">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50</w:t>
                  </w:r>
                </w:p>
              </w:tc>
              <w:tc>
                <w:tcPr>
                  <w:tcW w:w="728" w:type="pct"/>
                  <w:tcBorders>
                    <w:tl2br w:val="nil"/>
                    <w:tr2bl w:val="nil"/>
                  </w:tcBorders>
                  <w:noWrap w:val="0"/>
                  <w:vAlign w:val="center"/>
                </w:tcPr>
                <w:p w14:paraId="4FE821F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距离</w:t>
                  </w:r>
                </w:p>
              </w:tc>
              <w:tc>
                <w:tcPr>
                  <w:tcW w:w="388" w:type="pct"/>
                  <w:tcBorders>
                    <w:tl2br w:val="nil"/>
                    <w:tr2bl w:val="nil"/>
                  </w:tcBorders>
                  <w:noWrap w:val="0"/>
                  <w:vAlign w:val="center"/>
                </w:tcPr>
                <w:p w14:paraId="2435BA95">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79</w:t>
                  </w:r>
                </w:p>
              </w:tc>
              <w:tc>
                <w:tcPr>
                  <w:tcW w:w="444" w:type="pct"/>
                  <w:tcBorders>
                    <w:tl2br w:val="nil"/>
                    <w:tr2bl w:val="nil"/>
                  </w:tcBorders>
                  <w:noWrap w:val="0"/>
                  <w:vAlign w:val="center"/>
                </w:tcPr>
                <w:p w14:paraId="01273921">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72</w:t>
                  </w:r>
                </w:p>
              </w:tc>
              <w:tc>
                <w:tcPr>
                  <w:tcW w:w="475" w:type="pct"/>
                  <w:tcBorders>
                    <w:tl2br w:val="nil"/>
                    <w:tr2bl w:val="nil"/>
                  </w:tcBorders>
                  <w:noWrap w:val="0"/>
                  <w:vAlign w:val="center"/>
                </w:tcPr>
                <w:p w14:paraId="1285EF96">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426" w:type="pct"/>
                  <w:tcBorders>
                    <w:tl2br w:val="nil"/>
                    <w:tr2bl w:val="nil"/>
                  </w:tcBorders>
                  <w:noWrap w:val="0"/>
                  <w:vAlign w:val="center"/>
                </w:tcPr>
                <w:p w14:paraId="2965DF23">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28</w:t>
                  </w:r>
                </w:p>
              </w:tc>
              <w:tc>
                <w:tcPr>
                  <w:tcW w:w="713" w:type="pct"/>
                  <w:tcBorders>
                    <w:tl2br w:val="nil"/>
                    <w:tr2bl w:val="nil"/>
                  </w:tcBorders>
                  <w:noWrap w:val="0"/>
                  <w:vAlign w:val="center"/>
                </w:tcPr>
                <w:p w14:paraId="3C723D23">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121</w:t>
                  </w:r>
                </w:p>
              </w:tc>
              <w:tc>
                <w:tcPr>
                  <w:tcW w:w="659" w:type="pct"/>
                  <w:tcBorders>
                    <w:tl2br w:val="nil"/>
                    <w:tr2bl w:val="nil"/>
                  </w:tcBorders>
                  <w:noWrap w:val="0"/>
                  <w:vAlign w:val="center"/>
                </w:tcPr>
                <w:p w14:paraId="2BE20CD2">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97</w:t>
                  </w:r>
                </w:p>
              </w:tc>
            </w:tr>
            <w:tr w14:paraId="10ED4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7" w:type="pct"/>
                  <w:vMerge w:val="continue"/>
                  <w:tcBorders>
                    <w:tl2br w:val="nil"/>
                    <w:tr2bl w:val="nil"/>
                  </w:tcBorders>
                  <w:noWrap w:val="0"/>
                  <w:vAlign w:val="center"/>
                </w:tcPr>
                <w:p w14:paraId="64E277D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vMerge w:val="continue"/>
                  <w:tcBorders>
                    <w:tl2br w:val="nil"/>
                    <w:tr2bl w:val="nil"/>
                  </w:tcBorders>
                  <w:noWrap w:val="0"/>
                  <w:vAlign w:val="center"/>
                </w:tcPr>
                <w:p w14:paraId="1AD46760">
                  <w:pPr>
                    <w:pageBreakBefore w:val="0"/>
                    <w:kinsoku/>
                    <w:wordWrap/>
                    <w:overflowPunct w:val="0"/>
                    <w:topLinePunct w:val="0"/>
                    <w:bidi w:val="0"/>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99" w:type="pct"/>
                  <w:gridSpan w:val="2"/>
                  <w:vMerge w:val="continue"/>
                  <w:tcBorders>
                    <w:tl2br w:val="nil"/>
                    <w:tr2bl w:val="nil"/>
                  </w:tcBorders>
                  <w:noWrap w:val="0"/>
                  <w:vAlign w:val="center"/>
                </w:tcPr>
                <w:p w14:paraId="3BE1853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28" w:type="pct"/>
                  <w:tcBorders>
                    <w:tl2br w:val="nil"/>
                    <w:tr2bl w:val="nil"/>
                  </w:tcBorders>
                  <w:noWrap w:val="0"/>
                  <w:vAlign w:val="center"/>
                </w:tcPr>
                <w:p w14:paraId="6B16E62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贡献值</w:t>
                  </w:r>
                </w:p>
              </w:tc>
              <w:tc>
                <w:tcPr>
                  <w:tcW w:w="388" w:type="pct"/>
                  <w:tcBorders>
                    <w:tl2br w:val="nil"/>
                    <w:tr2bl w:val="nil"/>
                  </w:tcBorders>
                  <w:noWrap w:val="0"/>
                  <w:vAlign w:val="center"/>
                </w:tcPr>
                <w:p w14:paraId="1AEC556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w:t>
                  </w:r>
                </w:p>
              </w:tc>
              <w:tc>
                <w:tcPr>
                  <w:tcW w:w="444" w:type="pct"/>
                  <w:tcBorders>
                    <w:tl2br w:val="nil"/>
                    <w:tr2bl w:val="nil"/>
                  </w:tcBorders>
                  <w:noWrap w:val="0"/>
                  <w:vAlign w:val="center"/>
                </w:tcPr>
                <w:p w14:paraId="3E6A4DC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13</w:t>
                  </w:r>
                </w:p>
              </w:tc>
              <w:tc>
                <w:tcPr>
                  <w:tcW w:w="475" w:type="pct"/>
                  <w:tcBorders>
                    <w:tl2br w:val="nil"/>
                    <w:tr2bl w:val="nil"/>
                  </w:tcBorders>
                  <w:noWrap w:val="0"/>
                  <w:vAlign w:val="center"/>
                </w:tcPr>
                <w:p w14:paraId="3B2FA2A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w:t>
                  </w:r>
                </w:p>
              </w:tc>
              <w:tc>
                <w:tcPr>
                  <w:tcW w:w="426" w:type="pct"/>
                  <w:tcBorders>
                    <w:tl2br w:val="nil"/>
                    <w:tr2bl w:val="nil"/>
                  </w:tcBorders>
                  <w:noWrap w:val="0"/>
                  <w:vAlign w:val="center"/>
                </w:tcPr>
                <w:p w14:paraId="38667EE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21</w:t>
                  </w:r>
                </w:p>
              </w:tc>
              <w:tc>
                <w:tcPr>
                  <w:tcW w:w="713" w:type="pct"/>
                  <w:tcBorders>
                    <w:tl2br w:val="nil"/>
                    <w:tr2bl w:val="nil"/>
                  </w:tcBorders>
                  <w:noWrap w:val="0"/>
                  <w:vAlign w:val="center"/>
                </w:tcPr>
                <w:p w14:paraId="1B7E604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659" w:type="pct"/>
                  <w:tcBorders>
                    <w:tl2br w:val="nil"/>
                    <w:tr2bl w:val="nil"/>
                  </w:tcBorders>
                  <w:noWrap w:val="0"/>
                  <w:vAlign w:val="center"/>
                </w:tcPr>
                <w:p w14:paraId="265D40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w:t>
                  </w:r>
                </w:p>
              </w:tc>
            </w:tr>
            <w:tr w14:paraId="6AC0E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7" w:type="pct"/>
                  <w:vMerge w:val="restart"/>
                  <w:tcBorders>
                    <w:tl2br w:val="nil"/>
                    <w:tr2bl w:val="nil"/>
                  </w:tcBorders>
                  <w:noWrap w:val="0"/>
                  <w:vAlign w:val="center"/>
                </w:tcPr>
                <w:p w14:paraId="6DB5F1E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458" w:type="pct"/>
                  <w:vMerge w:val="restart"/>
                  <w:tcBorders>
                    <w:tl2br w:val="nil"/>
                    <w:tr2bl w:val="nil"/>
                  </w:tcBorders>
                  <w:noWrap w:val="0"/>
                  <w:vAlign w:val="center"/>
                </w:tcPr>
                <w:p w14:paraId="0BE1AA38">
                  <w:pPr>
                    <w:pageBreakBefore w:val="0"/>
                    <w:kinsoku/>
                    <w:wordWrap/>
                    <w:overflowPunct w:val="0"/>
                    <w:topLinePunct w:val="0"/>
                    <w:bidi w:val="0"/>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风机</w:t>
                  </w:r>
                </w:p>
              </w:tc>
              <w:tc>
                <w:tcPr>
                  <w:tcW w:w="499" w:type="pct"/>
                  <w:gridSpan w:val="2"/>
                  <w:vMerge w:val="restart"/>
                  <w:tcBorders>
                    <w:tl2br w:val="nil"/>
                    <w:tr2bl w:val="nil"/>
                  </w:tcBorders>
                  <w:noWrap w:val="0"/>
                  <w:vAlign w:val="center"/>
                </w:tcPr>
                <w:p w14:paraId="4D61EE00">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70</w:t>
                  </w:r>
                </w:p>
              </w:tc>
              <w:tc>
                <w:tcPr>
                  <w:tcW w:w="728" w:type="pct"/>
                  <w:tcBorders>
                    <w:tl2br w:val="nil"/>
                    <w:tr2bl w:val="nil"/>
                  </w:tcBorders>
                  <w:shd w:val="clear" w:color="auto" w:fill="auto"/>
                  <w:noWrap w:val="0"/>
                  <w:vAlign w:val="center"/>
                </w:tcPr>
                <w:p w14:paraId="73E1D90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距离</w:t>
                  </w:r>
                </w:p>
              </w:tc>
              <w:tc>
                <w:tcPr>
                  <w:tcW w:w="388" w:type="pct"/>
                  <w:tcBorders>
                    <w:tl2br w:val="nil"/>
                    <w:tr2bl w:val="nil"/>
                  </w:tcBorders>
                  <w:noWrap w:val="0"/>
                  <w:vAlign w:val="center"/>
                </w:tcPr>
                <w:p w14:paraId="0DD8396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78</w:t>
                  </w:r>
                </w:p>
              </w:tc>
              <w:tc>
                <w:tcPr>
                  <w:tcW w:w="444" w:type="pct"/>
                  <w:tcBorders>
                    <w:tl2br w:val="nil"/>
                    <w:tr2bl w:val="nil"/>
                  </w:tcBorders>
                  <w:noWrap w:val="0"/>
                  <w:vAlign w:val="center"/>
                </w:tcPr>
                <w:p w14:paraId="1EA4B8B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475" w:type="pct"/>
                  <w:tcBorders>
                    <w:tl2br w:val="nil"/>
                    <w:tr2bl w:val="nil"/>
                  </w:tcBorders>
                  <w:noWrap w:val="0"/>
                  <w:vAlign w:val="center"/>
                </w:tcPr>
                <w:p w14:paraId="4BCC57A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w:t>
                  </w:r>
                </w:p>
              </w:tc>
              <w:tc>
                <w:tcPr>
                  <w:tcW w:w="426" w:type="pct"/>
                  <w:tcBorders>
                    <w:tl2br w:val="nil"/>
                    <w:tr2bl w:val="nil"/>
                  </w:tcBorders>
                  <w:noWrap w:val="0"/>
                  <w:vAlign w:val="center"/>
                </w:tcPr>
                <w:p w14:paraId="70AEBEC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27</w:t>
                  </w:r>
                </w:p>
              </w:tc>
              <w:tc>
                <w:tcPr>
                  <w:tcW w:w="713" w:type="pct"/>
                  <w:tcBorders>
                    <w:tl2br w:val="nil"/>
                    <w:tr2bl w:val="nil"/>
                  </w:tcBorders>
                  <w:noWrap w:val="0"/>
                  <w:vAlign w:val="center"/>
                </w:tcPr>
                <w:p w14:paraId="2E2AF55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125</w:t>
                  </w:r>
                </w:p>
              </w:tc>
              <w:tc>
                <w:tcPr>
                  <w:tcW w:w="659" w:type="pct"/>
                  <w:tcBorders>
                    <w:tl2br w:val="nil"/>
                    <w:tr2bl w:val="nil"/>
                  </w:tcBorders>
                  <w:noWrap w:val="0"/>
                  <w:vAlign w:val="center"/>
                </w:tcPr>
                <w:p w14:paraId="6DAF5B9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93</w:t>
                  </w:r>
                </w:p>
              </w:tc>
            </w:tr>
            <w:tr w14:paraId="6F0CE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07" w:type="pct"/>
                  <w:vMerge w:val="continue"/>
                  <w:tcBorders>
                    <w:tl2br w:val="nil"/>
                    <w:tr2bl w:val="nil"/>
                  </w:tcBorders>
                  <w:noWrap w:val="0"/>
                  <w:vAlign w:val="center"/>
                </w:tcPr>
                <w:p w14:paraId="3215E4B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vMerge w:val="continue"/>
                  <w:tcBorders>
                    <w:tl2br w:val="nil"/>
                    <w:tr2bl w:val="nil"/>
                  </w:tcBorders>
                  <w:noWrap w:val="0"/>
                  <w:vAlign w:val="center"/>
                </w:tcPr>
                <w:p w14:paraId="342313C3">
                  <w:pPr>
                    <w:pageBreakBefore w:val="0"/>
                    <w:kinsoku/>
                    <w:wordWrap/>
                    <w:overflowPunct w:val="0"/>
                    <w:topLinePunct w:val="0"/>
                    <w:bidi w:val="0"/>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499" w:type="pct"/>
                  <w:gridSpan w:val="2"/>
                  <w:vMerge w:val="continue"/>
                  <w:tcBorders>
                    <w:tl2br w:val="nil"/>
                    <w:tr2bl w:val="nil"/>
                  </w:tcBorders>
                  <w:noWrap w:val="0"/>
                  <w:vAlign w:val="center"/>
                </w:tcPr>
                <w:p w14:paraId="252AEAC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28" w:type="pct"/>
                  <w:tcBorders>
                    <w:tl2br w:val="nil"/>
                    <w:tr2bl w:val="nil"/>
                  </w:tcBorders>
                  <w:shd w:val="clear" w:color="auto" w:fill="auto"/>
                  <w:noWrap w:val="0"/>
                  <w:vAlign w:val="center"/>
                </w:tcPr>
                <w:p w14:paraId="23D440F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贡献值</w:t>
                  </w:r>
                </w:p>
              </w:tc>
              <w:tc>
                <w:tcPr>
                  <w:tcW w:w="388" w:type="pct"/>
                  <w:tcBorders>
                    <w:tl2br w:val="nil"/>
                    <w:tr2bl w:val="nil"/>
                  </w:tcBorders>
                  <w:noWrap w:val="0"/>
                  <w:vAlign w:val="center"/>
                </w:tcPr>
                <w:p w14:paraId="7A64E9D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32</w:t>
                  </w:r>
                </w:p>
              </w:tc>
              <w:tc>
                <w:tcPr>
                  <w:tcW w:w="444" w:type="pct"/>
                  <w:tcBorders>
                    <w:tl2br w:val="nil"/>
                    <w:tr2bl w:val="nil"/>
                  </w:tcBorders>
                  <w:noWrap w:val="0"/>
                  <w:vAlign w:val="center"/>
                </w:tcPr>
                <w:p w14:paraId="0B177F9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33</w:t>
                  </w:r>
                </w:p>
              </w:tc>
              <w:tc>
                <w:tcPr>
                  <w:tcW w:w="475" w:type="pct"/>
                  <w:tcBorders>
                    <w:tl2br w:val="nil"/>
                    <w:tr2bl w:val="nil"/>
                  </w:tcBorders>
                  <w:noWrap w:val="0"/>
                  <w:vAlign w:val="center"/>
                </w:tcPr>
                <w:p w14:paraId="113A2BC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48</w:t>
                  </w:r>
                </w:p>
              </w:tc>
              <w:tc>
                <w:tcPr>
                  <w:tcW w:w="426" w:type="pct"/>
                  <w:tcBorders>
                    <w:tl2br w:val="nil"/>
                    <w:tr2bl w:val="nil"/>
                  </w:tcBorders>
                  <w:noWrap w:val="0"/>
                  <w:vAlign w:val="center"/>
                </w:tcPr>
                <w:p w14:paraId="4592095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w:t>
                  </w:r>
                </w:p>
              </w:tc>
              <w:tc>
                <w:tcPr>
                  <w:tcW w:w="713" w:type="pct"/>
                  <w:tcBorders>
                    <w:tl2br w:val="nil"/>
                    <w:tr2bl w:val="nil"/>
                  </w:tcBorders>
                  <w:noWrap w:val="0"/>
                  <w:vAlign w:val="center"/>
                </w:tcPr>
                <w:p w14:paraId="4842F4C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w:t>
                  </w:r>
                </w:p>
              </w:tc>
              <w:tc>
                <w:tcPr>
                  <w:tcW w:w="659" w:type="pct"/>
                  <w:tcBorders>
                    <w:tl2br w:val="nil"/>
                    <w:tr2bl w:val="nil"/>
                  </w:tcBorders>
                  <w:noWrap w:val="0"/>
                  <w:vAlign w:val="center"/>
                </w:tcPr>
                <w:p w14:paraId="0B9C40A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31</w:t>
                  </w:r>
                </w:p>
              </w:tc>
            </w:tr>
            <w:tr w14:paraId="5F3E2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93" w:type="pct"/>
                  <w:gridSpan w:val="5"/>
                  <w:tcBorders>
                    <w:tl2br w:val="nil"/>
                    <w:tr2bl w:val="nil"/>
                  </w:tcBorders>
                  <w:noWrap w:val="0"/>
                  <w:vAlign w:val="center"/>
                </w:tcPr>
                <w:p w14:paraId="7D4F268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贡献值</w:t>
                  </w:r>
                </w:p>
              </w:tc>
              <w:tc>
                <w:tcPr>
                  <w:tcW w:w="388" w:type="pct"/>
                  <w:tcBorders>
                    <w:tl2br w:val="nil"/>
                    <w:tr2bl w:val="nil"/>
                  </w:tcBorders>
                  <w:noWrap w:val="0"/>
                  <w:vAlign w:val="center"/>
                </w:tcPr>
                <w:p w14:paraId="3C6C42A1">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33</w:t>
                  </w:r>
                </w:p>
              </w:tc>
              <w:tc>
                <w:tcPr>
                  <w:tcW w:w="444" w:type="pct"/>
                  <w:tcBorders>
                    <w:tl2br w:val="nil"/>
                    <w:tr2bl w:val="nil"/>
                  </w:tcBorders>
                  <w:noWrap w:val="0"/>
                  <w:vAlign w:val="center"/>
                </w:tcPr>
                <w:p w14:paraId="10C5A8F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w:t>
                  </w:r>
                </w:p>
              </w:tc>
              <w:tc>
                <w:tcPr>
                  <w:tcW w:w="475" w:type="pct"/>
                  <w:tcBorders>
                    <w:tl2br w:val="nil"/>
                    <w:tr2bl w:val="nil"/>
                  </w:tcBorders>
                  <w:noWrap w:val="0"/>
                  <w:vAlign w:val="center"/>
                </w:tcPr>
                <w:p w14:paraId="1136AFC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49</w:t>
                  </w:r>
                </w:p>
              </w:tc>
              <w:tc>
                <w:tcPr>
                  <w:tcW w:w="426" w:type="pct"/>
                  <w:tcBorders>
                    <w:tl2br w:val="nil"/>
                    <w:tr2bl w:val="nil"/>
                  </w:tcBorders>
                  <w:noWrap w:val="0"/>
                  <w:vAlign w:val="center"/>
                </w:tcPr>
                <w:p w14:paraId="3732A27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713" w:type="pct"/>
                  <w:tcBorders>
                    <w:tl2br w:val="nil"/>
                    <w:tr2bl w:val="nil"/>
                  </w:tcBorders>
                  <w:noWrap w:val="0"/>
                  <w:vAlign w:val="center"/>
                </w:tcPr>
                <w:p w14:paraId="71D99B0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659" w:type="pct"/>
                  <w:tcBorders>
                    <w:tl2br w:val="nil"/>
                    <w:tr2bl w:val="nil"/>
                  </w:tcBorders>
                  <w:noWrap w:val="0"/>
                  <w:vAlign w:val="center"/>
                </w:tcPr>
                <w:p w14:paraId="56BD8C1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w:t>
                  </w:r>
                </w:p>
              </w:tc>
            </w:tr>
            <w:tr w14:paraId="79D209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93" w:type="pct"/>
                  <w:gridSpan w:val="5"/>
                  <w:tcBorders>
                    <w:tl2br w:val="nil"/>
                    <w:tr2bl w:val="nil"/>
                  </w:tcBorders>
                  <w:noWrap w:val="0"/>
                  <w:vAlign w:val="center"/>
                </w:tcPr>
                <w:p w14:paraId="5772779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原有项目贡献值</w:t>
                  </w:r>
                </w:p>
              </w:tc>
              <w:tc>
                <w:tcPr>
                  <w:tcW w:w="388" w:type="pct"/>
                  <w:tcBorders>
                    <w:tl2br w:val="nil"/>
                    <w:tr2bl w:val="nil"/>
                  </w:tcBorders>
                  <w:noWrap w:val="0"/>
                  <w:vAlign w:val="center"/>
                </w:tcPr>
                <w:p w14:paraId="60FA0F5B">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57</w:t>
                  </w:r>
                </w:p>
              </w:tc>
              <w:tc>
                <w:tcPr>
                  <w:tcW w:w="444" w:type="pct"/>
                  <w:tcBorders>
                    <w:tl2br w:val="nil"/>
                    <w:tr2bl w:val="nil"/>
                  </w:tcBorders>
                  <w:noWrap w:val="0"/>
                  <w:vAlign w:val="center"/>
                </w:tcPr>
                <w:p w14:paraId="7FFA52A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475" w:type="pct"/>
                  <w:tcBorders>
                    <w:tl2br w:val="nil"/>
                    <w:tr2bl w:val="nil"/>
                  </w:tcBorders>
                  <w:noWrap w:val="0"/>
                  <w:vAlign w:val="center"/>
                </w:tcPr>
                <w:p w14:paraId="4C4D211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426" w:type="pct"/>
                  <w:tcBorders>
                    <w:tl2br w:val="nil"/>
                    <w:tr2bl w:val="nil"/>
                  </w:tcBorders>
                  <w:noWrap w:val="0"/>
                  <w:vAlign w:val="center"/>
                </w:tcPr>
                <w:p w14:paraId="2C3438B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713" w:type="pct"/>
                  <w:tcBorders>
                    <w:tl2br w:val="nil"/>
                    <w:tr2bl w:val="nil"/>
                  </w:tcBorders>
                  <w:noWrap w:val="0"/>
                  <w:vAlign w:val="center"/>
                </w:tcPr>
                <w:p w14:paraId="6AF95B1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659" w:type="pct"/>
                  <w:tcBorders>
                    <w:tl2br w:val="nil"/>
                    <w:tr2bl w:val="nil"/>
                  </w:tcBorders>
                  <w:noWrap w:val="0"/>
                  <w:vAlign w:val="center"/>
                </w:tcPr>
                <w:p w14:paraId="77837ED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r>
            <w:tr w14:paraId="50B52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93" w:type="pct"/>
                  <w:gridSpan w:val="5"/>
                  <w:tcBorders>
                    <w:tl2br w:val="nil"/>
                    <w:tr2bl w:val="nil"/>
                  </w:tcBorders>
                  <w:noWrap w:val="0"/>
                  <w:vAlign w:val="center"/>
                </w:tcPr>
                <w:p w14:paraId="485915A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总贡献值</w:t>
                  </w:r>
                </w:p>
              </w:tc>
              <w:tc>
                <w:tcPr>
                  <w:tcW w:w="388" w:type="pct"/>
                  <w:tcBorders>
                    <w:tl2br w:val="nil"/>
                    <w:tr2bl w:val="nil"/>
                  </w:tcBorders>
                  <w:noWrap w:val="0"/>
                  <w:vAlign w:val="center"/>
                </w:tcPr>
                <w:p w14:paraId="0A6CC55E">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57</w:t>
                  </w:r>
                </w:p>
              </w:tc>
              <w:tc>
                <w:tcPr>
                  <w:tcW w:w="444" w:type="pct"/>
                  <w:tcBorders>
                    <w:tl2br w:val="nil"/>
                    <w:tr2bl w:val="nil"/>
                  </w:tcBorders>
                  <w:noWrap w:val="0"/>
                  <w:vAlign w:val="center"/>
                </w:tcPr>
                <w:p w14:paraId="207A4D0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475" w:type="pct"/>
                  <w:tcBorders>
                    <w:tl2br w:val="nil"/>
                    <w:tr2bl w:val="nil"/>
                  </w:tcBorders>
                  <w:noWrap w:val="0"/>
                  <w:vAlign w:val="center"/>
                </w:tcPr>
                <w:p w14:paraId="726C33B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59</w:t>
                  </w:r>
                </w:p>
              </w:tc>
              <w:tc>
                <w:tcPr>
                  <w:tcW w:w="426" w:type="pct"/>
                  <w:tcBorders>
                    <w:tl2br w:val="nil"/>
                    <w:tr2bl w:val="nil"/>
                  </w:tcBorders>
                  <w:noWrap w:val="0"/>
                  <w:vAlign w:val="center"/>
                </w:tcPr>
                <w:p w14:paraId="5FFA924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713" w:type="pct"/>
                  <w:tcBorders>
                    <w:tl2br w:val="nil"/>
                    <w:tr2bl w:val="nil"/>
                  </w:tcBorders>
                  <w:noWrap w:val="0"/>
                  <w:vAlign w:val="center"/>
                </w:tcPr>
                <w:p w14:paraId="3E742BF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59" w:type="pct"/>
                  <w:tcBorders>
                    <w:tl2br w:val="nil"/>
                    <w:tr2bl w:val="nil"/>
                  </w:tcBorders>
                  <w:noWrap w:val="0"/>
                  <w:vAlign w:val="center"/>
                </w:tcPr>
                <w:p w14:paraId="4311891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A4F2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93" w:type="pct"/>
                  <w:gridSpan w:val="5"/>
                  <w:tcBorders>
                    <w:tl2br w:val="nil"/>
                    <w:tr2bl w:val="nil"/>
                  </w:tcBorders>
                  <w:noWrap w:val="0"/>
                  <w:vAlign w:val="center"/>
                </w:tcPr>
                <w:p w14:paraId="2008DF3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背景值</w:t>
                  </w:r>
                </w:p>
              </w:tc>
              <w:tc>
                <w:tcPr>
                  <w:tcW w:w="388" w:type="pct"/>
                  <w:tcBorders>
                    <w:tl2br w:val="nil"/>
                    <w:tr2bl w:val="nil"/>
                  </w:tcBorders>
                  <w:noWrap w:val="0"/>
                  <w:vAlign w:val="center"/>
                </w:tcPr>
                <w:p w14:paraId="1D16ED5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44" w:type="pct"/>
                  <w:tcBorders>
                    <w:tl2br w:val="nil"/>
                    <w:tr2bl w:val="nil"/>
                  </w:tcBorders>
                  <w:noWrap w:val="0"/>
                  <w:vAlign w:val="center"/>
                </w:tcPr>
                <w:p w14:paraId="2E731C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75" w:type="pct"/>
                  <w:tcBorders>
                    <w:tl2br w:val="nil"/>
                    <w:tr2bl w:val="nil"/>
                  </w:tcBorders>
                  <w:noWrap w:val="0"/>
                  <w:vAlign w:val="center"/>
                </w:tcPr>
                <w:p w14:paraId="7134FEE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6" w:type="pct"/>
                  <w:tcBorders>
                    <w:tl2br w:val="nil"/>
                    <w:tr2bl w:val="nil"/>
                  </w:tcBorders>
                  <w:noWrap w:val="0"/>
                  <w:vAlign w:val="center"/>
                </w:tcPr>
                <w:p w14:paraId="1C0B46A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13" w:type="pct"/>
                  <w:tcBorders>
                    <w:tl2br w:val="nil"/>
                    <w:tr2bl w:val="nil"/>
                  </w:tcBorders>
                  <w:noWrap w:val="0"/>
                  <w:vAlign w:val="center"/>
                </w:tcPr>
                <w:p w14:paraId="7BF92B0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49</w:t>
                  </w:r>
                </w:p>
              </w:tc>
              <w:tc>
                <w:tcPr>
                  <w:tcW w:w="659" w:type="pct"/>
                  <w:tcBorders>
                    <w:tl2br w:val="nil"/>
                    <w:tr2bl w:val="nil"/>
                  </w:tcBorders>
                  <w:noWrap w:val="0"/>
                  <w:vAlign w:val="center"/>
                </w:tcPr>
                <w:p w14:paraId="432264D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47</w:t>
                  </w:r>
                </w:p>
              </w:tc>
            </w:tr>
            <w:tr w14:paraId="330CE1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93" w:type="pct"/>
                  <w:gridSpan w:val="5"/>
                  <w:tcBorders>
                    <w:tl2br w:val="nil"/>
                    <w:tr2bl w:val="nil"/>
                  </w:tcBorders>
                  <w:noWrap w:val="0"/>
                  <w:vAlign w:val="center"/>
                </w:tcPr>
                <w:p w14:paraId="17E274A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预测值</w:t>
                  </w:r>
                </w:p>
              </w:tc>
              <w:tc>
                <w:tcPr>
                  <w:tcW w:w="388" w:type="pct"/>
                  <w:tcBorders>
                    <w:tl2br w:val="nil"/>
                    <w:tr2bl w:val="nil"/>
                  </w:tcBorders>
                  <w:noWrap w:val="0"/>
                  <w:vAlign w:val="center"/>
                </w:tcPr>
                <w:p w14:paraId="5F35422F">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44" w:type="pct"/>
                  <w:tcBorders>
                    <w:tl2br w:val="nil"/>
                    <w:tr2bl w:val="nil"/>
                  </w:tcBorders>
                  <w:noWrap w:val="0"/>
                  <w:vAlign w:val="center"/>
                </w:tcPr>
                <w:p w14:paraId="5D48ECB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75" w:type="pct"/>
                  <w:tcBorders>
                    <w:tl2br w:val="nil"/>
                    <w:tr2bl w:val="nil"/>
                  </w:tcBorders>
                  <w:noWrap w:val="0"/>
                  <w:vAlign w:val="center"/>
                </w:tcPr>
                <w:p w14:paraId="6F6F0D8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6" w:type="pct"/>
                  <w:tcBorders>
                    <w:tl2br w:val="nil"/>
                    <w:tr2bl w:val="nil"/>
                  </w:tcBorders>
                  <w:noWrap w:val="0"/>
                  <w:vAlign w:val="center"/>
                </w:tcPr>
                <w:p w14:paraId="348AED9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13" w:type="pct"/>
                  <w:tcBorders>
                    <w:tl2br w:val="nil"/>
                    <w:tr2bl w:val="nil"/>
                  </w:tcBorders>
                  <w:noWrap w:val="0"/>
                  <w:vAlign w:val="center"/>
                </w:tcPr>
                <w:p w14:paraId="56D5878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659" w:type="pct"/>
                  <w:tcBorders>
                    <w:tl2br w:val="nil"/>
                    <w:tr2bl w:val="nil"/>
                  </w:tcBorders>
                  <w:noWrap w:val="0"/>
                  <w:vAlign w:val="center"/>
                </w:tcPr>
                <w:p w14:paraId="545C7E7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w:t>
                  </w:r>
                </w:p>
              </w:tc>
            </w:tr>
            <w:tr w14:paraId="34D45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31" w:type="pct"/>
                  <w:gridSpan w:val="3"/>
                  <w:tcBorders>
                    <w:tl2br w:val="nil"/>
                    <w:tr2bl w:val="nil"/>
                  </w:tcBorders>
                  <w:noWrap w:val="0"/>
                  <w:vAlign w:val="center"/>
                </w:tcPr>
                <w:p w14:paraId="0BF917C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标准限值</w:t>
                  </w:r>
                </w:p>
              </w:tc>
              <w:tc>
                <w:tcPr>
                  <w:tcW w:w="1161" w:type="pct"/>
                  <w:gridSpan w:val="2"/>
                  <w:tcBorders>
                    <w:tl2br w:val="nil"/>
                    <w:tr2bl w:val="nil"/>
                  </w:tcBorders>
                  <w:noWrap w:val="0"/>
                  <w:vAlign w:val="center"/>
                </w:tcPr>
                <w:p w14:paraId="2BD137C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388" w:type="pct"/>
                  <w:tcBorders>
                    <w:tl2br w:val="nil"/>
                    <w:tr2bl w:val="nil"/>
                  </w:tcBorders>
                  <w:noWrap w:val="0"/>
                  <w:vAlign w:val="center"/>
                </w:tcPr>
                <w:p w14:paraId="05E8EC30">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w:t>
                  </w:r>
                </w:p>
              </w:tc>
              <w:tc>
                <w:tcPr>
                  <w:tcW w:w="444" w:type="pct"/>
                  <w:tcBorders>
                    <w:tl2br w:val="nil"/>
                    <w:tr2bl w:val="nil"/>
                  </w:tcBorders>
                  <w:noWrap w:val="0"/>
                  <w:vAlign w:val="center"/>
                </w:tcPr>
                <w:p w14:paraId="66F1449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w:t>
                  </w:r>
                </w:p>
              </w:tc>
              <w:tc>
                <w:tcPr>
                  <w:tcW w:w="475" w:type="pct"/>
                  <w:tcBorders>
                    <w:tl2br w:val="nil"/>
                    <w:tr2bl w:val="nil"/>
                  </w:tcBorders>
                  <w:noWrap w:val="0"/>
                  <w:vAlign w:val="center"/>
                </w:tcPr>
                <w:p w14:paraId="53B138E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w:t>
                  </w:r>
                </w:p>
              </w:tc>
              <w:tc>
                <w:tcPr>
                  <w:tcW w:w="426" w:type="pct"/>
                  <w:tcBorders>
                    <w:tl2br w:val="nil"/>
                    <w:tr2bl w:val="nil"/>
                  </w:tcBorders>
                  <w:noWrap w:val="0"/>
                  <w:vAlign w:val="center"/>
                </w:tcPr>
                <w:p w14:paraId="368A674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w:t>
                  </w:r>
                </w:p>
              </w:tc>
              <w:tc>
                <w:tcPr>
                  <w:tcW w:w="713" w:type="pct"/>
                  <w:tcBorders>
                    <w:tl2br w:val="nil"/>
                    <w:tr2bl w:val="nil"/>
                  </w:tcBorders>
                  <w:noWrap w:val="0"/>
                  <w:vAlign w:val="center"/>
                </w:tcPr>
                <w:p w14:paraId="3F824AFE">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w:t>
                  </w:r>
                </w:p>
              </w:tc>
              <w:tc>
                <w:tcPr>
                  <w:tcW w:w="659" w:type="pct"/>
                  <w:tcBorders>
                    <w:tl2br w:val="nil"/>
                    <w:tr2bl w:val="nil"/>
                  </w:tcBorders>
                  <w:noWrap w:val="0"/>
                  <w:vAlign w:val="center"/>
                </w:tcPr>
                <w:p w14:paraId="18EEA69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w:t>
                  </w:r>
                </w:p>
              </w:tc>
            </w:tr>
            <w:tr w14:paraId="3AC066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93" w:type="pct"/>
                  <w:gridSpan w:val="5"/>
                  <w:tcBorders>
                    <w:tl2br w:val="nil"/>
                    <w:tr2bl w:val="nil"/>
                  </w:tcBorders>
                  <w:noWrap w:val="0"/>
                  <w:vAlign w:val="center"/>
                </w:tcPr>
                <w:p w14:paraId="7E62A6D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是否达标</w:t>
                  </w:r>
                </w:p>
              </w:tc>
              <w:tc>
                <w:tcPr>
                  <w:tcW w:w="388" w:type="pct"/>
                  <w:tcBorders>
                    <w:tl2br w:val="nil"/>
                    <w:tr2bl w:val="nil"/>
                  </w:tcBorders>
                  <w:noWrap w:val="0"/>
                  <w:vAlign w:val="center"/>
                </w:tcPr>
                <w:p w14:paraId="17E41B1F">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是</w:t>
                  </w:r>
                </w:p>
              </w:tc>
              <w:tc>
                <w:tcPr>
                  <w:tcW w:w="444" w:type="pct"/>
                  <w:tcBorders>
                    <w:tl2br w:val="nil"/>
                    <w:tr2bl w:val="nil"/>
                  </w:tcBorders>
                  <w:noWrap w:val="0"/>
                  <w:vAlign w:val="center"/>
                </w:tcPr>
                <w:p w14:paraId="567B7CC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是</w:t>
                  </w:r>
                </w:p>
              </w:tc>
              <w:tc>
                <w:tcPr>
                  <w:tcW w:w="475" w:type="pct"/>
                  <w:tcBorders>
                    <w:tl2br w:val="nil"/>
                    <w:tr2bl w:val="nil"/>
                  </w:tcBorders>
                  <w:noWrap w:val="0"/>
                  <w:vAlign w:val="center"/>
                </w:tcPr>
                <w:p w14:paraId="6C4F6A1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是</w:t>
                  </w:r>
                </w:p>
              </w:tc>
              <w:tc>
                <w:tcPr>
                  <w:tcW w:w="426" w:type="pct"/>
                  <w:tcBorders>
                    <w:tl2br w:val="nil"/>
                    <w:tr2bl w:val="nil"/>
                  </w:tcBorders>
                  <w:noWrap w:val="0"/>
                  <w:vAlign w:val="center"/>
                </w:tcPr>
                <w:p w14:paraId="2B63E98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是</w:t>
                  </w:r>
                </w:p>
              </w:tc>
              <w:tc>
                <w:tcPr>
                  <w:tcW w:w="713" w:type="pct"/>
                  <w:tcBorders>
                    <w:tl2br w:val="nil"/>
                    <w:tr2bl w:val="nil"/>
                  </w:tcBorders>
                  <w:noWrap w:val="0"/>
                  <w:vAlign w:val="center"/>
                </w:tcPr>
                <w:p w14:paraId="5E1C0200">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是</w:t>
                  </w:r>
                </w:p>
              </w:tc>
              <w:tc>
                <w:tcPr>
                  <w:tcW w:w="659" w:type="pct"/>
                  <w:tcBorders>
                    <w:tl2br w:val="nil"/>
                    <w:tr2bl w:val="nil"/>
                  </w:tcBorders>
                  <w:noWrap w:val="0"/>
                  <w:vAlign w:val="center"/>
                </w:tcPr>
                <w:p w14:paraId="55F0937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是</w:t>
                  </w:r>
                </w:p>
              </w:tc>
            </w:tr>
          </w:tbl>
          <w:p w14:paraId="1A18A4E0">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经上文分析、</w:t>
            </w:r>
            <w:r>
              <w:rPr>
                <w:color w:val="000000" w:themeColor="text1"/>
                <w:sz w:val="24"/>
                <w14:textFill>
                  <w14:solidFill>
                    <w14:schemeClr w14:val="tx1"/>
                  </w14:solidFill>
                </w14:textFill>
              </w:rPr>
              <w:t>预测，</w:t>
            </w:r>
            <w:r>
              <w:rPr>
                <w:rFonts w:hint="eastAsia"/>
                <w:color w:val="000000" w:themeColor="text1"/>
                <w:sz w:val="24"/>
                <w14:textFill>
                  <w14:solidFill>
                    <w14:schemeClr w14:val="tx1"/>
                  </w14:solidFill>
                </w14:textFill>
              </w:rPr>
              <w:t>项目厂界</w:t>
            </w:r>
            <w:r>
              <w:rPr>
                <w:rFonts w:hint="eastAsia"/>
                <w:color w:val="000000" w:themeColor="text1"/>
                <w:sz w:val="24"/>
                <w:lang w:val="en-US" w:eastAsia="zh-CN"/>
                <w14:textFill>
                  <w14:solidFill>
                    <w14:schemeClr w14:val="tx1"/>
                  </w14:solidFill>
                </w14:textFill>
              </w:rPr>
              <w:t>四周昼间噪声贡献值</w:t>
            </w:r>
            <w:r>
              <w:rPr>
                <w:rFonts w:hint="eastAsia"/>
                <w:color w:val="000000" w:themeColor="text1"/>
                <w:sz w:val="24"/>
                <w14:textFill>
                  <w14:solidFill>
                    <w14:schemeClr w14:val="tx1"/>
                  </w14:solidFill>
                </w14:textFill>
              </w:rPr>
              <w:t>均</w:t>
            </w:r>
            <w:r>
              <w:rPr>
                <w:color w:val="000000" w:themeColor="text1"/>
                <w:sz w:val="24"/>
                <w14:textFill>
                  <w14:solidFill>
                    <w14:schemeClr w14:val="tx1"/>
                  </w14:solidFill>
                </w14:textFill>
              </w:rPr>
              <w:t>符合《工业企业厂界环境噪声排放标准》（GB</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t>12348-2008）</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类限值</w:t>
            </w:r>
            <w:r>
              <w:rPr>
                <w:rFonts w:hint="eastAsia"/>
                <w:color w:val="000000" w:themeColor="text1"/>
                <w:sz w:val="24"/>
                <w14:textFill>
                  <w14:solidFill>
                    <w14:schemeClr w14:val="tx1"/>
                  </w14:solidFill>
                </w14:textFill>
              </w:rPr>
              <w:t>要求</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敏感点可达到</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《声环境质量标准》GB</w:t>
            </w:r>
            <w:r>
              <w:rPr>
                <w:rFonts w:hint="eastAsia" w:cs="Times New Roman"/>
                <w:b w:val="0"/>
                <w:bCs w:val="0"/>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3096-2008中2类标准</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w:t>
            </w:r>
          </w:p>
          <w:p w14:paraId="668EC827">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黑体" w:cs="Times New Roman"/>
                <w:bCs/>
                <w:color w:val="000000" w:themeColor="text1"/>
                <w:sz w:val="24"/>
                <w:szCs w:val="28"/>
                <w14:textFill>
                  <w14:solidFill>
                    <w14:schemeClr w14:val="tx1"/>
                  </w14:solidFill>
                </w14:textFill>
              </w:rPr>
            </w:pPr>
            <w:r>
              <w:rPr>
                <w:rFonts w:hint="eastAsia" w:ascii="Times New Roman" w:hAnsi="Times New Roman" w:eastAsia="宋体" w:cs="Times New Roman"/>
                <w:b/>
                <w:bCs w:val="0"/>
                <w:color w:val="000000" w:themeColor="text1"/>
                <w:sz w:val="24"/>
                <w:szCs w:val="28"/>
                <w:lang w:val="en-US" w:eastAsia="zh-CN"/>
                <w14:textFill>
                  <w14:solidFill>
                    <w14:schemeClr w14:val="tx1"/>
                  </w14:solidFill>
                </w14:textFill>
              </w:rPr>
              <w:t>5</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监测计划</w:t>
            </w:r>
          </w:p>
          <w:p w14:paraId="5C8C273E">
            <w:pPr>
              <w:keepNext/>
              <w:keepLines/>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原有项目已申请排污许可证，并设置噪声监测计划，本项目噪声监测计划依托原有项目的监测</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具体内容见下表：</w:t>
            </w:r>
          </w:p>
          <w:p w14:paraId="374C890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噪声监测内容</w:t>
            </w:r>
          </w:p>
          <w:tbl>
            <w:tblPr>
              <w:tblStyle w:val="3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726"/>
              <w:gridCol w:w="2192"/>
              <w:gridCol w:w="1829"/>
              <w:gridCol w:w="1343"/>
            </w:tblGrid>
            <w:tr w14:paraId="2F32C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noWrap w:val="0"/>
                  <w:vAlign w:val="center"/>
                </w:tcPr>
                <w:p w14:paraId="47C7BE33">
                  <w:pPr>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类别</w:t>
                  </w:r>
                </w:p>
              </w:tc>
              <w:tc>
                <w:tcPr>
                  <w:tcW w:w="1021" w:type="pct"/>
                  <w:noWrap w:val="0"/>
                  <w:vAlign w:val="center"/>
                </w:tcPr>
                <w:p w14:paraId="7052442C">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297" w:type="pct"/>
                  <w:noWrap w:val="0"/>
                  <w:vAlign w:val="center"/>
                </w:tcPr>
                <w:p w14:paraId="68071CE4">
                  <w:pPr>
                    <w:jc w:val="both"/>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与项目厂界距离</w:t>
                  </w:r>
                </w:p>
              </w:tc>
              <w:tc>
                <w:tcPr>
                  <w:tcW w:w="1082" w:type="pct"/>
                  <w:noWrap w:val="0"/>
                  <w:vAlign w:val="center"/>
                </w:tcPr>
                <w:p w14:paraId="617BDA0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监测项目</w:t>
                  </w:r>
                </w:p>
              </w:tc>
              <w:tc>
                <w:tcPr>
                  <w:tcW w:w="794" w:type="pct"/>
                  <w:noWrap w:val="0"/>
                  <w:vAlign w:val="center"/>
                </w:tcPr>
                <w:p w14:paraId="31E0D533">
                  <w:pPr>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频次</w:t>
                  </w:r>
                </w:p>
              </w:tc>
            </w:tr>
            <w:tr w14:paraId="52055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noWrap w:val="0"/>
                  <w:vAlign w:val="center"/>
                </w:tcPr>
                <w:p w14:paraId="4C1C313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1021" w:type="pct"/>
                  <w:noWrap w:val="0"/>
                  <w:vAlign w:val="center"/>
                </w:tcPr>
                <w:p w14:paraId="6EE11E7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厂界四周</w:t>
                  </w:r>
                </w:p>
              </w:tc>
              <w:tc>
                <w:tcPr>
                  <w:tcW w:w="1297" w:type="pct"/>
                  <w:noWrap w:val="0"/>
                  <w:vAlign w:val="center"/>
                </w:tcPr>
                <w:p w14:paraId="3EACE21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厂界外1米处</w:t>
                  </w:r>
                </w:p>
              </w:tc>
              <w:tc>
                <w:tcPr>
                  <w:tcW w:w="1082" w:type="pct"/>
                  <w:noWrap w:val="0"/>
                  <w:vAlign w:val="center"/>
                </w:tcPr>
                <w:p w14:paraId="1870EAE7">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等效声级Leq（A）</w:t>
                  </w:r>
                </w:p>
              </w:tc>
              <w:tc>
                <w:tcPr>
                  <w:tcW w:w="794" w:type="pct"/>
                  <w:noWrap w:val="0"/>
                  <w:vAlign w:val="center"/>
                </w:tcPr>
                <w:p w14:paraId="26AB8890">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1次/季度</w:t>
                  </w:r>
                </w:p>
              </w:tc>
            </w:tr>
          </w:tbl>
          <w:p w14:paraId="7294CC98">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四、运营期固体废物环境影响和保护措施</w:t>
            </w:r>
          </w:p>
          <w:p w14:paraId="10CCC352">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8"/>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1</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固体废物产生及处置情况</w:t>
            </w:r>
          </w:p>
          <w:p w14:paraId="1A91C9EB">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lang w:val="en-US" w:eastAsia="zh-CN"/>
                <w14:textFill>
                  <w14:solidFill>
                    <w14:schemeClr w14:val="tx1"/>
                  </w14:solidFill>
                </w14:textFill>
              </w:rPr>
              <w:t>本</w:t>
            </w:r>
            <w:r>
              <w:rPr>
                <w:rFonts w:hint="default" w:ascii="Times New Roman" w:hAnsi="Times New Roman" w:cs="Times New Roman"/>
                <w:color w:val="000000" w:themeColor="text1"/>
                <w:sz w:val="24"/>
                <w:szCs w:val="28"/>
                <w14:textFill>
                  <w14:solidFill>
                    <w14:schemeClr w14:val="tx1"/>
                  </w14:solidFill>
                </w14:textFill>
              </w:rPr>
              <w:t>项目固体废弃物主要为</w:t>
            </w:r>
            <w:r>
              <w:rPr>
                <w:rFonts w:hint="default" w:ascii="Times New Roman" w:hAnsi="Times New Roman" w:cs="Times New Roman"/>
                <w:color w:val="000000" w:themeColor="text1"/>
                <w:sz w:val="24"/>
                <w:szCs w:val="28"/>
                <w:lang w:eastAsia="zh-CN"/>
                <w14:textFill>
                  <w14:solidFill>
                    <w14:schemeClr w14:val="tx1"/>
                  </w14:solidFill>
                </w14:textFill>
              </w:rPr>
              <w:t>收尘灰、</w:t>
            </w:r>
            <w:r>
              <w:rPr>
                <w:rFonts w:hint="default" w:ascii="Times New Roman" w:hAnsi="Times New Roman" w:cs="Times New Roman"/>
                <w:color w:val="000000" w:themeColor="text1"/>
                <w:sz w:val="24"/>
                <w:szCs w:val="28"/>
                <w:lang w:val="en-US" w:eastAsia="zh-CN"/>
                <w14:textFill>
                  <w14:solidFill>
                    <w14:schemeClr w14:val="tx1"/>
                  </w14:solidFill>
                </w14:textFill>
              </w:rPr>
              <w:t>锅炉灰</w:t>
            </w:r>
            <w:r>
              <w:rPr>
                <w:rFonts w:hint="eastAsia" w:ascii="Times New Roman" w:hAnsi="Times New Roman" w:cs="Times New Roman"/>
                <w:color w:val="000000" w:themeColor="text1"/>
                <w:sz w:val="24"/>
                <w:szCs w:val="28"/>
                <w:lang w:val="en-US" w:eastAsia="zh-CN"/>
                <w14:textFill>
                  <w14:solidFill>
                    <w14:schemeClr w14:val="tx1"/>
                  </w14:solidFill>
                </w14:textFill>
              </w:rPr>
              <w:t>渣</w:t>
            </w:r>
            <w:r>
              <w:rPr>
                <w:rFonts w:hint="default" w:ascii="Times New Roman" w:hAnsi="Times New Roman" w:cs="Times New Roman"/>
                <w:color w:val="000000" w:themeColor="text1"/>
                <w:sz w:val="24"/>
                <w:szCs w:val="28"/>
                <w:lang w:val="en-US" w:eastAsia="zh-CN"/>
                <w14:textFill>
                  <w14:solidFill>
                    <w14:schemeClr w14:val="tx1"/>
                  </w14:solidFill>
                </w14:textFill>
              </w:rPr>
              <w:t>和废包装</w:t>
            </w:r>
            <w:r>
              <w:rPr>
                <w:rFonts w:hint="default" w:ascii="Times New Roman" w:hAnsi="Times New Roman" w:cs="Times New Roman"/>
                <w:color w:val="000000" w:themeColor="text1"/>
                <w:sz w:val="24"/>
                <w:szCs w:val="28"/>
                <w14:textFill>
                  <w14:solidFill>
                    <w14:schemeClr w14:val="tx1"/>
                  </w14:solidFill>
                </w14:textFill>
              </w:rPr>
              <w:t>。</w:t>
            </w:r>
          </w:p>
          <w:p w14:paraId="5E52631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w:t>
            </w:r>
            <w:r>
              <w:rPr>
                <w:rFonts w:hint="default" w:ascii="Times New Roman" w:hAnsi="Times New Roman" w:cs="Times New Roman"/>
                <w:color w:val="000000" w:themeColor="text1"/>
                <w:sz w:val="24"/>
                <w:szCs w:val="22"/>
                <w:lang w:val="en-US" w:eastAsia="zh-CN"/>
                <w14:textFill>
                  <w14:solidFill>
                    <w14:schemeClr w14:val="tx1"/>
                  </w14:solidFill>
                </w14:textFill>
              </w:rPr>
              <w:t>1</w:t>
            </w:r>
            <w:r>
              <w:rPr>
                <w:rFonts w:hint="default" w:ascii="Times New Roman" w:hAnsi="Times New Roman" w:cs="Times New Roman"/>
                <w:color w:val="000000" w:themeColor="text1"/>
                <w:sz w:val="24"/>
                <w:szCs w:val="22"/>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一般工业固废</w:t>
            </w:r>
          </w:p>
          <w:p w14:paraId="6D943D4C">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000000" w:themeColor="text1"/>
                <w:sz w:val="24"/>
                <w:szCs w:val="22"/>
                <w:lang w:val="en-US" w:eastAsia="zh-CN"/>
                <w14:textFill>
                  <w14:solidFill>
                    <w14:schemeClr w14:val="tx1"/>
                  </w14:solidFill>
                </w14:textFill>
              </w:rPr>
            </w:pPr>
            <w:r>
              <w:rPr>
                <w:rFonts w:hint="default" w:ascii="Times New Roman" w:hAnsi="Times New Roman" w:cs="Times New Roman"/>
                <w:color w:val="000000" w:themeColor="text1"/>
                <w:sz w:val="24"/>
                <w:szCs w:val="22"/>
                <w:lang w:eastAsia="zh-CN"/>
                <w14:textFill>
                  <w14:solidFill>
                    <w14:schemeClr w14:val="tx1"/>
                  </w14:solidFill>
                </w14:textFill>
              </w:rPr>
              <w:t>①</w:t>
            </w:r>
            <w:r>
              <w:rPr>
                <w:rFonts w:hint="default" w:ascii="Times New Roman" w:hAnsi="Times New Roman" w:cs="Times New Roman"/>
                <w:color w:val="000000" w:themeColor="text1"/>
                <w:sz w:val="24"/>
                <w:szCs w:val="22"/>
                <w:lang w:val="en-US" w:eastAsia="zh-CN"/>
                <w14:textFill>
                  <w14:solidFill>
                    <w14:schemeClr w14:val="tx1"/>
                  </w14:solidFill>
                </w14:textFill>
              </w:rPr>
              <w:t>收尘灰</w:t>
            </w:r>
          </w:p>
          <w:p w14:paraId="3DBEADB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000000" w:themeColor="text1"/>
                <w:sz w:val="24"/>
                <w:szCs w:val="22"/>
                <w:lang w:val="en-US" w:eastAsia="zh-CN"/>
                <w14:textFill>
                  <w14:solidFill>
                    <w14:schemeClr w14:val="tx1"/>
                  </w14:solidFill>
                </w14:textFill>
              </w:rPr>
            </w:pPr>
            <w:r>
              <w:rPr>
                <w:rFonts w:hint="default" w:ascii="Times New Roman" w:hAnsi="Times New Roman" w:cs="Times New Roman"/>
                <w:color w:val="000000" w:themeColor="text1"/>
                <w:sz w:val="24"/>
                <w:szCs w:val="22"/>
                <w:lang w:val="en-US" w:eastAsia="zh-CN"/>
                <w14:textFill>
                  <w14:solidFill>
                    <w14:schemeClr w14:val="tx1"/>
                  </w14:solidFill>
                </w14:textFill>
              </w:rPr>
              <w:t>经前文废气源强核算，锅炉运行产生的收尘灰</w:t>
            </w:r>
            <w:r>
              <w:rPr>
                <w:rFonts w:hint="eastAsia" w:cs="Times New Roman"/>
                <w:color w:val="000000" w:themeColor="text1"/>
                <w:sz w:val="24"/>
                <w:szCs w:val="22"/>
                <w:lang w:val="en-US" w:eastAsia="zh-CN"/>
                <w14:textFill>
                  <w14:solidFill>
                    <w14:schemeClr w14:val="tx1"/>
                  </w14:solidFill>
                </w14:textFill>
              </w:rPr>
              <w:t>量</w:t>
            </w:r>
            <w:r>
              <w:rPr>
                <w:rFonts w:hint="default" w:ascii="Times New Roman" w:hAnsi="Times New Roman" w:cs="Times New Roman"/>
                <w:color w:val="000000" w:themeColor="text1"/>
                <w:sz w:val="24"/>
                <w:szCs w:val="22"/>
                <w:lang w:val="en-US" w:eastAsia="zh-CN"/>
                <w14:textFill>
                  <w14:solidFill>
                    <w14:schemeClr w14:val="tx1"/>
                  </w14:solidFill>
                </w14:textFill>
              </w:rPr>
              <w:t>为</w:t>
            </w:r>
            <w:r>
              <w:rPr>
                <w:rFonts w:hint="eastAsia" w:cs="Times New Roman"/>
                <w:color w:val="000000" w:themeColor="text1"/>
                <w:sz w:val="24"/>
                <w:szCs w:val="22"/>
                <w:lang w:val="en-US" w:eastAsia="zh-CN"/>
                <w14:textFill>
                  <w14:solidFill>
                    <w14:schemeClr w14:val="tx1"/>
                  </w14:solidFill>
                </w14:textFill>
              </w:rPr>
              <w:t>0.54</w:t>
            </w:r>
            <w:r>
              <w:rPr>
                <w:rFonts w:hint="default" w:ascii="Times New Roman" w:hAnsi="Times New Roman" w:cs="Times New Roman"/>
                <w:color w:val="000000" w:themeColor="text1"/>
                <w:sz w:val="24"/>
                <w:szCs w:val="22"/>
                <w:lang w:val="en-US" w:eastAsia="zh-CN"/>
                <w14:textFill>
                  <w14:solidFill>
                    <w14:schemeClr w14:val="tx1"/>
                  </w14:solidFill>
                </w14:textFill>
              </w:rPr>
              <w:t>t/a，经清理收集后用于农田改良。</w:t>
            </w:r>
          </w:p>
          <w:p w14:paraId="1BD4952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锅炉灰渣</w:t>
            </w:r>
          </w:p>
          <w:p w14:paraId="25A32EA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生物质燃料的灰分为3.1%，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除去</w:t>
            </w:r>
            <w:r>
              <w:rPr>
                <w:rFonts w:hint="eastAsia" w:cs="Times New Roman"/>
                <w:color w:val="000000" w:themeColor="text1"/>
                <w:sz w:val="24"/>
                <w:szCs w:val="24"/>
                <w:lang w:val="en-US" w:eastAsia="zh-CN"/>
                <w14:textFill>
                  <w14:solidFill>
                    <w14:schemeClr w14:val="tx1"/>
                  </w14:solidFill>
                </w14:textFill>
              </w:rPr>
              <w:t>收尘灰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则锅炉灰渣产生量约为</w:t>
            </w:r>
            <w:r>
              <w:rPr>
                <w:rFonts w:hint="eastAsia" w:cs="Times New Roman"/>
                <w:color w:val="000000" w:themeColor="text1"/>
                <w:sz w:val="24"/>
                <w:szCs w:val="24"/>
                <w:lang w:val="en-US" w:eastAsia="zh-CN"/>
                <w14:textFill>
                  <w14:solidFill>
                    <w14:schemeClr w14:val="tx1"/>
                  </w14:solidFill>
                </w14:textFill>
              </w:rPr>
              <w:t>32.97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t/a，用于农田改良。</w:t>
            </w:r>
          </w:p>
          <w:p w14:paraId="75244477">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③废包装</w:t>
            </w:r>
          </w:p>
          <w:p w14:paraId="0E0709D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本项目废包装主要为生物质燃料袋及尿素袋，包装均为50kg/袋，每个袋子约为0.05kg，经核算，尿素原料约为</w:t>
            </w:r>
            <w:r>
              <w:rPr>
                <w:rFonts w:hint="eastAsia" w:ascii="Times New Roman" w:hAnsi="Times New Roman" w:cs="Times New Roman"/>
                <w:color w:val="000000" w:themeColor="text1"/>
                <w:sz w:val="24"/>
                <w:lang w:val="en-US" w:eastAsia="zh-CN"/>
                <w14:textFill>
                  <w14:solidFill>
                    <w14:schemeClr w14:val="tx1"/>
                  </w14:solidFill>
                </w14:textFill>
              </w:rPr>
              <w:t>454</w:t>
            </w:r>
            <w:r>
              <w:rPr>
                <w:rFonts w:hint="default" w:ascii="Times New Roman" w:hAnsi="Times New Roman" w:cs="Times New Roman"/>
                <w:color w:val="000000" w:themeColor="text1"/>
                <w:sz w:val="24"/>
                <w:lang w:val="en-US" w:eastAsia="zh-CN"/>
                <w14:textFill>
                  <w14:solidFill>
                    <w14:schemeClr w14:val="tx1"/>
                  </w14:solidFill>
                </w14:textFill>
              </w:rPr>
              <w:t>个袋子，生物质燃料约为</w:t>
            </w:r>
            <w:r>
              <w:rPr>
                <w:rFonts w:hint="eastAsia" w:cs="Times New Roman"/>
                <w:color w:val="000000" w:themeColor="text1"/>
                <w:sz w:val="24"/>
                <w:lang w:val="en-US" w:eastAsia="zh-CN"/>
                <w14:textFill>
                  <w14:solidFill>
                    <w14:schemeClr w14:val="tx1"/>
                  </w14:solidFill>
                </w14:textFill>
              </w:rPr>
              <w:t>2.16万</w:t>
            </w:r>
            <w:r>
              <w:rPr>
                <w:rFonts w:hint="default" w:ascii="Times New Roman" w:hAnsi="Times New Roman" w:cs="Times New Roman"/>
                <w:color w:val="000000" w:themeColor="text1"/>
                <w:sz w:val="24"/>
                <w:lang w:val="en-US" w:eastAsia="zh-CN"/>
                <w14:textFill>
                  <w14:solidFill>
                    <w14:schemeClr w14:val="tx1"/>
                  </w14:solidFill>
                </w14:textFill>
              </w:rPr>
              <w:t>个袋子，共计</w:t>
            </w:r>
            <w:r>
              <w:rPr>
                <w:rFonts w:hint="eastAsia" w:cs="Times New Roman"/>
                <w:color w:val="000000" w:themeColor="text1"/>
                <w:sz w:val="24"/>
                <w:lang w:val="en-US" w:eastAsia="zh-CN"/>
                <w14:textFill>
                  <w14:solidFill>
                    <w14:schemeClr w14:val="tx1"/>
                  </w14:solidFill>
                </w14:textFill>
              </w:rPr>
              <w:t>2.2054万</w:t>
            </w:r>
            <w:r>
              <w:rPr>
                <w:rFonts w:hint="default" w:ascii="Times New Roman" w:hAnsi="Times New Roman" w:cs="Times New Roman"/>
                <w:color w:val="000000" w:themeColor="text1"/>
                <w:sz w:val="24"/>
                <w:lang w:val="en-US" w:eastAsia="zh-CN"/>
                <w14:textFill>
                  <w14:solidFill>
                    <w14:schemeClr w14:val="tx1"/>
                  </w14:solidFill>
                </w14:textFill>
              </w:rPr>
              <w:t>个袋子，故废包装总产量约为</w:t>
            </w:r>
            <w:r>
              <w:rPr>
                <w:rFonts w:hint="eastAsia"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lang w:val="en-US" w:eastAsia="zh-CN"/>
                <w14:textFill>
                  <w14:solidFill>
                    <w14:schemeClr w14:val="tx1"/>
                  </w14:solidFill>
                </w14:textFill>
              </w:rPr>
              <w:t>t/a。集中收集至一般固废暂存区后外售物资回收单位综合利用。</w:t>
            </w:r>
          </w:p>
          <w:p w14:paraId="3712E1C4">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④废离子交换树脂</w:t>
            </w:r>
          </w:p>
          <w:p w14:paraId="5D21A81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废离子交换树脂</w:t>
            </w:r>
            <w:r>
              <w:rPr>
                <w:rFonts w:hint="eastAsia" w:cs="Times New Roman"/>
                <w:color w:val="000000" w:themeColor="text1"/>
                <w:sz w:val="24"/>
                <w:szCs w:val="24"/>
                <w:lang w:val="en-US" w:eastAsia="zh-CN"/>
                <w14:textFill>
                  <w14:solidFill>
                    <w14:schemeClr w14:val="tx1"/>
                  </w14:solidFill>
                </w14:textFill>
              </w:rPr>
              <w:t>每</w:t>
            </w:r>
            <w:r>
              <w:rPr>
                <w:rFonts w:hint="default" w:ascii="Times New Roman" w:hAnsi="Times New Roman" w:eastAsia="宋体" w:cs="Times New Roman"/>
                <w:color w:val="000000" w:themeColor="text1"/>
                <w:sz w:val="24"/>
                <w:lang w:eastAsia="zh-CN"/>
                <w14:textFill>
                  <w14:solidFill>
                    <w14:schemeClr w14:val="tx1"/>
                  </w14:solidFill>
                </w14:textFill>
              </w:rPr>
              <w:t>三年更换一次，产生量为</w:t>
            </w:r>
            <w:r>
              <w:rPr>
                <w:rFonts w:hint="eastAsia" w:ascii="Times New Roman" w:hAnsi="Times New Roman" w:eastAsia="宋体" w:cs="Times New Roman"/>
                <w:color w:val="000000" w:themeColor="text1"/>
                <w:sz w:val="24"/>
                <w:lang w:val="en-US" w:eastAsia="zh-CN"/>
                <w14:textFill>
                  <w14:solidFill>
                    <w14:schemeClr w14:val="tx1"/>
                  </w14:solidFill>
                </w14:textFill>
              </w:rPr>
              <w:t>0.04</w:t>
            </w:r>
            <w:r>
              <w:rPr>
                <w:rFonts w:hint="default" w:ascii="Times New Roman" w:hAnsi="Times New Roman" w:eastAsia="宋体" w:cs="Times New Roman"/>
                <w:color w:val="000000" w:themeColor="text1"/>
                <w:sz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暂存于一般固废暂存区，由厂家回收</w:t>
            </w:r>
            <w:r>
              <w:rPr>
                <w:rFonts w:hint="eastAsia" w:cs="Times New Roman"/>
                <w:color w:val="000000" w:themeColor="text1"/>
                <w:sz w:val="24"/>
                <w:lang w:val="en-US" w:eastAsia="zh-CN"/>
                <w14:textFill>
                  <w14:solidFill>
                    <w14:schemeClr w14:val="tx1"/>
                  </w14:solidFill>
                </w14:textFill>
              </w:rPr>
              <w:t>。</w:t>
            </w:r>
          </w:p>
          <w:p w14:paraId="0663DD2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Cs/>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本项目固体废物产生量与处理措施见表4-</w:t>
            </w:r>
            <w:r>
              <w:rPr>
                <w:rFonts w:hint="eastAsia" w:ascii="Times New Roman" w:hAnsi="Times New Roman" w:cs="Times New Roman"/>
                <w:color w:val="000000" w:themeColor="text1"/>
                <w:sz w:val="24"/>
                <w:szCs w:val="22"/>
                <w:lang w:val="en-US" w:eastAsia="zh-CN"/>
                <w14:textFill>
                  <w14:solidFill>
                    <w14:schemeClr w14:val="tx1"/>
                  </w14:solidFill>
                </w14:textFill>
              </w:rPr>
              <w:t>9</w:t>
            </w:r>
            <w:r>
              <w:rPr>
                <w:rFonts w:hint="default" w:ascii="Times New Roman" w:hAnsi="Times New Roman" w:cs="Times New Roman"/>
                <w:color w:val="000000" w:themeColor="text1"/>
                <w:sz w:val="24"/>
                <w:szCs w:val="22"/>
                <w14:textFill>
                  <w14:solidFill>
                    <w14:schemeClr w14:val="tx1"/>
                  </w14:solidFill>
                </w14:textFill>
              </w:rPr>
              <w:t>。</w:t>
            </w:r>
          </w:p>
          <w:p w14:paraId="29083AB7">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项目固体废物产生情况及处理措施一览表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756"/>
              <w:gridCol w:w="1843"/>
              <w:gridCol w:w="1373"/>
              <w:gridCol w:w="1371"/>
              <w:gridCol w:w="1371"/>
            </w:tblGrid>
            <w:tr w14:paraId="609BB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2DAAF67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名称</w:t>
                  </w:r>
                </w:p>
              </w:tc>
              <w:tc>
                <w:tcPr>
                  <w:tcW w:w="1090" w:type="pct"/>
                  <w:tcBorders>
                    <w:tl2br w:val="nil"/>
                    <w:tr2bl w:val="nil"/>
                  </w:tcBorders>
                  <w:noWrap w:val="0"/>
                  <w:vAlign w:val="center"/>
                </w:tcPr>
                <w:p w14:paraId="3F88980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除尘器收尘灰</w:t>
                  </w:r>
                </w:p>
              </w:tc>
              <w:tc>
                <w:tcPr>
                  <w:tcW w:w="812" w:type="pct"/>
                  <w:tcBorders>
                    <w:tl2br w:val="nil"/>
                    <w:tr2bl w:val="nil"/>
                  </w:tcBorders>
                  <w:noWrap w:val="0"/>
                  <w:vAlign w:val="center"/>
                </w:tcPr>
                <w:p w14:paraId="7E75F8E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锅炉灰渣</w:t>
                  </w:r>
                </w:p>
              </w:tc>
              <w:tc>
                <w:tcPr>
                  <w:tcW w:w="811" w:type="pct"/>
                  <w:tcBorders>
                    <w:tl2br w:val="nil"/>
                    <w:tr2bl w:val="nil"/>
                  </w:tcBorders>
                  <w:noWrap w:val="0"/>
                  <w:vAlign w:val="center"/>
                </w:tcPr>
                <w:p w14:paraId="78FBAC2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废包装</w:t>
                  </w:r>
                </w:p>
              </w:tc>
              <w:tc>
                <w:tcPr>
                  <w:tcW w:w="811" w:type="pct"/>
                  <w:tcBorders>
                    <w:tl2br w:val="nil"/>
                    <w:tr2bl w:val="nil"/>
                  </w:tcBorders>
                  <w:noWrap w:val="0"/>
                  <w:vAlign w:val="center"/>
                </w:tcPr>
                <w:p w14:paraId="65E75E6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废离子交换树脂</w:t>
                  </w:r>
                </w:p>
              </w:tc>
            </w:tr>
            <w:tr w14:paraId="6B4D0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62CB911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产生环节</w:t>
                  </w:r>
                </w:p>
              </w:tc>
              <w:tc>
                <w:tcPr>
                  <w:tcW w:w="1090" w:type="pct"/>
                  <w:tcBorders>
                    <w:tl2br w:val="nil"/>
                    <w:tr2bl w:val="nil"/>
                  </w:tcBorders>
                  <w:noWrap w:val="0"/>
                  <w:vAlign w:val="center"/>
                </w:tcPr>
                <w:p w14:paraId="02F5233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废气处理</w:t>
                  </w:r>
                </w:p>
              </w:tc>
              <w:tc>
                <w:tcPr>
                  <w:tcW w:w="812" w:type="pct"/>
                  <w:tcBorders>
                    <w:tl2br w:val="nil"/>
                    <w:tr2bl w:val="nil"/>
                  </w:tcBorders>
                  <w:noWrap w:val="0"/>
                  <w:vAlign w:val="center"/>
                </w:tcPr>
                <w:p w14:paraId="72F34EE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锅炉运行</w:t>
                  </w:r>
                </w:p>
              </w:tc>
              <w:tc>
                <w:tcPr>
                  <w:tcW w:w="811" w:type="pct"/>
                  <w:tcBorders>
                    <w:tl2br w:val="nil"/>
                    <w:tr2bl w:val="nil"/>
                  </w:tcBorders>
                  <w:noWrap w:val="0"/>
                  <w:vAlign w:val="center"/>
                </w:tcPr>
                <w:p w14:paraId="7BB9285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原辅料包装</w:t>
                  </w:r>
                </w:p>
              </w:tc>
              <w:tc>
                <w:tcPr>
                  <w:tcW w:w="811" w:type="pct"/>
                  <w:tcBorders>
                    <w:tl2br w:val="nil"/>
                    <w:tr2bl w:val="nil"/>
                  </w:tcBorders>
                  <w:noWrap w:val="0"/>
                  <w:vAlign w:val="center"/>
                </w:tcPr>
                <w:p w14:paraId="3D5FD50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软水制备</w:t>
                  </w:r>
                </w:p>
              </w:tc>
            </w:tr>
            <w:tr w14:paraId="712A2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4E43B51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属性</w:t>
                  </w:r>
                </w:p>
              </w:tc>
              <w:tc>
                <w:tcPr>
                  <w:tcW w:w="1090" w:type="pct"/>
                  <w:tcBorders>
                    <w:tl2br w:val="nil"/>
                    <w:tr2bl w:val="nil"/>
                  </w:tcBorders>
                  <w:noWrap w:val="0"/>
                  <w:vAlign w:val="center"/>
                </w:tcPr>
                <w:p w14:paraId="7A43A4E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812" w:type="pct"/>
                  <w:tcBorders>
                    <w:tl2br w:val="nil"/>
                    <w:tr2bl w:val="nil"/>
                  </w:tcBorders>
                  <w:noWrap w:val="0"/>
                  <w:vAlign w:val="center"/>
                </w:tcPr>
                <w:p w14:paraId="00DA89E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49507F0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3D0DA100">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r>
            <w:tr w14:paraId="6EF02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4963A04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废物</w:t>
                  </w:r>
                  <w:r>
                    <w:rPr>
                      <w:rFonts w:hint="default" w:ascii="Times New Roman" w:hAnsi="Times New Roman" w:cs="Times New Roman"/>
                      <w:bCs/>
                      <w:color w:val="000000" w:themeColor="text1"/>
                      <w:sz w:val="21"/>
                      <w:szCs w:val="21"/>
                      <w:lang w:val="en-US"/>
                      <w14:textFill>
                        <w14:solidFill>
                          <w14:schemeClr w14:val="tx1"/>
                        </w14:solidFill>
                      </w14:textFill>
                    </w:rPr>
                    <w:t>类别及</w:t>
                  </w:r>
                  <w:r>
                    <w:rPr>
                      <w:rFonts w:hint="default" w:ascii="Times New Roman" w:hAnsi="Times New Roman" w:cs="Times New Roman"/>
                      <w:bCs/>
                      <w:color w:val="000000" w:themeColor="text1"/>
                      <w:sz w:val="21"/>
                      <w:szCs w:val="21"/>
                      <w14:textFill>
                        <w14:solidFill>
                          <w14:schemeClr w14:val="tx1"/>
                        </w14:solidFill>
                      </w14:textFill>
                    </w:rPr>
                    <w:t>代码</w:t>
                  </w:r>
                </w:p>
              </w:tc>
              <w:tc>
                <w:tcPr>
                  <w:tcW w:w="1090" w:type="pct"/>
                  <w:tcBorders>
                    <w:tl2br w:val="nil"/>
                    <w:tr2bl w:val="nil"/>
                  </w:tcBorders>
                  <w:noWrap w:val="0"/>
                  <w:vAlign w:val="center"/>
                </w:tcPr>
                <w:p w14:paraId="6D754A9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812" w:type="pct"/>
                  <w:tcBorders>
                    <w:tl2br w:val="nil"/>
                    <w:tr2bl w:val="nil"/>
                  </w:tcBorders>
                  <w:noWrap w:val="0"/>
                  <w:vAlign w:val="center"/>
                </w:tcPr>
                <w:p w14:paraId="5AEBD55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032897D2">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41BAD28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r>
            <w:tr w14:paraId="26D1B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15C932B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有毒有害物质名称</w:t>
                  </w:r>
                </w:p>
              </w:tc>
              <w:tc>
                <w:tcPr>
                  <w:tcW w:w="1090" w:type="pct"/>
                  <w:tcBorders>
                    <w:tl2br w:val="nil"/>
                    <w:tr2bl w:val="nil"/>
                  </w:tcBorders>
                  <w:noWrap w:val="0"/>
                  <w:vAlign w:val="center"/>
                </w:tcPr>
                <w:p w14:paraId="3770F72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12" w:type="pct"/>
                  <w:tcBorders>
                    <w:tl2br w:val="nil"/>
                    <w:tr2bl w:val="nil"/>
                  </w:tcBorders>
                  <w:noWrap w:val="0"/>
                  <w:vAlign w:val="center"/>
                </w:tcPr>
                <w:p w14:paraId="25399616">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5340A899">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3DDA7EC6">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r>
            <w:tr w14:paraId="4807A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67E77899">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物理性状</w:t>
                  </w:r>
                </w:p>
              </w:tc>
              <w:tc>
                <w:tcPr>
                  <w:tcW w:w="1090" w:type="pct"/>
                  <w:tcBorders>
                    <w:tl2br w:val="nil"/>
                    <w:tr2bl w:val="nil"/>
                  </w:tcBorders>
                  <w:noWrap w:val="0"/>
                  <w:vAlign w:val="center"/>
                </w:tcPr>
                <w:p w14:paraId="2D22B84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固态</w:t>
                  </w:r>
                </w:p>
              </w:tc>
              <w:tc>
                <w:tcPr>
                  <w:tcW w:w="812" w:type="pct"/>
                  <w:tcBorders>
                    <w:tl2br w:val="nil"/>
                    <w:tr2bl w:val="nil"/>
                  </w:tcBorders>
                  <w:noWrap w:val="0"/>
                  <w:vAlign w:val="center"/>
                </w:tcPr>
                <w:p w14:paraId="1E544E5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固态</w:t>
                  </w:r>
                </w:p>
              </w:tc>
              <w:tc>
                <w:tcPr>
                  <w:tcW w:w="811" w:type="pct"/>
                  <w:tcBorders>
                    <w:tl2br w:val="nil"/>
                    <w:tr2bl w:val="nil"/>
                  </w:tcBorders>
                  <w:noWrap w:val="0"/>
                  <w:vAlign w:val="center"/>
                </w:tcPr>
                <w:p w14:paraId="4C669B09">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固态</w:t>
                  </w:r>
                </w:p>
              </w:tc>
              <w:tc>
                <w:tcPr>
                  <w:tcW w:w="811" w:type="pct"/>
                  <w:tcBorders>
                    <w:tl2br w:val="nil"/>
                    <w:tr2bl w:val="nil"/>
                  </w:tcBorders>
                  <w:shd w:val="clear" w:color="auto" w:fill="auto"/>
                  <w:noWrap w:val="0"/>
                  <w:vAlign w:val="center"/>
                </w:tcPr>
                <w:p w14:paraId="11B2C39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固态</w:t>
                  </w:r>
                </w:p>
              </w:tc>
            </w:tr>
            <w:tr w14:paraId="19145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09E014D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环境危险特性</w:t>
                  </w:r>
                </w:p>
              </w:tc>
              <w:tc>
                <w:tcPr>
                  <w:tcW w:w="1090" w:type="pct"/>
                  <w:tcBorders>
                    <w:tl2br w:val="nil"/>
                    <w:tr2bl w:val="nil"/>
                  </w:tcBorders>
                  <w:noWrap w:val="0"/>
                  <w:vAlign w:val="center"/>
                </w:tcPr>
                <w:p w14:paraId="6366F12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12" w:type="pct"/>
                  <w:tcBorders>
                    <w:tl2br w:val="nil"/>
                    <w:tr2bl w:val="nil"/>
                  </w:tcBorders>
                  <w:noWrap w:val="0"/>
                  <w:vAlign w:val="center"/>
                </w:tcPr>
                <w:p w14:paraId="0EFFB4E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11" w:type="pct"/>
                  <w:tcBorders>
                    <w:tl2br w:val="nil"/>
                    <w:tr2bl w:val="nil"/>
                  </w:tcBorders>
                  <w:noWrap w:val="0"/>
                  <w:vAlign w:val="center"/>
                </w:tcPr>
                <w:p w14:paraId="6B413CF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11" w:type="pct"/>
                  <w:tcBorders>
                    <w:tl2br w:val="nil"/>
                    <w:tr2bl w:val="nil"/>
                  </w:tcBorders>
                  <w:shd w:val="clear" w:color="auto" w:fill="auto"/>
                  <w:noWrap w:val="0"/>
                  <w:vAlign w:val="center"/>
                </w:tcPr>
                <w:p w14:paraId="63CED4A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075F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3DBF791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产生量（t/a）</w:t>
                  </w:r>
                </w:p>
              </w:tc>
              <w:tc>
                <w:tcPr>
                  <w:tcW w:w="1090" w:type="pct"/>
                  <w:tcBorders>
                    <w:tl2br w:val="nil"/>
                    <w:tr2bl w:val="nil"/>
                  </w:tcBorders>
                  <w:noWrap w:val="0"/>
                  <w:vAlign w:val="center"/>
                </w:tcPr>
                <w:p w14:paraId="2CD72A5E">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0.54</w:t>
                  </w:r>
                </w:p>
              </w:tc>
              <w:tc>
                <w:tcPr>
                  <w:tcW w:w="812" w:type="pct"/>
                  <w:tcBorders>
                    <w:tl2br w:val="nil"/>
                    <w:tr2bl w:val="nil"/>
                  </w:tcBorders>
                  <w:noWrap w:val="0"/>
                  <w:vAlign w:val="center"/>
                </w:tcPr>
                <w:p w14:paraId="583E6D2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32.97</w:t>
                  </w:r>
                </w:p>
              </w:tc>
              <w:tc>
                <w:tcPr>
                  <w:tcW w:w="811" w:type="pct"/>
                  <w:tcBorders>
                    <w:tl2br w:val="nil"/>
                    <w:tr2bl w:val="nil"/>
                  </w:tcBorders>
                  <w:noWrap w:val="0"/>
                  <w:vAlign w:val="center"/>
                </w:tcPr>
                <w:p w14:paraId="745CA38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1.1</w:t>
                  </w:r>
                </w:p>
              </w:tc>
              <w:tc>
                <w:tcPr>
                  <w:tcW w:w="811" w:type="pct"/>
                  <w:tcBorders>
                    <w:tl2br w:val="nil"/>
                    <w:tr2bl w:val="nil"/>
                  </w:tcBorders>
                  <w:noWrap w:val="0"/>
                  <w:vAlign w:val="center"/>
                </w:tcPr>
                <w:p w14:paraId="50EC11AC">
                  <w:pPr>
                    <w:pStyle w:val="175"/>
                    <w:keepNext/>
                    <w:keepLines/>
                    <w:pageBreakBefore w:val="0"/>
                    <w:kinsoku/>
                    <w:wordWrap/>
                    <w:overflowPunct/>
                    <w:topLinePunct w:val="0"/>
                    <w:autoSpaceDE/>
                    <w:autoSpaceDN/>
                    <w:bidi w:val="0"/>
                    <w:adjustRightInd/>
                    <w:snapToGrid/>
                    <w:spacing w:line="240" w:lineRule="auto"/>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0.04</w:t>
                  </w:r>
                </w:p>
              </w:tc>
            </w:tr>
            <w:tr w14:paraId="66B28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4D32F29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贮存方式</w:t>
                  </w:r>
                </w:p>
              </w:tc>
              <w:tc>
                <w:tcPr>
                  <w:tcW w:w="1090" w:type="pct"/>
                  <w:tcBorders>
                    <w:tl2br w:val="nil"/>
                    <w:tr2bl w:val="nil"/>
                  </w:tcBorders>
                  <w:noWrap w:val="0"/>
                  <w:vAlign w:val="center"/>
                </w:tcPr>
                <w:p w14:paraId="607B0D75">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sz w:val="21"/>
                      <w:szCs w:val="21"/>
                      <w:lang w:val="en-US"/>
                      <w14:textFill>
                        <w14:solidFill>
                          <w14:schemeClr w14:val="tx1"/>
                        </w14:solidFill>
                      </w14:textFill>
                    </w:rPr>
                    <w:t>袋装</w:t>
                  </w:r>
                </w:p>
              </w:tc>
              <w:tc>
                <w:tcPr>
                  <w:tcW w:w="812" w:type="pct"/>
                  <w:tcBorders>
                    <w:tl2br w:val="nil"/>
                    <w:tr2bl w:val="nil"/>
                  </w:tcBorders>
                  <w:noWrap w:val="0"/>
                  <w:vAlign w:val="center"/>
                </w:tcPr>
                <w:p w14:paraId="0685E34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袋装</w:t>
                  </w:r>
                </w:p>
              </w:tc>
              <w:tc>
                <w:tcPr>
                  <w:tcW w:w="811" w:type="pct"/>
                  <w:tcBorders>
                    <w:tl2br w:val="nil"/>
                    <w:tr2bl w:val="nil"/>
                  </w:tcBorders>
                  <w:noWrap w:val="0"/>
                  <w:vAlign w:val="center"/>
                </w:tcPr>
                <w:p w14:paraId="2E72F15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袋装</w:t>
                  </w:r>
                </w:p>
              </w:tc>
              <w:tc>
                <w:tcPr>
                  <w:tcW w:w="811" w:type="pct"/>
                  <w:tcBorders>
                    <w:tl2br w:val="nil"/>
                    <w:tr2bl w:val="nil"/>
                  </w:tcBorders>
                  <w:noWrap w:val="0"/>
                  <w:vAlign w:val="center"/>
                </w:tcPr>
                <w:p w14:paraId="1DBB8455">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袋装</w:t>
                  </w:r>
                </w:p>
              </w:tc>
            </w:tr>
            <w:tr w14:paraId="4DE18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vMerge w:val="restart"/>
                  <w:tcBorders>
                    <w:tl2br w:val="nil"/>
                    <w:tr2bl w:val="nil"/>
                  </w:tcBorders>
                  <w:noWrap w:val="0"/>
                  <w:vAlign w:val="center"/>
                </w:tcPr>
                <w:p w14:paraId="7131338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利用处置方式和去向</w:t>
                  </w:r>
                  <w:r>
                    <w:rPr>
                      <w:rFonts w:hint="default" w:ascii="Times New Roman" w:hAnsi="Times New Roman" w:cs="Times New Roman"/>
                      <w:bCs/>
                      <w:color w:val="000000" w:themeColor="text1"/>
                      <w:sz w:val="21"/>
                      <w:szCs w:val="21"/>
                      <w14:textFill>
                        <w14:solidFill>
                          <w14:schemeClr w14:val="tx1"/>
                        </w14:solidFill>
                      </w14:textFill>
                    </w:rPr>
                    <w:t>（t/a）</w:t>
                  </w:r>
                </w:p>
              </w:tc>
              <w:tc>
                <w:tcPr>
                  <w:tcW w:w="446" w:type="pct"/>
                  <w:tcBorders>
                    <w:tl2br w:val="nil"/>
                    <w:tr2bl w:val="nil"/>
                  </w:tcBorders>
                  <w:noWrap w:val="0"/>
                  <w:vAlign w:val="center"/>
                </w:tcPr>
                <w:p w14:paraId="03FC667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委托利用量</w:t>
                  </w:r>
                </w:p>
              </w:tc>
              <w:tc>
                <w:tcPr>
                  <w:tcW w:w="1090" w:type="pct"/>
                  <w:tcBorders>
                    <w:tl2br w:val="nil"/>
                    <w:tr2bl w:val="nil"/>
                  </w:tcBorders>
                  <w:noWrap w:val="0"/>
                  <w:vAlign w:val="center"/>
                </w:tcPr>
                <w:p w14:paraId="10E05CA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0.54</w:t>
                  </w:r>
                </w:p>
              </w:tc>
              <w:tc>
                <w:tcPr>
                  <w:tcW w:w="812" w:type="pct"/>
                  <w:tcBorders>
                    <w:tl2br w:val="nil"/>
                    <w:tr2bl w:val="nil"/>
                  </w:tcBorders>
                  <w:noWrap w:val="0"/>
                  <w:vAlign w:val="center"/>
                </w:tcPr>
                <w:p w14:paraId="1B2D2F4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32.97</w:t>
                  </w:r>
                </w:p>
              </w:tc>
              <w:tc>
                <w:tcPr>
                  <w:tcW w:w="811" w:type="pct"/>
                  <w:tcBorders>
                    <w:tl2br w:val="nil"/>
                    <w:tr2bl w:val="nil"/>
                  </w:tcBorders>
                  <w:noWrap w:val="0"/>
                  <w:vAlign w:val="center"/>
                </w:tcPr>
                <w:p w14:paraId="5271F11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1.1</w:t>
                  </w:r>
                </w:p>
              </w:tc>
              <w:tc>
                <w:tcPr>
                  <w:tcW w:w="811" w:type="pct"/>
                  <w:tcBorders>
                    <w:tl2br w:val="nil"/>
                    <w:tr2bl w:val="nil"/>
                  </w:tcBorders>
                  <w:noWrap w:val="0"/>
                  <w:vAlign w:val="center"/>
                </w:tcPr>
                <w:p w14:paraId="692933C9">
                  <w:pPr>
                    <w:pStyle w:val="175"/>
                    <w:keepNext/>
                    <w:keepLines/>
                    <w:pageBreakBefore w:val="0"/>
                    <w:kinsoku/>
                    <w:wordWrap/>
                    <w:overflowPunct/>
                    <w:topLinePunct w:val="0"/>
                    <w:autoSpaceDE/>
                    <w:autoSpaceDN/>
                    <w:bidi w:val="0"/>
                    <w:adjustRightInd/>
                    <w:snapToGrid/>
                    <w:spacing w:line="240" w:lineRule="auto"/>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w:t>
                  </w:r>
                </w:p>
              </w:tc>
            </w:tr>
            <w:tr w14:paraId="7BB30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vMerge w:val="continue"/>
                  <w:tcBorders>
                    <w:tl2br w:val="nil"/>
                    <w:tr2bl w:val="nil"/>
                  </w:tcBorders>
                  <w:noWrap w:val="0"/>
                  <w:vAlign w:val="center"/>
                </w:tcPr>
                <w:p w14:paraId="1AFB9BC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p>
              </w:tc>
              <w:tc>
                <w:tcPr>
                  <w:tcW w:w="446" w:type="pct"/>
                  <w:tcBorders>
                    <w:tl2br w:val="nil"/>
                    <w:tr2bl w:val="nil"/>
                  </w:tcBorders>
                  <w:noWrap w:val="0"/>
                  <w:vAlign w:val="center"/>
                </w:tcPr>
                <w:p w14:paraId="5BB3824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委托处置量</w:t>
                  </w:r>
                </w:p>
              </w:tc>
              <w:tc>
                <w:tcPr>
                  <w:tcW w:w="1090" w:type="pct"/>
                  <w:tcBorders>
                    <w:tl2br w:val="nil"/>
                    <w:tr2bl w:val="nil"/>
                  </w:tcBorders>
                  <w:noWrap w:val="0"/>
                  <w:vAlign w:val="center"/>
                </w:tcPr>
                <w:p w14:paraId="7A086F6B">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sz w:val="21"/>
                      <w:szCs w:val="21"/>
                      <w:lang w:val="en-US"/>
                      <w14:textFill>
                        <w14:solidFill>
                          <w14:schemeClr w14:val="tx1"/>
                        </w14:solidFill>
                      </w14:textFill>
                    </w:rPr>
                    <w:t>0</w:t>
                  </w:r>
                </w:p>
              </w:tc>
              <w:tc>
                <w:tcPr>
                  <w:tcW w:w="812" w:type="pct"/>
                  <w:tcBorders>
                    <w:tl2br w:val="nil"/>
                    <w:tr2bl w:val="nil"/>
                  </w:tcBorders>
                  <w:noWrap w:val="0"/>
                  <w:vAlign w:val="center"/>
                </w:tcPr>
                <w:p w14:paraId="59C3EAC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c>
                <w:tcPr>
                  <w:tcW w:w="811" w:type="pct"/>
                  <w:tcBorders>
                    <w:tl2br w:val="nil"/>
                    <w:tr2bl w:val="nil"/>
                  </w:tcBorders>
                  <w:noWrap w:val="0"/>
                  <w:vAlign w:val="center"/>
                </w:tcPr>
                <w:p w14:paraId="3804C67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w:t>
                  </w:r>
                </w:p>
              </w:tc>
              <w:tc>
                <w:tcPr>
                  <w:tcW w:w="811" w:type="pct"/>
                  <w:tcBorders>
                    <w:tl2br w:val="nil"/>
                    <w:tr2bl w:val="nil"/>
                  </w:tcBorders>
                  <w:noWrap w:val="0"/>
                  <w:vAlign w:val="center"/>
                </w:tcPr>
                <w:p w14:paraId="57D1FCF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0.04</w:t>
                  </w:r>
                </w:p>
              </w:tc>
            </w:tr>
            <w:tr w14:paraId="1B10A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vMerge w:val="continue"/>
                  <w:tcBorders>
                    <w:tl2br w:val="nil"/>
                    <w:tr2bl w:val="nil"/>
                  </w:tcBorders>
                  <w:noWrap w:val="0"/>
                  <w:vAlign w:val="center"/>
                </w:tcPr>
                <w:p w14:paraId="48C1EFE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p>
              </w:tc>
              <w:tc>
                <w:tcPr>
                  <w:tcW w:w="446" w:type="pct"/>
                  <w:tcBorders>
                    <w:tl2br w:val="nil"/>
                    <w:tr2bl w:val="nil"/>
                  </w:tcBorders>
                  <w:noWrap w:val="0"/>
                  <w:vAlign w:val="center"/>
                </w:tcPr>
                <w:p w14:paraId="6253493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排放量</w:t>
                  </w:r>
                </w:p>
              </w:tc>
              <w:tc>
                <w:tcPr>
                  <w:tcW w:w="1090" w:type="pct"/>
                  <w:tcBorders>
                    <w:tl2br w:val="nil"/>
                    <w:tr2bl w:val="nil"/>
                  </w:tcBorders>
                  <w:noWrap w:val="0"/>
                  <w:vAlign w:val="center"/>
                </w:tcPr>
                <w:p w14:paraId="2F8211D4">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sz w:val="21"/>
                      <w:szCs w:val="21"/>
                      <w:lang w:val="en-US"/>
                      <w14:textFill>
                        <w14:solidFill>
                          <w14:schemeClr w14:val="tx1"/>
                        </w14:solidFill>
                      </w14:textFill>
                    </w:rPr>
                    <w:t>0</w:t>
                  </w:r>
                </w:p>
              </w:tc>
              <w:tc>
                <w:tcPr>
                  <w:tcW w:w="812" w:type="pct"/>
                  <w:tcBorders>
                    <w:tl2br w:val="nil"/>
                    <w:tr2bl w:val="nil"/>
                  </w:tcBorders>
                  <w:noWrap w:val="0"/>
                  <w:vAlign w:val="center"/>
                </w:tcPr>
                <w:p w14:paraId="7B7287DD">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c>
                <w:tcPr>
                  <w:tcW w:w="811" w:type="pct"/>
                  <w:tcBorders>
                    <w:tl2br w:val="nil"/>
                    <w:tr2bl w:val="nil"/>
                  </w:tcBorders>
                  <w:noWrap w:val="0"/>
                  <w:vAlign w:val="center"/>
                </w:tcPr>
                <w:p w14:paraId="77B6D54D">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c>
                <w:tcPr>
                  <w:tcW w:w="811" w:type="pct"/>
                  <w:tcBorders>
                    <w:tl2br w:val="nil"/>
                    <w:tr2bl w:val="nil"/>
                  </w:tcBorders>
                  <w:noWrap w:val="0"/>
                  <w:vAlign w:val="center"/>
                </w:tcPr>
                <w:p w14:paraId="6A005FD5">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w:t>
                  </w:r>
                </w:p>
              </w:tc>
            </w:tr>
            <w:tr w14:paraId="199FF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pct"/>
                  <w:gridSpan w:val="2"/>
                  <w:tcBorders>
                    <w:tl2br w:val="nil"/>
                    <w:tr2bl w:val="nil"/>
                  </w:tcBorders>
                  <w:noWrap w:val="0"/>
                  <w:vAlign w:val="center"/>
                </w:tcPr>
                <w:p w14:paraId="2EC4AAA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委托单位名称</w:t>
                  </w:r>
                </w:p>
              </w:tc>
              <w:tc>
                <w:tcPr>
                  <w:tcW w:w="1902" w:type="pct"/>
                  <w:gridSpan w:val="2"/>
                  <w:tcBorders>
                    <w:tl2br w:val="nil"/>
                    <w:tr2bl w:val="nil"/>
                  </w:tcBorders>
                  <w:noWrap w:val="0"/>
                  <w:vAlign w:val="center"/>
                </w:tcPr>
                <w:p w14:paraId="595B0A6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用于农田改良</w:t>
                  </w:r>
                </w:p>
              </w:tc>
              <w:tc>
                <w:tcPr>
                  <w:tcW w:w="811" w:type="pct"/>
                  <w:tcBorders>
                    <w:tl2br w:val="nil"/>
                    <w:tr2bl w:val="nil"/>
                  </w:tcBorders>
                  <w:noWrap w:val="0"/>
                  <w:vAlign w:val="center"/>
                </w:tcPr>
                <w:p w14:paraId="2311217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物资回收</w:t>
                  </w:r>
                </w:p>
              </w:tc>
              <w:tc>
                <w:tcPr>
                  <w:tcW w:w="811" w:type="pct"/>
                  <w:tcBorders>
                    <w:tl2br w:val="nil"/>
                    <w:tr2bl w:val="nil"/>
                  </w:tcBorders>
                  <w:noWrap w:val="0"/>
                  <w:vAlign w:val="center"/>
                </w:tcPr>
                <w:p w14:paraId="647B6905">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厂家回收</w:t>
                  </w:r>
                </w:p>
              </w:tc>
            </w:tr>
          </w:tbl>
          <w:p w14:paraId="21C9277C">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黑体" w:cs="Times New Roman"/>
                <w:bCs/>
                <w:color w:val="000000" w:themeColor="text1"/>
                <w:sz w:val="24"/>
                <w:szCs w:val="28"/>
                <w14:textFill>
                  <w14:solidFill>
                    <w14:schemeClr w14:val="tx1"/>
                  </w14:solidFill>
                </w14:textFill>
              </w:rPr>
            </w:pPr>
            <w:r>
              <w:rPr>
                <w:rFonts w:hint="default" w:ascii="Times New Roman" w:hAnsi="Times New Roman" w:eastAsia="宋体" w:cs="Times New Roman"/>
                <w:b/>
                <w:bCs w:val="0"/>
                <w:color w:val="000000" w:themeColor="text1"/>
                <w:sz w:val="24"/>
                <w:szCs w:val="28"/>
                <w14:textFill>
                  <w14:solidFill>
                    <w14:schemeClr w14:val="tx1"/>
                  </w14:solidFill>
                </w14:textFill>
              </w:rPr>
              <w:t>2</w:t>
            </w:r>
            <w:r>
              <w:rPr>
                <w:rFonts w:hint="eastAsia" w:cs="Times New Roman"/>
                <w:b/>
                <w:bCs w:val="0"/>
                <w:color w:val="000000" w:themeColor="text1"/>
                <w:sz w:val="24"/>
                <w:szCs w:val="28"/>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14:textFill>
                  <w14:solidFill>
                    <w14:schemeClr w14:val="tx1"/>
                  </w14:solidFill>
                </w14:textFill>
              </w:rPr>
              <w:t>固体废物环境影响分析</w:t>
            </w:r>
          </w:p>
          <w:p w14:paraId="3A28F6E1">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t>项目</w:t>
            </w:r>
            <w:r>
              <w:rPr>
                <w:rFonts w:hint="eastAsia" w:cs="Times New Roman"/>
                <w:color w:val="000000" w:themeColor="text1"/>
                <w:sz w:val="24"/>
                <w:szCs w:val="28"/>
                <w:lang w:eastAsia="zh-CN"/>
                <w14:textFill>
                  <w14:solidFill>
                    <w14:schemeClr w14:val="tx1"/>
                  </w14:solidFill>
                </w14:textFill>
              </w:rPr>
              <w:t>固体废物</w:t>
            </w:r>
            <w:r>
              <w:rPr>
                <w:rFonts w:hint="default" w:ascii="Times New Roman" w:hAnsi="Times New Roman" w:cs="Times New Roman"/>
                <w:color w:val="000000" w:themeColor="text1"/>
                <w:sz w:val="24"/>
                <w:szCs w:val="28"/>
                <w14:textFill>
                  <w14:solidFill>
                    <w14:schemeClr w14:val="tx1"/>
                  </w14:solidFill>
                </w14:textFill>
              </w:rPr>
              <w:t>主要为</w:t>
            </w:r>
            <w:r>
              <w:rPr>
                <w:rFonts w:hint="default" w:ascii="Times New Roman" w:hAnsi="Times New Roman" w:cs="Times New Roman"/>
                <w:color w:val="000000" w:themeColor="text1"/>
                <w:sz w:val="24"/>
                <w:szCs w:val="28"/>
                <w:lang w:eastAsia="zh-CN"/>
                <w14:textFill>
                  <w14:solidFill>
                    <w14:schemeClr w14:val="tx1"/>
                  </w14:solidFill>
                </w14:textFill>
              </w:rPr>
              <w:t>一般固废（收尘灰、</w:t>
            </w:r>
            <w:r>
              <w:rPr>
                <w:rFonts w:hint="eastAsia" w:cs="Times New Roman"/>
                <w:color w:val="000000" w:themeColor="text1"/>
                <w:sz w:val="24"/>
                <w:szCs w:val="28"/>
                <w:lang w:eastAsia="zh-CN"/>
                <w14:textFill>
                  <w14:solidFill>
                    <w14:schemeClr w14:val="tx1"/>
                  </w14:solidFill>
                </w14:textFill>
              </w:rPr>
              <w:t>锅炉</w:t>
            </w:r>
            <w:r>
              <w:rPr>
                <w:rFonts w:hint="default" w:ascii="Times New Roman" w:hAnsi="Times New Roman" w:cs="Times New Roman"/>
                <w:color w:val="000000" w:themeColor="text1"/>
                <w:sz w:val="24"/>
                <w:szCs w:val="28"/>
                <w:lang w:val="en-US" w:eastAsia="zh-CN"/>
                <w14:textFill>
                  <w14:solidFill>
                    <w14:schemeClr w14:val="tx1"/>
                  </w14:solidFill>
                </w14:textFill>
              </w:rPr>
              <w:t>灰渣及废包装</w:t>
            </w:r>
            <w:r>
              <w:rPr>
                <w:rFonts w:hint="default" w:ascii="Times New Roman" w:hAnsi="Times New Roman" w:cs="Times New Roman"/>
                <w:color w:val="000000" w:themeColor="text1"/>
                <w:sz w:val="24"/>
                <w:szCs w:val="28"/>
                <w:lang w:eastAsia="zh-CN"/>
                <w14:textFill>
                  <w14:solidFill>
                    <w14:schemeClr w14:val="tx1"/>
                  </w14:solidFill>
                </w14:textFill>
              </w:rPr>
              <w:t>）</w:t>
            </w:r>
            <w:r>
              <w:rPr>
                <w:rFonts w:hint="default" w:ascii="Times New Roman" w:hAnsi="Times New Roman" w:cs="Times New Roman"/>
                <w:color w:val="000000" w:themeColor="text1"/>
                <w:sz w:val="24"/>
                <w:szCs w:val="28"/>
                <w14:textFill>
                  <w14:solidFill>
                    <w14:schemeClr w14:val="tx1"/>
                  </w14:solidFill>
                </w14:textFill>
              </w:rPr>
              <w:t>。</w:t>
            </w:r>
          </w:p>
          <w:p w14:paraId="5A4B3D7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lang w:eastAsia="zh-CN" w:bidi="ar"/>
                <w14:textFill>
                  <w14:solidFill>
                    <w14:schemeClr w14:val="tx1"/>
                  </w14:solidFill>
                </w14:textFill>
              </w:rPr>
              <w:t>一般固废</w:t>
            </w:r>
            <w:r>
              <w:rPr>
                <w:rFonts w:hint="default" w:ascii="Times New Roman" w:hAnsi="Times New Roman" w:cs="Times New Roman"/>
                <w:color w:val="000000" w:themeColor="text1"/>
                <w:sz w:val="24"/>
                <w:szCs w:val="28"/>
                <w:lang w:eastAsia="zh-CN"/>
                <w14:textFill>
                  <w14:solidFill>
                    <w14:schemeClr w14:val="tx1"/>
                  </w14:solidFill>
                </w14:textFill>
              </w:rPr>
              <w:t>（收尘灰、</w:t>
            </w:r>
            <w:r>
              <w:rPr>
                <w:rFonts w:hint="eastAsia" w:cs="Times New Roman"/>
                <w:color w:val="000000" w:themeColor="text1"/>
                <w:sz w:val="24"/>
                <w:szCs w:val="28"/>
                <w:lang w:eastAsia="zh-CN"/>
                <w14:textFill>
                  <w14:solidFill>
                    <w14:schemeClr w14:val="tx1"/>
                  </w14:solidFill>
                </w14:textFill>
              </w:rPr>
              <w:t>锅炉</w:t>
            </w:r>
            <w:r>
              <w:rPr>
                <w:rFonts w:hint="default" w:ascii="Times New Roman" w:hAnsi="Times New Roman" w:cs="Times New Roman"/>
                <w:color w:val="000000" w:themeColor="text1"/>
                <w:sz w:val="24"/>
                <w:szCs w:val="28"/>
                <w:lang w:val="en-US" w:eastAsia="zh-CN"/>
                <w14:textFill>
                  <w14:solidFill>
                    <w14:schemeClr w14:val="tx1"/>
                  </w14:solidFill>
                </w14:textFill>
              </w:rPr>
              <w:t>灰渣</w:t>
            </w:r>
            <w:r>
              <w:rPr>
                <w:rFonts w:hint="default" w:ascii="Times New Roman" w:hAnsi="Times New Roman" w:cs="Times New Roman"/>
                <w:color w:val="000000" w:themeColor="text1"/>
                <w:sz w:val="24"/>
                <w:szCs w:val="28"/>
                <w:lang w:eastAsia="zh-CN"/>
                <w14:textFill>
                  <w14:solidFill>
                    <w14:schemeClr w14:val="tx1"/>
                  </w14:solidFill>
                </w14:textFill>
              </w:rPr>
              <w:t>）</w:t>
            </w:r>
            <w:r>
              <w:rPr>
                <w:rFonts w:hint="eastAsia" w:cs="Times New Roman"/>
                <w:color w:val="000000" w:themeColor="text1"/>
                <w:sz w:val="24"/>
                <w:szCs w:val="28"/>
                <w:lang w:eastAsia="zh-CN"/>
                <w14:textFill>
                  <w14:solidFill>
                    <w14:schemeClr w14:val="tx1"/>
                  </w14:solidFill>
                </w14:textFill>
              </w:rPr>
              <w:t>收集</w:t>
            </w:r>
            <w:r>
              <w:rPr>
                <w:rFonts w:hint="default" w:ascii="Times New Roman" w:hAnsi="Times New Roman" w:cs="Times New Roman"/>
                <w:color w:val="000000" w:themeColor="text1"/>
                <w:sz w:val="24"/>
                <w:szCs w:val="28"/>
                <w:lang w:val="en-US" w:eastAsia="zh-CN"/>
                <w14:textFill>
                  <w14:solidFill>
                    <w14:schemeClr w14:val="tx1"/>
                  </w14:solidFill>
                </w14:textFill>
              </w:rPr>
              <w:t>至一般固废暂存区后</w:t>
            </w:r>
            <w:r>
              <w:rPr>
                <w:rFonts w:hint="eastAsia" w:cs="Times New Roman"/>
                <w:color w:val="000000" w:themeColor="text1"/>
                <w:sz w:val="24"/>
                <w:szCs w:val="28"/>
                <w:lang w:val="en-US" w:eastAsia="zh-CN"/>
                <w14:textFill>
                  <w14:solidFill>
                    <w14:schemeClr w14:val="tx1"/>
                  </w14:solidFill>
                </w14:textFill>
              </w:rPr>
              <w:t>用</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于农田改良</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w:t>
            </w:r>
            <w:r>
              <w:rPr>
                <w:rFonts w:hint="default" w:ascii="Times New Roman" w:hAnsi="Times New Roman" w:cs="Times New Roman"/>
                <w:color w:val="000000" w:themeColor="text1"/>
                <w:sz w:val="24"/>
                <w:szCs w:val="28"/>
                <w:lang w:val="en-US" w:eastAsia="zh-CN"/>
                <w14:textFill>
                  <w14:solidFill>
                    <w14:schemeClr w14:val="tx1"/>
                  </w14:solidFill>
                </w14:textFill>
              </w:rPr>
              <w:t>废包装</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集中收集至一般固废暂存区后外售</w:t>
            </w:r>
            <w:r>
              <w:rPr>
                <w:rFonts w:hint="eastAsia" w:cs="Times New Roman"/>
                <w:color w:val="000000" w:themeColor="text1"/>
                <w:sz w:val="24"/>
                <w:szCs w:val="28"/>
                <w:lang w:val="en-US" w:eastAsia="zh-CN"/>
                <w14:textFill>
                  <w14:solidFill>
                    <w14:schemeClr w14:val="tx1"/>
                  </w14:solidFill>
                </w14:textFill>
              </w:rPr>
              <w:t>给</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物资回收单位综合利用</w:t>
            </w:r>
            <w:r>
              <w:rPr>
                <w:rFonts w:hint="default" w:ascii="Times New Roman" w:hAnsi="Times New Roman" w:cs="Times New Roman"/>
                <w:bCs/>
                <w:color w:val="000000" w:themeColor="text1"/>
                <w:sz w:val="24"/>
                <w:lang w:bidi="ar"/>
                <w14:textFill>
                  <w14:solidFill>
                    <w14:schemeClr w14:val="tx1"/>
                  </w14:solidFill>
                </w14:textFill>
              </w:rPr>
              <w:t>。</w:t>
            </w:r>
          </w:p>
          <w:p w14:paraId="6A0726BC">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一般工业</w:t>
            </w:r>
            <w:r>
              <w:rPr>
                <w:rFonts w:hint="eastAsia" w:cs="Times New Roman"/>
                <w:color w:val="000000" w:themeColor="text1"/>
                <w:sz w:val="24"/>
                <w:lang w:eastAsia="zh-CN" w:bidi="ar"/>
                <w14:textFill>
                  <w14:solidFill>
                    <w14:schemeClr w14:val="tx1"/>
                  </w14:solidFill>
                </w14:textFill>
              </w:rPr>
              <w:t>固体废物</w:t>
            </w:r>
            <w:r>
              <w:rPr>
                <w:rFonts w:hint="default" w:ascii="Times New Roman" w:hAnsi="Times New Roman" w:eastAsia="宋体" w:cs="Times New Roman"/>
                <w:color w:val="000000" w:themeColor="text1"/>
                <w:sz w:val="24"/>
                <w:lang w:bidi="ar"/>
                <w14:textFill>
                  <w14:solidFill>
                    <w14:schemeClr w14:val="tx1"/>
                  </w14:solidFill>
                </w14:textFill>
              </w:rPr>
              <w:t>应执行《中华人民共和国固体废物污染环境防治法》中的有关规定，各类废物可分类收集、定点堆放在厂区内专设区域，同时定期外运处理，</w:t>
            </w:r>
            <w:r>
              <w:rPr>
                <w:rFonts w:hint="eastAsia" w:cs="Times New Roman"/>
                <w:color w:val="000000" w:themeColor="text1"/>
                <w:sz w:val="24"/>
                <w:lang w:eastAsia="zh-CN" w:bidi="ar"/>
                <w14:textFill>
                  <w14:solidFill>
                    <w14:schemeClr w14:val="tx1"/>
                  </w14:solidFill>
                </w14:textFill>
              </w:rPr>
              <w:t>供</w:t>
            </w:r>
            <w:r>
              <w:rPr>
                <w:rFonts w:hint="default" w:ascii="Times New Roman" w:hAnsi="Times New Roman" w:eastAsia="宋体" w:cs="Times New Roman"/>
                <w:color w:val="000000" w:themeColor="text1"/>
                <w:sz w:val="24"/>
                <w:lang w:bidi="ar"/>
                <w14:textFill>
                  <w14:solidFill>
                    <w14:schemeClr w14:val="tx1"/>
                  </w14:solidFill>
                </w14:textFill>
              </w:rPr>
              <w:t>物资回收</w:t>
            </w:r>
            <w:r>
              <w:rPr>
                <w:rFonts w:hint="eastAsia" w:cs="Times New Roman"/>
                <w:color w:val="000000" w:themeColor="text1"/>
                <w:sz w:val="24"/>
                <w:lang w:eastAsia="zh-CN" w:bidi="ar"/>
                <w14:textFill>
                  <w14:solidFill>
                    <w14:schemeClr w14:val="tx1"/>
                  </w14:solidFill>
                </w14:textFill>
              </w:rPr>
              <w:t>单位再</w:t>
            </w:r>
            <w:r>
              <w:rPr>
                <w:rFonts w:hint="default" w:ascii="Times New Roman" w:hAnsi="Times New Roman" w:eastAsia="宋体" w:cs="Times New Roman"/>
                <w:color w:val="000000" w:themeColor="text1"/>
                <w:sz w:val="24"/>
                <w:lang w:bidi="ar"/>
                <w14:textFill>
                  <w14:solidFill>
                    <w14:schemeClr w14:val="tx1"/>
                  </w14:solidFill>
                </w14:textFill>
              </w:rPr>
              <w:t>利用。</w:t>
            </w:r>
          </w:p>
          <w:p w14:paraId="0B980F5A">
            <w:pPr>
              <w:keepNext/>
              <w:keepLines/>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3</w:t>
            </w:r>
            <w:r>
              <w:rPr>
                <w:rFonts w:hint="eastAsia" w:cs="Times New Roman"/>
                <w:b/>
                <w:bCs w:val="0"/>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固体废物暂存</w:t>
            </w:r>
            <w:r>
              <w:rPr>
                <w:rFonts w:hint="eastAsia" w:cs="Times New Roman"/>
                <w:b/>
                <w:bCs w:val="0"/>
                <w:color w:val="000000" w:themeColor="text1"/>
                <w:sz w:val="24"/>
                <w:szCs w:val="28"/>
                <w:lang w:val="en-US" w:eastAsia="zh-CN"/>
                <w14:textFill>
                  <w14:solidFill>
                    <w14:schemeClr w14:val="tx1"/>
                  </w14:solidFill>
                </w14:textFill>
              </w:rPr>
              <w:t>设施</w:t>
            </w:r>
            <w:r>
              <w:rPr>
                <w:rFonts w:hint="default" w:ascii="Times New Roman" w:hAnsi="Times New Roman" w:eastAsia="宋体" w:cs="Times New Roman"/>
                <w:b/>
                <w:bCs w:val="0"/>
                <w:color w:val="000000" w:themeColor="text1"/>
                <w:sz w:val="24"/>
                <w:szCs w:val="28"/>
                <w:lang w:val="en-US" w:eastAsia="zh-CN"/>
                <w14:textFill>
                  <w14:solidFill>
                    <w14:schemeClr w14:val="tx1"/>
                  </w14:solidFill>
                </w14:textFill>
              </w:rPr>
              <w:t>可依托性分析</w:t>
            </w:r>
          </w:p>
          <w:p w14:paraId="0F94D82B">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本项目依托现有项目一般固废暂存区，占地面积20㎡，地面已水泥硬化，并张贴了一般固废的标识、标签，最大储存量可达</w:t>
            </w:r>
            <w:r>
              <w:rPr>
                <w:rFonts w:hint="eastAsia" w:ascii="Times New Roman" w:hAnsi="Times New Roman" w:eastAsia="宋体" w:cs="Times New Roman"/>
                <w:color w:val="000000" w:themeColor="text1"/>
                <w:sz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lang w:val="en-US" w:eastAsia="zh-CN"/>
                <w14:textFill>
                  <w14:solidFill>
                    <w14:schemeClr w14:val="tx1"/>
                  </w14:solidFill>
                </w14:textFill>
              </w:rPr>
              <w:t>t/次，</w:t>
            </w:r>
            <w:r>
              <w:rPr>
                <w:rFonts w:hint="eastAsia" w:ascii="Times New Roman" w:hAnsi="Times New Roman" w:eastAsia="宋体" w:cs="Times New Roman"/>
                <w:color w:val="000000" w:themeColor="text1"/>
                <w:sz w:val="24"/>
                <w:lang w:val="en-US" w:eastAsia="zh-CN"/>
                <w14:textFill>
                  <w14:solidFill>
                    <w14:schemeClr w14:val="tx1"/>
                  </w14:solidFill>
                </w14:textFill>
              </w:rPr>
              <w:t>与项目有关的</w:t>
            </w:r>
            <w:r>
              <w:rPr>
                <w:rFonts w:hint="default" w:ascii="Times New Roman" w:hAnsi="Times New Roman" w:eastAsia="宋体" w:cs="Times New Roman"/>
                <w:color w:val="000000" w:themeColor="text1"/>
                <w:sz w:val="24"/>
                <w:lang w:val="en-US" w:eastAsia="zh-CN"/>
                <w14:textFill>
                  <w14:solidFill>
                    <w14:schemeClr w14:val="tx1"/>
                  </w14:solidFill>
                </w14:textFill>
              </w:rPr>
              <w:t>原有项目一般固废产生量为</w:t>
            </w:r>
            <w:r>
              <w:rPr>
                <w:rFonts w:hint="eastAsia" w:ascii="Times New Roman" w:hAnsi="Times New Roman" w:eastAsia="宋体" w:cs="Times New Roman"/>
                <w:color w:val="000000" w:themeColor="text1"/>
                <w:sz w:val="24"/>
                <w:lang w:val="en-US" w:eastAsia="zh-CN"/>
                <w14:textFill>
                  <w14:solidFill>
                    <w14:schemeClr w14:val="tx1"/>
                  </w14:solidFill>
                </w14:textFill>
              </w:rPr>
              <w:t>19.1</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建成后全厂一般固废产生量为</w:t>
            </w:r>
            <w:r>
              <w:rPr>
                <w:rFonts w:hint="eastAsia" w:cs="Times New Roman"/>
                <w:color w:val="000000" w:themeColor="text1"/>
                <w:sz w:val="24"/>
                <w:lang w:val="en-US" w:eastAsia="zh-CN"/>
                <w14:textFill>
                  <w14:solidFill>
                    <w14:schemeClr w14:val="tx1"/>
                  </w14:solidFill>
                </w14:textFill>
              </w:rPr>
              <w:t>39.627</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增加</w:t>
            </w:r>
            <w:r>
              <w:rPr>
                <w:rFonts w:hint="eastAsia" w:cs="Times New Roman"/>
                <w:color w:val="000000" w:themeColor="text1"/>
                <w:sz w:val="24"/>
                <w:lang w:val="en-US" w:eastAsia="zh-CN"/>
                <w14:textFill>
                  <w14:solidFill>
                    <w14:schemeClr w14:val="tx1"/>
                  </w14:solidFill>
                </w14:textFill>
              </w:rPr>
              <w:t>20.507</w:t>
            </w:r>
            <w:r>
              <w:rPr>
                <w:rFonts w:hint="eastAsia"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lang w:val="en-US" w:eastAsia="zh-CN"/>
                <w14:textFill>
                  <w14:solidFill>
                    <w14:schemeClr w14:val="tx1"/>
                  </w14:solidFill>
                </w14:textFill>
              </w:rPr>
              <w:t>一般固废</w:t>
            </w:r>
            <w:r>
              <w:rPr>
                <w:rFonts w:hint="eastAsia" w:ascii="Times New Roman" w:hAnsi="Times New Roman" w:eastAsia="宋体" w:cs="Times New Roman"/>
                <w:color w:val="000000" w:themeColor="text1"/>
                <w:sz w:val="24"/>
                <w:lang w:val="en-US" w:eastAsia="zh-CN"/>
                <w14:textFill>
                  <w14:solidFill>
                    <w14:schemeClr w14:val="tx1"/>
                  </w14:solidFill>
                </w14:textFill>
              </w:rPr>
              <w:t>一般每半年</w:t>
            </w:r>
            <w:r>
              <w:rPr>
                <w:rFonts w:hint="default" w:ascii="Times New Roman" w:hAnsi="Times New Roman" w:eastAsia="宋体" w:cs="Times New Roman"/>
                <w:color w:val="000000" w:themeColor="text1"/>
                <w:sz w:val="24"/>
                <w:lang w:val="en-US" w:eastAsia="zh-CN"/>
                <w14:textFill>
                  <w14:solidFill>
                    <w14:schemeClr w14:val="tx1"/>
                  </w14:solidFill>
                </w14:textFill>
              </w:rPr>
              <w:t>会定期清运处置，且产生频次及时间不同，</w:t>
            </w:r>
            <w:r>
              <w:rPr>
                <w:rFonts w:hint="eastAsia" w:ascii="Times New Roman" w:hAnsi="Times New Roman" w:eastAsia="宋体" w:cs="Times New Roman"/>
                <w:color w:val="000000" w:themeColor="text1"/>
                <w:sz w:val="24"/>
                <w:lang w:val="en-US" w:eastAsia="zh-CN"/>
                <w14:textFill>
                  <w14:solidFill>
                    <w14:schemeClr w14:val="tx1"/>
                  </w14:solidFill>
                </w14:textFill>
              </w:rPr>
              <w:t>产生的一般固废及时清运，</w:t>
            </w:r>
            <w:r>
              <w:rPr>
                <w:rFonts w:hint="default" w:ascii="Times New Roman" w:hAnsi="Times New Roman" w:eastAsia="宋体" w:cs="Times New Roman"/>
                <w:color w:val="000000" w:themeColor="text1"/>
                <w:sz w:val="24"/>
                <w:lang w:val="en-US" w:eastAsia="zh-CN"/>
                <w14:textFill>
                  <w14:solidFill>
                    <w14:schemeClr w14:val="tx1"/>
                  </w14:solidFill>
                </w14:textFill>
              </w:rPr>
              <w:t>可满足扩建后整体项目产生的一般固废暂存量，可依托</w:t>
            </w:r>
            <w:r>
              <w:rPr>
                <w:rFonts w:hint="eastAsia" w:cs="Times New Roman"/>
                <w:color w:val="000000" w:themeColor="text1"/>
                <w:sz w:val="24"/>
                <w:lang w:val="en-US" w:eastAsia="zh-CN"/>
                <w14:textFill>
                  <w14:solidFill>
                    <w14:schemeClr w14:val="tx1"/>
                  </w14:solidFill>
                </w14:textFill>
              </w:rPr>
              <w:t>。</w:t>
            </w:r>
          </w:p>
          <w:p w14:paraId="6F241E8C">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因此，本项目产生的</w:t>
            </w:r>
            <w:r>
              <w:rPr>
                <w:rFonts w:hint="eastAsia" w:cs="Times New Roman"/>
                <w:color w:val="000000" w:themeColor="text1"/>
                <w:sz w:val="24"/>
                <w:lang w:val="en-US" w:eastAsia="zh-CN"/>
                <w14:textFill>
                  <w14:solidFill>
                    <w14:schemeClr w14:val="tx1"/>
                  </w14:solidFill>
                </w14:textFill>
              </w:rPr>
              <w:t>固体废物</w:t>
            </w:r>
            <w:r>
              <w:rPr>
                <w:rFonts w:hint="default" w:ascii="Times New Roman" w:hAnsi="Times New Roman" w:cs="Times New Roman"/>
                <w:color w:val="000000" w:themeColor="text1"/>
                <w:sz w:val="24"/>
                <w14:textFill>
                  <w14:solidFill>
                    <w14:schemeClr w14:val="tx1"/>
                  </w14:solidFill>
                </w14:textFill>
              </w:rPr>
              <w:t>去向明确，处置合理，</w:t>
            </w:r>
            <w:r>
              <w:rPr>
                <w:rFonts w:hint="eastAsia" w:cs="Times New Roman"/>
                <w:color w:val="000000" w:themeColor="text1"/>
                <w:sz w:val="24"/>
                <w:lang w:eastAsia="zh-CN"/>
                <w14:textFill>
                  <w14:solidFill>
                    <w14:schemeClr w14:val="tx1"/>
                  </w14:solidFill>
                </w14:textFill>
              </w:rPr>
              <w:t>能有效防止固体废物</w:t>
            </w:r>
            <w:r>
              <w:rPr>
                <w:rFonts w:hint="default" w:ascii="Times New Roman" w:hAnsi="Times New Roman" w:cs="Times New Roman"/>
                <w:color w:val="000000" w:themeColor="text1"/>
                <w:sz w:val="24"/>
                <w14:textFill>
                  <w14:solidFill>
                    <w14:schemeClr w14:val="tx1"/>
                  </w14:solidFill>
                </w14:textFill>
              </w:rPr>
              <w:t>逸散和对环境</w:t>
            </w:r>
            <w:r>
              <w:rPr>
                <w:rFonts w:hint="eastAsia" w:cs="Times New Roman"/>
                <w:color w:val="000000" w:themeColor="text1"/>
                <w:sz w:val="24"/>
                <w:lang w:eastAsia="zh-CN"/>
                <w14:textFill>
                  <w14:solidFill>
                    <w14:schemeClr w14:val="tx1"/>
                  </w14:solidFill>
                </w14:textFill>
              </w:rPr>
              <w:t>造成</w:t>
            </w:r>
            <w:r>
              <w:rPr>
                <w:rFonts w:hint="default" w:ascii="Times New Roman" w:hAnsi="Times New Roman" w:cs="Times New Roman"/>
                <w:color w:val="000000" w:themeColor="text1"/>
                <w:sz w:val="24"/>
                <w14:textFill>
                  <w14:solidFill>
                    <w14:schemeClr w14:val="tx1"/>
                  </w14:solidFill>
                </w14:textFill>
              </w:rPr>
              <w:t>二次污染，因此对周围环境影响很小。</w:t>
            </w:r>
          </w:p>
          <w:p w14:paraId="30F680FC">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五、土壤、地下水环境影响分析</w:t>
            </w:r>
          </w:p>
          <w:p w14:paraId="7B491D2B">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本项目不新增用水，不会引起地下水流场或地下水水位变化，不新增废水排放。项目废气污染物主要为SO</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、NOx、颗粒物，建设项目对各项污染物均采取了相应的环保措施，使各项污染物的排放量降至最低，不会</w:t>
            </w:r>
            <w:r>
              <w:rPr>
                <w:rFonts w:hint="eastAsia" w:cs="Times New Roman"/>
                <w:color w:val="000000" w:themeColor="text1"/>
                <w:sz w:val="24"/>
                <w:lang w:val="en-US" w:eastAsia="zh-CN"/>
                <w14:textFill>
                  <w14:solidFill>
                    <w14:schemeClr w14:val="tx1"/>
                  </w14:solidFill>
                </w14:textFill>
              </w:rPr>
              <w:t>对</w:t>
            </w:r>
            <w:r>
              <w:rPr>
                <w:rFonts w:hint="default" w:ascii="Times New Roman" w:hAnsi="Times New Roman" w:eastAsia="宋体" w:cs="Times New Roman"/>
                <w:color w:val="000000" w:themeColor="text1"/>
                <w:sz w:val="24"/>
                <w:lang w:val="en-US" w:eastAsia="zh-CN"/>
                <w14:textFill>
                  <w14:solidFill>
                    <w14:schemeClr w14:val="tx1"/>
                  </w14:solidFill>
                </w14:textFill>
              </w:rPr>
              <w:t>地下水和土壤造成较大危害。</w:t>
            </w:r>
          </w:p>
          <w:p w14:paraId="2209EAAC">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同时，企业按照“源头控制、分区防控、污染监控、应急响应”的原则，从污染物的产生、入渗、扩散、应急响应全阶段进行控制，积极推行清洁生产，减少污染物排放量；定期巡检，及时处理跑、冒、滴、漏，发现防渗防腐密封材料老化或损坏及时维修更换，发现地面裂隙及时修补。</w:t>
            </w:r>
          </w:p>
          <w:p w14:paraId="46191583">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采取以上措施后，可有效阻断项目生产活动与地下水间的水力联系，防止对项目周边地下水或通过下渗作用对周边土壤造成影响，对周围地下水、土壤的影响在可接受范围内。</w:t>
            </w:r>
          </w:p>
          <w:p w14:paraId="1772E81C">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六、环境风险</w:t>
            </w:r>
          </w:p>
          <w:p w14:paraId="314C366F">
            <w:pPr>
              <w:keepNext/>
              <w:keepLines/>
              <w:pageBreakBefore w:val="0"/>
              <w:widowControl/>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危险物质和风险等级评判</w:t>
            </w:r>
          </w:p>
          <w:p w14:paraId="24AB144F">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按照《建设项目环境风险评价技术导则》（HJ</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169-2018）</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根据建设项目涉及的物质和工艺系统的危险性及其所在地的环境敏感程度，结合事故情形下环境影响途径，对建设项目潜在环境危害程度进行概化分析，确定环境风险潜势。 </w:t>
            </w:r>
          </w:p>
          <w:p w14:paraId="4A895204">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依据《建设项目环境风险评价技术导则》（HJ</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169-2018）附录B.1、B.2和《危险化学品重大危险源辨识》（GB</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18218-2018），本项目不涉及环境风险物质，Q＜1，故环境风险潜势为I，风险评价等级为简单分析。</w:t>
            </w:r>
          </w:p>
          <w:p w14:paraId="006F20DC">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（2）可能影响环境的途径</w:t>
            </w:r>
          </w:p>
          <w:p w14:paraId="2DC4A766">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环保设施故障导致锅炉燃烧废气未经处理排入大气，导致污染周边大气环境</w:t>
            </w:r>
            <w:r>
              <w:rPr>
                <w:rFonts w:hint="eastAsia"/>
                <w:color w:val="000000" w:themeColor="text1"/>
                <w:kern w:val="0"/>
                <w:sz w:val="24"/>
                <w14:textFill>
                  <w14:solidFill>
                    <w14:schemeClr w14:val="tx1"/>
                  </w14:solidFill>
                </w14:textFill>
              </w:rPr>
              <w:t>。</w:t>
            </w:r>
          </w:p>
          <w:p w14:paraId="44D79AB9">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（3）环境风险防范措施</w:t>
            </w:r>
          </w:p>
          <w:p w14:paraId="5C1899CA">
            <w:pPr>
              <w:adjustRightInd w:val="0"/>
              <w:snapToGrid w:val="0"/>
              <w:spacing w:line="360" w:lineRule="auto"/>
              <w:ind w:firstLine="480" w:firstLineChars="200"/>
              <w:jc w:val="left"/>
              <w:rPr>
                <w:rFonts w:hint="default" w:ascii="Times New Roman" w:hAnsi="Times New Roman" w:eastAsia="Calibri"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eastAsia="Calibri" w:cs="Times New Roman"/>
                <w:b w:val="0"/>
                <w:bCs w:val="0"/>
                <w:color w:val="000000" w:themeColor="text1"/>
                <w:kern w:val="2"/>
                <w:sz w:val="24"/>
                <w:szCs w:val="24"/>
                <w:lang w:val="en-US" w:eastAsia="zh-CN" w:bidi="ar-SA"/>
                <w14:textFill>
                  <w14:solidFill>
                    <w14:schemeClr w14:val="tx1"/>
                  </w14:solidFill>
                </w14:textFill>
              </w:rPr>
              <w:t>安排专人定期对环保设施进行维护保养，确保正常运行，从源头降低风险源强。</w:t>
            </w:r>
          </w:p>
          <w:p w14:paraId="4CBD25CF">
            <w:pPr>
              <w:keepNext/>
              <w:keepLines/>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七、环保投资</w:t>
            </w:r>
          </w:p>
          <w:p w14:paraId="65E914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该项目环保投资</w:t>
            </w:r>
            <w:r>
              <w:rPr>
                <w:rFonts w:hint="eastAsia" w:cs="Times New Roman"/>
                <w:b w:val="0"/>
                <w:bCs/>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万元，占项目总投资</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25</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万元的</w:t>
            </w:r>
            <w:r>
              <w:rPr>
                <w:rFonts w:hint="eastAsia" w:cs="Times New Roman"/>
                <w:b w:val="0"/>
                <w:bCs/>
                <w:color w:val="000000" w:themeColor="text1"/>
                <w:kern w:val="0"/>
                <w:sz w:val="24"/>
                <w:szCs w:val="24"/>
                <w:lang w:val="en-US" w:eastAsia="zh-CN"/>
                <w14:textFill>
                  <w14:solidFill>
                    <w14:schemeClr w14:val="tx1"/>
                  </w14:solidFill>
                </w14:textFill>
              </w:rPr>
              <w:t>24</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%，具体见下表：</w:t>
            </w:r>
          </w:p>
          <w:p w14:paraId="33B64C7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建设项目环保设施投资一览表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021"/>
              <w:gridCol w:w="1483"/>
              <w:gridCol w:w="2746"/>
              <w:gridCol w:w="735"/>
              <w:gridCol w:w="1407"/>
            </w:tblGrid>
            <w:tr w14:paraId="16C4F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8" w:type="pct"/>
                  <w:gridSpan w:val="3"/>
                  <w:tcBorders>
                    <w:tl2br w:val="nil"/>
                    <w:tr2bl w:val="nil"/>
                  </w:tcBorders>
                  <w:noWrap w:val="0"/>
                  <w:vAlign w:val="center"/>
                </w:tcPr>
                <w:p w14:paraId="74916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t>名称</w:t>
                  </w:r>
                </w:p>
              </w:tc>
              <w:tc>
                <w:tcPr>
                  <w:tcW w:w="1624" w:type="pct"/>
                  <w:tcBorders>
                    <w:tl2br w:val="nil"/>
                    <w:tr2bl w:val="nil"/>
                  </w:tcBorders>
                  <w:noWrap w:val="0"/>
                  <w:vAlign w:val="center"/>
                </w:tcPr>
                <w:p w14:paraId="093B8A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t>环保设施</w:t>
                  </w:r>
                </w:p>
              </w:tc>
              <w:tc>
                <w:tcPr>
                  <w:tcW w:w="434" w:type="pct"/>
                  <w:tcBorders>
                    <w:tl2br w:val="nil"/>
                    <w:tr2bl w:val="nil"/>
                  </w:tcBorders>
                  <w:noWrap w:val="0"/>
                  <w:vAlign w:val="center"/>
                </w:tcPr>
                <w:p w14:paraId="4FBC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t>数量</w:t>
                  </w:r>
                </w:p>
              </w:tc>
              <w:tc>
                <w:tcPr>
                  <w:tcW w:w="832" w:type="pct"/>
                  <w:tcBorders>
                    <w:tl2br w:val="nil"/>
                    <w:tr2bl w:val="nil"/>
                  </w:tcBorders>
                  <w:noWrap w:val="0"/>
                  <w:vAlign w:val="center"/>
                </w:tcPr>
                <w:p w14:paraId="6D45F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vertAlign w:val="baseline"/>
                      <w:lang w:val="en-US" w:eastAsia="zh-CN"/>
                      <w14:textFill>
                        <w14:solidFill>
                          <w14:schemeClr w14:val="tx1"/>
                        </w14:solidFill>
                      </w14:textFill>
                    </w:rPr>
                    <w:t>投资（万元）</w:t>
                  </w:r>
                </w:p>
              </w:tc>
            </w:tr>
            <w:tr w14:paraId="30B20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restart"/>
                  <w:tcBorders>
                    <w:tl2br w:val="nil"/>
                    <w:tr2bl w:val="nil"/>
                  </w:tcBorders>
                  <w:noWrap w:val="0"/>
                  <w:vAlign w:val="center"/>
                </w:tcPr>
                <w:p w14:paraId="6B98DF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运营期</w:t>
                  </w:r>
                </w:p>
              </w:tc>
              <w:tc>
                <w:tcPr>
                  <w:tcW w:w="604" w:type="pct"/>
                  <w:vMerge w:val="restart"/>
                  <w:tcBorders>
                    <w:tl2br w:val="nil"/>
                    <w:tr2bl w:val="nil"/>
                  </w:tcBorders>
                  <w:noWrap w:val="0"/>
                  <w:vAlign w:val="center"/>
                </w:tcPr>
                <w:p w14:paraId="18A3C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废气</w:t>
                  </w:r>
                </w:p>
              </w:tc>
              <w:tc>
                <w:tcPr>
                  <w:tcW w:w="876" w:type="pct"/>
                  <w:vMerge w:val="restart"/>
                  <w:tcBorders>
                    <w:tl2br w:val="nil"/>
                    <w:tr2bl w:val="nil"/>
                  </w:tcBorders>
                  <w:noWrap w:val="0"/>
                  <w:vAlign w:val="center"/>
                </w:tcPr>
                <w:p w14:paraId="3B4C0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锅炉</w:t>
                  </w:r>
                  <w:r>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废气</w:t>
                  </w:r>
                </w:p>
              </w:tc>
              <w:tc>
                <w:tcPr>
                  <w:tcW w:w="1624" w:type="pct"/>
                  <w:tcBorders>
                    <w:tl2br w:val="nil"/>
                    <w:tr2bl w:val="nil"/>
                  </w:tcBorders>
                  <w:noWrap w:val="0"/>
                  <w:vAlign w:val="center"/>
                </w:tcPr>
                <w:p w14:paraId="7C54C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SNCR高温脱硝设施（炉内脱硝）</w:t>
                  </w:r>
                </w:p>
              </w:tc>
              <w:tc>
                <w:tcPr>
                  <w:tcW w:w="434" w:type="pct"/>
                  <w:tcBorders>
                    <w:tl2br w:val="nil"/>
                    <w:tr2bl w:val="nil"/>
                  </w:tcBorders>
                  <w:noWrap w:val="0"/>
                  <w:vAlign w:val="center"/>
                </w:tcPr>
                <w:p w14:paraId="6F2A14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1套</w:t>
                  </w:r>
                </w:p>
              </w:tc>
              <w:tc>
                <w:tcPr>
                  <w:tcW w:w="832" w:type="pct"/>
                  <w:tcBorders>
                    <w:tl2br w:val="nil"/>
                    <w:tr2bl w:val="nil"/>
                  </w:tcBorders>
                  <w:noWrap w:val="0"/>
                  <w:vAlign w:val="center"/>
                </w:tcPr>
                <w:p w14:paraId="373DDA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cs="Times New Roman"/>
                      <w:b w:val="0"/>
                      <w:bCs/>
                      <w:color w:val="000000" w:themeColor="text1"/>
                      <w:kern w:val="0"/>
                      <w:sz w:val="21"/>
                      <w:szCs w:val="21"/>
                      <w:vertAlign w:val="baseline"/>
                      <w:lang w:val="en-US" w:eastAsia="zh-CN"/>
                      <w14:textFill>
                        <w14:solidFill>
                          <w14:schemeClr w14:val="tx1"/>
                        </w14:solidFill>
                      </w14:textFill>
                    </w:rPr>
                    <w:t>2</w:t>
                  </w:r>
                </w:p>
              </w:tc>
            </w:tr>
            <w:tr w14:paraId="69582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continue"/>
                  <w:tcBorders>
                    <w:tl2br w:val="nil"/>
                    <w:tr2bl w:val="nil"/>
                  </w:tcBorders>
                  <w:noWrap w:val="0"/>
                  <w:vAlign w:val="center"/>
                </w:tcPr>
                <w:p w14:paraId="7EF19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p>
              </w:tc>
              <w:tc>
                <w:tcPr>
                  <w:tcW w:w="604" w:type="pct"/>
                  <w:vMerge w:val="continue"/>
                  <w:tcBorders>
                    <w:tl2br w:val="nil"/>
                    <w:tr2bl w:val="nil"/>
                  </w:tcBorders>
                  <w:noWrap w:val="0"/>
                  <w:vAlign w:val="center"/>
                </w:tcPr>
                <w:p w14:paraId="04A62F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p>
              </w:tc>
              <w:tc>
                <w:tcPr>
                  <w:tcW w:w="876" w:type="pct"/>
                  <w:vMerge w:val="continue"/>
                  <w:tcBorders>
                    <w:tl2br w:val="nil"/>
                    <w:tr2bl w:val="nil"/>
                  </w:tcBorders>
                  <w:noWrap w:val="0"/>
                  <w:vAlign w:val="center"/>
                </w:tcPr>
                <w:p w14:paraId="15DAA0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p>
              </w:tc>
              <w:tc>
                <w:tcPr>
                  <w:tcW w:w="1624" w:type="pct"/>
                  <w:tcBorders>
                    <w:tl2br w:val="nil"/>
                    <w:tr2bl w:val="nil"/>
                  </w:tcBorders>
                  <w:noWrap w:val="0"/>
                  <w:vAlign w:val="center"/>
                </w:tcPr>
                <w:p w14:paraId="29A492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高效袋式除尘器</w:t>
                  </w:r>
                </w:p>
              </w:tc>
              <w:tc>
                <w:tcPr>
                  <w:tcW w:w="434" w:type="pct"/>
                  <w:tcBorders>
                    <w:tl2br w:val="nil"/>
                    <w:tr2bl w:val="nil"/>
                  </w:tcBorders>
                  <w:noWrap w:val="0"/>
                  <w:vAlign w:val="center"/>
                </w:tcPr>
                <w:p w14:paraId="2D238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1套</w:t>
                  </w:r>
                </w:p>
              </w:tc>
              <w:tc>
                <w:tcPr>
                  <w:tcW w:w="832" w:type="pct"/>
                  <w:tcBorders>
                    <w:tl2br w:val="nil"/>
                    <w:tr2bl w:val="nil"/>
                  </w:tcBorders>
                  <w:noWrap w:val="0"/>
                  <w:vAlign w:val="center"/>
                </w:tcPr>
                <w:p w14:paraId="618D9A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cs="Times New Roman"/>
                      <w:b w:val="0"/>
                      <w:bCs/>
                      <w:color w:val="000000" w:themeColor="text1"/>
                      <w:kern w:val="0"/>
                      <w:sz w:val="21"/>
                      <w:szCs w:val="21"/>
                      <w:vertAlign w:val="baseline"/>
                      <w:lang w:val="en-US" w:eastAsia="zh-CN"/>
                      <w14:textFill>
                        <w14:solidFill>
                          <w14:schemeClr w14:val="tx1"/>
                        </w14:solidFill>
                      </w14:textFill>
                    </w:rPr>
                    <w:t>4</w:t>
                  </w:r>
                </w:p>
              </w:tc>
            </w:tr>
            <w:tr w14:paraId="1E117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27" w:type="pct"/>
                  <w:vMerge w:val="continue"/>
                  <w:tcBorders>
                    <w:tl2br w:val="nil"/>
                    <w:tr2bl w:val="nil"/>
                  </w:tcBorders>
                  <w:noWrap w:val="0"/>
                  <w:vAlign w:val="center"/>
                </w:tcPr>
                <w:p w14:paraId="2B5D9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p>
              </w:tc>
              <w:tc>
                <w:tcPr>
                  <w:tcW w:w="3540" w:type="pct"/>
                  <w:gridSpan w:val="4"/>
                  <w:tcBorders>
                    <w:tl2br w:val="nil"/>
                    <w:tr2bl w:val="nil"/>
                  </w:tcBorders>
                  <w:noWrap w:val="0"/>
                  <w:vAlign w:val="center"/>
                </w:tcPr>
                <w:p w14:paraId="730750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合计</w:t>
                  </w:r>
                </w:p>
              </w:tc>
              <w:tc>
                <w:tcPr>
                  <w:tcW w:w="832" w:type="pct"/>
                  <w:tcBorders>
                    <w:tl2br w:val="nil"/>
                    <w:tr2bl w:val="nil"/>
                  </w:tcBorders>
                  <w:noWrap w:val="0"/>
                  <w:vAlign w:val="center"/>
                </w:tcPr>
                <w:p w14:paraId="5EE5D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pPr>
                  <w:r>
                    <w:rPr>
                      <w:rFonts w:hint="eastAsia" w:cs="Times New Roman"/>
                      <w:b w:val="0"/>
                      <w:bCs/>
                      <w:color w:val="000000" w:themeColor="text1"/>
                      <w:kern w:val="0"/>
                      <w:sz w:val="21"/>
                      <w:szCs w:val="21"/>
                      <w:vertAlign w:val="baseline"/>
                      <w:lang w:val="en-US" w:eastAsia="zh-CN"/>
                      <w14:textFill>
                        <w14:solidFill>
                          <w14:schemeClr w14:val="tx1"/>
                        </w14:solidFill>
                      </w14:textFill>
                    </w:rPr>
                    <w:t>6</w:t>
                  </w:r>
                </w:p>
              </w:tc>
            </w:tr>
          </w:tbl>
          <w:p w14:paraId="257C7EBB">
            <w:pPr>
              <w:pStyle w:val="132"/>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t>八、改扩建</w:t>
            </w:r>
            <w:r>
              <w:rPr>
                <w:rFonts w:hint="default"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t>前后</w:t>
            </w:r>
            <w:r>
              <w:rPr>
                <w:rFonts w:hint="eastAsia" w:cs="Times New Roman" w:eastAsiaTheme="minorEastAsia"/>
                <w:b/>
                <w:bCs/>
                <w:color w:val="000000" w:themeColor="text1"/>
                <w:kern w:val="2"/>
                <w:sz w:val="24"/>
                <w:szCs w:val="32"/>
                <w:highlight w:val="none"/>
                <w:lang w:val="en-US" w:eastAsia="zh-CN" w:bidi="ar-SA"/>
                <w14:textFill>
                  <w14:solidFill>
                    <w14:schemeClr w14:val="tx1"/>
                  </w14:solidFill>
                </w14:textFill>
              </w:rPr>
              <w:t>锅炉</w:t>
            </w:r>
            <w:r>
              <w:rPr>
                <w:rFonts w:hint="default" w:ascii="Times New Roman" w:hAnsi="Times New Roman" w:cs="Times New Roman" w:eastAsiaTheme="minorEastAsia"/>
                <w:b/>
                <w:bCs/>
                <w:color w:val="000000" w:themeColor="text1"/>
                <w:kern w:val="2"/>
                <w:sz w:val="24"/>
                <w:szCs w:val="32"/>
                <w:highlight w:val="none"/>
                <w:lang w:val="en-US" w:eastAsia="zh-CN" w:bidi="ar-SA"/>
                <w14:textFill>
                  <w14:solidFill>
                    <w14:schemeClr w14:val="tx1"/>
                  </w14:solidFill>
                </w14:textFill>
              </w:rPr>
              <w:t>“三本账”分析</w:t>
            </w:r>
          </w:p>
          <w:p w14:paraId="1058FF57">
            <w:pPr>
              <w:spacing w:line="360" w:lineRule="auto"/>
              <w:ind w:firstLine="480" w:firstLineChars="200"/>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改建</w:t>
            </w:r>
            <w:r>
              <w:rPr>
                <w:rFonts w:hint="eastAsia" w:cs="Times New Roman" w:eastAsiaTheme="minorEastAsia"/>
                <w:color w:val="000000" w:themeColor="text1"/>
                <w:sz w:val="24"/>
                <w:szCs w:val="28"/>
                <w:highlight w:val="none"/>
                <w:lang w:val="en-US" w:eastAsia="zh-CN"/>
                <w14:textFill>
                  <w14:solidFill>
                    <w14:schemeClr w14:val="tx1"/>
                  </w14:solidFill>
                </w14:textFill>
              </w:rPr>
              <w:t>锅炉</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“三本账”分析见表</w:t>
            </w:r>
            <w:r>
              <w:rPr>
                <w:rFonts w:hint="eastAsia" w:ascii="Times New Roman" w:hAnsi="Times New Roman" w:cs="Times New Roman" w:eastAsiaTheme="minorEastAsia"/>
                <w:color w:val="000000" w:themeColor="text1"/>
                <w:sz w:val="24"/>
                <w:szCs w:val="28"/>
                <w:highlight w:val="none"/>
                <w:lang w:val="en-US" w:eastAsia="zh-CN"/>
                <w14:textFill>
                  <w14:solidFill>
                    <w14:schemeClr w14:val="tx1"/>
                  </w14:solidFill>
                </w14:textFill>
              </w:rPr>
              <w:t>4-11</w:t>
            </w:r>
            <w:r>
              <w:rPr>
                <w:rFonts w:hint="default" w:ascii="Times New Roman" w:hAnsi="Times New Roman" w:cs="Times New Roman" w:eastAsiaTheme="minorEastAsia"/>
                <w:color w:val="000000" w:themeColor="text1"/>
                <w:sz w:val="24"/>
                <w:szCs w:val="28"/>
                <w:highlight w:val="none"/>
                <w:lang w:eastAsia="zh-CN"/>
                <w14:textFill>
                  <w14:solidFill>
                    <w14:schemeClr w14:val="tx1"/>
                  </w14:solidFill>
                </w14:textFill>
              </w:rPr>
              <w:t>。</w:t>
            </w:r>
          </w:p>
          <w:p w14:paraId="133D80DB">
            <w:pPr>
              <w:pStyle w:val="167"/>
              <w:spacing w:before="110" w:after="78"/>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w:t>
            </w:r>
            <w:r>
              <w:rPr>
                <w:rFonts w:hint="eastAsia" w:ascii="Times New Roman" w:hAnsi="Times New Roman"/>
                <w:color w:val="000000" w:themeColor="text1"/>
                <w:szCs w:val="21"/>
                <w:lang w:val="en-US" w:eastAsia="zh-CN"/>
                <w14:textFill>
                  <w14:solidFill>
                    <w14:schemeClr w14:val="tx1"/>
                  </w14:solidFill>
                </w14:textFill>
              </w:rPr>
              <w:t>4-11</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lang w:val="en-US" w:eastAsia="zh-CN"/>
                <w14:textFill>
                  <w14:solidFill>
                    <w14:schemeClr w14:val="tx1"/>
                  </w14:solidFill>
                </w14:textFill>
              </w:rPr>
              <w:t>锅炉</w:t>
            </w:r>
            <w:r>
              <w:rPr>
                <w:rFonts w:ascii="Times New Roman" w:hAnsi="Times New Roman"/>
                <w:color w:val="000000" w:themeColor="text1"/>
                <w:szCs w:val="21"/>
                <w14:textFill>
                  <w14:solidFill>
                    <w14:schemeClr w14:val="tx1"/>
                  </w14:solidFill>
                </w14:textFill>
              </w:rPr>
              <w:t xml:space="preserve"> “三本账”分析表</w:t>
            </w:r>
          </w:p>
          <w:tbl>
            <w:tblPr>
              <w:tblStyle w:val="31"/>
              <w:tblW w:w="84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358"/>
              <w:gridCol w:w="961"/>
              <w:gridCol w:w="1027"/>
              <w:gridCol w:w="1061"/>
              <w:gridCol w:w="1439"/>
              <w:gridCol w:w="1107"/>
              <w:gridCol w:w="1075"/>
            </w:tblGrid>
            <w:tr w14:paraId="74EA4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27" w:type="dxa"/>
                  <w:noWrap w:val="0"/>
                  <w:vAlign w:val="center"/>
                </w:tcPr>
                <w:p w14:paraId="1732B252">
                  <w:pPr>
                    <w:pStyle w:val="94"/>
                    <w:snapToGrid w:val="0"/>
                    <w:spacing w:line="240" w:lineRule="atLeast"/>
                    <w:ind w:firstLine="0" w:firstLineChars="0"/>
                    <w:jc w:val="both"/>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类型</w:t>
                  </w:r>
                </w:p>
              </w:tc>
              <w:tc>
                <w:tcPr>
                  <w:tcW w:w="1358" w:type="dxa"/>
                  <w:noWrap w:val="0"/>
                  <w:vAlign w:val="center"/>
                </w:tcPr>
                <w:p w14:paraId="53D67EDC">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项目</w:t>
                  </w:r>
                </w:p>
              </w:tc>
              <w:tc>
                <w:tcPr>
                  <w:tcW w:w="961" w:type="dxa"/>
                  <w:noWrap w:val="0"/>
                  <w:vAlign w:val="center"/>
                </w:tcPr>
                <w:p w14:paraId="79D24F57">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单位</w:t>
                  </w:r>
                </w:p>
              </w:tc>
              <w:tc>
                <w:tcPr>
                  <w:tcW w:w="1027" w:type="dxa"/>
                  <w:noWrap w:val="0"/>
                  <w:vAlign w:val="center"/>
                </w:tcPr>
                <w:p w14:paraId="29AA48AD">
                  <w:pPr>
                    <w:pStyle w:val="94"/>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改建前</w:t>
                  </w:r>
                </w:p>
                <w:p w14:paraId="72D5C908">
                  <w:pPr>
                    <w:pStyle w:val="94"/>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排放量</w:t>
                  </w:r>
                  <w:r>
                    <w:rPr>
                      <w:rFonts w:hint="default" w:ascii="Times New Roman" w:hAnsi="Times New Roman" w:cs="Times New Roman"/>
                      <w:b/>
                      <w:bCs/>
                      <w:color w:val="000000" w:themeColor="text1"/>
                      <w:sz w:val="21"/>
                      <w:szCs w:val="21"/>
                      <w14:textFill>
                        <w14:solidFill>
                          <w14:schemeClr w14:val="tx1"/>
                        </w14:solidFill>
                      </w14:textFill>
                    </w:rPr>
                    <w:t>（固体废物产生量）</w:t>
                  </w:r>
                </w:p>
              </w:tc>
              <w:tc>
                <w:tcPr>
                  <w:tcW w:w="1061" w:type="dxa"/>
                  <w:noWrap w:val="0"/>
                  <w:vAlign w:val="center"/>
                </w:tcPr>
                <w:p w14:paraId="2DD3D593">
                  <w:pPr>
                    <w:pStyle w:val="94"/>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本项目</w:t>
                  </w:r>
                </w:p>
                <w:p w14:paraId="752D5CBC">
                  <w:pPr>
                    <w:pStyle w:val="94"/>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排放量</w:t>
                  </w:r>
                  <w:r>
                    <w:rPr>
                      <w:rFonts w:hint="default" w:ascii="Times New Roman" w:hAnsi="Times New Roman" w:cs="Times New Roman"/>
                      <w:b/>
                      <w:bCs/>
                      <w:color w:val="000000" w:themeColor="text1"/>
                      <w:sz w:val="21"/>
                      <w:szCs w:val="21"/>
                      <w14:textFill>
                        <w14:solidFill>
                          <w14:schemeClr w14:val="tx1"/>
                        </w14:solidFill>
                      </w14:textFill>
                    </w:rPr>
                    <w:t>（固体废物产生量）</w:t>
                  </w:r>
                </w:p>
              </w:tc>
              <w:tc>
                <w:tcPr>
                  <w:tcW w:w="1439" w:type="dxa"/>
                  <w:noWrap w:val="0"/>
                  <w:vAlign w:val="center"/>
                </w:tcPr>
                <w:p w14:paraId="220AC298">
                  <w:pPr>
                    <w:pStyle w:val="94"/>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改建后</w:t>
                  </w:r>
                </w:p>
                <w:p w14:paraId="69959746">
                  <w:pPr>
                    <w:pStyle w:val="94"/>
                    <w:snapToGrid w:val="0"/>
                    <w:spacing w:line="240" w:lineRule="atLeast"/>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全厂总排放量</w:t>
                  </w:r>
                  <w:r>
                    <w:rPr>
                      <w:rFonts w:hint="default" w:ascii="Times New Roman" w:hAnsi="Times New Roman" w:cs="Times New Roman"/>
                      <w:b/>
                      <w:bCs/>
                      <w:color w:val="000000" w:themeColor="text1"/>
                      <w:sz w:val="21"/>
                      <w:szCs w:val="21"/>
                      <w14:textFill>
                        <w14:solidFill>
                          <w14:schemeClr w14:val="tx1"/>
                        </w14:solidFill>
                      </w14:textFill>
                    </w:rPr>
                    <w:t>（固体废物产生量）</w:t>
                  </w:r>
                </w:p>
              </w:tc>
              <w:tc>
                <w:tcPr>
                  <w:tcW w:w="1107" w:type="dxa"/>
                  <w:noWrap w:val="0"/>
                  <w:vAlign w:val="center"/>
                </w:tcPr>
                <w:p w14:paraId="77B937A6">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以新带老削减量</w:t>
                  </w:r>
                </w:p>
              </w:tc>
              <w:tc>
                <w:tcPr>
                  <w:tcW w:w="1075" w:type="dxa"/>
                  <w:noWrap w:val="0"/>
                  <w:vAlign w:val="center"/>
                </w:tcPr>
                <w:p w14:paraId="2190F4CE">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改建前后变化量</w:t>
                  </w:r>
                </w:p>
              </w:tc>
            </w:tr>
            <w:tr w14:paraId="43B78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427" w:type="dxa"/>
                  <w:vMerge w:val="restart"/>
                  <w:noWrap w:val="0"/>
                  <w:vAlign w:val="center"/>
                </w:tcPr>
                <w:p w14:paraId="61C1C74B">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锅炉</w:t>
                  </w:r>
                  <w:r>
                    <w:rPr>
                      <w:rFonts w:ascii="Times New Roman" w:hAnsi="Times New Roman"/>
                      <w:b/>
                      <w:bCs/>
                      <w:color w:val="000000" w:themeColor="text1"/>
                      <w:sz w:val="21"/>
                      <w:szCs w:val="21"/>
                      <w14:textFill>
                        <w14:solidFill>
                          <w14:schemeClr w14:val="tx1"/>
                        </w14:solidFill>
                      </w14:textFill>
                    </w:rPr>
                    <w:t>废气</w:t>
                  </w:r>
                </w:p>
              </w:tc>
              <w:tc>
                <w:tcPr>
                  <w:tcW w:w="1358" w:type="dxa"/>
                  <w:noWrap w:val="0"/>
                  <w:vAlign w:val="center"/>
                </w:tcPr>
                <w:p w14:paraId="08F20C0B">
                  <w:pPr>
                    <w:pStyle w:val="94"/>
                    <w:snapToGrid w:val="0"/>
                    <w:spacing w:line="240" w:lineRule="atLeast"/>
                    <w:ind w:firstLine="0" w:firstLineChars="0"/>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961" w:type="dxa"/>
                  <w:noWrap w:val="0"/>
                  <w:vAlign w:val="center"/>
                </w:tcPr>
                <w:p w14:paraId="475AF50F">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30695E7F">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0.037</w:t>
                  </w:r>
                </w:p>
              </w:tc>
              <w:tc>
                <w:tcPr>
                  <w:tcW w:w="1061" w:type="dxa"/>
                  <w:noWrap w:val="0"/>
                  <w:vAlign w:val="center"/>
                </w:tcPr>
                <w:p w14:paraId="18037545">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16</w:t>
                  </w:r>
                </w:p>
              </w:tc>
              <w:tc>
                <w:tcPr>
                  <w:tcW w:w="1439" w:type="dxa"/>
                  <w:shd w:val="clear" w:color="auto" w:fill="auto"/>
                  <w:noWrap w:val="0"/>
                  <w:vAlign w:val="center"/>
                </w:tcPr>
                <w:p w14:paraId="07C7D062">
                  <w:pPr>
                    <w:pStyle w:val="94"/>
                    <w:snapToGrid w:val="0"/>
                    <w:spacing w:line="240" w:lineRule="atLeast"/>
                    <w:ind w:firstLine="0" w:firstLineChars="0"/>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16</w:t>
                  </w:r>
                </w:p>
              </w:tc>
              <w:tc>
                <w:tcPr>
                  <w:tcW w:w="1107" w:type="dxa"/>
                  <w:shd w:val="clear" w:color="auto" w:fill="auto"/>
                  <w:noWrap w:val="0"/>
                  <w:vAlign w:val="center"/>
                </w:tcPr>
                <w:p w14:paraId="683C23F2">
                  <w:pPr>
                    <w:adjustRightInd w:val="0"/>
                    <w:snapToGrid w:val="0"/>
                    <w:spacing w:line="240" w:lineRule="exact"/>
                    <w:ind w:firstLine="0" w:firstLineChars="0"/>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0.037</w:t>
                  </w:r>
                </w:p>
              </w:tc>
              <w:tc>
                <w:tcPr>
                  <w:tcW w:w="1075" w:type="dxa"/>
                  <w:noWrap w:val="0"/>
                  <w:vAlign w:val="center"/>
                </w:tcPr>
                <w:p w14:paraId="7BF66243">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w:t>
                  </w:r>
                  <w:r>
                    <w:rPr>
                      <w:rFonts w:hint="eastAsia"/>
                      <w:color w:val="000000" w:themeColor="text1"/>
                      <w:sz w:val="21"/>
                      <w:szCs w:val="21"/>
                      <w:lang w:val="en-US" w:eastAsia="zh-CN"/>
                      <w14:textFill>
                        <w14:solidFill>
                          <w14:schemeClr w14:val="tx1"/>
                        </w14:solidFill>
                      </w14:textFill>
                    </w:rPr>
                    <w:t>54</w:t>
                  </w:r>
                </w:p>
              </w:tc>
            </w:tr>
            <w:tr w14:paraId="54D1E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427" w:type="dxa"/>
                  <w:vMerge w:val="continue"/>
                  <w:noWrap w:val="0"/>
                  <w:vAlign w:val="center"/>
                </w:tcPr>
                <w:p w14:paraId="016A5986">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p>
              </w:tc>
              <w:tc>
                <w:tcPr>
                  <w:tcW w:w="1358" w:type="dxa"/>
                  <w:noWrap w:val="0"/>
                  <w:vAlign w:val="center"/>
                </w:tcPr>
                <w:p w14:paraId="6237E453">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二氧化硫</w:t>
                  </w:r>
                </w:p>
              </w:tc>
              <w:tc>
                <w:tcPr>
                  <w:tcW w:w="961" w:type="dxa"/>
                  <w:noWrap w:val="0"/>
                  <w:vAlign w:val="center"/>
                </w:tcPr>
                <w:p w14:paraId="1C2C8A17">
                  <w:pPr>
                    <w:pStyle w:val="94"/>
                    <w:snapToGrid w:val="0"/>
                    <w:spacing w:line="240" w:lineRule="atLeas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7ABD575B">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0.009</w:t>
                  </w:r>
                </w:p>
              </w:tc>
              <w:tc>
                <w:tcPr>
                  <w:tcW w:w="1061" w:type="dxa"/>
                  <w:noWrap w:val="0"/>
                  <w:vAlign w:val="center"/>
                </w:tcPr>
                <w:p w14:paraId="7B2D1AF4">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18</w:t>
                  </w:r>
                </w:p>
              </w:tc>
              <w:tc>
                <w:tcPr>
                  <w:tcW w:w="1439" w:type="dxa"/>
                  <w:shd w:val="clear" w:color="auto" w:fill="auto"/>
                  <w:noWrap w:val="0"/>
                  <w:vAlign w:val="center"/>
                </w:tcPr>
                <w:p w14:paraId="5040C29B">
                  <w:pPr>
                    <w:pStyle w:val="94"/>
                    <w:snapToGrid w:val="0"/>
                    <w:spacing w:line="240" w:lineRule="atLeast"/>
                    <w:ind w:firstLine="0" w:firstLineChars="0"/>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18</w:t>
                  </w:r>
                </w:p>
              </w:tc>
              <w:tc>
                <w:tcPr>
                  <w:tcW w:w="1107" w:type="dxa"/>
                  <w:shd w:val="clear" w:color="auto" w:fill="auto"/>
                  <w:noWrap w:val="0"/>
                  <w:vAlign w:val="center"/>
                </w:tcPr>
                <w:p w14:paraId="75042798">
                  <w:pPr>
                    <w:adjustRightInd w:val="0"/>
                    <w:snapToGrid w:val="0"/>
                    <w:spacing w:line="240" w:lineRule="exact"/>
                    <w:ind w:firstLine="0" w:firstLineChars="0"/>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0.009</w:t>
                  </w:r>
                </w:p>
              </w:tc>
              <w:tc>
                <w:tcPr>
                  <w:tcW w:w="1075" w:type="dxa"/>
                  <w:noWrap w:val="0"/>
                  <w:vAlign w:val="center"/>
                </w:tcPr>
                <w:p w14:paraId="558DC4AF">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72</w:t>
                  </w:r>
                </w:p>
              </w:tc>
            </w:tr>
            <w:tr w14:paraId="74BCD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427" w:type="dxa"/>
                  <w:vMerge w:val="continue"/>
                  <w:noWrap w:val="0"/>
                  <w:vAlign w:val="center"/>
                </w:tcPr>
                <w:p w14:paraId="2F524BF7">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p>
              </w:tc>
              <w:tc>
                <w:tcPr>
                  <w:tcW w:w="1358" w:type="dxa"/>
                  <w:noWrap w:val="0"/>
                  <w:vAlign w:val="center"/>
                </w:tcPr>
                <w:p w14:paraId="791627C1">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氮氧化物</w:t>
                  </w:r>
                </w:p>
              </w:tc>
              <w:tc>
                <w:tcPr>
                  <w:tcW w:w="961" w:type="dxa"/>
                  <w:noWrap w:val="0"/>
                  <w:vAlign w:val="center"/>
                </w:tcPr>
                <w:p w14:paraId="4D4B4E09">
                  <w:pPr>
                    <w:pStyle w:val="94"/>
                    <w:snapToGrid w:val="0"/>
                    <w:spacing w:line="240" w:lineRule="atLeas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25686E0B">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0.26</w:t>
                  </w:r>
                </w:p>
              </w:tc>
              <w:tc>
                <w:tcPr>
                  <w:tcW w:w="1061" w:type="dxa"/>
                  <w:noWrap w:val="0"/>
                  <w:vAlign w:val="center"/>
                </w:tcPr>
                <w:p w14:paraId="02C52154">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56</w:t>
                  </w:r>
                </w:p>
              </w:tc>
              <w:tc>
                <w:tcPr>
                  <w:tcW w:w="1439" w:type="dxa"/>
                  <w:shd w:val="clear" w:color="auto" w:fill="auto"/>
                  <w:noWrap w:val="0"/>
                  <w:vAlign w:val="center"/>
                </w:tcPr>
                <w:p w14:paraId="24E10899">
                  <w:pPr>
                    <w:pStyle w:val="94"/>
                    <w:snapToGrid w:val="0"/>
                    <w:spacing w:line="240" w:lineRule="atLeast"/>
                    <w:ind w:firstLine="0" w:firstLineChars="0"/>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56</w:t>
                  </w:r>
                </w:p>
              </w:tc>
              <w:tc>
                <w:tcPr>
                  <w:tcW w:w="1107" w:type="dxa"/>
                  <w:shd w:val="clear" w:color="auto" w:fill="auto"/>
                  <w:noWrap w:val="0"/>
                  <w:vAlign w:val="center"/>
                </w:tcPr>
                <w:p w14:paraId="31600F87">
                  <w:pPr>
                    <w:adjustRightInd w:val="0"/>
                    <w:snapToGrid w:val="0"/>
                    <w:spacing w:line="240" w:lineRule="exact"/>
                    <w:ind w:firstLine="0" w:firstLineChars="0"/>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0.26</w:t>
                  </w:r>
                </w:p>
              </w:tc>
              <w:tc>
                <w:tcPr>
                  <w:tcW w:w="1075" w:type="dxa"/>
                  <w:noWrap w:val="0"/>
                  <w:vAlign w:val="center"/>
                </w:tcPr>
                <w:p w14:paraId="6BA59727">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3</w:t>
                  </w:r>
                </w:p>
              </w:tc>
            </w:tr>
            <w:tr w14:paraId="4ADB0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427" w:type="dxa"/>
                  <w:vMerge w:val="continue"/>
                  <w:noWrap w:val="0"/>
                  <w:vAlign w:val="center"/>
                </w:tcPr>
                <w:p w14:paraId="1E78A4DA">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p>
              </w:tc>
              <w:tc>
                <w:tcPr>
                  <w:tcW w:w="1358" w:type="dxa"/>
                  <w:noWrap w:val="0"/>
                  <w:vAlign w:val="center"/>
                </w:tcPr>
                <w:p w14:paraId="3E451AB3">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氨</w:t>
                  </w:r>
                </w:p>
              </w:tc>
              <w:tc>
                <w:tcPr>
                  <w:tcW w:w="961" w:type="dxa"/>
                  <w:noWrap w:val="0"/>
                  <w:vAlign w:val="center"/>
                </w:tcPr>
                <w:p w14:paraId="16F59F9C">
                  <w:pPr>
                    <w:pStyle w:val="94"/>
                    <w:snapToGrid w:val="0"/>
                    <w:spacing w:line="240" w:lineRule="atLeas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7FC0B5A1">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061" w:type="dxa"/>
                  <w:noWrap w:val="0"/>
                  <w:vAlign w:val="center"/>
                </w:tcPr>
                <w:p w14:paraId="39885B24">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54</w:t>
                  </w:r>
                </w:p>
              </w:tc>
              <w:tc>
                <w:tcPr>
                  <w:tcW w:w="1439" w:type="dxa"/>
                  <w:shd w:val="clear" w:color="auto" w:fill="auto"/>
                  <w:noWrap w:val="0"/>
                  <w:vAlign w:val="center"/>
                </w:tcPr>
                <w:p w14:paraId="76EF3746">
                  <w:pPr>
                    <w:pStyle w:val="94"/>
                    <w:snapToGrid w:val="0"/>
                    <w:spacing w:line="240" w:lineRule="atLeast"/>
                    <w:ind w:firstLine="0" w:firstLineChars="0"/>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54</w:t>
                  </w:r>
                </w:p>
              </w:tc>
              <w:tc>
                <w:tcPr>
                  <w:tcW w:w="1107" w:type="dxa"/>
                  <w:shd w:val="clear" w:color="auto" w:fill="auto"/>
                  <w:noWrap w:val="0"/>
                  <w:vAlign w:val="center"/>
                </w:tcPr>
                <w:p w14:paraId="48DB6114">
                  <w:pPr>
                    <w:adjustRightInd w:val="0"/>
                    <w:snapToGrid w:val="0"/>
                    <w:spacing w:line="240" w:lineRule="exact"/>
                    <w:ind w:firstLine="0" w:firstLineChars="0"/>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075" w:type="dxa"/>
                  <w:noWrap w:val="0"/>
                  <w:vAlign w:val="center"/>
                </w:tcPr>
                <w:p w14:paraId="118C56C2">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54</w:t>
                  </w:r>
                </w:p>
              </w:tc>
            </w:tr>
            <w:tr w14:paraId="4F142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427" w:type="dxa"/>
                  <w:vMerge w:val="restart"/>
                  <w:noWrap w:val="0"/>
                  <w:vAlign w:val="center"/>
                </w:tcPr>
                <w:p w14:paraId="55CDD02B">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废水</w:t>
                  </w:r>
                </w:p>
              </w:tc>
              <w:tc>
                <w:tcPr>
                  <w:tcW w:w="1358" w:type="dxa"/>
                  <w:noWrap w:val="0"/>
                  <w:vAlign w:val="center"/>
                </w:tcPr>
                <w:p w14:paraId="2CE69B4F">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软水制备废水</w:t>
                  </w:r>
                </w:p>
              </w:tc>
              <w:tc>
                <w:tcPr>
                  <w:tcW w:w="961" w:type="dxa"/>
                  <w:noWrap w:val="0"/>
                  <w:vAlign w:val="center"/>
                </w:tcPr>
                <w:p w14:paraId="7DC80991">
                  <w:pPr>
                    <w:pStyle w:val="94"/>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7351CA24">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324</w:t>
                  </w:r>
                </w:p>
              </w:tc>
              <w:tc>
                <w:tcPr>
                  <w:tcW w:w="1061" w:type="dxa"/>
                  <w:noWrap w:val="0"/>
                  <w:vAlign w:val="center"/>
                </w:tcPr>
                <w:p w14:paraId="3A50097C">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w:t>
                  </w:r>
                </w:p>
              </w:tc>
              <w:tc>
                <w:tcPr>
                  <w:tcW w:w="1439" w:type="dxa"/>
                  <w:noWrap w:val="0"/>
                  <w:vAlign w:val="center"/>
                </w:tcPr>
                <w:p w14:paraId="254C45BC">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w:t>
                  </w:r>
                </w:p>
              </w:tc>
              <w:tc>
                <w:tcPr>
                  <w:tcW w:w="1107" w:type="dxa"/>
                  <w:noWrap w:val="0"/>
                  <w:vAlign w:val="center"/>
                </w:tcPr>
                <w:p w14:paraId="6C05B2AE">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324</w:t>
                  </w:r>
                </w:p>
              </w:tc>
              <w:tc>
                <w:tcPr>
                  <w:tcW w:w="1075" w:type="dxa"/>
                  <w:noWrap w:val="0"/>
                  <w:vAlign w:val="center"/>
                </w:tcPr>
                <w:p w14:paraId="49996EFB">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+276</w:t>
                  </w:r>
                </w:p>
              </w:tc>
            </w:tr>
            <w:tr w14:paraId="25070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427" w:type="dxa"/>
                  <w:vMerge w:val="continue"/>
                  <w:noWrap w:val="0"/>
                  <w:vAlign w:val="center"/>
                </w:tcPr>
                <w:p w14:paraId="30F85E18">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p>
              </w:tc>
              <w:tc>
                <w:tcPr>
                  <w:tcW w:w="1358" w:type="dxa"/>
                  <w:noWrap w:val="0"/>
                  <w:vAlign w:val="center"/>
                </w:tcPr>
                <w:p w14:paraId="5DB4E0CE">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锅炉排污水</w:t>
                  </w:r>
                </w:p>
              </w:tc>
              <w:tc>
                <w:tcPr>
                  <w:tcW w:w="961" w:type="dxa"/>
                  <w:noWrap w:val="0"/>
                  <w:vAlign w:val="center"/>
                </w:tcPr>
                <w:p w14:paraId="5BF081A8">
                  <w:pPr>
                    <w:pStyle w:val="94"/>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03B2DA55">
                  <w:pPr>
                    <w:pStyle w:val="94"/>
                    <w:snapToGrid w:val="0"/>
                    <w:spacing w:line="240" w:lineRule="atLeast"/>
                    <w:ind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061" w:type="dxa"/>
                  <w:noWrap w:val="0"/>
                  <w:vAlign w:val="center"/>
                </w:tcPr>
                <w:p w14:paraId="4D55BA07">
                  <w:pPr>
                    <w:pStyle w:val="94"/>
                    <w:snapToGrid w:val="0"/>
                    <w:spacing w:line="240" w:lineRule="atLeast"/>
                    <w:ind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439" w:type="dxa"/>
                  <w:noWrap w:val="0"/>
                  <w:vAlign w:val="center"/>
                </w:tcPr>
                <w:p w14:paraId="1E288160">
                  <w:pPr>
                    <w:pStyle w:val="94"/>
                    <w:snapToGrid w:val="0"/>
                    <w:spacing w:line="240" w:lineRule="atLeast"/>
                    <w:ind w:firstLine="0" w:firstLine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107" w:type="dxa"/>
                  <w:noWrap w:val="0"/>
                  <w:vAlign w:val="center"/>
                </w:tcPr>
                <w:p w14:paraId="5F79EAEF">
                  <w:pPr>
                    <w:pStyle w:val="94"/>
                    <w:snapToGrid w:val="0"/>
                    <w:spacing w:line="240" w:lineRule="atLeast"/>
                    <w:ind w:firstLine="0" w:firstLine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075" w:type="dxa"/>
                  <w:noWrap w:val="0"/>
                  <w:vAlign w:val="center"/>
                </w:tcPr>
                <w:p w14:paraId="07F09DA0">
                  <w:pPr>
                    <w:pStyle w:val="94"/>
                    <w:snapToGrid w:val="0"/>
                    <w:spacing w:line="240" w:lineRule="atLeast"/>
                    <w:ind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r>
            <w:tr w14:paraId="04625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vMerge w:val="restart"/>
                  <w:noWrap w:val="0"/>
                  <w:vAlign w:val="center"/>
                </w:tcPr>
                <w:p w14:paraId="07C2469C">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固废</w:t>
                  </w:r>
                </w:p>
              </w:tc>
              <w:tc>
                <w:tcPr>
                  <w:tcW w:w="1358" w:type="dxa"/>
                  <w:shd w:val="clear" w:color="auto" w:fill="auto"/>
                  <w:noWrap w:val="0"/>
                  <w:vAlign w:val="center"/>
                </w:tcPr>
                <w:p w14:paraId="275A395F">
                  <w:pPr>
                    <w:pStyle w:val="70"/>
                    <w:spacing w:beforeLines="0" w:afterLines="0"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包装废料</w:t>
                  </w:r>
                </w:p>
              </w:tc>
              <w:tc>
                <w:tcPr>
                  <w:tcW w:w="961" w:type="dxa"/>
                  <w:shd w:val="clear" w:color="auto" w:fill="auto"/>
                  <w:noWrap w:val="0"/>
                  <w:vAlign w:val="center"/>
                </w:tcPr>
                <w:p w14:paraId="2555286B">
                  <w:pPr>
                    <w:snapToGrid w:val="0"/>
                    <w:spacing w:line="240" w:lineRule="atLeast"/>
                    <w:ind w:firstLine="0" w:firstLineChars="0"/>
                    <w:jc w:val="center"/>
                    <w:rPr>
                      <w:rFonts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shd w:val="clear" w:color="auto" w:fill="auto"/>
                  <w:noWrap w:val="0"/>
                  <w:vAlign w:val="center"/>
                </w:tcPr>
                <w:p w14:paraId="1F244113">
                  <w:pPr>
                    <w:adjustRightInd w:val="0"/>
                    <w:snapToGrid w:val="0"/>
                    <w:spacing w:line="24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w:t>
                  </w:r>
                </w:p>
              </w:tc>
              <w:tc>
                <w:tcPr>
                  <w:tcW w:w="1061" w:type="dxa"/>
                  <w:shd w:val="clear" w:color="auto" w:fill="auto"/>
                  <w:noWrap w:val="0"/>
                  <w:vAlign w:val="center"/>
                </w:tcPr>
                <w:p w14:paraId="48469ED0">
                  <w:pPr>
                    <w:pStyle w:val="94"/>
                    <w:snapToGrid w:val="0"/>
                    <w:spacing w:line="240" w:lineRule="atLeast"/>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w:t>
                  </w:r>
                </w:p>
              </w:tc>
              <w:tc>
                <w:tcPr>
                  <w:tcW w:w="1439" w:type="dxa"/>
                  <w:shd w:val="clear" w:color="auto" w:fill="auto"/>
                  <w:noWrap w:val="0"/>
                  <w:vAlign w:val="center"/>
                </w:tcPr>
                <w:p w14:paraId="7A8B70DB">
                  <w:pPr>
                    <w:pStyle w:val="94"/>
                    <w:snapToGrid w:val="0"/>
                    <w:spacing w:line="240" w:lineRule="atLeast"/>
                    <w:ind w:firstLine="0" w:firstLineChars="0"/>
                    <w:rPr>
                      <w:rFonts w:hint="default"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w:t>
                  </w:r>
                </w:p>
              </w:tc>
              <w:tc>
                <w:tcPr>
                  <w:tcW w:w="1107" w:type="dxa"/>
                  <w:shd w:val="clear" w:color="auto" w:fill="auto"/>
                  <w:noWrap w:val="0"/>
                  <w:vAlign w:val="center"/>
                </w:tcPr>
                <w:p w14:paraId="183E0D16">
                  <w:pPr>
                    <w:adjustRightInd w:val="0"/>
                    <w:snapToGrid w:val="0"/>
                    <w:spacing w:line="240" w:lineRule="exact"/>
                    <w:ind w:firstLine="0" w:firstLineChars="0"/>
                    <w:jc w:val="center"/>
                    <w:rPr>
                      <w:rFonts w:hint="default" w:ascii="Times New Roman" w:hAnsi="Times New Roman" w:eastAsia="Calibri"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w:t>
                  </w:r>
                </w:p>
              </w:tc>
              <w:tc>
                <w:tcPr>
                  <w:tcW w:w="1075" w:type="dxa"/>
                  <w:shd w:val="clear" w:color="auto" w:fill="auto"/>
                  <w:noWrap w:val="0"/>
                  <w:vAlign w:val="center"/>
                </w:tcPr>
                <w:p w14:paraId="4A0DF1F5">
                  <w:pPr>
                    <w:pStyle w:val="94"/>
                    <w:snapToGrid w:val="0"/>
                    <w:spacing w:line="240" w:lineRule="atLeast"/>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1.077</w:t>
                  </w:r>
                </w:p>
              </w:tc>
            </w:tr>
            <w:tr w14:paraId="4B669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vMerge w:val="continue"/>
                  <w:noWrap w:val="0"/>
                  <w:vAlign w:val="center"/>
                </w:tcPr>
                <w:p w14:paraId="6BFB0759">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p>
              </w:tc>
              <w:tc>
                <w:tcPr>
                  <w:tcW w:w="1358" w:type="dxa"/>
                  <w:shd w:val="clear" w:color="auto" w:fill="auto"/>
                  <w:noWrap w:val="0"/>
                  <w:vAlign w:val="center"/>
                </w:tcPr>
                <w:p w14:paraId="159B1204">
                  <w:pPr>
                    <w:pStyle w:val="70"/>
                    <w:spacing w:beforeLines="0" w:afterLines="0" w:line="240" w:lineRule="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锅炉除尘灰</w:t>
                  </w:r>
                </w:p>
              </w:tc>
              <w:tc>
                <w:tcPr>
                  <w:tcW w:w="961" w:type="dxa"/>
                  <w:shd w:val="clear" w:color="auto" w:fill="auto"/>
                  <w:noWrap w:val="0"/>
                  <w:vAlign w:val="center"/>
                </w:tcPr>
                <w:p w14:paraId="14119754">
                  <w:pPr>
                    <w:snapToGrid w:val="0"/>
                    <w:spacing w:line="240" w:lineRule="atLeas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shd w:val="clear" w:color="auto" w:fill="auto"/>
                  <w:noWrap w:val="0"/>
                  <w:vAlign w:val="center"/>
                </w:tcPr>
                <w:p w14:paraId="6B1B39C5">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w:t>
                  </w:r>
                </w:p>
              </w:tc>
              <w:tc>
                <w:tcPr>
                  <w:tcW w:w="1061" w:type="dxa"/>
                  <w:shd w:val="clear" w:color="auto" w:fill="auto"/>
                  <w:noWrap w:val="0"/>
                  <w:vAlign w:val="center"/>
                </w:tcPr>
                <w:p w14:paraId="70C354F9">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0.54</w:t>
                  </w:r>
                </w:p>
              </w:tc>
              <w:tc>
                <w:tcPr>
                  <w:tcW w:w="1439" w:type="dxa"/>
                  <w:shd w:val="clear" w:color="auto" w:fill="auto"/>
                  <w:noWrap w:val="0"/>
                  <w:vAlign w:val="center"/>
                </w:tcPr>
                <w:p w14:paraId="25A0638A">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0.54</w:t>
                  </w:r>
                </w:p>
              </w:tc>
              <w:tc>
                <w:tcPr>
                  <w:tcW w:w="1107" w:type="dxa"/>
                  <w:shd w:val="clear" w:color="auto" w:fill="auto"/>
                  <w:noWrap w:val="0"/>
                  <w:vAlign w:val="center"/>
                </w:tcPr>
                <w:p w14:paraId="6A625FD1">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w:t>
                  </w:r>
                </w:p>
              </w:tc>
              <w:tc>
                <w:tcPr>
                  <w:tcW w:w="1075" w:type="dxa"/>
                  <w:shd w:val="clear" w:color="auto" w:fill="auto"/>
                  <w:noWrap w:val="0"/>
                  <w:vAlign w:val="center"/>
                </w:tcPr>
                <w:p w14:paraId="1E9BD953">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0.96</w:t>
                  </w:r>
                </w:p>
              </w:tc>
            </w:tr>
            <w:tr w14:paraId="7C60F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vMerge w:val="continue"/>
                  <w:noWrap w:val="0"/>
                  <w:vAlign w:val="center"/>
                </w:tcPr>
                <w:p w14:paraId="7CD4D0CC">
                  <w:pPr>
                    <w:pStyle w:val="94"/>
                    <w:snapToGrid w:val="0"/>
                    <w:spacing w:line="240" w:lineRule="atLeast"/>
                    <w:ind w:firstLine="0" w:firstLineChars="0"/>
                    <w:rPr>
                      <w:rFonts w:ascii="Times New Roman" w:hAnsi="Times New Roman"/>
                      <w:b/>
                      <w:bCs/>
                      <w:color w:val="000000" w:themeColor="text1"/>
                      <w:sz w:val="21"/>
                      <w:szCs w:val="21"/>
                      <w14:textFill>
                        <w14:solidFill>
                          <w14:schemeClr w14:val="tx1"/>
                        </w14:solidFill>
                      </w14:textFill>
                    </w:rPr>
                  </w:pPr>
                </w:p>
              </w:tc>
              <w:tc>
                <w:tcPr>
                  <w:tcW w:w="1358" w:type="dxa"/>
                  <w:shd w:val="clear" w:color="auto" w:fill="auto"/>
                  <w:noWrap w:val="0"/>
                  <w:vAlign w:val="center"/>
                </w:tcPr>
                <w:p w14:paraId="6639EC3F">
                  <w:pPr>
                    <w:pStyle w:val="70"/>
                    <w:spacing w:beforeLines="0" w:afterLines="0" w:line="240" w:lineRule="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锅炉灰渣</w:t>
                  </w:r>
                </w:p>
              </w:tc>
              <w:tc>
                <w:tcPr>
                  <w:tcW w:w="961" w:type="dxa"/>
                  <w:shd w:val="clear" w:color="auto" w:fill="auto"/>
                  <w:noWrap w:val="0"/>
                  <w:vAlign w:val="center"/>
                </w:tcPr>
                <w:p w14:paraId="1E8F3DDC">
                  <w:pPr>
                    <w:snapToGrid w:val="0"/>
                    <w:spacing w:line="240" w:lineRule="atLeas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/a</w:t>
                  </w:r>
                </w:p>
              </w:tc>
              <w:tc>
                <w:tcPr>
                  <w:tcW w:w="1027" w:type="dxa"/>
                  <w:shd w:val="clear" w:color="auto" w:fill="auto"/>
                  <w:noWrap w:val="0"/>
                  <w:vAlign w:val="center"/>
                </w:tcPr>
                <w:p w14:paraId="31DEE1B9">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12.6</w:t>
                  </w:r>
                </w:p>
              </w:tc>
              <w:tc>
                <w:tcPr>
                  <w:tcW w:w="1061" w:type="dxa"/>
                  <w:shd w:val="clear" w:color="auto" w:fill="auto"/>
                  <w:noWrap w:val="0"/>
                  <w:vAlign w:val="center"/>
                </w:tcPr>
                <w:p w14:paraId="5D4E7835">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32.97</w:t>
                  </w:r>
                </w:p>
              </w:tc>
              <w:tc>
                <w:tcPr>
                  <w:tcW w:w="1439" w:type="dxa"/>
                  <w:shd w:val="clear" w:color="auto" w:fill="auto"/>
                  <w:noWrap w:val="0"/>
                  <w:vAlign w:val="center"/>
                </w:tcPr>
                <w:p w14:paraId="6DB421EC">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32.97</w:t>
                  </w:r>
                </w:p>
              </w:tc>
              <w:tc>
                <w:tcPr>
                  <w:tcW w:w="1107" w:type="dxa"/>
                  <w:shd w:val="clear" w:color="auto" w:fill="auto"/>
                  <w:noWrap w:val="0"/>
                  <w:vAlign w:val="center"/>
                </w:tcPr>
                <w:p w14:paraId="2B07BDCC">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12.6</w:t>
                  </w:r>
                </w:p>
              </w:tc>
              <w:tc>
                <w:tcPr>
                  <w:tcW w:w="1075" w:type="dxa"/>
                  <w:shd w:val="clear" w:color="auto" w:fill="auto"/>
                  <w:noWrap w:val="0"/>
                  <w:vAlign w:val="center"/>
                </w:tcPr>
                <w:p w14:paraId="3B92A97C">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20.37</w:t>
                  </w:r>
                </w:p>
              </w:tc>
            </w:tr>
            <w:tr w14:paraId="79F4B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vMerge w:val="continue"/>
                  <w:noWrap w:val="0"/>
                  <w:vAlign w:val="center"/>
                </w:tcPr>
                <w:p w14:paraId="52D7A4D9">
                  <w:pPr>
                    <w:pStyle w:val="94"/>
                    <w:snapToGrid w:val="0"/>
                    <w:spacing w:line="240" w:lineRule="atLeast"/>
                    <w:ind w:firstLine="0" w:firstLineChars="0"/>
                    <w:rPr>
                      <w:rFonts w:ascii="Times New Roman" w:hAnsi="Times New Roman"/>
                      <w:color w:val="000000" w:themeColor="text1"/>
                      <w:sz w:val="21"/>
                      <w:szCs w:val="21"/>
                      <w14:textFill>
                        <w14:solidFill>
                          <w14:schemeClr w14:val="tx1"/>
                        </w14:solidFill>
                      </w14:textFill>
                    </w:rPr>
                  </w:pPr>
                </w:p>
              </w:tc>
              <w:tc>
                <w:tcPr>
                  <w:tcW w:w="1358" w:type="dxa"/>
                  <w:noWrap w:val="0"/>
                  <w:vAlign w:val="center"/>
                </w:tcPr>
                <w:p w14:paraId="01710792">
                  <w:pPr>
                    <w:pStyle w:val="70"/>
                    <w:spacing w:beforeLines="0" w:afterLines="0" w:line="240" w:lineRule="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废树脂</w:t>
                  </w:r>
                </w:p>
              </w:tc>
              <w:tc>
                <w:tcPr>
                  <w:tcW w:w="961" w:type="dxa"/>
                  <w:noWrap w:val="0"/>
                  <w:vAlign w:val="center"/>
                </w:tcPr>
                <w:p w14:paraId="19A22BB9">
                  <w:pPr>
                    <w:snapToGrid w:val="0"/>
                    <w:spacing w:line="240" w:lineRule="atLeas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a</w:t>
                  </w:r>
                </w:p>
              </w:tc>
              <w:tc>
                <w:tcPr>
                  <w:tcW w:w="1027" w:type="dxa"/>
                  <w:noWrap w:val="0"/>
                  <w:vAlign w:val="center"/>
                </w:tcPr>
                <w:p w14:paraId="14C97F85">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c>
                <w:tcPr>
                  <w:tcW w:w="1061" w:type="dxa"/>
                  <w:noWrap w:val="0"/>
                  <w:vAlign w:val="center"/>
                </w:tcPr>
                <w:p w14:paraId="023C6217">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w:t>
                  </w:r>
                </w:p>
              </w:tc>
              <w:tc>
                <w:tcPr>
                  <w:tcW w:w="1439" w:type="dxa"/>
                  <w:noWrap w:val="0"/>
                  <w:vAlign w:val="center"/>
                </w:tcPr>
                <w:p w14:paraId="71025368">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4</w:t>
                  </w:r>
                </w:p>
              </w:tc>
              <w:tc>
                <w:tcPr>
                  <w:tcW w:w="1107" w:type="dxa"/>
                  <w:noWrap w:val="0"/>
                  <w:vAlign w:val="center"/>
                </w:tcPr>
                <w:p w14:paraId="2B8F9597">
                  <w:pPr>
                    <w:adjustRightInd w:val="0"/>
                    <w:snapToGrid w:val="0"/>
                    <w:spacing w:line="240" w:lineRule="exact"/>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c>
                <w:tcPr>
                  <w:tcW w:w="1075" w:type="dxa"/>
                  <w:noWrap w:val="0"/>
                  <w:vAlign w:val="center"/>
                </w:tcPr>
                <w:p w14:paraId="24892EF4">
                  <w:pPr>
                    <w:pStyle w:val="94"/>
                    <w:snapToGrid w:val="0"/>
                    <w:spacing w:line="240" w:lineRule="atLeast"/>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r>
          </w:tbl>
          <w:p w14:paraId="783658C7">
            <w:pPr>
              <w:pStyle w:val="29"/>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9370FE4">
            <w:pPr>
              <w:pStyle w:val="29"/>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FC87130">
            <w:pPr>
              <w:pStyle w:val="29"/>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14:paraId="4B0BF65B">
            <w:pPr>
              <w:keepNext/>
              <w:keepLines/>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24"/>
                <w14:textFill>
                  <w14:solidFill>
                    <w14:schemeClr w14:val="tx1"/>
                  </w14:solidFill>
                </w14:textFill>
              </w:rPr>
            </w:pPr>
          </w:p>
          <w:p w14:paraId="199A9B7B">
            <w:pPr>
              <w:pStyle w:val="30"/>
              <w:rPr>
                <w:rFonts w:hint="default" w:ascii="Times New Roman" w:hAnsi="Times New Roman" w:cs="Times New Roman"/>
                <w:color w:val="000000" w:themeColor="text1"/>
                <w:sz w:val="24"/>
                <w:szCs w:val="24"/>
                <w14:textFill>
                  <w14:solidFill>
                    <w14:schemeClr w14:val="tx1"/>
                  </w14:solidFill>
                </w14:textFill>
              </w:rPr>
            </w:pPr>
          </w:p>
          <w:p w14:paraId="042D419D">
            <w:pPr>
              <w:rPr>
                <w:rFonts w:hint="default"/>
                <w:color w:val="000000" w:themeColor="text1"/>
                <w14:textFill>
                  <w14:solidFill>
                    <w14:schemeClr w14:val="tx1"/>
                  </w14:solidFill>
                </w14:textFill>
              </w:rPr>
            </w:pPr>
          </w:p>
        </w:tc>
      </w:tr>
    </w:tbl>
    <w:p w14:paraId="4F8C7A4A">
      <w:pPr>
        <w:adjustRightInd w:val="0"/>
        <w:snapToGrid w:val="0"/>
        <w:spacing w:line="360" w:lineRule="auto"/>
        <w:rPr>
          <w:rFonts w:hint="default" w:ascii="Times New Roman" w:hAnsi="Times New Roman"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B461745">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5"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5"/>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491"/>
        <w:gridCol w:w="1628"/>
        <w:gridCol w:w="2006"/>
        <w:gridCol w:w="2410"/>
      </w:tblGrid>
      <w:tr w14:paraId="576C6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tcBorders>
              <w:tl2br w:val="single" w:color="auto" w:sz="4" w:space="0"/>
            </w:tcBorders>
            <w:noWrap w:val="0"/>
            <w:vAlign w:val="top"/>
          </w:tcPr>
          <w:p w14:paraId="47A07738">
            <w:pPr>
              <w:adjustRightInd w:val="0"/>
              <w:snapToGrid w:val="0"/>
              <w:ind w:firstLine="84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内容</w:t>
            </w:r>
          </w:p>
          <w:p w14:paraId="7E842064">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要素</w:t>
            </w:r>
          </w:p>
        </w:tc>
        <w:tc>
          <w:tcPr>
            <w:tcW w:w="1491" w:type="dxa"/>
            <w:noWrap w:val="0"/>
            <w:vAlign w:val="center"/>
          </w:tcPr>
          <w:p w14:paraId="1511538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编号、名称</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/污染源</w:t>
            </w:r>
          </w:p>
        </w:tc>
        <w:tc>
          <w:tcPr>
            <w:tcW w:w="1628" w:type="dxa"/>
            <w:noWrap w:val="0"/>
            <w:vAlign w:val="center"/>
          </w:tcPr>
          <w:p w14:paraId="1FE25CB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污染物项目</w:t>
            </w:r>
          </w:p>
        </w:tc>
        <w:tc>
          <w:tcPr>
            <w:tcW w:w="2006" w:type="dxa"/>
            <w:noWrap w:val="0"/>
            <w:vAlign w:val="center"/>
          </w:tcPr>
          <w:p w14:paraId="24F73E2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环境保护措施</w:t>
            </w:r>
          </w:p>
        </w:tc>
        <w:tc>
          <w:tcPr>
            <w:tcW w:w="2410" w:type="dxa"/>
            <w:noWrap w:val="0"/>
            <w:vAlign w:val="center"/>
          </w:tcPr>
          <w:p w14:paraId="4B3938B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14:paraId="37F14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restart"/>
            <w:noWrap w:val="0"/>
            <w:vAlign w:val="center"/>
          </w:tcPr>
          <w:p w14:paraId="64E355B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1491" w:type="dxa"/>
            <w:vMerge w:val="restart"/>
            <w:noWrap w:val="0"/>
            <w:vAlign w:val="center"/>
          </w:tcPr>
          <w:p w14:paraId="5A9CB97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锅炉</w:t>
            </w:r>
          </w:p>
        </w:tc>
        <w:tc>
          <w:tcPr>
            <w:tcW w:w="1628" w:type="dxa"/>
            <w:noWrap w:val="0"/>
            <w:vAlign w:val="center"/>
          </w:tcPr>
          <w:p w14:paraId="2B5CFD6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颗粒物、</w:t>
            </w:r>
            <w:r>
              <w:rPr>
                <w:rFonts w:hint="default" w:ascii="Times New Roman" w:hAnsi="Times New Roman" w:cs="Times New Roman"/>
                <w:color w:val="000000" w:themeColor="text1"/>
                <w:szCs w:val="21"/>
                <w:lang w:val="en-US" w:eastAsia="zh-CN"/>
                <w14:textFill>
                  <w14:solidFill>
                    <w14:schemeClr w14:val="tx1"/>
                  </w14:solidFill>
                </w14:textFill>
              </w:rPr>
              <w:t>SO</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、NO</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X</w:t>
            </w:r>
          </w:p>
        </w:tc>
        <w:tc>
          <w:tcPr>
            <w:tcW w:w="2006" w:type="dxa"/>
            <w:vMerge w:val="restart"/>
            <w:noWrap w:val="0"/>
            <w:vAlign w:val="center"/>
          </w:tcPr>
          <w:p w14:paraId="123A916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SNCR高温脱硝设施（炉内脱硝）+高效袋式除尘器</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15米排气筒</w:t>
            </w:r>
            <w:r>
              <w:rPr>
                <w:rFonts w:hint="eastAsia" w:ascii="Times New Roman" w:hAnsi="Times New Roman" w:eastAsia="宋体" w:cs="Times New Roman"/>
                <w:color w:val="000000" w:themeColor="text1"/>
                <w:szCs w:val="21"/>
                <w:lang w:val="en-US" w:eastAsia="zh-CN"/>
                <w14:textFill>
                  <w14:solidFill>
                    <w14:schemeClr w14:val="tx1"/>
                  </w14:solidFill>
                </w14:textFill>
              </w:rPr>
              <w:t>（DA003）</w:t>
            </w:r>
          </w:p>
        </w:tc>
        <w:tc>
          <w:tcPr>
            <w:tcW w:w="2410" w:type="dxa"/>
            <w:noWrap w:val="0"/>
            <w:vAlign w:val="center"/>
          </w:tcPr>
          <w:p w14:paraId="689D947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《锅炉大气污染物排放标准》（DB</w:t>
            </w: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61/1226-2018）中表5</w:t>
            </w:r>
          </w:p>
        </w:tc>
      </w:tr>
      <w:tr w14:paraId="0D23A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noWrap w:val="0"/>
            <w:vAlign w:val="center"/>
          </w:tcPr>
          <w:p w14:paraId="4A2DA02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491" w:type="dxa"/>
            <w:vMerge w:val="continue"/>
            <w:noWrap w:val="0"/>
            <w:vAlign w:val="center"/>
          </w:tcPr>
          <w:p w14:paraId="32854C8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628" w:type="dxa"/>
            <w:noWrap w:val="0"/>
            <w:vAlign w:val="center"/>
          </w:tcPr>
          <w:p w14:paraId="7449AF5E">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林格曼黑度</w:t>
            </w:r>
          </w:p>
        </w:tc>
        <w:tc>
          <w:tcPr>
            <w:tcW w:w="2006" w:type="dxa"/>
            <w:vMerge w:val="continue"/>
            <w:noWrap w:val="0"/>
            <w:vAlign w:val="center"/>
          </w:tcPr>
          <w:p w14:paraId="17A95C4B">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p>
        </w:tc>
        <w:tc>
          <w:tcPr>
            <w:tcW w:w="2410" w:type="dxa"/>
            <w:noWrap w:val="0"/>
            <w:vAlign w:val="center"/>
          </w:tcPr>
          <w:p w14:paraId="06D6CC4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《锅炉大气污染物排放标准》（GB</w:t>
            </w:r>
            <w:r>
              <w:rPr>
                <w:rFonts w:hint="eastAsia" w:cs="Times New Roman"/>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Cs w:val="21"/>
                <w:lang w:val="en-US" w:eastAsia="zh-CN"/>
                <w14:textFill>
                  <w14:solidFill>
                    <w14:schemeClr w14:val="tx1"/>
                  </w14:solidFill>
                </w14:textFill>
              </w:rPr>
              <w:t>13271-2014）</w:t>
            </w:r>
          </w:p>
        </w:tc>
      </w:tr>
      <w:tr w14:paraId="57D06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noWrap w:val="0"/>
            <w:vAlign w:val="center"/>
          </w:tcPr>
          <w:p w14:paraId="526D476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491" w:type="dxa"/>
            <w:vMerge w:val="continue"/>
            <w:noWrap w:val="0"/>
            <w:vAlign w:val="center"/>
          </w:tcPr>
          <w:p w14:paraId="35E528B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628" w:type="dxa"/>
            <w:noWrap w:val="0"/>
            <w:vAlign w:val="center"/>
          </w:tcPr>
          <w:p w14:paraId="3D6F909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氨</w:t>
            </w:r>
          </w:p>
        </w:tc>
        <w:tc>
          <w:tcPr>
            <w:tcW w:w="2006" w:type="dxa"/>
            <w:noWrap w:val="0"/>
            <w:vAlign w:val="center"/>
          </w:tcPr>
          <w:p w14:paraId="55F2115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2410" w:type="dxa"/>
            <w:noWrap w:val="0"/>
            <w:vAlign w:val="center"/>
          </w:tcPr>
          <w:p w14:paraId="5249139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《火电厂烟气脱硝工程技术规范 选择性非催化还原法》（HJ </w:t>
            </w:r>
            <w:r>
              <w:rPr>
                <w:rFonts w:hint="eastAsia" w:cs="Times New Roman"/>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Cs w:val="21"/>
                <w:lang w:val="en-US" w:eastAsia="zh-CN"/>
                <w14:textFill>
                  <w14:solidFill>
                    <w14:schemeClr w14:val="tx1"/>
                  </w14:solidFill>
                </w14:textFill>
              </w:rPr>
              <w:t>563-2010）中控制限值≤8mg/m³</w:t>
            </w:r>
          </w:p>
        </w:tc>
      </w:tr>
      <w:tr w14:paraId="3494D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restart"/>
            <w:noWrap w:val="0"/>
            <w:vAlign w:val="center"/>
          </w:tcPr>
          <w:p w14:paraId="473CFA6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491" w:type="dxa"/>
            <w:noWrap w:val="0"/>
            <w:vAlign w:val="center"/>
          </w:tcPr>
          <w:p w14:paraId="5D6F647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尿素溶液用水</w:t>
            </w:r>
          </w:p>
        </w:tc>
        <w:tc>
          <w:tcPr>
            <w:tcW w:w="6044" w:type="dxa"/>
            <w:gridSpan w:val="3"/>
            <w:noWrap w:val="0"/>
            <w:vAlign w:val="center"/>
          </w:tcPr>
          <w:p w14:paraId="44F59C0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尿素溶液用水随设备运转蒸发损耗，无外排</w:t>
            </w:r>
            <w:r>
              <w:rPr>
                <w:rFonts w:hint="eastAsia" w:cs="Times New Roman"/>
                <w:color w:val="000000" w:themeColor="text1"/>
                <w:szCs w:val="21"/>
                <w:lang w:val="en-US" w:eastAsia="zh-CN"/>
                <w14:textFill>
                  <w14:solidFill>
                    <w14:schemeClr w14:val="tx1"/>
                  </w14:solidFill>
                </w14:textFill>
              </w:rPr>
              <w:t>。</w:t>
            </w:r>
          </w:p>
        </w:tc>
      </w:tr>
      <w:tr w14:paraId="005C5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noWrap w:val="0"/>
            <w:vAlign w:val="center"/>
          </w:tcPr>
          <w:p w14:paraId="40F4F1E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491" w:type="dxa"/>
            <w:noWrap w:val="0"/>
            <w:vAlign w:val="center"/>
          </w:tcPr>
          <w:p w14:paraId="7DDE703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软水制备废水（含锅炉排污水）</w:t>
            </w:r>
          </w:p>
        </w:tc>
        <w:tc>
          <w:tcPr>
            <w:tcW w:w="6044" w:type="dxa"/>
            <w:gridSpan w:val="3"/>
            <w:noWrap w:val="0"/>
            <w:vAlign w:val="center"/>
          </w:tcPr>
          <w:p w14:paraId="7A277BC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经厂内清水池收集后部分用于原有酿造冷却水和绿化用水，剩余部分拉运至上海中耀环保实业陕西有限公司进行处理。</w:t>
            </w:r>
          </w:p>
        </w:tc>
      </w:tr>
      <w:tr w14:paraId="7690E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noWrap w:val="0"/>
            <w:vAlign w:val="center"/>
          </w:tcPr>
          <w:p w14:paraId="341517E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491" w:type="dxa"/>
            <w:noWrap w:val="0"/>
            <w:vAlign w:val="center"/>
          </w:tcPr>
          <w:p w14:paraId="2EC2CD8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设备噪声</w:t>
            </w:r>
          </w:p>
        </w:tc>
        <w:tc>
          <w:tcPr>
            <w:tcW w:w="3634" w:type="dxa"/>
            <w:gridSpan w:val="2"/>
            <w:noWrap w:val="0"/>
            <w:vAlign w:val="center"/>
          </w:tcPr>
          <w:p w14:paraId="0F9999E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选用低噪声设备、基础减振</w:t>
            </w:r>
          </w:p>
        </w:tc>
        <w:tc>
          <w:tcPr>
            <w:tcW w:w="2410" w:type="dxa"/>
            <w:noWrap w:val="0"/>
            <w:vAlign w:val="center"/>
          </w:tcPr>
          <w:p w14:paraId="775F365A">
            <w:pPr>
              <w:adjustRightInd w:val="0"/>
              <w:snapToGrid w:val="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《工业企业厂界环境噪声排放标准</w:t>
            </w: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（GB</w:t>
            </w:r>
            <w:r>
              <w:rPr>
                <w:rFonts w:hint="eastAsia" w:cs="Times New Roman"/>
                <w:snapToGrid w:val="0"/>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12348-2008）</w:t>
            </w:r>
          </w:p>
          <w:p w14:paraId="48333474">
            <w:pPr>
              <w:adjustRightInd w:val="0"/>
              <w:snapToGrid w:val="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中的</w:t>
            </w: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类标准要求</w:t>
            </w:r>
            <w:r>
              <w:rPr>
                <w:rFonts w:hint="eastAsia" w:cs="Times New Roman"/>
                <w:snapToGrid w:val="0"/>
                <w:color w:val="000000" w:themeColor="text1"/>
                <w:kern w:val="2"/>
                <w:sz w:val="21"/>
                <w:szCs w:val="21"/>
                <w:lang w:val="en-US" w:eastAsia="zh-CN" w:bidi="ar-SA"/>
                <w14:textFill>
                  <w14:solidFill>
                    <w14:schemeClr w14:val="tx1"/>
                  </w14:solidFill>
                </w14:textFill>
              </w:rPr>
              <w:t>。</w:t>
            </w:r>
          </w:p>
        </w:tc>
      </w:tr>
      <w:tr w14:paraId="493AF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25" w:type="dxa"/>
            <w:vMerge w:val="restart"/>
            <w:noWrap w:val="0"/>
            <w:vAlign w:val="center"/>
          </w:tcPr>
          <w:p w14:paraId="28F359D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1491" w:type="dxa"/>
            <w:noWrap w:val="0"/>
            <w:vAlign w:val="center"/>
          </w:tcPr>
          <w:p w14:paraId="4DAE2A8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收尘灰</w:t>
            </w:r>
          </w:p>
        </w:tc>
        <w:tc>
          <w:tcPr>
            <w:tcW w:w="6044" w:type="dxa"/>
            <w:gridSpan w:val="3"/>
            <w:vMerge w:val="restart"/>
            <w:noWrap w:val="0"/>
            <w:vAlign w:val="center"/>
          </w:tcPr>
          <w:p w14:paraId="62E8EAAF">
            <w:pPr>
              <w:adjustRightInd w:val="0"/>
              <w:snapToGrid w:val="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集中收至一般固废暂存区（20</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）后</w:t>
            </w:r>
            <w:r>
              <w:rPr>
                <w:rFonts w:hint="eastAsia" w:cs="Times New Roman"/>
                <w:color w:val="000000" w:themeColor="text1"/>
                <w:szCs w:val="21"/>
                <w:lang w:val="en-US" w:eastAsia="zh-CN"/>
                <w14:textFill>
                  <w14:solidFill>
                    <w14:schemeClr w14:val="tx1"/>
                  </w14:solidFill>
                </w14:textFill>
              </w:rPr>
              <w:t>用于农田改良。</w:t>
            </w:r>
          </w:p>
        </w:tc>
      </w:tr>
      <w:tr w14:paraId="0E86F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25" w:type="dxa"/>
            <w:vMerge w:val="continue"/>
            <w:noWrap w:val="0"/>
            <w:vAlign w:val="center"/>
          </w:tcPr>
          <w:p w14:paraId="2D8EDD3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491" w:type="dxa"/>
            <w:noWrap w:val="0"/>
            <w:vAlign w:val="center"/>
          </w:tcPr>
          <w:p w14:paraId="3E21920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锅炉灰渣</w:t>
            </w:r>
          </w:p>
        </w:tc>
        <w:tc>
          <w:tcPr>
            <w:tcW w:w="6044" w:type="dxa"/>
            <w:gridSpan w:val="3"/>
            <w:vMerge w:val="continue"/>
            <w:noWrap w:val="0"/>
            <w:vAlign w:val="center"/>
          </w:tcPr>
          <w:p w14:paraId="02D3853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2A972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25" w:type="dxa"/>
            <w:vMerge w:val="continue"/>
            <w:noWrap w:val="0"/>
            <w:vAlign w:val="center"/>
          </w:tcPr>
          <w:p w14:paraId="196E65D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491" w:type="dxa"/>
            <w:noWrap w:val="0"/>
            <w:vAlign w:val="center"/>
          </w:tcPr>
          <w:p w14:paraId="0EDE794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废离子交换树脂</w:t>
            </w:r>
          </w:p>
        </w:tc>
        <w:tc>
          <w:tcPr>
            <w:tcW w:w="6044" w:type="dxa"/>
            <w:gridSpan w:val="3"/>
            <w:noWrap w:val="0"/>
            <w:vAlign w:val="center"/>
          </w:tcPr>
          <w:p w14:paraId="24A0653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每三年产生一次，由厂家直接带走。</w:t>
            </w:r>
          </w:p>
        </w:tc>
      </w:tr>
      <w:tr w14:paraId="19FE5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25" w:type="dxa"/>
            <w:vMerge w:val="continue"/>
            <w:noWrap w:val="0"/>
            <w:vAlign w:val="center"/>
          </w:tcPr>
          <w:p w14:paraId="32B09C8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491" w:type="dxa"/>
            <w:noWrap w:val="0"/>
            <w:vAlign w:val="center"/>
          </w:tcPr>
          <w:p w14:paraId="2D12A59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废包装</w:t>
            </w:r>
          </w:p>
        </w:tc>
        <w:tc>
          <w:tcPr>
            <w:tcW w:w="6044" w:type="dxa"/>
            <w:gridSpan w:val="3"/>
            <w:noWrap w:val="0"/>
            <w:vAlign w:val="center"/>
          </w:tcPr>
          <w:p w14:paraId="19723A9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收至一般固废暂存区（20㎡）后外售</w:t>
            </w:r>
            <w:r>
              <w:rPr>
                <w:rFonts w:hint="eastAsia" w:cs="Times New Roman"/>
                <w:color w:val="000000" w:themeColor="text1"/>
                <w:szCs w:val="21"/>
                <w:lang w:val="en-US" w:eastAsia="zh-CN"/>
                <w14:textFill>
                  <w14:solidFill>
                    <w14:schemeClr w14:val="tx1"/>
                  </w14:solidFill>
                </w14:textFill>
              </w:rPr>
              <w:t>至</w:t>
            </w:r>
            <w:r>
              <w:rPr>
                <w:rFonts w:hint="default" w:ascii="Times New Roman" w:hAnsi="Times New Roman" w:eastAsia="宋体" w:cs="Times New Roman"/>
                <w:color w:val="000000" w:themeColor="text1"/>
                <w:szCs w:val="21"/>
                <w:lang w:val="en-US" w:eastAsia="zh-CN"/>
                <w14:textFill>
                  <w14:solidFill>
                    <w14:schemeClr w14:val="tx1"/>
                  </w14:solidFill>
                </w14:textFill>
              </w:rPr>
              <w:t>物资回收单位综合利用</w:t>
            </w:r>
            <w:r>
              <w:rPr>
                <w:rFonts w:hint="default" w:ascii="Times New Roman" w:hAnsi="Times New Roman" w:eastAsia="宋体" w:cs="Times New Roman"/>
                <w:color w:val="000000" w:themeColor="text1"/>
                <w:szCs w:val="21"/>
                <w14:textFill>
                  <w14:solidFill>
                    <w14:schemeClr w14:val="tx1"/>
                  </w14:solidFill>
                </w14:textFill>
              </w:rPr>
              <w:t>；</w:t>
            </w:r>
          </w:p>
        </w:tc>
      </w:tr>
      <w:tr w14:paraId="6B54F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noWrap w:val="0"/>
            <w:vAlign w:val="center"/>
          </w:tcPr>
          <w:p w14:paraId="74F3857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土壤及地下水</w:t>
            </w:r>
          </w:p>
          <w:p w14:paraId="42260AE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污染防治措施</w:t>
            </w:r>
          </w:p>
        </w:tc>
        <w:tc>
          <w:tcPr>
            <w:tcW w:w="7535" w:type="dxa"/>
            <w:gridSpan w:val="4"/>
            <w:noWrap w:val="0"/>
            <w:vAlign w:val="center"/>
          </w:tcPr>
          <w:p w14:paraId="6E7E354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对可能产生地下水、土壤影响的各种可能途径均进行有效预防，确保各项防渗措施落实，并加强日常维护。项目各环节废气均已采取废气处理设施进行处理；厂区内均已硬化，大气沉降作用不明显；固体废物分类收集</w:t>
            </w:r>
          </w:p>
        </w:tc>
      </w:tr>
      <w:tr w14:paraId="70AAE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noWrap w:val="0"/>
            <w:vAlign w:val="center"/>
          </w:tcPr>
          <w:p w14:paraId="2B99399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生态保护措施</w:t>
            </w:r>
          </w:p>
        </w:tc>
        <w:tc>
          <w:tcPr>
            <w:tcW w:w="7535" w:type="dxa"/>
            <w:gridSpan w:val="4"/>
            <w:noWrap w:val="0"/>
            <w:vAlign w:val="center"/>
          </w:tcPr>
          <w:p w14:paraId="0DEEF9A1">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4A284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noWrap w:val="0"/>
            <w:vAlign w:val="center"/>
          </w:tcPr>
          <w:p w14:paraId="2FEE6960">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环境风险</w:t>
            </w:r>
          </w:p>
          <w:p w14:paraId="314C52E2">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防范措施</w:t>
            </w:r>
          </w:p>
        </w:tc>
        <w:tc>
          <w:tcPr>
            <w:tcW w:w="7535" w:type="dxa"/>
            <w:gridSpan w:val="4"/>
            <w:noWrap w:val="0"/>
            <w:vAlign w:val="center"/>
          </w:tcPr>
          <w:p w14:paraId="3CABBEDE">
            <w:pPr>
              <w:numPr>
                <w:ilvl w:val="0"/>
                <w:numId w:val="0"/>
              </w:num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严格遵守“三同时”制度，建设单位不得私自停用环保设施，应对环保设施、生产设备、电线线路及设备线路定期维护和检修，使各处理设施处于完备有效的状态，以保证处理效率和污染物达标排放；</w:t>
            </w:r>
          </w:p>
          <w:p w14:paraId="5FE5C9AB">
            <w:pPr>
              <w:numPr>
                <w:ilvl w:val="0"/>
                <w:numId w:val="0"/>
              </w:num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加强对生物质原料的使用及贮存过程的管理，贮存地点避免明火；加强危险废物管理，对危险废物进行安全分类存放，定期委托有资质单位处置，避免在厂区储存时间过长；</w:t>
            </w:r>
          </w:p>
          <w:p w14:paraId="1DAE896B">
            <w:pPr>
              <w:adjustRightInd w:val="0"/>
              <w:snapToGrid w:val="0"/>
              <w:jc w:val="both"/>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加强操作人员的岗位培训，严格遵守安全生产操作规范。做好环境风险应急预案，准备充足的灭火器、灭火沙、应急电源等应急物资。</w:t>
            </w:r>
          </w:p>
        </w:tc>
      </w:tr>
      <w:tr w14:paraId="598B0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noWrap w:val="0"/>
            <w:vAlign w:val="center"/>
          </w:tcPr>
          <w:p w14:paraId="3433D2AF">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其他环境</w:t>
            </w:r>
          </w:p>
          <w:p w14:paraId="16F57572">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管理要求</w:t>
            </w:r>
          </w:p>
        </w:tc>
        <w:tc>
          <w:tcPr>
            <w:tcW w:w="7535" w:type="dxa"/>
            <w:gridSpan w:val="4"/>
            <w:noWrap w:val="0"/>
            <w:vAlign w:val="center"/>
          </w:tcPr>
          <w:p w14:paraId="67DD42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2"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环境管理</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要求</w:t>
            </w:r>
          </w:p>
          <w:p w14:paraId="31889D6F">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eastAsia" w:cs="Times New Roman"/>
                <w:color w:val="000000" w:themeColor="text1"/>
                <w:kern w:val="0"/>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企业信息公开</w:t>
            </w:r>
          </w:p>
          <w:p w14:paraId="20524EE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根据《企业事业单位环境信息公开办法》（</w:t>
            </w:r>
            <w:r>
              <w:rPr>
                <w:rFonts w:hint="eastAsia" w:cs="Times New Roman"/>
                <w:color w:val="000000" w:themeColor="text1"/>
                <w:kern w:val="0"/>
                <w:szCs w:val="21"/>
                <w:lang w:val="en-US" w:eastAsia="zh-CN"/>
                <w14:textFill>
                  <w14:solidFill>
                    <w14:schemeClr w14:val="tx1"/>
                  </w14:solidFill>
                </w14:textFill>
              </w:rPr>
              <w:t>原</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环保部令第31号）的规定，企业事业单位应当按照强制公开和自愿公开相结合的原则，及时、如实地公开其环境信息。如环境信息涉及国家秘密、商业秘密或者个人隐私的，依法可以不公开；</w:t>
            </w:r>
          </w:p>
          <w:p w14:paraId="4CF217A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法律法规另有规定的，从其规定。企业事业单位应当建立健全本单位环境信息公开制度，指定机构负责本单位环境信息公开日常工作。</w:t>
            </w:r>
          </w:p>
          <w:p w14:paraId="094D0367">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排污口规范化</w:t>
            </w:r>
          </w:p>
          <w:p w14:paraId="00F2911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根据国家环保总局《排污口规范化整治技术要求（试行）》（环监【1996】470 号）的相关规定，企业所有排放口，必须按照“便于计量监测、便于日常现场监督检查”的规范化要求，设置与之相适应的环境保护图形标志牌，绘制企业排污口分布图，对治理设施安装运行监控装置，以便环境监管部门监管。</w:t>
            </w:r>
          </w:p>
          <w:p w14:paraId="7717E530">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3</w:t>
            </w:r>
            <w:r>
              <w:rPr>
                <w:rFonts w:hint="eastAsia" w:cs="Times New Roman"/>
                <w:color w:val="000000" w:themeColor="text1"/>
                <w:kern w:val="0"/>
                <w:szCs w:val="21"/>
                <w:lang w:val="en-US" w:eastAsia="zh-CN"/>
                <w14:textFill>
                  <w14:solidFill>
                    <w14:schemeClr w14:val="tx1"/>
                  </w14:solidFill>
                </w14:textFill>
              </w:rPr>
              <w:t>.自行</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监测计划；</w:t>
            </w:r>
          </w:p>
          <w:p w14:paraId="407142AD">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4</w:t>
            </w:r>
            <w:r>
              <w:rPr>
                <w:rFonts w:hint="eastAsia" w:cs="Times New Roman"/>
                <w:color w:val="000000" w:themeColor="text1"/>
                <w:kern w:val="0"/>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填报排污许可证；</w:t>
            </w:r>
          </w:p>
          <w:p w14:paraId="03FE58A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5</w:t>
            </w:r>
            <w:r>
              <w:rPr>
                <w:rFonts w:hint="eastAsia" w:cs="Times New Roman"/>
                <w:color w:val="000000" w:themeColor="text1"/>
                <w:kern w:val="0"/>
                <w:szCs w:val="21"/>
                <w:lang w:val="en-US" w:eastAsia="zh-CN"/>
                <w14:textFill>
                  <w14:solidFill>
                    <w14:schemeClr w14:val="tx1"/>
                  </w14:solidFill>
                </w14:textFill>
              </w:rPr>
              <w:t>.修订</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突发环境事件应急预案。</w:t>
            </w:r>
          </w:p>
          <w:p w14:paraId="63F6B4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223C33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2FC983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109727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0EFD242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19BA25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567FD1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054CBA0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221F8F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57F7B4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78E1FC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1A82FB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412607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6B1217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25ADE0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292D92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0B73182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6CA411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3C4DA6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170AF1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68DBE5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69253B8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0317F1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p w14:paraId="04E7134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00" w:themeColor="text1"/>
                <w:szCs w:val="21"/>
                <w14:textFill>
                  <w14:solidFill>
                    <w14:schemeClr w14:val="tx1"/>
                  </w14:solidFill>
                </w14:textFill>
              </w:rPr>
            </w:pPr>
          </w:p>
        </w:tc>
      </w:tr>
    </w:tbl>
    <w:p w14:paraId="5F834489">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DE112E1">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139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4" w:hRule="atLeast"/>
        </w:trPr>
        <w:tc>
          <w:tcPr>
            <w:tcW w:w="9060" w:type="dxa"/>
            <w:noWrap w:val="0"/>
            <w:vAlign w:val="top"/>
          </w:tcPr>
          <w:p w14:paraId="6AFAFCAD">
            <w:pPr>
              <w:widowControl/>
              <w:adjustRightInd w:val="0"/>
              <w:spacing w:line="360" w:lineRule="auto"/>
              <w:ind w:firstLine="480" w:firstLineChars="200"/>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从环境影响的角度分析，项目建设环境影响是可行的。</w:t>
            </w:r>
          </w:p>
          <w:p w14:paraId="01C38492">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6" w:name="_GoBack"/>
            <w:bookmarkEnd w:id="6"/>
          </w:p>
        </w:tc>
      </w:tr>
    </w:tbl>
    <w:p w14:paraId="0F858C8A">
      <w:pPr>
        <w:pStyle w:val="26"/>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1573615">
      <w:pPr>
        <w:pStyle w:val="26"/>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p>
    <w:tbl>
      <w:tblPr>
        <w:tblStyle w:val="31"/>
        <w:tblpPr w:leftFromText="180" w:rightFromText="180" w:vertAnchor="text" w:tblpY="1"/>
        <w:tblOverlap w:val="never"/>
        <w:tblW w:w="1363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750"/>
        <w:gridCol w:w="1422"/>
        <w:gridCol w:w="1123"/>
        <w:gridCol w:w="1663"/>
        <w:gridCol w:w="1524"/>
        <w:gridCol w:w="1722"/>
        <w:gridCol w:w="1593"/>
        <w:gridCol w:w="1286"/>
      </w:tblGrid>
      <w:tr w14:paraId="516AE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tcBorders>
              <w:tl2br w:val="single" w:color="auto" w:sz="4" w:space="0"/>
            </w:tcBorders>
            <w:noWrap w:val="0"/>
            <w:tcMar>
              <w:left w:w="28" w:type="dxa"/>
              <w:right w:w="28" w:type="dxa"/>
            </w:tcMar>
            <w:vAlign w:val="center"/>
          </w:tcPr>
          <w:p w14:paraId="00533F21">
            <w:pPr>
              <w:pStyle w:val="70"/>
              <w:spacing w:beforeLines="0" w:afterLines="0" w:line="240" w:lineRule="auto"/>
              <w:jc w:val="right"/>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项目</w:t>
            </w:r>
          </w:p>
          <w:p w14:paraId="3F73F833">
            <w:pPr>
              <w:pStyle w:val="70"/>
              <w:spacing w:beforeLines="0" w:afterLines="0" w:line="240" w:lineRule="auto"/>
              <w:jc w:val="left"/>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分类</w:t>
            </w:r>
          </w:p>
        </w:tc>
        <w:tc>
          <w:tcPr>
            <w:tcW w:w="1750" w:type="dxa"/>
            <w:noWrap w:val="0"/>
            <w:tcMar>
              <w:left w:w="28" w:type="dxa"/>
              <w:right w:w="28" w:type="dxa"/>
            </w:tcMar>
            <w:vAlign w:val="center"/>
          </w:tcPr>
          <w:p w14:paraId="621BA258">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污染物名称</w:t>
            </w:r>
          </w:p>
        </w:tc>
        <w:tc>
          <w:tcPr>
            <w:tcW w:w="1422" w:type="dxa"/>
            <w:noWrap w:val="0"/>
            <w:tcMar>
              <w:left w:w="28" w:type="dxa"/>
              <w:right w:w="28" w:type="dxa"/>
            </w:tcMar>
            <w:vAlign w:val="center"/>
          </w:tcPr>
          <w:p w14:paraId="19399004">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现有工程</w:t>
            </w:r>
          </w:p>
          <w:p w14:paraId="3971F6B3">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kern w:val="2"/>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tc>
        <w:tc>
          <w:tcPr>
            <w:tcW w:w="1123" w:type="dxa"/>
            <w:noWrap w:val="0"/>
            <w:tcMar>
              <w:left w:w="28" w:type="dxa"/>
              <w:right w:w="28" w:type="dxa"/>
            </w:tcMar>
            <w:vAlign w:val="center"/>
          </w:tcPr>
          <w:p w14:paraId="21F9501B">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现有工程</w:t>
            </w:r>
          </w:p>
          <w:p w14:paraId="00F9C781">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许可排放量</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snapToGrid w:val="0"/>
                <w:color w:val="000000" w:themeColor="text1"/>
                <w:spacing w:val="-6"/>
                <w:kern w:val="21"/>
                <w:szCs w:val="21"/>
                <w14:textFill>
                  <w14:solidFill>
                    <w14:schemeClr w14:val="tx1"/>
                  </w14:solidFill>
                </w14:textFill>
              </w:rPr>
              <w:t>②</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tc>
        <w:tc>
          <w:tcPr>
            <w:tcW w:w="1663" w:type="dxa"/>
            <w:noWrap w:val="0"/>
            <w:tcMar>
              <w:left w:w="28" w:type="dxa"/>
              <w:right w:w="28" w:type="dxa"/>
            </w:tcMar>
            <w:vAlign w:val="center"/>
          </w:tcPr>
          <w:p w14:paraId="7BAD8B86">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在建工程</w:t>
            </w:r>
          </w:p>
          <w:p w14:paraId="341E56A8">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kern w:val="2"/>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tc>
        <w:tc>
          <w:tcPr>
            <w:tcW w:w="1524" w:type="dxa"/>
            <w:noWrap w:val="0"/>
            <w:tcMar>
              <w:left w:w="28" w:type="dxa"/>
              <w:right w:w="28" w:type="dxa"/>
            </w:tcMar>
            <w:vAlign w:val="center"/>
          </w:tcPr>
          <w:p w14:paraId="3B59AFCD">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本项目</w:t>
            </w:r>
          </w:p>
          <w:p w14:paraId="0C23392C">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kern w:val="2"/>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tc>
        <w:tc>
          <w:tcPr>
            <w:tcW w:w="1722" w:type="dxa"/>
            <w:noWrap w:val="0"/>
            <w:tcMar>
              <w:left w:w="28" w:type="dxa"/>
              <w:right w:w="28" w:type="dxa"/>
            </w:tcMar>
            <w:vAlign w:val="center"/>
          </w:tcPr>
          <w:p w14:paraId="73646CB1">
            <w:pPr>
              <w:pStyle w:val="70"/>
              <w:spacing w:beforeLines="0" w:afterLines="0" w:line="240" w:lineRule="auto"/>
              <w:rPr>
                <w:rFonts w:hint="default" w:ascii="Times New Roman" w:hAnsi="Times New Roman" w:cs="Times New Roman"/>
                <w:snapToGrid w:val="0"/>
                <w:color w:val="000000" w:themeColor="text1"/>
                <w:spacing w:val="-16"/>
                <w:kern w:val="21"/>
                <w:szCs w:val="21"/>
                <w14:textFill>
                  <w14:solidFill>
                    <w14:schemeClr w14:val="tx1"/>
                  </w14:solidFill>
                </w14:textFill>
              </w:rPr>
            </w:pPr>
            <w:r>
              <w:rPr>
                <w:rFonts w:hint="default" w:ascii="Times New Roman" w:hAnsi="Times New Roman" w:cs="Times New Roman"/>
                <w:snapToGrid w:val="0"/>
                <w:color w:val="000000" w:themeColor="text1"/>
                <w:spacing w:val="-16"/>
                <w:kern w:val="21"/>
                <w:szCs w:val="21"/>
                <w14:textFill>
                  <w14:solidFill>
                    <w14:schemeClr w14:val="tx1"/>
                  </w14:solidFill>
                </w14:textFill>
              </w:rPr>
              <w:t>以新带老削减量</w:t>
            </w:r>
          </w:p>
          <w:p w14:paraId="5F003B99">
            <w:pPr>
              <w:pStyle w:val="70"/>
              <w:spacing w:beforeLines="0" w:afterLines="0" w:line="240" w:lineRule="auto"/>
              <w:rPr>
                <w:rFonts w:hint="default" w:ascii="Times New Roman" w:hAnsi="Times New Roman" w:cs="Times New Roman"/>
                <w:snapToGrid w:val="0"/>
                <w:color w:val="000000" w:themeColor="text1"/>
                <w:spacing w:val="-16"/>
                <w:kern w:val="21"/>
                <w:szCs w:val="21"/>
                <w14:textFill>
                  <w14:solidFill>
                    <w14:schemeClr w14:val="tx1"/>
                  </w14:solidFill>
                </w14:textFill>
              </w:rPr>
            </w:pPr>
            <w:r>
              <w:rPr>
                <w:rFonts w:hint="default" w:ascii="Times New Roman" w:hAnsi="Times New Roman"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kern w:val="2"/>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p>
        </w:tc>
        <w:tc>
          <w:tcPr>
            <w:tcW w:w="1593" w:type="dxa"/>
            <w:noWrap w:val="0"/>
            <w:tcMar>
              <w:left w:w="28" w:type="dxa"/>
              <w:right w:w="28" w:type="dxa"/>
            </w:tcMar>
            <w:vAlign w:val="center"/>
          </w:tcPr>
          <w:p w14:paraId="5B4642E9">
            <w:pPr>
              <w:pStyle w:val="70"/>
              <w:spacing w:beforeLines="0" w:afterLines="0" w:line="240" w:lineRule="auto"/>
              <w:rPr>
                <w:rFonts w:hint="default" w:ascii="Times New Roman" w:hAnsi="Times New Roman" w:cs="Times New Roman"/>
                <w:snapToGrid w:val="0"/>
                <w:color w:val="000000" w:themeColor="text1"/>
                <w:spacing w:val="-16"/>
                <w:kern w:val="21"/>
                <w:szCs w:val="21"/>
                <w14:textFill>
                  <w14:solidFill>
                    <w14:schemeClr w14:val="tx1"/>
                  </w14:solidFill>
                </w14:textFill>
              </w:rPr>
            </w:pPr>
            <w:r>
              <w:rPr>
                <w:rFonts w:hint="default" w:ascii="Times New Roman" w:hAnsi="Times New Roman" w:cs="Times New Roman"/>
                <w:snapToGrid w:val="0"/>
                <w:color w:val="000000" w:themeColor="text1"/>
                <w:spacing w:val="-16"/>
                <w:kern w:val="21"/>
                <w:szCs w:val="21"/>
                <w14:textFill>
                  <w14:solidFill>
                    <w14:schemeClr w14:val="tx1"/>
                  </w14:solidFill>
                </w14:textFill>
              </w:rPr>
              <w:t>本项目建成后</w:t>
            </w:r>
          </w:p>
          <w:p w14:paraId="7169C24C">
            <w:pPr>
              <w:pStyle w:val="70"/>
              <w:spacing w:beforeLines="0" w:afterLines="0" w:line="240" w:lineRule="auto"/>
              <w:rPr>
                <w:rFonts w:hint="default" w:ascii="Times New Roman" w:hAnsi="Times New Roman" w:cs="Times New Roman"/>
                <w:snapToGrid w:val="0"/>
                <w:color w:val="000000" w:themeColor="text1"/>
                <w:spacing w:val="-16"/>
                <w:kern w:val="21"/>
                <w:szCs w:val="21"/>
                <w14:textFill>
                  <w14:solidFill>
                    <w14:schemeClr w14:val="tx1"/>
                  </w14:solidFill>
                </w14:textFill>
              </w:rPr>
            </w:pPr>
            <w:r>
              <w:rPr>
                <w:rFonts w:hint="default" w:ascii="Times New Roman" w:hAnsi="Times New Roman"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kern w:val="2"/>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p>
        </w:tc>
        <w:tc>
          <w:tcPr>
            <w:tcW w:w="1286" w:type="dxa"/>
            <w:noWrap w:val="0"/>
            <w:tcMar>
              <w:left w:w="28" w:type="dxa"/>
              <w:right w:w="28" w:type="dxa"/>
            </w:tcMar>
            <w:vAlign w:val="center"/>
          </w:tcPr>
          <w:p w14:paraId="3042AA3B">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t>变化量</w:t>
            </w:r>
          </w:p>
          <w:p w14:paraId="2C59BA2A">
            <w:pPr>
              <w:pStyle w:val="70"/>
              <w:spacing w:beforeLines="0" w:afterLines="0" w:line="240" w:lineRule="auto"/>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kern w:val="2"/>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tc>
      </w:tr>
      <w:tr w14:paraId="04F71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restart"/>
            <w:noWrap w:val="0"/>
            <w:vAlign w:val="center"/>
          </w:tcPr>
          <w:p w14:paraId="76CD4E75">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废气</w:t>
            </w:r>
          </w:p>
        </w:tc>
        <w:tc>
          <w:tcPr>
            <w:tcW w:w="1750" w:type="dxa"/>
            <w:noWrap w:val="0"/>
            <w:vAlign w:val="center"/>
          </w:tcPr>
          <w:p w14:paraId="6F1C467F">
            <w:pPr>
              <w:pStyle w:val="7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颗粒物</w:t>
            </w:r>
          </w:p>
        </w:tc>
        <w:tc>
          <w:tcPr>
            <w:tcW w:w="1422" w:type="dxa"/>
            <w:noWrap w:val="0"/>
            <w:vAlign w:val="center"/>
          </w:tcPr>
          <w:p w14:paraId="3A835440">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0.037</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123" w:type="dxa"/>
            <w:noWrap w:val="0"/>
            <w:vAlign w:val="center"/>
          </w:tcPr>
          <w:p w14:paraId="293DAB05">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0F92D52F">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7EDE4D16">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16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1A55097E">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0.037t/a</w:t>
            </w:r>
          </w:p>
        </w:tc>
        <w:tc>
          <w:tcPr>
            <w:tcW w:w="1593" w:type="dxa"/>
            <w:noWrap w:val="0"/>
            <w:vAlign w:val="center"/>
          </w:tcPr>
          <w:p w14:paraId="149E4B28">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16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6A33E46E">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-0.03</w:t>
            </w:r>
            <w:r>
              <w:rPr>
                <w:rFonts w:hint="eastAsia" w:cs="Times New Roman"/>
                <w:snapToGrid w:val="0"/>
                <w:color w:val="000000" w:themeColor="text1"/>
                <w:kern w:val="21"/>
                <w:szCs w:val="21"/>
                <w:lang w:val="en-US" w:eastAsia="zh-CN"/>
                <w14:textFill>
                  <w14:solidFill>
                    <w14:schemeClr w14:val="tx1"/>
                  </w14:solidFill>
                </w14:textFill>
              </w:rPr>
              <w:t>54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04BFD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2BABF77B">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75EA25CE">
            <w:pPr>
              <w:pStyle w:val="70"/>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NO</w:t>
            </w:r>
            <w:r>
              <w:rPr>
                <w:rFonts w:hint="eastAsia" w:ascii="Times New Roman" w:hAnsi="Times New Roman" w:cs="Times New Roman"/>
                <w:snapToGrid w:val="0"/>
                <w:color w:val="000000" w:themeColor="text1"/>
                <w:kern w:val="21"/>
                <w:szCs w:val="21"/>
                <w:vertAlign w:val="subscript"/>
                <w:lang w:val="en-US" w:eastAsia="zh-CN"/>
                <w14:textFill>
                  <w14:solidFill>
                    <w14:schemeClr w14:val="tx1"/>
                  </w14:solidFill>
                </w14:textFill>
              </w:rPr>
              <w:t>X</w:t>
            </w:r>
          </w:p>
        </w:tc>
        <w:tc>
          <w:tcPr>
            <w:tcW w:w="1422" w:type="dxa"/>
            <w:noWrap w:val="0"/>
            <w:vAlign w:val="center"/>
          </w:tcPr>
          <w:p w14:paraId="599D0C14">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123" w:type="dxa"/>
            <w:noWrap w:val="0"/>
            <w:vAlign w:val="center"/>
          </w:tcPr>
          <w:p w14:paraId="239F4DD6">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4D4A0FD5">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01175AA7">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w:t>
            </w:r>
            <w:r>
              <w:rPr>
                <w:rFonts w:hint="eastAsia" w:cs="Times New Roman"/>
                <w:snapToGrid w:val="0"/>
                <w:color w:val="000000" w:themeColor="text1"/>
                <w:kern w:val="21"/>
                <w:szCs w:val="21"/>
                <w:lang w:val="en-US" w:eastAsia="zh-CN"/>
                <w14:textFill>
                  <w14:solidFill>
                    <w14:schemeClr w14:val="tx1"/>
                  </w14:solidFill>
                </w14:textFill>
              </w:rPr>
              <w:t>56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7BC1437E">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0.26t/a</w:t>
            </w:r>
          </w:p>
        </w:tc>
        <w:tc>
          <w:tcPr>
            <w:tcW w:w="1593" w:type="dxa"/>
            <w:noWrap w:val="0"/>
            <w:vAlign w:val="center"/>
          </w:tcPr>
          <w:p w14:paraId="19236EEA">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w:t>
            </w:r>
            <w:r>
              <w:rPr>
                <w:rFonts w:hint="eastAsia" w:cs="Times New Roman"/>
                <w:snapToGrid w:val="0"/>
                <w:color w:val="000000" w:themeColor="text1"/>
                <w:kern w:val="21"/>
                <w:szCs w:val="21"/>
                <w:lang w:val="en-US" w:eastAsia="zh-CN"/>
                <w14:textFill>
                  <w14:solidFill>
                    <w14:schemeClr w14:val="tx1"/>
                  </w14:solidFill>
                </w14:textFill>
              </w:rPr>
              <w:t>56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3B755128">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+0.3</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36C0B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540640C9">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7A6C5192">
            <w:pPr>
              <w:pStyle w:val="70"/>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SO</w:t>
            </w:r>
            <w:r>
              <w:rPr>
                <w:rFonts w:hint="eastAsia" w:ascii="Times New Roman" w:hAnsi="Times New Roman" w:cs="Times New Roman"/>
                <w:snapToGrid w:val="0"/>
                <w:color w:val="000000" w:themeColor="text1"/>
                <w:kern w:val="21"/>
                <w:szCs w:val="21"/>
                <w:vertAlign w:val="subscript"/>
                <w:lang w:val="en-US" w:eastAsia="zh-CN"/>
                <w14:textFill>
                  <w14:solidFill>
                    <w14:schemeClr w14:val="tx1"/>
                  </w14:solidFill>
                </w14:textFill>
              </w:rPr>
              <w:t>2</w:t>
            </w:r>
          </w:p>
        </w:tc>
        <w:tc>
          <w:tcPr>
            <w:tcW w:w="1422" w:type="dxa"/>
            <w:noWrap w:val="0"/>
            <w:vAlign w:val="center"/>
          </w:tcPr>
          <w:p w14:paraId="2D294D5C">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0.009t/a</w:t>
            </w:r>
          </w:p>
        </w:tc>
        <w:tc>
          <w:tcPr>
            <w:tcW w:w="1123" w:type="dxa"/>
            <w:noWrap w:val="0"/>
            <w:vAlign w:val="center"/>
          </w:tcPr>
          <w:p w14:paraId="795D8985">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758C4AA0">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7AB16558">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18</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4E6CB80B">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0.009t/a</w:t>
            </w:r>
          </w:p>
        </w:tc>
        <w:tc>
          <w:tcPr>
            <w:tcW w:w="1593" w:type="dxa"/>
            <w:noWrap w:val="0"/>
            <w:vAlign w:val="center"/>
          </w:tcPr>
          <w:p w14:paraId="75B67094">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18</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4A502C60">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-0.0072</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7D435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4ACB83DA">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16254C70">
            <w:pPr>
              <w:pStyle w:val="70"/>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氨</w:t>
            </w:r>
          </w:p>
        </w:tc>
        <w:tc>
          <w:tcPr>
            <w:tcW w:w="1422" w:type="dxa"/>
            <w:noWrap w:val="0"/>
            <w:vAlign w:val="center"/>
          </w:tcPr>
          <w:p w14:paraId="6D0440B2">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w:t>
            </w:r>
          </w:p>
        </w:tc>
        <w:tc>
          <w:tcPr>
            <w:tcW w:w="1123" w:type="dxa"/>
            <w:noWrap w:val="0"/>
            <w:vAlign w:val="center"/>
          </w:tcPr>
          <w:p w14:paraId="107A4EE7">
            <w:pPr>
              <w:spacing w:beforeLines="0" w:afterLines="0" w:line="240" w:lineRule="auto"/>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63" w:type="dxa"/>
            <w:noWrap w:val="0"/>
            <w:vAlign w:val="center"/>
          </w:tcPr>
          <w:p w14:paraId="562063A5">
            <w:pPr>
              <w:spacing w:beforeLines="0" w:afterLines="0" w:line="240" w:lineRule="auto"/>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24" w:type="dxa"/>
            <w:noWrap w:val="0"/>
            <w:vAlign w:val="center"/>
          </w:tcPr>
          <w:p w14:paraId="60BE666C">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54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38238E1E">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w:t>
            </w:r>
          </w:p>
        </w:tc>
        <w:tc>
          <w:tcPr>
            <w:tcW w:w="1593" w:type="dxa"/>
            <w:noWrap w:val="0"/>
            <w:vAlign w:val="center"/>
          </w:tcPr>
          <w:p w14:paraId="7FF92F2D">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54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562E884E">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54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62D64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restart"/>
            <w:noWrap w:val="0"/>
            <w:vAlign w:val="center"/>
          </w:tcPr>
          <w:p w14:paraId="10050FEE">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废水</w:t>
            </w:r>
          </w:p>
        </w:tc>
        <w:tc>
          <w:tcPr>
            <w:tcW w:w="1750" w:type="dxa"/>
            <w:noWrap w:val="0"/>
            <w:vAlign w:val="center"/>
          </w:tcPr>
          <w:p w14:paraId="29B43BA2">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COD</w:t>
            </w:r>
          </w:p>
        </w:tc>
        <w:tc>
          <w:tcPr>
            <w:tcW w:w="1422" w:type="dxa"/>
            <w:noWrap w:val="0"/>
            <w:vAlign w:val="center"/>
          </w:tcPr>
          <w:p w14:paraId="6F2E1B54">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123" w:type="dxa"/>
            <w:noWrap w:val="0"/>
            <w:vAlign w:val="center"/>
          </w:tcPr>
          <w:p w14:paraId="5CB9E5EB">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27D72876">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11E94782">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722" w:type="dxa"/>
            <w:noWrap w:val="0"/>
            <w:vAlign w:val="center"/>
          </w:tcPr>
          <w:p w14:paraId="1F772DA1">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93" w:type="dxa"/>
            <w:noWrap w:val="0"/>
            <w:vAlign w:val="center"/>
          </w:tcPr>
          <w:p w14:paraId="1E4CD445">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286" w:type="dxa"/>
            <w:noWrap w:val="0"/>
            <w:vAlign w:val="center"/>
          </w:tcPr>
          <w:p w14:paraId="31202CCC">
            <w:pPr>
              <w:spacing w:beforeLines="0" w:afterLines="0" w:line="240" w:lineRule="auto"/>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r>
      <w:tr w14:paraId="2BF5E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4F640F03">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7ECD2C0D">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BOD</w:t>
            </w:r>
            <w:r>
              <w:rPr>
                <w:rFonts w:hint="default" w:ascii="Times New Roman" w:hAnsi="Times New Roman" w:cs="Times New Roman"/>
                <w:snapToGrid w:val="0"/>
                <w:color w:val="000000" w:themeColor="text1"/>
                <w:kern w:val="21"/>
                <w:szCs w:val="21"/>
                <w:vertAlign w:val="subscript"/>
                <w14:textFill>
                  <w14:solidFill>
                    <w14:schemeClr w14:val="tx1"/>
                  </w14:solidFill>
                </w14:textFill>
              </w:rPr>
              <w:t>5</w:t>
            </w:r>
          </w:p>
        </w:tc>
        <w:tc>
          <w:tcPr>
            <w:tcW w:w="1422" w:type="dxa"/>
            <w:noWrap w:val="0"/>
            <w:vAlign w:val="center"/>
          </w:tcPr>
          <w:p w14:paraId="277FBE77">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123" w:type="dxa"/>
            <w:noWrap w:val="0"/>
            <w:vAlign w:val="center"/>
          </w:tcPr>
          <w:p w14:paraId="778DD970">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7E245134">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1AEC4C04">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722" w:type="dxa"/>
            <w:noWrap w:val="0"/>
            <w:vAlign w:val="center"/>
          </w:tcPr>
          <w:p w14:paraId="377AC16D">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93" w:type="dxa"/>
            <w:noWrap w:val="0"/>
            <w:vAlign w:val="center"/>
          </w:tcPr>
          <w:p w14:paraId="63C34F68">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286" w:type="dxa"/>
            <w:noWrap w:val="0"/>
            <w:vAlign w:val="center"/>
          </w:tcPr>
          <w:p w14:paraId="460DB905">
            <w:pPr>
              <w:spacing w:beforeLines="0" w:afterLines="0" w:line="240" w:lineRule="auto"/>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r>
      <w:tr w14:paraId="73A10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060669A9">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17C8106B">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SS</w:t>
            </w:r>
          </w:p>
        </w:tc>
        <w:tc>
          <w:tcPr>
            <w:tcW w:w="1422" w:type="dxa"/>
            <w:noWrap w:val="0"/>
            <w:vAlign w:val="center"/>
          </w:tcPr>
          <w:p w14:paraId="56A3006D">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123" w:type="dxa"/>
            <w:noWrap w:val="0"/>
            <w:vAlign w:val="center"/>
          </w:tcPr>
          <w:p w14:paraId="42AEC5DA">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5D68384C">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2E6AF90B">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722" w:type="dxa"/>
            <w:noWrap w:val="0"/>
            <w:vAlign w:val="center"/>
          </w:tcPr>
          <w:p w14:paraId="6DD581C2">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93" w:type="dxa"/>
            <w:noWrap w:val="0"/>
            <w:vAlign w:val="center"/>
          </w:tcPr>
          <w:p w14:paraId="5A487FFD">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286" w:type="dxa"/>
            <w:noWrap w:val="0"/>
            <w:vAlign w:val="center"/>
          </w:tcPr>
          <w:p w14:paraId="03CE9A87">
            <w:pPr>
              <w:spacing w:beforeLines="0" w:afterLines="0" w:line="240" w:lineRule="auto"/>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r>
      <w:tr w14:paraId="4EEEA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52" w:type="dxa"/>
            <w:vMerge w:val="continue"/>
            <w:noWrap w:val="0"/>
            <w:vAlign w:val="center"/>
          </w:tcPr>
          <w:p w14:paraId="20D0C5BC">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0D00924D">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氨氮</w:t>
            </w:r>
          </w:p>
        </w:tc>
        <w:tc>
          <w:tcPr>
            <w:tcW w:w="1422" w:type="dxa"/>
            <w:noWrap w:val="0"/>
            <w:vAlign w:val="center"/>
          </w:tcPr>
          <w:p w14:paraId="39D54271">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123" w:type="dxa"/>
            <w:noWrap w:val="0"/>
            <w:vAlign w:val="center"/>
          </w:tcPr>
          <w:p w14:paraId="404AE14B">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01F18C7A">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7E179608">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722" w:type="dxa"/>
            <w:noWrap w:val="0"/>
            <w:vAlign w:val="center"/>
          </w:tcPr>
          <w:p w14:paraId="150D04DD">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93" w:type="dxa"/>
            <w:noWrap w:val="0"/>
            <w:vAlign w:val="center"/>
          </w:tcPr>
          <w:p w14:paraId="1991D06C">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286" w:type="dxa"/>
            <w:noWrap w:val="0"/>
            <w:vAlign w:val="center"/>
          </w:tcPr>
          <w:p w14:paraId="52B22482">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r>
      <w:tr w14:paraId="6C3C3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45839EB6">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5422B317">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总磷</w:t>
            </w:r>
          </w:p>
        </w:tc>
        <w:tc>
          <w:tcPr>
            <w:tcW w:w="1422" w:type="dxa"/>
            <w:noWrap w:val="0"/>
            <w:vAlign w:val="center"/>
          </w:tcPr>
          <w:p w14:paraId="697DEBF7">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123" w:type="dxa"/>
            <w:noWrap w:val="0"/>
            <w:vAlign w:val="center"/>
          </w:tcPr>
          <w:p w14:paraId="7C7C5878">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2E8A83F0">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54E079F4">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722" w:type="dxa"/>
            <w:noWrap w:val="0"/>
            <w:vAlign w:val="center"/>
          </w:tcPr>
          <w:p w14:paraId="2B6A24E4">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93" w:type="dxa"/>
            <w:noWrap w:val="0"/>
            <w:vAlign w:val="center"/>
          </w:tcPr>
          <w:p w14:paraId="0E26D81D">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286" w:type="dxa"/>
            <w:noWrap w:val="0"/>
            <w:vAlign w:val="center"/>
          </w:tcPr>
          <w:p w14:paraId="7525D99C">
            <w:pPr>
              <w:spacing w:beforeLines="0" w:afterLines="0" w:line="240" w:lineRule="auto"/>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r>
      <w:tr w14:paraId="44CDF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127F92E1">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4462335A">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总氮</w:t>
            </w:r>
          </w:p>
        </w:tc>
        <w:tc>
          <w:tcPr>
            <w:tcW w:w="1422" w:type="dxa"/>
            <w:noWrap w:val="0"/>
            <w:vAlign w:val="center"/>
          </w:tcPr>
          <w:p w14:paraId="1B32CD5B">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123" w:type="dxa"/>
            <w:noWrap w:val="0"/>
            <w:vAlign w:val="center"/>
          </w:tcPr>
          <w:p w14:paraId="4629742B">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534E999A">
            <w:pPr>
              <w:pStyle w:val="70"/>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40431534">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722" w:type="dxa"/>
            <w:noWrap w:val="0"/>
            <w:vAlign w:val="center"/>
          </w:tcPr>
          <w:p w14:paraId="788A8BEF">
            <w:pPr>
              <w:spacing w:beforeLines="0" w:afterLines="0" w:line="240" w:lineRule="auto"/>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93" w:type="dxa"/>
            <w:noWrap w:val="0"/>
            <w:vAlign w:val="center"/>
          </w:tcPr>
          <w:p w14:paraId="402B3CF2">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286" w:type="dxa"/>
            <w:noWrap w:val="0"/>
            <w:vAlign w:val="center"/>
          </w:tcPr>
          <w:p w14:paraId="5F4060D0">
            <w:pPr>
              <w:spacing w:beforeLines="0" w:afterLines="0" w:line="240" w:lineRule="auto"/>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r>
      <w:tr w14:paraId="52AEC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restart"/>
            <w:noWrap w:val="0"/>
            <w:vAlign w:val="center"/>
          </w:tcPr>
          <w:p w14:paraId="24F4390C">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一般工业</w:t>
            </w:r>
          </w:p>
          <w:p w14:paraId="357420D0">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固体废物</w:t>
            </w:r>
          </w:p>
        </w:tc>
        <w:tc>
          <w:tcPr>
            <w:tcW w:w="1750" w:type="dxa"/>
            <w:noWrap w:val="0"/>
            <w:vAlign w:val="center"/>
          </w:tcPr>
          <w:p w14:paraId="5A1F22B4">
            <w:pPr>
              <w:pStyle w:val="70"/>
              <w:spacing w:beforeLines="0" w:afterLines="0" w:line="240" w:lineRule="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包装废料</w:t>
            </w:r>
          </w:p>
        </w:tc>
        <w:tc>
          <w:tcPr>
            <w:tcW w:w="1422" w:type="dxa"/>
            <w:noWrap w:val="0"/>
            <w:vAlign w:val="center"/>
          </w:tcPr>
          <w:p w14:paraId="233559CE">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123" w:type="dxa"/>
            <w:noWrap w:val="0"/>
            <w:vAlign w:val="center"/>
          </w:tcPr>
          <w:p w14:paraId="56AEBC42">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7C77D6AB">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15B9AA9B">
            <w:pPr>
              <w:spacing w:beforeLines="0" w:afterLines="0" w:line="240" w:lineRule="auto"/>
              <w:jc w:val="center"/>
              <w:rPr>
                <w:rFonts w:hint="default" w:ascii="Times New Roman" w:hAnsi="Times New Roman" w:cs="Times New Roman"/>
                <w:b/>
                <w:bCs/>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1.1</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3E3E45E2">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593" w:type="dxa"/>
            <w:noWrap w:val="0"/>
            <w:vAlign w:val="center"/>
          </w:tcPr>
          <w:p w14:paraId="11315A20">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1.1</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12232F85">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w:t>
            </w:r>
            <w:r>
              <w:rPr>
                <w:rFonts w:hint="eastAsia" w:cs="Times New Roman"/>
                <w:snapToGrid w:val="0"/>
                <w:color w:val="000000" w:themeColor="text1"/>
                <w:kern w:val="21"/>
                <w:szCs w:val="21"/>
                <w:lang w:val="en-US" w:eastAsia="zh-CN"/>
                <w14:textFill>
                  <w14:solidFill>
                    <w14:schemeClr w14:val="tx1"/>
                  </w14:solidFill>
                </w14:textFill>
              </w:rPr>
              <w:t>1.077</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2C465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22F984D1">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3C7E99DF">
            <w:pPr>
              <w:pStyle w:val="70"/>
              <w:spacing w:beforeLines="0" w:afterLines="0" w:line="240" w:lineRule="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锅炉除尘灰</w:t>
            </w:r>
          </w:p>
        </w:tc>
        <w:tc>
          <w:tcPr>
            <w:tcW w:w="1422" w:type="dxa"/>
            <w:noWrap w:val="0"/>
            <w:vAlign w:val="center"/>
          </w:tcPr>
          <w:p w14:paraId="79475A97">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1.5t/a</w:t>
            </w:r>
          </w:p>
        </w:tc>
        <w:tc>
          <w:tcPr>
            <w:tcW w:w="1123" w:type="dxa"/>
            <w:noWrap w:val="0"/>
            <w:vAlign w:val="center"/>
          </w:tcPr>
          <w:p w14:paraId="4F6BEF13">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243CECC6">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3F0970B1">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614BF4AF">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1.5t/a</w:t>
            </w:r>
          </w:p>
        </w:tc>
        <w:tc>
          <w:tcPr>
            <w:tcW w:w="1593" w:type="dxa"/>
            <w:noWrap w:val="0"/>
            <w:vAlign w:val="center"/>
          </w:tcPr>
          <w:p w14:paraId="036C8A0B">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2B2A16E8">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w:t>
            </w:r>
            <w:r>
              <w:rPr>
                <w:rFonts w:hint="eastAsia" w:cs="Times New Roman"/>
                <w:snapToGrid w:val="0"/>
                <w:color w:val="000000" w:themeColor="text1"/>
                <w:kern w:val="21"/>
                <w:szCs w:val="21"/>
                <w:lang w:val="en-US" w:eastAsia="zh-CN"/>
                <w14:textFill>
                  <w14:solidFill>
                    <w14:schemeClr w14:val="tx1"/>
                  </w14:solidFill>
                </w14:textFill>
              </w:rPr>
              <w:t>0.96</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608E7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4EFC1F5D">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0DC0130E">
            <w:pPr>
              <w:pStyle w:val="70"/>
              <w:spacing w:beforeLines="0" w:afterLines="0" w:line="240" w:lineRule="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锅炉灰渣</w:t>
            </w:r>
          </w:p>
        </w:tc>
        <w:tc>
          <w:tcPr>
            <w:tcW w:w="1422" w:type="dxa"/>
            <w:noWrap w:val="0"/>
            <w:vAlign w:val="center"/>
          </w:tcPr>
          <w:p w14:paraId="4B4AC4C6">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12.6t/a</w:t>
            </w:r>
          </w:p>
        </w:tc>
        <w:tc>
          <w:tcPr>
            <w:tcW w:w="1123" w:type="dxa"/>
            <w:noWrap w:val="0"/>
            <w:vAlign w:val="center"/>
          </w:tcPr>
          <w:p w14:paraId="73390493">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285D323E">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6AF06FE3">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32.97</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722" w:type="dxa"/>
            <w:noWrap w:val="0"/>
            <w:vAlign w:val="center"/>
          </w:tcPr>
          <w:p w14:paraId="440E7161">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12.6t/a</w:t>
            </w:r>
          </w:p>
        </w:tc>
        <w:tc>
          <w:tcPr>
            <w:tcW w:w="1593" w:type="dxa"/>
            <w:noWrap w:val="0"/>
            <w:vAlign w:val="center"/>
          </w:tcPr>
          <w:p w14:paraId="1F463775">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32.97</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c>
          <w:tcPr>
            <w:tcW w:w="1286" w:type="dxa"/>
            <w:noWrap w:val="0"/>
            <w:vAlign w:val="center"/>
          </w:tcPr>
          <w:p w14:paraId="5DA4D5C0">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w:t>
            </w:r>
            <w:r>
              <w:rPr>
                <w:rFonts w:hint="eastAsia" w:cs="Times New Roman"/>
                <w:snapToGrid w:val="0"/>
                <w:color w:val="000000" w:themeColor="text1"/>
                <w:kern w:val="21"/>
                <w:szCs w:val="21"/>
                <w:lang w:val="en-US" w:eastAsia="zh-CN"/>
                <w14:textFill>
                  <w14:solidFill>
                    <w14:schemeClr w14:val="tx1"/>
                  </w14:solidFill>
                </w14:textFill>
              </w:rPr>
              <w:t>20.37</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t/a</w:t>
            </w:r>
          </w:p>
        </w:tc>
      </w:tr>
      <w:tr w14:paraId="02AF0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noWrap w:val="0"/>
            <w:vAlign w:val="center"/>
          </w:tcPr>
          <w:p w14:paraId="0CAECE98">
            <w:pPr>
              <w:pStyle w:val="70"/>
              <w:spacing w:beforeLines="0" w:afterLines="0" w:line="240" w:lineRule="auto"/>
              <w:rPr>
                <w:rFonts w:hint="default" w:ascii="Times New Roman" w:hAnsi="Times New Roman" w:cs="Times New Roman"/>
                <w:snapToGrid w:val="0"/>
                <w:color w:val="000000" w:themeColor="text1"/>
                <w:kern w:val="21"/>
                <w:szCs w:val="21"/>
                <w14:textFill>
                  <w14:solidFill>
                    <w14:schemeClr w14:val="tx1"/>
                  </w14:solidFill>
                </w14:textFill>
              </w:rPr>
            </w:pPr>
          </w:p>
        </w:tc>
        <w:tc>
          <w:tcPr>
            <w:tcW w:w="1750" w:type="dxa"/>
            <w:noWrap w:val="0"/>
            <w:vAlign w:val="center"/>
          </w:tcPr>
          <w:p w14:paraId="049FD00D">
            <w:pPr>
              <w:pStyle w:val="70"/>
              <w:spacing w:beforeLines="0" w:afterLines="0" w:line="240" w:lineRule="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废树脂</w:t>
            </w:r>
          </w:p>
        </w:tc>
        <w:tc>
          <w:tcPr>
            <w:tcW w:w="1422" w:type="dxa"/>
            <w:noWrap w:val="0"/>
            <w:vAlign w:val="center"/>
          </w:tcPr>
          <w:p w14:paraId="4F345C21">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0.02t/3a</w:t>
            </w:r>
          </w:p>
        </w:tc>
        <w:tc>
          <w:tcPr>
            <w:tcW w:w="1123" w:type="dxa"/>
            <w:noWrap w:val="0"/>
            <w:vAlign w:val="center"/>
          </w:tcPr>
          <w:p w14:paraId="5DCCF87D">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663" w:type="dxa"/>
            <w:noWrap w:val="0"/>
            <w:vAlign w:val="center"/>
          </w:tcPr>
          <w:p w14:paraId="12588720">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524" w:type="dxa"/>
            <w:noWrap w:val="0"/>
            <w:vAlign w:val="center"/>
          </w:tcPr>
          <w:p w14:paraId="68F04BB1">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0.04t/3a</w:t>
            </w:r>
          </w:p>
        </w:tc>
        <w:tc>
          <w:tcPr>
            <w:tcW w:w="1722" w:type="dxa"/>
            <w:noWrap w:val="0"/>
            <w:vAlign w:val="center"/>
          </w:tcPr>
          <w:p w14:paraId="75C16EA8">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0.02t/3a</w:t>
            </w:r>
          </w:p>
        </w:tc>
        <w:tc>
          <w:tcPr>
            <w:tcW w:w="1593" w:type="dxa"/>
            <w:noWrap w:val="0"/>
            <w:vAlign w:val="center"/>
          </w:tcPr>
          <w:p w14:paraId="75B1811C">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4</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t/3a</w:t>
            </w:r>
          </w:p>
        </w:tc>
        <w:tc>
          <w:tcPr>
            <w:tcW w:w="1286" w:type="dxa"/>
            <w:noWrap w:val="0"/>
            <w:vAlign w:val="center"/>
          </w:tcPr>
          <w:p w14:paraId="43D596B2">
            <w:pPr>
              <w:spacing w:beforeLines="0" w:afterLines="0" w:line="240" w:lineRule="auto"/>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+0.02</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t/</w:t>
            </w:r>
            <w:r>
              <w:rPr>
                <w:rFonts w:hint="eastAsia" w:cs="Times New Roman"/>
                <w:snapToGrid w:val="0"/>
                <w:color w:val="000000" w:themeColor="text1"/>
                <w:kern w:val="21"/>
                <w:szCs w:val="21"/>
                <w:lang w:val="en-US" w:eastAsia="zh-CN"/>
                <w14:textFill>
                  <w14:solidFill>
                    <w14:schemeClr w14:val="tx1"/>
                  </w14:solidFill>
                </w14:textFill>
              </w:rPr>
              <w:t>3</w:t>
            </w: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a</w:t>
            </w:r>
          </w:p>
        </w:tc>
      </w:tr>
    </w:tbl>
    <w:p w14:paraId="0A384A75">
      <w:pPr>
        <w:pStyle w:val="70"/>
        <w:spacing w:before="192" w:beforeLines="80" w:after="24"/>
        <w:jc w:val="left"/>
        <w:rPr>
          <w:rFonts w:hint="default"/>
          <w:color w:val="000000" w:themeColor="text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sectPr>
      <w:footerReference r:id="rId8" w:type="default"/>
      <w:pgSz w:w="16838" w:h="11906" w:orient="landscape"/>
      <w:pgMar w:top="1123" w:right="1440" w:bottom="1123" w:left="195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4C7452-E266-415B-A5B3-3361E7DE97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1" w:usb3="00000000" w:csb0="0000019F" w:csb1="00000000"/>
    <w:embedRegular r:id="rId2" w:fontKey="{1B217D64-34D5-4237-BBFD-5B26F4EF7838}"/>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A00002EF" w:usb1="4000004B" w:usb2="00000000" w:usb3="00000000" w:csb0="2000009F" w:csb1="00000000"/>
  </w:font>
  <w:font w:name="MingLiU">
    <w:altName w:val="Microsoft JhengHei UI"/>
    <w:panose1 w:val="02020509000000000000"/>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体">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2F830190-BCC9-4371-8E49-EB6C4A53D87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embedRegular r:id="rId4" w:fontKey="{FE68ECE7-ACA6-4FB9-A45C-962B05D1A973}"/>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embedRegular r:id="rId5" w:fontKey="{89537378-104C-4AA6-92F0-3EAF1D737CB4}"/>
  </w:font>
  <w:font w:name="方正小标宋_GBK">
    <w:panose1 w:val="02000000000000000000"/>
    <w:charset w:val="86"/>
    <w:family w:val="script"/>
    <w:pitch w:val="default"/>
    <w:sig w:usb0="A00002BF" w:usb1="38CF7CFA" w:usb2="00082016" w:usb3="00000000" w:csb0="00040001" w:csb1="00000000"/>
    <w:embedRegular r:id="rId6" w:fontKey="{FBF1F928-C83E-4842-9418-501281BB3ABF}"/>
  </w:font>
  <w:font w:name="华文仿宋">
    <w:panose1 w:val="02010600040101010101"/>
    <w:charset w:val="86"/>
    <w:family w:val="auto"/>
    <w:pitch w:val="default"/>
    <w:sig w:usb0="00000287" w:usb1="080F0000" w:usb2="00000000" w:usb3="00000000" w:csb0="0004009F" w:csb1="DFD70000"/>
    <w:embedRegular r:id="rId7" w:fontKey="{DFE6D1B9-421F-4CA6-B652-E74BF3716692}"/>
  </w:font>
  <w:font w:name="Wingdings 2">
    <w:panose1 w:val="05020102010507070707"/>
    <w:charset w:val="02"/>
    <w:family w:val="auto"/>
    <w:pitch w:val="default"/>
    <w:sig w:usb0="00000000" w:usb1="00000000" w:usb2="00000000" w:usb3="00000000" w:csb0="80000000" w:csb1="00000000"/>
    <w:embedRegular r:id="rId8" w:fontKey="{4E34697D-01A1-43A2-880C-3B736254FBF1}"/>
  </w:font>
  <w:font w:name="Cambria Math">
    <w:panose1 w:val="02040503050406030204"/>
    <w:charset w:val="00"/>
    <w:family w:val="auto"/>
    <w:pitch w:val="default"/>
    <w:sig w:usb0="A00002EF" w:usb1="420020EB" w:usb2="00000000" w:usb3="00000000" w:csb0="2000009F" w:csb1="00000000"/>
    <w:embedRegular r:id="rId9" w:fontKey="{3A932042-5D6F-4BF3-8433-B209A5877954}"/>
  </w:font>
  <w:font w:name="WPSEMBED1">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04C9B">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91996">
    <w:pPr>
      <w:pStyle w:val="19"/>
      <w:framePr w:wrap="around" w:vAnchor="text" w:hAnchor="margin" w:xAlign="center" w:y="1"/>
      <w:rPr>
        <w:rStyle w:val="35"/>
      </w:rPr>
    </w:pPr>
    <w:r>
      <w:fldChar w:fldCharType="begin"/>
    </w:r>
    <w:r>
      <w:rPr>
        <w:rStyle w:val="35"/>
      </w:rPr>
      <w:instrText xml:space="preserve">PAGE  </w:instrText>
    </w:r>
    <w:r>
      <w:fldChar w:fldCharType="end"/>
    </w:r>
  </w:p>
  <w:p w14:paraId="589EF64F">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DDF04">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869718">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8PDskBAACa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OWKEsctTvzy/dvlx6/Lz69k&#10;lfXpA9SY9hgwMQ33fsCtmf2Azkx7UNHmLxIiGEd1z1d15ZCIyI/Wy/W6wpDA2HxBfPb0PERIb6W3&#10;JBsNjTi+oio/vYc0ps4puZrzD9qYMkLj/nIgZvaw3PvYY7bSsB8mQnvfnpFPj5NvqMNFp8S8cyhs&#10;XpLZiLOxn41jiPrQlS3K9SDcHRM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Pw8OyQEAAJoDAAAOAAAAAAAAAAEAIAAAAB4BAABkcnMvZTJvRG9j&#10;LnhtbFBLBQYAAAAABgAGAFkBAABZBQAAAAA=&#10;">
              <v:fill on="f" focussize="0,0"/>
              <v:stroke on="f"/>
              <v:imagedata o:title=""/>
              <o:lock v:ext="edit" aspectratio="f"/>
              <v:textbox inset="0mm,0mm,0mm,0mm" style="mso-fit-shape-to-text:t;">
                <w:txbxContent>
                  <w:p w14:paraId="73869718">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DE47">
    <w:pPr>
      <w:pStyle w:val="19"/>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96EEF2">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L1Cd8BAAC/AwAADgAAAGRycy9lMm9Eb2MueG1srVPBjtMwEL0j8Q+W&#10;7zTZSIu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15w5YWni5+/fzj9+nX9+&#10;ZVXSp/dhRWn3nhLj8BoG2prZH8iZaA8t2vQnQozipO7poq4aIpPp0rJaLksKSYrNB8IvHq57DPGN&#10;AsuSUXOk8WVVxfFdiGPqnJKqObjTxuQRGveXgzCTp0i9jz0mKw67YSK0g+ZEfOgdUJ0O8AtnPW1B&#10;zR0tPWfmrSOR08LMBs7GbjaEk3Sx5pGz0byN42IdPOp9l1ctNRX8q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EeL1Cd8BAAC/AwAADgAAAAAA&#10;AAABACAAAAAeAQAAZHJzL2Uyb0RvYy54bWxQSwUGAAAAAAYABgBZAQAAbwUAAAAA&#10;">
              <v:fill on="f" focussize="0,0"/>
              <v:stroke on="f"/>
              <v:imagedata o:title=""/>
              <o:lock v:ext="edit" aspectratio="f"/>
              <v:textbox inset="0mm,0mm,0mm,0mm" style="mso-fit-shape-to-text:t;">
                <w:txbxContent>
                  <w:p w14:paraId="2596EEF2">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E9890">
    <w:pPr>
      <w:pStyle w:val="1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3B20C">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AA666"/>
    <w:multiLevelType w:val="singleLevel"/>
    <w:tmpl w:val="8D9AA666"/>
    <w:lvl w:ilvl="0" w:tentative="0">
      <w:start w:val="1"/>
      <w:numFmt w:val="decimal"/>
      <w:lvlText w:val="%1."/>
      <w:lvlJc w:val="left"/>
      <w:pPr>
        <w:tabs>
          <w:tab w:val="left" w:pos="312"/>
        </w:tabs>
      </w:pPr>
    </w:lvl>
  </w:abstractNum>
  <w:abstractNum w:abstractNumId="1">
    <w:nsid w:val="921236BE"/>
    <w:multiLevelType w:val="singleLevel"/>
    <w:tmpl w:val="921236BE"/>
    <w:lvl w:ilvl="0" w:tentative="0">
      <w:start w:val="1"/>
      <w:numFmt w:val="decimal"/>
      <w:lvlText w:val="%1."/>
      <w:lvlJc w:val="left"/>
      <w:pPr>
        <w:tabs>
          <w:tab w:val="left" w:pos="312"/>
        </w:tabs>
      </w:pPr>
    </w:lvl>
  </w:abstractNum>
  <w:abstractNum w:abstractNumId="2">
    <w:nsid w:val="15207C7E"/>
    <w:multiLevelType w:val="singleLevel"/>
    <w:tmpl w:val="15207C7E"/>
    <w:lvl w:ilvl="0" w:tentative="0">
      <w:start w:val="1"/>
      <w:numFmt w:val="decimal"/>
      <w:suff w:val="nothing"/>
      <w:lvlText w:val="（%1）"/>
      <w:lvlJc w:val="left"/>
    </w:lvl>
  </w:abstractNum>
  <w:abstractNum w:abstractNumId="3">
    <w:nsid w:val="2441243B"/>
    <w:multiLevelType w:val="singleLevel"/>
    <w:tmpl w:val="2441243B"/>
    <w:lvl w:ilvl="0" w:tentative="0">
      <w:start w:val="3"/>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3NWQxNzQ1Nzg5M2Q0ZDE1ZmYzMGUxODVmMTU0ZGQifQ=="/>
  </w:docVars>
  <w:rsids>
    <w:rsidRoot w:val="00A14947"/>
    <w:rsid w:val="000024CA"/>
    <w:rsid w:val="00003A56"/>
    <w:rsid w:val="000042CF"/>
    <w:rsid w:val="00005402"/>
    <w:rsid w:val="000060B3"/>
    <w:rsid w:val="0000692E"/>
    <w:rsid w:val="00006DD7"/>
    <w:rsid w:val="0000720D"/>
    <w:rsid w:val="000104F5"/>
    <w:rsid w:val="00014BFF"/>
    <w:rsid w:val="000179DA"/>
    <w:rsid w:val="0002062A"/>
    <w:rsid w:val="000210C9"/>
    <w:rsid w:val="00022A20"/>
    <w:rsid w:val="000234DA"/>
    <w:rsid w:val="00023B6E"/>
    <w:rsid w:val="00024475"/>
    <w:rsid w:val="00024952"/>
    <w:rsid w:val="00024A08"/>
    <w:rsid w:val="00024C9A"/>
    <w:rsid w:val="0002508B"/>
    <w:rsid w:val="00025EE5"/>
    <w:rsid w:val="00036091"/>
    <w:rsid w:val="000362B7"/>
    <w:rsid w:val="000372F3"/>
    <w:rsid w:val="00040326"/>
    <w:rsid w:val="00041DE2"/>
    <w:rsid w:val="00042DAF"/>
    <w:rsid w:val="0004364B"/>
    <w:rsid w:val="0004437C"/>
    <w:rsid w:val="000448D5"/>
    <w:rsid w:val="00044CBB"/>
    <w:rsid w:val="00044DBF"/>
    <w:rsid w:val="00044DF7"/>
    <w:rsid w:val="00046198"/>
    <w:rsid w:val="00051598"/>
    <w:rsid w:val="0005449A"/>
    <w:rsid w:val="00054E77"/>
    <w:rsid w:val="000550AF"/>
    <w:rsid w:val="00055E4D"/>
    <w:rsid w:val="000607AF"/>
    <w:rsid w:val="00061B1F"/>
    <w:rsid w:val="00064763"/>
    <w:rsid w:val="000650C3"/>
    <w:rsid w:val="00066C2F"/>
    <w:rsid w:val="00066CCC"/>
    <w:rsid w:val="0006731D"/>
    <w:rsid w:val="00067A5B"/>
    <w:rsid w:val="00070862"/>
    <w:rsid w:val="000712FA"/>
    <w:rsid w:val="00072144"/>
    <w:rsid w:val="000729D7"/>
    <w:rsid w:val="000733C4"/>
    <w:rsid w:val="0007367F"/>
    <w:rsid w:val="00074339"/>
    <w:rsid w:val="00074783"/>
    <w:rsid w:val="000750FB"/>
    <w:rsid w:val="00076777"/>
    <w:rsid w:val="00077D4F"/>
    <w:rsid w:val="0008070B"/>
    <w:rsid w:val="000810AC"/>
    <w:rsid w:val="00081A02"/>
    <w:rsid w:val="00082231"/>
    <w:rsid w:val="00082F99"/>
    <w:rsid w:val="0008385E"/>
    <w:rsid w:val="00084414"/>
    <w:rsid w:val="000855A8"/>
    <w:rsid w:val="000855C9"/>
    <w:rsid w:val="00085A2B"/>
    <w:rsid w:val="00086746"/>
    <w:rsid w:val="000868D4"/>
    <w:rsid w:val="00087700"/>
    <w:rsid w:val="0009272D"/>
    <w:rsid w:val="00092D38"/>
    <w:rsid w:val="0009377B"/>
    <w:rsid w:val="00095637"/>
    <w:rsid w:val="00096B18"/>
    <w:rsid w:val="00097992"/>
    <w:rsid w:val="000979D7"/>
    <w:rsid w:val="00097B04"/>
    <w:rsid w:val="00097ECA"/>
    <w:rsid w:val="000A137B"/>
    <w:rsid w:val="000A16F7"/>
    <w:rsid w:val="000A20C9"/>
    <w:rsid w:val="000A3DB5"/>
    <w:rsid w:val="000A4D25"/>
    <w:rsid w:val="000A6D7E"/>
    <w:rsid w:val="000A71C6"/>
    <w:rsid w:val="000B058F"/>
    <w:rsid w:val="000B0B45"/>
    <w:rsid w:val="000B1E8C"/>
    <w:rsid w:val="000B23B3"/>
    <w:rsid w:val="000B404D"/>
    <w:rsid w:val="000B4467"/>
    <w:rsid w:val="000B464C"/>
    <w:rsid w:val="000B46F2"/>
    <w:rsid w:val="000B4DB9"/>
    <w:rsid w:val="000B5742"/>
    <w:rsid w:val="000B6934"/>
    <w:rsid w:val="000B75FF"/>
    <w:rsid w:val="000B7C53"/>
    <w:rsid w:val="000C09AC"/>
    <w:rsid w:val="000C104F"/>
    <w:rsid w:val="000C1BD7"/>
    <w:rsid w:val="000C27CF"/>
    <w:rsid w:val="000C572F"/>
    <w:rsid w:val="000C5880"/>
    <w:rsid w:val="000C767F"/>
    <w:rsid w:val="000C778A"/>
    <w:rsid w:val="000C7BA6"/>
    <w:rsid w:val="000D0407"/>
    <w:rsid w:val="000D0D23"/>
    <w:rsid w:val="000D1D65"/>
    <w:rsid w:val="000D4DC6"/>
    <w:rsid w:val="000D527D"/>
    <w:rsid w:val="000D5A44"/>
    <w:rsid w:val="000D7239"/>
    <w:rsid w:val="000D7C14"/>
    <w:rsid w:val="000E0454"/>
    <w:rsid w:val="000E06B1"/>
    <w:rsid w:val="000E0C50"/>
    <w:rsid w:val="000E20DC"/>
    <w:rsid w:val="000E2A9B"/>
    <w:rsid w:val="000E2B27"/>
    <w:rsid w:val="000E3ED2"/>
    <w:rsid w:val="000E46D8"/>
    <w:rsid w:val="000E7207"/>
    <w:rsid w:val="000E7954"/>
    <w:rsid w:val="000E7A6D"/>
    <w:rsid w:val="000E7ADA"/>
    <w:rsid w:val="000F1F73"/>
    <w:rsid w:val="000F4AD6"/>
    <w:rsid w:val="00100C6D"/>
    <w:rsid w:val="00100E31"/>
    <w:rsid w:val="001010ED"/>
    <w:rsid w:val="001011A5"/>
    <w:rsid w:val="00101524"/>
    <w:rsid w:val="00102278"/>
    <w:rsid w:val="00103567"/>
    <w:rsid w:val="0010475F"/>
    <w:rsid w:val="001049E0"/>
    <w:rsid w:val="00105558"/>
    <w:rsid w:val="001059C2"/>
    <w:rsid w:val="00110552"/>
    <w:rsid w:val="00115E11"/>
    <w:rsid w:val="00116A47"/>
    <w:rsid w:val="001221D8"/>
    <w:rsid w:val="00123D41"/>
    <w:rsid w:val="00124058"/>
    <w:rsid w:val="00124C4B"/>
    <w:rsid w:val="00131EF2"/>
    <w:rsid w:val="00131F42"/>
    <w:rsid w:val="00132D25"/>
    <w:rsid w:val="001342A4"/>
    <w:rsid w:val="0013473A"/>
    <w:rsid w:val="0013476E"/>
    <w:rsid w:val="001357F1"/>
    <w:rsid w:val="00137FD6"/>
    <w:rsid w:val="00140461"/>
    <w:rsid w:val="0014073E"/>
    <w:rsid w:val="00140B46"/>
    <w:rsid w:val="00140FA8"/>
    <w:rsid w:val="00141E24"/>
    <w:rsid w:val="0014231F"/>
    <w:rsid w:val="00142FEB"/>
    <w:rsid w:val="00143A2D"/>
    <w:rsid w:val="00144B14"/>
    <w:rsid w:val="0014577A"/>
    <w:rsid w:val="00145A41"/>
    <w:rsid w:val="00146A7D"/>
    <w:rsid w:val="00146B26"/>
    <w:rsid w:val="00147B88"/>
    <w:rsid w:val="0015042F"/>
    <w:rsid w:val="00151134"/>
    <w:rsid w:val="00151675"/>
    <w:rsid w:val="00151E25"/>
    <w:rsid w:val="00151EAD"/>
    <w:rsid w:val="001531C5"/>
    <w:rsid w:val="00153273"/>
    <w:rsid w:val="00157435"/>
    <w:rsid w:val="0015762C"/>
    <w:rsid w:val="0016186F"/>
    <w:rsid w:val="00161BFF"/>
    <w:rsid w:val="00165172"/>
    <w:rsid w:val="001669EA"/>
    <w:rsid w:val="00166DA0"/>
    <w:rsid w:val="00167101"/>
    <w:rsid w:val="00171B60"/>
    <w:rsid w:val="00172A69"/>
    <w:rsid w:val="00173398"/>
    <w:rsid w:val="00174EFB"/>
    <w:rsid w:val="0017504D"/>
    <w:rsid w:val="001753DD"/>
    <w:rsid w:val="00176017"/>
    <w:rsid w:val="0017671A"/>
    <w:rsid w:val="00177422"/>
    <w:rsid w:val="00177838"/>
    <w:rsid w:val="001803C2"/>
    <w:rsid w:val="00180895"/>
    <w:rsid w:val="00183C6C"/>
    <w:rsid w:val="00184590"/>
    <w:rsid w:val="001856C3"/>
    <w:rsid w:val="001870D1"/>
    <w:rsid w:val="0018781E"/>
    <w:rsid w:val="00187D1C"/>
    <w:rsid w:val="001900B1"/>
    <w:rsid w:val="001901CC"/>
    <w:rsid w:val="00190711"/>
    <w:rsid w:val="00190CB7"/>
    <w:rsid w:val="001913F5"/>
    <w:rsid w:val="0019262D"/>
    <w:rsid w:val="001941E5"/>
    <w:rsid w:val="00194275"/>
    <w:rsid w:val="00194CAF"/>
    <w:rsid w:val="001950DD"/>
    <w:rsid w:val="00195607"/>
    <w:rsid w:val="00196349"/>
    <w:rsid w:val="0019651E"/>
    <w:rsid w:val="001976F9"/>
    <w:rsid w:val="00197AF4"/>
    <w:rsid w:val="001A0B11"/>
    <w:rsid w:val="001A0D0C"/>
    <w:rsid w:val="001A10FD"/>
    <w:rsid w:val="001A19F5"/>
    <w:rsid w:val="001A1B35"/>
    <w:rsid w:val="001A2C2D"/>
    <w:rsid w:val="001A3334"/>
    <w:rsid w:val="001A342B"/>
    <w:rsid w:val="001A48A2"/>
    <w:rsid w:val="001A4E6A"/>
    <w:rsid w:val="001A6BCB"/>
    <w:rsid w:val="001A6F61"/>
    <w:rsid w:val="001A7B46"/>
    <w:rsid w:val="001B0FA6"/>
    <w:rsid w:val="001B1589"/>
    <w:rsid w:val="001B3676"/>
    <w:rsid w:val="001B4027"/>
    <w:rsid w:val="001B47CF"/>
    <w:rsid w:val="001B54D2"/>
    <w:rsid w:val="001B5688"/>
    <w:rsid w:val="001B5E58"/>
    <w:rsid w:val="001B72B8"/>
    <w:rsid w:val="001C02FE"/>
    <w:rsid w:val="001C10B3"/>
    <w:rsid w:val="001C66CD"/>
    <w:rsid w:val="001C69B3"/>
    <w:rsid w:val="001C7448"/>
    <w:rsid w:val="001D23B8"/>
    <w:rsid w:val="001D37C1"/>
    <w:rsid w:val="001D427E"/>
    <w:rsid w:val="001D4C2A"/>
    <w:rsid w:val="001D5198"/>
    <w:rsid w:val="001D5595"/>
    <w:rsid w:val="001D6534"/>
    <w:rsid w:val="001D671A"/>
    <w:rsid w:val="001D7874"/>
    <w:rsid w:val="001D7F22"/>
    <w:rsid w:val="001E0941"/>
    <w:rsid w:val="001E13F9"/>
    <w:rsid w:val="001E15CC"/>
    <w:rsid w:val="001E1EE9"/>
    <w:rsid w:val="001E2D1B"/>
    <w:rsid w:val="001E2E98"/>
    <w:rsid w:val="001E55BC"/>
    <w:rsid w:val="001E7727"/>
    <w:rsid w:val="001F0F17"/>
    <w:rsid w:val="001F235A"/>
    <w:rsid w:val="001F2DDA"/>
    <w:rsid w:val="001F3347"/>
    <w:rsid w:val="001F3682"/>
    <w:rsid w:val="001F40B3"/>
    <w:rsid w:val="001F59C0"/>
    <w:rsid w:val="001F6747"/>
    <w:rsid w:val="001F69E4"/>
    <w:rsid w:val="00200C06"/>
    <w:rsid w:val="00201EEC"/>
    <w:rsid w:val="002041DA"/>
    <w:rsid w:val="00204363"/>
    <w:rsid w:val="00212251"/>
    <w:rsid w:val="002125B4"/>
    <w:rsid w:val="00213D81"/>
    <w:rsid w:val="0021498F"/>
    <w:rsid w:val="002155B8"/>
    <w:rsid w:val="00215A52"/>
    <w:rsid w:val="00215C87"/>
    <w:rsid w:val="00220204"/>
    <w:rsid w:val="002202C1"/>
    <w:rsid w:val="00220361"/>
    <w:rsid w:val="00220ED0"/>
    <w:rsid w:val="002212DF"/>
    <w:rsid w:val="00221DDC"/>
    <w:rsid w:val="00222917"/>
    <w:rsid w:val="00224839"/>
    <w:rsid w:val="002249B2"/>
    <w:rsid w:val="00224DE2"/>
    <w:rsid w:val="00224EFB"/>
    <w:rsid w:val="00225218"/>
    <w:rsid w:val="00226574"/>
    <w:rsid w:val="002266F6"/>
    <w:rsid w:val="002278EC"/>
    <w:rsid w:val="00230234"/>
    <w:rsid w:val="0023280E"/>
    <w:rsid w:val="0023362E"/>
    <w:rsid w:val="00233C56"/>
    <w:rsid w:val="0023499C"/>
    <w:rsid w:val="00234CD7"/>
    <w:rsid w:val="00234D1E"/>
    <w:rsid w:val="0023649C"/>
    <w:rsid w:val="002377D1"/>
    <w:rsid w:val="0024066D"/>
    <w:rsid w:val="00241A1A"/>
    <w:rsid w:val="00242F53"/>
    <w:rsid w:val="002438EF"/>
    <w:rsid w:val="00243AC5"/>
    <w:rsid w:val="00244E74"/>
    <w:rsid w:val="00245FBE"/>
    <w:rsid w:val="002506BC"/>
    <w:rsid w:val="002526BE"/>
    <w:rsid w:val="00253243"/>
    <w:rsid w:val="0025415B"/>
    <w:rsid w:val="00254345"/>
    <w:rsid w:val="0025557A"/>
    <w:rsid w:val="002559A6"/>
    <w:rsid w:val="00260630"/>
    <w:rsid w:val="0026348D"/>
    <w:rsid w:val="00264557"/>
    <w:rsid w:val="00264A67"/>
    <w:rsid w:val="00266913"/>
    <w:rsid w:val="00270066"/>
    <w:rsid w:val="00270E4B"/>
    <w:rsid w:val="00274FA1"/>
    <w:rsid w:val="0027535D"/>
    <w:rsid w:val="00275558"/>
    <w:rsid w:val="00275CDA"/>
    <w:rsid w:val="00276052"/>
    <w:rsid w:val="002805AB"/>
    <w:rsid w:val="0028097C"/>
    <w:rsid w:val="0028214C"/>
    <w:rsid w:val="002836D4"/>
    <w:rsid w:val="00284204"/>
    <w:rsid w:val="00284EAE"/>
    <w:rsid w:val="002861E9"/>
    <w:rsid w:val="00287111"/>
    <w:rsid w:val="00287534"/>
    <w:rsid w:val="00287936"/>
    <w:rsid w:val="00291773"/>
    <w:rsid w:val="00292362"/>
    <w:rsid w:val="00293EAB"/>
    <w:rsid w:val="00293F59"/>
    <w:rsid w:val="00295DAE"/>
    <w:rsid w:val="00296403"/>
    <w:rsid w:val="002A1034"/>
    <w:rsid w:val="002A1606"/>
    <w:rsid w:val="002A168C"/>
    <w:rsid w:val="002A36C6"/>
    <w:rsid w:val="002A3DC7"/>
    <w:rsid w:val="002A4E08"/>
    <w:rsid w:val="002A5864"/>
    <w:rsid w:val="002A5981"/>
    <w:rsid w:val="002B2ED7"/>
    <w:rsid w:val="002B40B9"/>
    <w:rsid w:val="002B49E2"/>
    <w:rsid w:val="002B4B61"/>
    <w:rsid w:val="002B5464"/>
    <w:rsid w:val="002B7B00"/>
    <w:rsid w:val="002B7C44"/>
    <w:rsid w:val="002C0E46"/>
    <w:rsid w:val="002C0F2D"/>
    <w:rsid w:val="002C2B17"/>
    <w:rsid w:val="002C4268"/>
    <w:rsid w:val="002C544A"/>
    <w:rsid w:val="002C5F55"/>
    <w:rsid w:val="002C63CF"/>
    <w:rsid w:val="002C7083"/>
    <w:rsid w:val="002D0889"/>
    <w:rsid w:val="002D175F"/>
    <w:rsid w:val="002D2D01"/>
    <w:rsid w:val="002D37B1"/>
    <w:rsid w:val="002D3DD0"/>
    <w:rsid w:val="002D408E"/>
    <w:rsid w:val="002D41E3"/>
    <w:rsid w:val="002D5337"/>
    <w:rsid w:val="002D6185"/>
    <w:rsid w:val="002D6A7C"/>
    <w:rsid w:val="002E1F3A"/>
    <w:rsid w:val="002E298A"/>
    <w:rsid w:val="002E2B38"/>
    <w:rsid w:val="002E2DC2"/>
    <w:rsid w:val="002E51A9"/>
    <w:rsid w:val="002E754C"/>
    <w:rsid w:val="002E7736"/>
    <w:rsid w:val="002F18E4"/>
    <w:rsid w:val="002F1DD7"/>
    <w:rsid w:val="002F21A1"/>
    <w:rsid w:val="002F3BF8"/>
    <w:rsid w:val="002F6924"/>
    <w:rsid w:val="002F75F3"/>
    <w:rsid w:val="00301978"/>
    <w:rsid w:val="00302058"/>
    <w:rsid w:val="00302206"/>
    <w:rsid w:val="0030332C"/>
    <w:rsid w:val="003051C2"/>
    <w:rsid w:val="00306697"/>
    <w:rsid w:val="00306B08"/>
    <w:rsid w:val="003079BA"/>
    <w:rsid w:val="003106B4"/>
    <w:rsid w:val="00310799"/>
    <w:rsid w:val="00311EA8"/>
    <w:rsid w:val="003121AC"/>
    <w:rsid w:val="00312296"/>
    <w:rsid w:val="00313FB3"/>
    <w:rsid w:val="00314F0E"/>
    <w:rsid w:val="00315238"/>
    <w:rsid w:val="003169EE"/>
    <w:rsid w:val="00321D8E"/>
    <w:rsid w:val="00322F97"/>
    <w:rsid w:val="00323999"/>
    <w:rsid w:val="00325684"/>
    <w:rsid w:val="003256D5"/>
    <w:rsid w:val="0032579C"/>
    <w:rsid w:val="00325928"/>
    <w:rsid w:val="00325B1A"/>
    <w:rsid w:val="00325F44"/>
    <w:rsid w:val="0033014A"/>
    <w:rsid w:val="003313DA"/>
    <w:rsid w:val="00332863"/>
    <w:rsid w:val="00335235"/>
    <w:rsid w:val="003360D8"/>
    <w:rsid w:val="0033677A"/>
    <w:rsid w:val="0033684D"/>
    <w:rsid w:val="00337B42"/>
    <w:rsid w:val="00341B42"/>
    <w:rsid w:val="003420EB"/>
    <w:rsid w:val="00342DD7"/>
    <w:rsid w:val="0034348F"/>
    <w:rsid w:val="00344C13"/>
    <w:rsid w:val="0035163A"/>
    <w:rsid w:val="00356653"/>
    <w:rsid w:val="0035743F"/>
    <w:rsid w:val="003574B8"/>
    <w:rsid w:val="00357BE2"/>
    <w:rsid w:val="0036130F"/>
    <w:rsid w:val="0036170C"/>
    <w:rsid w:val="00361BD8"/>
    <w:rsid w:val="00362414"/>
    <w:rsid w:val="0036278F"/>
    <w:rsid w:val="00363B32"/>
    <w:rsid w:val="00363E49"/>
    <w:rsid w:val="0036636F"/>
    <w:rsid w:val="0036649C"/>
    <w:rsid w:val="00366E0F"/>
    <w:rsid w:val="0036717A"/>
    <w:rsid w:val="00370B8C"/>
    <w:rsid w:val="00372822"/>
    <w:rsid w:val="0037353B"/>
    <w:rsid w:val="003745AB"/>
    <w:rsid w:val="0037568E"/>
    <w:rsid w:val="00375E8F"/>
    <w:rsid w:val="00376247"/>
    <w:rsid w:val="00376682"/>
    <w:rsid w:val="00376D26"/>
    <w:rsid w:val="00381A72"/>
    <w:rsid w:val="00382D0F"/>
    <w:rsid w:val="00384676"/>
    <w:rsid w:val="0038505D"/>
    <w:rsid w:val="00385CA8"/>
    <w:rsid w:val="00386463"/>
    <w:rsid w:val="00386C28"/>
    <w:rsid w:val="00390857"/>
    <w:rsid w:val="00391329"/>
    <w:rsid w:val="00391947"/>
    <w:rsid w:val="003946CF"/>
    <w:rsid w:val="003946E0"/>
    <w:rsid w:val="003A111F"/>
    <w:rsid w:val="003A1449"/>
    <w:rsid w:val="003A2D66"/>
    <w:rsid w:val="003A4875"/>
    <w:rsid w:val="003A4BF3"/>
    <w:rsid w:val="003B020A"/>
    <w:rsid w:val="003B0E60"/>
    <w:rsid w:val="003B1814"/>
    <w:rsid w:val="003B26C0"/>
    <w:rsid w:val="003B2C17"/>
    <w:rsid w:val="003B3D15"/>
    <w:rsid w:val="003B3F78"/>
    <w:rsid w:val="003B420D"/>
    <w:rsid w:val="003B666A"/>
    <w:rsid w:val="003B6746"/>
    <w:rsid w:val="003B761F"/>
    <w:rsid w:val="003B7639"/>
    <w:rsid w:val="003C11D2"/>
    <w:rsid w:val="003C19B5"/>
    <w:rsid w:val="003C244B"/>
    <w:rsid w:val="003C24B7"/>
    <w:rsid w:val="003C25CA"/>
    <w:rsid w:val="003C2E7E"/>
    <w:rsid w:val="003C4893"/>
    <w:rsid w:val="003C52F9"/>
    <w:rsid w:val="003C6C16"/>
    <w:rsid w:val="003C6E24"/>
    <w:rsid w:val="003C7823"/>
    <w:rsid w:val="003D0A19"/>
    <w:rsid w:val="003D222C"/>
    <w:rsid w:val="003D387C"/>
    <w:rsid w:val="003D5269"/>
    <w:rsid w:val="003D746A"/>
    <w:rsid w:val="003D794D"/>
    <w:rsid w:val="003E098E"/>
    <w:rsid w:val="003E1673"/>
    <w:rsid w:val="003E21C4"/>
    <w:rsid w:val="003E3058"/>
    <w:rsid w:val="003E3260"/>
    <w:rsid w:val="003E342C"/>
    <w:rsid w:val="003E37E5"/>
    <w:rsid w:val="003E3F62"/>
    <w:rsid w:val="003E63B1"/>
    <w:rsid w:val="003E6CF8"/>
    <w:rsid w:val="003E732C"/>
    <w:rsid w:val="003E76A9"/>
    <w:rsid w:val="003F0809"/>
    <w:rsid w:val="003F0BAA"/>
    <w:rsid w:val="003F1CB5"/>
    <w:rsid w:val="003F1F09"/>
    <w:rsid w:val="003F20A3"/>
    <w:rsid w:val="003F42AE"/>
    <w:rsid w:val="003F6A8C"/>
    <w:rsid w:val="003F6F54"/>
    <w:rsid w:val="003F755C"/>
    <w:rsid w:val="004029D2"/>
    <w:rsid w:val="00404516"/>
    <w:rsid w:val="00404A99"/>
    <w:rsid w:val="00406752"/>
    <w:rsid w:val="0040696C"/>
    <w:rsid w:val="00406F01"/>
    <w:rsid w:val="00410BCC"/>
    <w:rsid w:val="00410D19"/>
    <w:rsid w:val="00415140"/>
    <w:rsid w:val="00415A06"/>
    <w:rsid w:val="00415EC9"/>
    <w:rsid w:val="00416D50"/>
    <w:rsid w:val="00416FD5"/>
    <w:rsid w:val="004172B1"/>
    <w:rsid w:val="00417772"/>
    <w:rsid w:val="00420053"/>
    <w:rsid w:val="004208C9"/>
    <w:rsid w:val="00420E6A"/>
    <w:rsid w:val="00420F68"/>
    <w:rsid w:val="00422E59"/>
    <w:rsid w:val="004233FA"/>
    <w:rsid w:val="00425210"/>
    <w:rsid w:val="00425A9E"/>
    <w:rsid w:val="00426D6B"/>
    <w:rsid w:val="004273D0"/>
    <w:rsid w:val="00431BBF"/>
    <w:rsid w:val="00431E6C"/>
    <w:rsid w:val="00433717"/>
    <w:rsid w:val="00433CE7"/>
    <w:rsid w:val="0043455C"/>
    <w:rsid w:val="00434E07"/>
    <w:rsid w:val="004368A9"/>
    <w:rsid w:val="004378E7"/>
    <w:rsid w:val="004428A9"/>
    <w:rsid w:val="004433F7"/>
    <w:rsid w:val="00445AD8"/>
    <w:rsid w:val="004462D9"/>
    <w:rsid w:val="00447570"/>
    <w:rsid w:val="004500EC"/>
    <w:rsid w:val="00451027"/>
    <w:rsid w:val="0045105D"/>
    <w:rsid w:val="00452738"/>
    <w:rsid w:val="00452ED5"/>
    <w:rsid w:val="00456091"/>
    <w:rsid w:val="00460966"/>
    <w:rsid w:val="004640E3"/>
    <w:rsid w:val="00465751"/>
    <w:rsid w:val="00465E7A"/>
    <w:rsid w:val="00466031"/>
    <w:rsid w:val="00466321"/>
    <w:rsid w:val="00470059"/>
    <w:rsid w:val="00470952"/>
    <w:rsid w:val="00472C41"/>
    <w:rsid w:val="00477E90"/>
    <w:rsid w:val="00480A1E"/>
    <w:rsid w:val="0048103E"/>
    <w:rsid w:val="00482028"/>
    <w:rsid w:val="00483FAC"/>
    <w:rsid w:val="00484B9B"/>
    <w:rsid w:val="00484BA5"/>
    <w:rsid w:val="00485460"/>
    <w:rsid w:val="004855F6"/>
    <w:rsid w:val="0048661E"/>
    <w:rsid w:val="004874F0"/>
    <w:rsid w:val="004933A4"/>
    <w:rsid w:val="00493B61"/>
    <w:rsid w:val="004942D8"/>
    <w:rsid w:val="004945A5"/>
    <w:rsid w:val="00494670"/>
    <w:rsid w:val="00494C40"/>
    <w:rsid w:val="00495C81"/>
    <w:rsid w:val="00496240"/>
    <w:rsid w:val="004A3823"/>
    <w:rsid w:val="004A5172"/>
    <w:rsid w:val="004A59B8"/>
    <w:rsid w:val="004B02A4"/>
    <w:rsid w:val="004B0CC2"/>
    <w:rsid w:val="004B1688"/>
    <w:rsid w:val="004B4836"/>
    <w:rsid w:val="004B5A13"/>
    <w:rsid w:val="004B5A4C"/>
    <w:rsid w:val="004B626E"/>
    <w:rsid w:val="004B732E"/>
    <w:rsid w:val="004C0B1D"/>
    <w:rsid w:val="004C189F"/>
    <w:rsid w:val="004C2490"/>
    <w:rsid w:val="004C27AA"/>
    <w:rsid w:val="004C30A0"/>
    <w:rsid w:val="004C37A2"/>
    <w:rsid w:val="004C57B2"/>
    <w:rsid w:val="004C64A6"/>
    <w:rsid w:val="004C6BA4"/>
    <w:rsid w:val="004D17D7"/>
    <w:rsid w:val="004D2717"/>
    <w:rsid w:val="004D39A8"/>
    <w:rsid w:val="004D5E01"/>
    <w:rsid w:val="004D5F2D"/>
    <w:rsid w:val="004D747E"/>
    <w:rsid w:val="004E2E5F"/>
    <w:rsid w:val="004E5622"/>
    <w:rsid w:val="004E620A"/>
    <w:rsid w:val="004E6946"/>
    <w:rsid w:val="004F0CF3"/>
    <w:rsid w:val="004F1A71"/>
    <w:rsid w:val="004F1AD8"/>
    <w:rsid w:val="004F2B58"/>
    <w:rsid w:val="004F3C84"/>
    <w:rsid w:val="004F3F5A"/>
    <w:rsid w:val="004F787B"/>
    <w:rsid w:val="005029C4"/>
    <w:rsid w:val="005039CB"/>
    <w:rsid w:val="0050558F"/>
    <w:rsid w:val="00506286"/>
    <w:rsid w:val="00506455"/>
    <w:rsid w:val="00507FA0"/>
    <w:rsid w:val="00510813"/>
    <w:rsid w:val="00510BFB"/>
    <w:rsid w:val="005117F8"/>
    <w:rsid w:val="00511990"/>
    <w:rsid w:val="00511DE0"/>
    <w:rsid w:val="00514870"/>
    <w:rsid w:val="00514B9B"/>
    <w:rsid w:val="005155A7"/>
    <w:rsid w:val="00517F02"/>
    <w:rsid w:val="00520F5C"/>
    <w:rsid w:val="00521C85"/>
    <w:rsid w:val="00522E5E"/>
    <w:rsid w:val="00524303"/>
    <w:rsid w:val="005258A2"/>
    <w:rsid w:val="00525CD7"/>
    <w:rsid w:val="005270C9"/>
    <w:rsid w:val="0052716B"/>
    <w:rsid w:val="00527EA0"/>
    <w:rsid w:val="005303C2"/>
    <w:rsid w:val="0053110E"/>
    <w:rsid w:val="00531B11"/>
    <w:rsid w:val="00532DB4"/>
    <w:rsid w:val="00534229"/>
    <w:rsid w:val="00534B39"/>
    <w:rsid w:val="00535F07"/>
    <w:rsid w:val="00536F3E"/>
    <w:rsid w:val="005401AE"/>
    <w:rsid w:val="0054108F"/>
    <w:rsid w:val="0054159A"/>
    <w:rsid w:val="00542E07"/>
    <w:rsid w:val="00542F96"/>
    <w:rsid w:val="00544562"/>
    <w:rsid w:val="0054501D"/>
    <w:rsid w:val="00545424"/>
    <w:rsid w:val="00546459"/>
    <w:rsid w:val="00546483"/>
    <w:rsid w:val="00546DB1"/>
    <w:rsid w:val="00547170"/>
    <w:rsid w:val="00554A7B"/>
    <w:rsid w:val="0055572C"/>
    <w:rsid w:val="005600E0"/>
    <w:rsid w:val="00560564"/>
    <w:rsid w:val="005609B8"/>
    <w:rsid w:val="0056106A"/>
    <w:rsid w:val="00561733"/>
    <w:rsid w:val="00562EFA"/>
    <w:rsid w:val="005630E6"/>
    <w:rsid w:val="0056445B"/>
    <w:rsid w:val="00564C0C"/>
    <w:rsid w:val="00566847"/>
    <w:rsid w:val="00566C49"/>
    <w:rsid w:val="00567152"/>
    <w:rsid w:val="00567D1D"/>
    <w:rsid w:val="005720AE"/>
    <w:rsid w:val="00574397"/>
    <w:rsid w:val="0057450A"/>
    <w:rsid w:val="00575185"/>
    <w:rsid w:val="00576DBA"/>
    <w:rsid w:val="00577135"/>
    <w:rsid w:val="00581771"/>
    <w:rsid w:val="00582AE4"/>
    <w:rsid w:val="0058365B"/>
    <w:rsid w:val="0058391B"/>
    <w:rsid w:val="00583B02"/>
    <w:rsid w:val="005848C7"/>
    <w:rsid w:val="00585C76"/>
    <w:rsid w:val="00585CAA"/>
    <w:rsid w:val="00585EBB"/>
    <w:rsid w:val="00586B62"/>
    <w:rsid w:val="00586E65"/>
    <w:rsid w:val="005905F5"/>
    <w:rsid w:val="00590B4B"/>
    <w:rsid w:val="005910D5"/>
    <w:rsid w:val="005912A8"/>
    <w:rsid w:val="00594D77"/>
    <w:rsid w:val="005963C3"/>
    <w:rsid w:val="005969E4"/>
    <w:rsid w:val="00597C1B"/>
    <w:rsid w:val="005A0035"/>
    <w:rsid w:val="005A06B7"/>
    <w:rsid w:val="005A07DC"/>
    <w:rsid w:val="005A0FB0"/>
    <w:rsid w:val="005A14D1"/>
    <w:rsid w:val="005A1759"/>
    <w:rsid w:val="005A1CC0"/>
    <w:rsid w:val="005A2846"/>
    <w:rsid w:val="005A2BAA"/>
    <w:rsid w:val="005A2EB4"/>
    <w:rsid w:val="005A68A7"/>
    <w:rsid w:val="005B266E"/>
    <w:rsid w:val="005B5F39"/>
    <w:rsid w:val="005B6035"/>
    <w:rsid w:val="005C0234"/>
    <w:rsid w:val="005C13C8"/>
    <w:rsid w:val="005C1BA4"/>
    <w:rsid w:val="005C40DB"/>
    <w:rsid w:val="005C59AC"/>
    <w:rsid w:val="005C715B"/>
    <w:rsid w:val="005C794F"/>
    <w:rsid w:val="005D1BBD"/>
    <w:rsid w:val="005D25A3"/>
    <w:rsid w:val="005D28E6"/>
    <w:rsid w:val="005D2C69"/>
    <w:rsid w:val="005D36AB"/>
    <w:rsid w:val="005D3B29"/>
    <w:rsid w:val="005D3E54"/>
    <w:rsid w:val="005D53B0"/>
    <w:rsid w:val="005D5D24"/>
    <w:rsid w:val="005D6839"/>
    <w:rsid w:val="005D6F80"/>
    <w:rsid w:val="005E07E3"/>
    <w:rsid w:val="005E12E5"/>
    <w:rsid w:val="005E30E5"/>
    <w:rsid w:val="005E58A0"/>
    <w:rsid w:val="005E6BE1"/>
    <w:rsid w:val="005E7BF9"/>
    <w:rsid w:val="005F12DC"/>
    <w:rsid w:val="005F1C91"/>
    <w:rsid w:val="005F1D4C"/>
    <w:rsid w:val="005F2AE1"/>
    <w:rsid w:val="005F38F6"/>
    <w:rsid w:val="005F3F0E"/>
    <w:rsid w:val="005F4D16"/>
    <w:rsid w:val="005F4EE3"/>
    <w:rsid w:val="005F53F4"/>
    <w:rsid w:val="005F60A2"/>
    <w:rsid w:val="005F7B9D"/>
    <w:rsid w:val="00601737"/>
    <w:rsid w:val="0060193A"/>
    <w:rsid w:val="00602B06"/>
    <w:rsid w:val="006075C1"/>
    <w:rsid w:val="00607D7C"/>
    <w:rsid w:val="006107C8"/>
    <w:rsid w:val="00610F05"/>
    <w:rsid w:val="00612B09"/>
    <w:rsid w:val="0061342E"/>
    <w:rsid w:val="00614CD4"/>
    <w:rsid w:val="006150DC"/>
    <w:rsid w:val="0061539A"/>
    <w:rsid w:val="00615952"/>
    <w:rsid w:val="00617CC3"/>
    <w:rsid w:val="00623AF7"/>
    <w:rsid w:val="00636753"/>
    <w:rsid w:val="00636807"/>
    <w:rsid w:val="006377A6"/>
    <w:rsid w:val="00637A3D"/>
    <w:rsid w:val="00637DCE"/>
    <w:rsid w:val="006411EF"/>
    <w:rsid w:val="0064470F"/>
    <w:rsid w:val="0064795B"/>
    <w:rsid w:val="006508A9"/>
    <w:rsid w:val="00651452"/>
    <w:rsid w:val="00653BC1"/>
    <w:rsid w:val="00654F08"/>
    <w:rsid w:val="006552F2"/>
    <w:rsid w:val="00657118"/>
    <w:rsid w:val="00657361"/>
    <w:rsid w:val="00661015"/>
    <w:rsid w:val="006635FE"/>
    <w:rsid w:val="00666156"/>
    <w:rsid w:val="006669E5"/>
    <w:rsid w:val="00672FE8"/>
    <w:rsid w:val="00672FF0"/>
    <w:rsid w:val="00673F16"/>
    <w:rsid w:val="006748B8"/>
    <w:rsid w:val="006758FB"/>
    <w:rsid w:val="0067705E"/>
    <w:rsid w:val="006775C3"/>
    <w:rsid w:val="00682A62"/>
    <w:rsid w:val="00685C37"/>
    <w:rsid w:val="00687226"/>
    <w:rsid w:val="00691732"/>
    <w:rsid w:val="006918EF"/>
    <w:rsid w:val="006921BD"/>
    <w:rsid w:val="0069290A"/>
    <w:rsid w:val="00692B95"/>
    <w:rsid w:val="00693D55"/>
    <w:rsid w:val="00695F40"/>
    <w:rsid w:val="0069693F"/>
    <w:rsid w:val="0069775A"/>
    <w:rsid w:val="00697813"/>
    <w:rsid w:val="0069794D"/>
    <w:rsid w:val="00697E0F"/>
    <w:rsid w:val="006A0AD8"/>
    <w:rsid w:val="006A0F96"/>
    <w:rsid w:val="006A0FE3"/>
    <w:rsid w:val="006A2B27"/>
    <w:rsid w:val="006A2DE5"/>
    <w:rsid w:val="006A3EE8"/>
    <w:rsid w:val="006A552A"/>
    <w:rsid w:val="006A6348"/>
    <w:rsid w:val="006A688F"/>
    <w:rsid w:val="006A7186"/>
    <w:rsid w:val="006A72BF"/>
    <w:rsid w:val="006A74D9"/>
    <w:rsid w:val="006B03F2"/>
    <w:rsid w:val="006B07CD"/>
    <w:rsid w:val="006B37DC"/>
    <w:rsid w:val="006B4F68"/>
    <w:rsid w:val="006B574E"/>
    <w:rsid w:val="006B77B1"/>
    <w:rsid w:val="006B7BC1"/>
    <w:rsid w:val="006C0592"/>
    <w:rsid w:val="006C1E62"/>
    <w:rsid w:val="006C272E"/>
    <w:rsid w:val="006C320E"/>
    <w:rsid w:val="006C534E"/>
    <w:rsid w:val="006C5479"/>
    <w:rsid w:val="006C5A46"/>
    <w:rsid w:val="006D13B5"/>
    <w:rsid w:val="006D4182"/>
    <w:rsid w:val="006D7B85"/>
    <w:rsid w:val="006E12FF"/>
    <w:rsid w:val="006E607E"/>
    <w:rsid w:val="006E6417"/>
    <w:rsid w:val="006E7312"/>
    <w:rsid w:val="006E7719"/>
    <w:rsid w:val="006F1974"/>
    <w:rsid w:val="006F4333"/>
    <w:rsid w:val="007008A0"/>
    <w:rsid w:val="007017D8"/>
    <w:rsid w:val="007040A1"/>
    <w:rsid w:val="00704634"/>
    <w:rsid w:val="00704CEF"/>
    <w:rsid w:val="00704EB4"/>
    <w:rsid w:val="007053B6"/>
    <w:rsid w:val="007057C5"/>
    <w:rsid w:val="007067A5"/>
    <w:rsid w:val="00706C5D"/>
    <w:rsid w:val="00710CC7"/>
    <w:rsid w:val="00712689"/>
    <w:rsid w:val="00712AF4"/>
    <w:rsid w:val="0071473D"/>
    <w:rsid w:val="00715F2E"/>
    <w:rsid w:val="00715FB3"/>
    <w:rsid w:val="00716612"/>
    <w:rsid w:val="00716BC7"/>
    <w:rsid w:val="00717131"/>
    <w:rsid w:val="00720700"/>
    <w:rsid w:val="0072175A"/>
    <w:rsid w:val="00721935"/>
    <w:rsid w:val="00723349"/>
    <w:rsid w:val="00723A49"/>
    <w:rsid w:val="00724283"/>
    <w:rsid w:val="0072622C"/>
    <w:rsid w:val="007267F5"/>
    <w:rsid w:val="00727F39"/>
    <w:rsid w:val="00730ADD"/>
    <w:rsid w:val="00732922"/>
    <w:rsid w:val="007340AF"/>
    <w:rsid w:val="00734E03"/>
    <w:rsid w:val="0073529F"/>
    <w:rsid w:val="0073554E"/>
    <w:rsid w:val="007417AE"/>
    <w:rsid w:val="00741B84"/>
    <w:rsid w:val="00743592"/>
    <w:rsid w:val="00743D48"/>
    <w:rsid w:val="0074454E"/>
    <w:rsid w:val="00745B6D"/>
    <w:rsid w:val="00745E33"/>
    <w:rsid w:val="00750C6A"/>
    <w:rsid w:val="0075154A"/>
    <w:rsid w:val="0075162E"/>
    <w:rsid w:val="00751729"/>
    <w:rsid w:val="00751C3B"/>
    <w:rsid w:val="00751FF2"/>
    <w:rsid w:val="00754034"/>
    <w:rsid w:val="007556B4"/>
    <w:rsid w:val="00756556"/>
    <w:rsid w:val="007565DA"/>
    <w:rsid w:val="007574CD"/>
    <w:rsid w:val="00757B48"/>
    <w:rsid w:val="00757CC1"/>
    <w:rsid w:val="0076010E"/>
    <w:rsid w:val="007618C4"/>
    <w:rsid w:val="007629B1"/>
    <w:rsid w:val="00763BF4"/>
    <w:rsid w:val="0076407D"/>
    <w:rsid w:val="0076469E"/>
    <w:rsid w:val="0076681F"/>
    <w:rsid w:val="00767980"/>
    <w:rsid w:val="00770B19"/>
    <w:rsid w:val="00770BA3"/>
    <w:rsid w:val="00771FB3"/>
    <w:rsid w:val="00772434"/>
    <w:rsid w:val="007737E1"/>
    <w:rsid w:val="0077463F"/>
    <w:rsid w:val="00777529"/>
    <w:rsid w:val="00781CB3"/>
    <w:rsid w:val="0078278A"/>
    <w:rsid w:val="00782BF2"/>
    <w:rsid w:val="007836EA"/>
    <w:rsid w:val="00783F2F"/>
    <w:rsid w:val="00784CDA"/>
    <w:rsid w:val="00785460"/>
    <w:rsid w:val="00785931"/>
    <w:rsid w:val="0078646A"/>
    <w:rsid w:val="00787833"/>
    <w:rsid w:val="00787B94"/>
    <w:rsid w:val="00787BAA"/>
    <w:rsid w:val="007906C4"/>
    <w:rsid w:val="007940EA"/>
    <w:rsid w:val="00795785"/>
    <w:rsid w:val="00796076"/>
    <w:rsid w:val="00796204"/>
    <w:rsid w:val="007967E8"/>
    <w:rsid w:val="007972F4"/>
    <w:rsid w:val="007A0B84"/>
    <w:rsid w:val="007A1967"/>
    <w:rsid w:val="007A1CBB"/>
    <w:rsid w:val="007A2170"/>
    <w:rsid w:val="007A22BF"/>
    <w:rsid w:val="007A3323"/>
    <w:rsid w:val="007A3DA4"/>
    <w:rsid w:val="007A7279"/>
    <w:rsid w:val="007B0BFA"/>
    <w:rsid w:val="007B1F32"/>
    <w:rsid w:val="007B2828"/>
    <w:rsid w:val="007B3E8F"/>
    <w:rsid w:val="007B4224"/>
    <w:rsid w:val="007B480B"/>
    <w:rsid w:val="007B4F77"/>
    <w:rsid w:val="007B52A3"/>
    <w:rsid w:val="007B5BE7"/>
    <w:rsid w:val="007B5FB7"/>
    <w:rsid w:val="007B6163"/>
    <w:rsid w:val="007B6E4D"/>
    <w:rsid w:val="007B72B8"/>
    <w:rsid w:val="007B7A58"/>
    <w:rsid w:val="007C0254"/>
    <w:rsid w:val="007C08D2"/>
    <w:rsid w:val="007C0ECF"/>
    <w:rsid w:val="007C135B"/>
    <w:rsid w:val="007C1C30"/>
    <w:rsid w:val="007C1EB9"/>
    <w:rsid w:val="007C21B5"/>
    <w:rsid w:val="007C4570"/>
    <w:rsid w:val="007C500E"/>
    <w:rsid w:val="007D31A4"/>
    <w:rsid w:val="007E06B2"/>
    <w:rsid w:val="007E0D5B"/>
    <w:rsid w:val="007E1BD6"/>
    <w:rsid w:val="007E1C6B"/>
    <w:rsid w:val="007E36B8"/>
    <w:rsid w:val="007E4BD2"/>
    <w:rsid w:val="007E6C02"/>
    <w:rsid w:val="007F1634"/>
    <w:rsid w:val="007F258A"/>
    <w:rsid w:val="007F4A33"/>
    <w:rsid w:val="007F58DB"/>
    <w:rsid w:val="007F708D"/>
    <w:rsid w:val="007F7090"/>
    <w:rsid w:val="007F7D0A"/>
    <w:rsid w:val="008009B9"/>
    <w:rsid w:val="00801393"/>
    <w:rsid w:val="0080184D"/>
    <w:rsid w:val="008027DD"/>
    <w:rsid w:val="00802B19"/>
    <w:rsid w:val="00802F88"/>
    <w:rsid w:val="00804137"/>
    <w:rsid w:val="0080662F"/>
    <w:rsid w:val="00810304"/>
    <w:rsid w:val="00810BE8"/>
    <w:rsid w:val="0081293E"/>
    <w:rsid w:val="00812C41"/>
    <w:rsid w:val="0081375E"/>
    <w:rsid w:val="008138EB"/>
    <w:rsid w:val="008149F2"/>
    <w:rsid w:val="0081541B"/>
    <w:rsid w:val="00815465"/>
    <w:rsid w:val="00817E9A"/>
    <w:rsid w:val="00821384"/>
    <w:rsid w:val="0082543D"/>
    <w:rsid w:val="00825646"/>
    <w:rsid w:val="00826876"/>
    <w:rsid w:val="00827CA2"/>
    <w:rsid w:val="00827E73"/>
    <w:rsid w:val="0083016D"/>
    <w:rsid w:val="008306BD"/>
    <w:rsid w:val="00830B71"/>
    <w:rsid w:val="008317E1"/>
    <w:rsid w:val="00831A80"/>
    <w:rsid w:val="00833743"/>
    <w:rsid w:val="008340A4"/>
    <w:rsid w:val="00835030"/>
    <w:rsid w:val="00835D32"/>
    <w:rsid w:val="0083631C"/>
    <w:rsid w:val="0083668D"/>
    <w:rsid w:val="0083744F"/>
    <w:rsid w:val="00841684"/>
    <w:rsid w:val="008422E3"/>
    <w:rsid w:val="00842D5F"/>
    <w:rsid w:val="008430BF"/>
    <w:rsid w:val="00843E9F"/>
    <w:rsid w:val="00844E8C"/>
    <w:rsid w:val="008451A8"/>
    <w:rsid w:val="008469F9"/>
    <w:rsid w:val="00846F3E"/>
    <w:rsid w:val="00847D17"/>
    <w:rsid w:val="0085010C"/>
    <w:rsid w:val="00851CED"/>
    <w:rsid w:val="0085312C"/>
    <w:rsid w:val="00855C16"/>
    <w:rsid w:val="00856AD1"/>
    <w:rsid w:val="0086130A"/>
    <w:rsid w:val="008628AF"/>
    <w:rsid w:val="008634B0"/>
    <w:rsid w:val="00864F67"/>
    <w:rsid w:val="00865781"/>
    <w:rsid w:val="0086630A"/>
    <w:rsid w:val="00866DC5"/>
    <w:rsid w:val="0086786D"/>
    <w:rsid w:val="00870791"/>
    <w:rsid w:val="00870FB4"/>
    <w:rsid w:val="0087135F"/>
    <w:rsid w:val="00872D94"/>
    <w:rsid w:val="00874445"/>
    <w:rsid w:val="008762A1"/>
    <w:rsid w:val="00880364"/>
    <w:rsid w:val="0088203D"/>
    <w:rsid w:val="00882966"/>
    <w:rsid w:val="0088312F"/>
    <w:rsid w:val="00883849"/>
    <w:rsid w:val="008841AF"/>
    <w:rsid w:val="00884E95"/>
    <w:rsid w:val="00885180"/>
    <w:rsid w:val="00885E5D"/>
    <w:rsid w:val="00886300"/>
    <w:rsid w:val="00891592"/>
    <w:rsid w:val="00891E9E"/>
    <w:rsid w:val="00892020"/>
    <w:rsid w:val="00896137"/>
    <w:rsid w:val="00896234"/>
    <w:rsid w:val="0089625A"/>
    <w:rsid w:val="0089702C"/>
    <w:rsid w:val="008A1BC1"/>
    <w:rsid w:val="008A2931"/>
    <w:rsid w:val="008A2A99"/>
    <w:rsid w:val="008A2F68"/>
    <w:rsid w:val="008A458A"/>
    <w:rsid w:val="008A5A22"/>
    <w:rsid w:val="008A603C"/>
    <w:rsid w:val="008A616E"/>
    <w:rsid w:val="008A72D9"/>
    <w:rsid w:val="008A73EB"/>
    <w:rsid w:val="008A78F9"/>
    <w:rsid w:val="008B1329"/>
    <w:rsid w:val="008B1BBA"/>
    <w:rsid w:val="008B21A9"/>
    <w:rsid w:val="008B3568"/>
    <w:rsid w:val="008B4FA6"/>
    <w:rsid w:val="008B51A2"/>
    <w:rsid w:val="008B5282"/>
    <w:rsid w:val="008B5566"/>
    <w:rsid w:val="008B7C17"/>
    <w:rsid w:val="008B7D71"/>
    <w:rsid w:val="008C2D01"/>
    <w:rsid w:val="008C40E6"/>
    <w:rsid w:val="008C4DDA"/>
    <w:rsid w:val="008C5390"/>
    <w:rsid w:val="008C72CB"/>
    <w:rsid w:val="008D0F7A"/>
    <w:rsid w:val="008D1B17"/>
    <w:rsid w:val="008D68CF"/>
    <w:rsid w:val="008D68E4"/>
    <w:rsid w:val="008E0506"/>
    <w:rsid w:val="008E0CFF"/>
    <w:rsid w:val="008E3187"/>
    <w:rsid w:val="008E476D"/>
    <w:rsid w:val="008E50D7"/>
    <w:rsid w:val="008E5D6B"/>
    <w:rsid w:val="008E5E30"/>
    <w:rsid w:val="008E65A7"/>
    <w:rsid w:val="008E667F"/>
    <w:rsid w:val="008E66DB"/>
    <w:rsid w:val="008E70FD"/>
    <w:rsid w:val="008E76F0"/>
    <w:rsid w:val="008E7CBE"/>
    <w:rsid w:val="008F15FE"/>
    <w:rsid w:val="008F2D29"/>
    <w:rsid w:val="008F4D1F"/>
    <w:rsid w:val="008F5187"/>
    <w:rsid w:val="008F584A"/>
    <w:rsid w:val="008F60D8"/>
    <w:rsid w:val="008F7C0D"/>
    <w:rsid w:val="008F7C8F"/>
    <w:rsid w:val="00900738"/>
    <w:rsid w:val="00901170"/>
    <w:rsid w:val="009023E7"/>
    <w:rsid w:val="00902727"/>
    <w:rsid w:val="0090312B"/>
    <w:rsid w:val="0090454D"/>
    <w:rsid w:val="00904CDA"/>
    <w:rsid w:val="00906021"/>
    <w:rsid w:val="00907678"/>
    <w:rsid w:val="009104B2"/>
    <w:rsid w:val="00910722"/>
    <w:rsid w:val="00910FD2"/>
    <w:rsid w:val="00912665"/>
    <w:rsid w:val="00912D62"/>
    <w:rsid w:val="009139FA"/>
    <w:rsid w:val="00913A35"/>
    <w:rsid w:val="00914179"/>
    <w:rsid w:val="009172FE"/>
    <w:rsid w:val="0091736D"/>
    <w:rsid w:val="009177BB"/>
    <w:rsid w:val="0091787B"/>
    <w:rsid w:val="0092215E"/>
    <w:rsid w:val="009238DE"/>
    <w:rsid w:val="00923AE0"/>
    <w:rsid w:val="009269F5"/>
    <w:rsid w:val="00926D3F"/>
    <w:rsid w:val="0093037A"/>
    <w:rsid w:val="00930F36"/>
    <w:rsid w:val="009329A6"/>
    <w:rsid w:val="009336C5"/>
    <w:rsid w:val="00935F6C"/>
    <w:rsid w:val="00937957"/>
    <w:rsid w:val="00937F20"/>
    <w:rsid w:val="0094154D"/>
    <w:rsid w:val="00942139"/>
    <w:rsid w:val="00944454"/>
    <w:rsid w:val="00945FF6"/>
    <w:rsid w:val="00946BB1"/>
    <w:rsid w:val="0095155F"/>
    <w:rsid w:val="00951983"/>
    <w:rsid w:val="00951DC4"/>
    <w:rsid w:val="00952AD6"/>
    <w:rsid w:val="009539C3"/>
    <w:rsid w:val="00954429"/>
    <w:rsid w:val="009550A0"/>
    <w:rsid w:val="009563CE"/>
    <w:rsid w:val="00956FCE"/>
    <w:rsid w:val="00957E6F"/>
    <w:rsid w:val="009613B2"/>
    <w:rsid w:val="0096396E"/>
    <w:rsid w:val="0096474D"/>
    <w:rsid w:val="009668B6"/>
    <w:rsid w:val="0096757E"/>
    <w:rsid w:val="00967A7F"/>
    <w:rsid w:val="00967B2A"/>
    <w:rsid w:val="00967FC3"/>
    <w:rsid w:val="009759B6"/>
    <w:rsid w:val="009760B7"/>
    <w:rsid w:val="00976328"/>
    <w:rsid w:val="0097680D"/>
    <w:rsid w:val="00977727"/>
    <w:rsid w:val="00980141"/>
    <w:rsid w:val="0098087E"/>
    <w:rsid w:val="00982438"/>
    <w:rsid w:val="00982FE8"/>
    <w:rsid w:val="0098369F"/>
    <w:rsid w:val="0098404C"/>
    <w:rsid w:val="00984260"/>
    <w:rsid w:val="00984AC5"/>
    <w:rsid w:val="00985283"/>
    <w:rsid w:val="009854A7"/>
    <w:rsid w:val="009868CD"/>
    <w:rsid w:val="00991664"/>
    <w:rsid w:val="00991BC4"/>
    <w:rsid w:val="00991CA1"/>
    <w:rsid w:val="0099295B"/>
    <w:rsid w:val="00994374"/>
    <w:rsid w:val="00995688"/>
    <w:rsid w:val="00995992"/>
    <w:rsid w:val="00997451"/>
    <w:rsid w:val="00997863"/>
    <w:rsid w:val="009A03E5"/>
    <w:rsid w:val="009A0F3B"/>
    <w:rsid w:val="009A1AF7"/>
    <w:rsid w:val="009A1BB4"/>
    <w:rsid w:val="009A1C24"/>
    <w:rsid w:val="009A2628"/>
    <w:rsid w:val="009A3200"/>
    <w:rsid w:val="009A4E17"/>
    <w:rsid w:val="009A5572"/>
    <w:rsid w:val="009A60E5"/>
    <w:rsid w:val="009B0671"/>
    <w:rsid w:val="009B0897"/>
    <w:rsid w:val="009B09C0"/>
    <w:rsid w:val="009B0F7E"/>
    <w:rsid w:val="009B596C"/>
    <w:rsid w:val="009B61B6"/>
    <w:rsid w:val="009B7BD9"/>
    <w:rsid w:val="009C0BB3"/>
    <w:rsid w:val="009C15CE"/>
    <w:rsid w:val="009C42BE"/>
    <w:rsid w:val="009C4A80"/>
    <w:rsid w:val="009C5CAB"/>
    <w:rsid w:val="009C68B9"/>
    <w:rsid w:val="009C6E29"/>
    <w:rsid w:val="009C7DD5"/>
    <w:rsid w:val="009D01A7"/>
    <w:rsid w:val="009D1463"/>
    <w:rsid w:val="009D49E1"/>
    <w:rsid w:val="009D5151"/>
    <w:rsid w:val="009D6F82"/>
    <w:rsid w:val="009D7E2E"/>
    <w:rsid w:val="009E227D"/>
    <w:rsid w:val="009E3207"/>
    <w:rsid w:val="009E5019"/>
    <w:rsid w:val="009E552C"/>
    <w:rsid w:val="009E7A10"/>
    <w:rsid w:val="009E7CBB"/>
    <w:rsid w:val="009F0C64"/>
    <w:rsid w:val="009F283A"/>
    <w:rsid w:val="009F30B5"/>
    <w:rsid w:val="009F433D"/>
    <w:rsid w:val="009F47CC"/>
    <w:rsid w:val="009F490C"/>
    <w:rsid w:val="009F4DC7"/>
    <w:rsid w:val="009F4EC1"/>
    <w:rsid w:val="009F7611"/>
    <w:rsid w:val="00A00404"/>
    <w:rsid w:val="00A01A59"/>
    <w:rsid w:val="00A03741"/>
    <w:rsid w:val="00A04F1B"/>
    <w:rsid w:val="00A0501B"/>
    <w:rsid w:val="00A056EF"/>
    <w:rsid w:val="00A06C2C"/>
    <w:rsid w:val="00A06D1D"/>
    <w:rsid w:val="00A07022"/>
    <w:rsid w:val="00A07340"/>
    <w:rsid w:val="00A10C6B"/>
    <w:rsid w:val="00A1286A"/>
    <w:rsid w:val="00A12CCB"/>
    <w:rsid w:val="00A13115"/>
    <w:rsid w:val="00A14947"/>
    <w:rsid w:val="00A161B7"/>
    <w:rsid w:val="00A20718"/>
    <w:rsid w:val="00A21EFA"/>
    <w:rsid w:val="00A221CB"/>
    <w:rsid w:val="00A22EC7"/>
    <w:rsid w:val="00A27D6F"/>
    <w:rsid w:val="00A322C7"/>
    <w:rsid w:val="00A32A83"/>
    <w:rsid w:val="00A32FA0"/>
    <w:rsid w:val="00A332FC"/>
    <w:rsid w:val="00A35011"/>
    <w:rsid w:val="00A368DB"/>
    <w:rsid w:val="00A379BE"/>
    <w:rsid w:val="00A423AA"/>
    <w:rsid w:val="00A42F79"/>
    <w:rsid w:val="00A438B3"/>
    <w:rsid w:val="00A504AA"/>
    <w:rsid w:val="00A50DD2"/>
    <w:rsid w:val="00A5108C"/>
    <w:rsid w:val="00A53214"/>
    <w:rsid w:val="00A53EC6"/>
    <w:rsid w:val="00A54289"/>
    <w:rsid w:val="00A55C0F"/>
    <w:rsid w:val="00A55EBB"/>
    <w:rsid w:val="00A560D3"/>
    <w:rsid w:val="00A57171"/>
    <w:rsid w:val="00A57758"/>
    <w:rsid w:val="00A62E9F"/>
    <w:rsid w:val="00A633F7"/>
    <w:rsid w:val="00A63DF6"/>
    <w:rsid w:val="00A67B80"/>
    <w:rsid w:val="00A71383"/>
    <w:rsid w:val="00A7177B"/>
    <w:rsid w:val="00A75482"/>
    <w:rsid w:val="00A75DC4"/>
    <w:rsid w:val="00A77A44"/>
    <w:rsid w:val="00A8246E"/>
    <w:rsid w:val="00A8348B"/>
    <w:rsid w:val="00A83A57"/>
    <w:rsid w:val="00A845FE"/>
    <w:rsid w:val="00A86002"/>
    <w:rsid w:val="00A8713F"/>
    <w:rsid w:val="00A872EB"/>
    <w:rsid w:val="00A8761C"/>
    <w:rsid w:val="00A90BA1"/>
    <w:rsid w:val="00A922D6"/>
    <w:rsid w:val="00A9354F"/>
    <w:rsid w:val="00A93C2A"/>
    <w:rsid w:val="00A93FCC"/>
    <w:rsid w:val="00A9507D"/>
    <w:rsid w:val="00A9546F"/>
    <w:rsid w:val="00A963BA"/>
    <w:rsid w:val="00A97A9A"/>
    <w:rsid w:val="00AA0671"/>
    <w:rsid w:val="00AA0A9F"/>
    <w:rsid w:val="00AA147F"/>
    <w:rsid w:val="00AA2447"/>
    <w:rsid w:val="00AA2531"/>
    <w:rsid w:val="00AA2A21"/>
    <w:rsid w:val="00AA7273"/>
    <w:rsid w:val="00AA7987"/>
    <w:rsid w:val="00AB0396"/>
    <w:rsid w:val="00AB14A1"/>
    <w:rsid w:val="00AB1E09"/>
    <w:rsid w:val="00AB1F89"/>
    <w:rsid w:val="00AB2D99"/>
    <w:rsid w:val="00AB35F5"/>
    <w:rsid w:val="00AB4A0E"/>
    <w:rsid w:val="00AB5330"/>
    <w:rsid w:val="00AB54C6"/>
    <w:rsid w:val="00AB5B57"/>
    <w:rsid w:val="00AB685D"/>
    <w:rsid w:val="00AB7747"/>
    <w:rsid w:val="00AC0B5B"/>
    <w:rsid w:val="00AC14CE"/>
    <w:rsid w:val="00AC1FF0"/>
    <w:rsid w:val="00AC2A56"/>
    <w:rsid w:val="00AC3D47"/>
    <w:rsid w:val="00AC6B57"/>
    <w:rsid w:val="00AD055E"/>
    <w:rsid w:val="00AD0F96"/>
    <w:rsid w:val="00AD114F"/>
    <w:rsid w:val="00AD1ED8"/>
    <w:rsid w:val="00AD2A21"/>
    <w:rsid w:val="00AD324B"/>
    <w:rsid w:val="00AD35CD"/>
    <w:rsid w:val="00AD47A7"/>
    <w:rsid w:val="00AD57E0"/>
    <w:rsid w:val="00AD61C4"/>
    <w:rsid w:val="00AE1BE3"/>
    <w:rsid w:val="00AE1F49"/>
    <w:rsid w:val="00AE2619"/>
    <w:rsid w:val="00AE28C6"/>
    <w:rsid w:val="00AE2964"/>
    <w:rsid w:val="00AE4783"/>
    <w:rsid w:val="00AE6BB0"/>
    <w:rsid w:val="00AE75B4"/>
    <w:rsid w:val="00AF0CBF"/>
    <w:rsid w:val="00AF1205"/>
    <w:rsid w:val="00AF1E55"/>
    <w:rsid w:val="00AF2438"/>
    <w:rsid w:val="00AF257F"/>
    <w:rsid w:val="00AF33CF"/>
    <w:rsid w:val="00AF46AA"/>
    <w:rsid w:val="00AF46DB"/>
    <w:rsid w:val="00AF4D50"/>
    <w:rsid w:val="00AF6179"/>
    <w:rsid w:val="00AF6D40"/>
    <w:rsid w:val="00AF780B"/>
    <w:rsid w:val="00AF7B72"/>
    <w:rsid w:val="00B003A0"/>
    <w:rsid w:val="00B004E1"/>
    <w:rsid w:val="00B04935"/>
    <w:rsid w:val="00B04F2E"/>
    <w:rsid w:val="00B05B51"/>
    <w:rsid w:val="00B06504"/>
    <w:rsid w:val="00B06732"/>
    <w:rsid w:val="00B102B2"/>
    <w:rsid w:val="00B109BE"/>
    <w:rsid w:val="00B1295A"/>
    <w:rsid w:val="00B1341E"/>
    <w:rsid w:val="00B138F6"/>
    <w:rsid w:val="00B147E8"/>
    <w:rsid w:val="00B14EC8"/>
    <w:rsid w:val="00B15D48"/>
    <w:rsid w:val="00B1775F"/>
    <w:rsid w:val="00B20A26"/>
    <w:rsid w:val="00B20A45"/>
    <w:rsid w:val="00B20D98"/>
    <w:rsid w:val="00B22C5C"/>
    <w:rsid w:val="00B23474"/>
    <w:rsid w:val="00B24F30"/>
    <w:rsid w:val="00B27741"/>
    <w:rsid w:val="00B306ED"/>
    <w:rsid w:val="00B30CBA"/>
    <w:rsid w:val="00B31844"/>
    <w:rsid w:val="00B31ABF"/>
    <w:rsid w:val="00B32039"/>
    <w:rsid w:val="00B33BE3"/>
    <w:rsid w:val="00B42D06"/>
    <w:rsid w:val="00B430C4"/>
    <w:rsid w:val="00B44473"/>
    <w:rsid w:val="00B463FD"/>
    <w:rsid w:val="00B46DF4"/>
    <w:rsid w:val="00B47105"/>
    <w:rsid w:val="00B47B85"/>
    <w:rsid w:val="00B50680"/>
    <w:rsid w:val="00B50A78"/>
    <w:rsid w:val="00B53832"/>
    <w:rsid w:val="00B53B5D"/>
    <w:rsid w:val="00B53D0A"/>
    <w:rsid w:val="00B551C5"/>
    <w:rsid w:val="00B575DA"/>
    <w:rsid w:val="00B57A18"/>
    <w:rsid w:val="00B57AA7"/>
    <w:rsid w:val="00B6038A"/>
    <w:rsid w:val="00B6055E"/>
    <w:rsid w:val="00B61E9C"/>
    <w:rsid w:val="00B620F8"/>
    <w:rsid w:val="00B6317D"/>
    <w:rsid w:val="00B639F5"/>
    <w:rsid w:val="00B63D04"/>
    <w:rsid w:val="00B6457F"/>
    <w:rsid w:val="00B70AA3"/>
    <w:rsid w:val="00B73B86"/>
    <w:rsid w:val="00B7449E"/>
    <w:rsid w:val="00B75B42"/>
    <w:rsid w:val="00B7723F"/>
    <w:rsid w:val="00B7751A"/>
    <w:rsid w:val="00B77F55"/>
    <w:rsid w:val="00B80534"/>
    <w:rsid w:val="00B819EF"/>
    <w:rsid w:val="00B8209C"/>
    <w:rsid w:val="00B823D0"/>
    <w:rsid w:val="00B8361D"/>
    <w:rsid w:val="00B8433C"/>
    <w:rsid w:val="00B84B78"/>
    <w:rsid w:val="00B853C4"/>
    <w:rsid w:val="00B85569"/>
    <w:rsid w:val="00B87491"/>
    <w:rsid w:val="00B87D00"/>
    <w:rsid w:val="00B905E9"/>
    <w:rsid w:val="00B916D7"/>
    <w:rsid w:val="00B93DB9"/>
    <w:rsid w:val="00B94E0F"/>
    <w:rsid w:val="00B94ED5"/>
    <w:rsid w:val="00B95AE7"/>
    <w:rsid w:val="00BA0585"/>
    <w:rsid w:val="00BA29E9"/>
    <w:rsid w:val="00BA29EF"/>
    <w:rsid w:val="00BA3727"/>
    <w:rsid w:val="00BA3E47"/>
    <w:rsid w:val="00BA42EB"/>
    <w:rsid w:val="00BA4ABE"/>
    <w:rsid w:val="00BA4B51"/>
    <w:rsid w:val="00BA5765"/>
    <w:rsid w:val="00BA5C0C"/>
    <w:rsid w:val="00BA6D45"/>
    <w:rsid w:val="00BA7142"/>
    <w:rsid w:val="00BB1545"/>
    <w:rsid w:val="00BB1FA2"/>
    <w:rsid w:val="00BB237C"/>
    <w:rsid w:val="00BB3ECE"/>
    <w:rsid w:val="00BB41A3"/>
    <w:rsid w:val="00BB5239"/>
    <w:rsid w:val="00BB5493"/>
    <w:rsid w:val="00BB5D77"/>
    <w:rsid w:val="00BB6474"/>
    <w:rsid w:val="00BB7199"/>
    <w:rsid w:val="00BB7F80"/>
    <w:rsid w:val="00BC0886"/>
    <w:rsid w:val="00BC11F7"/>
    <w:rsid w:val="00BC3016"/>
    <w:rsid w:val="00BC31F6"/>
    <w:rsid w:val="00BC32DC"/>
    <w:rsid w:val="00BC3342"/>
    <w:rsid w:val="00BC35B6"/>
    <w:rsid w:val="00BC4170"/>
    <w:rsid w:val="00BC5D7F"/>
    <w:rsid w:val="00BC5DF7"/>
    <w:rsid w:val="00BC64F7"/>
    <w:rsid w:val="00BC6C68"/>
    <w:rsid w:val="00BC7078"/>
    <w:rsid w:val="00BC7D3E"/>
    <w:rsid w:val="00BD0852"/>
    <w:rsid w:val="00BD112D"/>
    <w:rsid w:val="00BD1B51"/>
    <w:rsid w:val="00BD35A7"/>
    <w:rsid w:val="00BD4596"/>
    <w:rsid w:val="00BD577D"/>
    <w:rsid w:val="00BD704A"/>
    <w:rsid w:val="00BD7225"/>
    <w:rsid w:val="00BE1405"/>
    <w:rsid w:val="00BE21F5"/>
    <w:rsid w:val="00BE312D"/>
    <w:rsid w:val="00BE4D62"/>
    <w:rsid w:val="00BE5091"/>
    <w:rsid w:val="00BE7628"/>
    <w:rsid w:val="00BF07BB"/>
    <w:rsid w:val="00BF1251"/>
    <w:rsid w:val="00BF1635"/>
    <w:rsid w:val="00BF1C20"/>
    <w:rsid w:val="00BF2C33"/>
    <w:rsid w:val="00BF3DF6"/>
    <w:rsid w:val="00BF440B"/>
    <w:rsid w:val="00BF6116"/>
    <w:rsid w:val="00BF70DA"/>
    <w:rsid w:val="00C0093C"/>
    <w:rsid w:val="00C009C1"/>
    <w:rsid w:val="00C03624"/>
    <w:rsid w:val="00C03B0E"/>
    <w:rsid w:val="00C05844"/>
    <w:rsid w:val="00C10578"/>
    <w:rsid w:val="00C11046"/>
    <w:rsid w:val="00C11DF0"/>
    <w:rsid w:val="00C124B0"/>
    <w:rsid w:val="00C135BC"/>
    <w:rsid w:val="00C1447F"/>
    <w:rsid w:val="00C15C95"/>
    <w:rsid w:val="00C17943"/>
    <w:rsid w:val="00C21028"/>
    <w:rsid w:val="00C2596A"/>
    <w:rsid w:val="00C262A7"/>
    <w:rsid w:val="00C27537"/>
    <w:rsid w:val="00C27A03"/>
    <w:rsid w:val="00C303FD"/>
    <w:rsid w:val="00C30B40"/>
    <w:rsid w:val="00C30C4A"/>
    <w:rsid w:val="00C328FE"/>
    <w:rsid w:val="00C32ACC"/>
    <w:rsid w:val="00C32C11"/>
    <w:rsid w:val="00C33507"/>
    <w:rsid w:val="00C34475"/>
    <w:rsid w:val="00C34FA1"/>
    <w:rsid w:val="00C37F49"/>
    <w:rsid w:val="00C402B6"/>
    <w:rsid w:val="00C43EAE"/>
    <w:rsid w:val="00C4409D"/>
    <w:rsid w:val="00C44E72"/>
    <w:rsid w:val="00C455A5"/>
    <w:rsid w:val="00C45A06"/>
    <w:rsid w:val="00C47B8E"/>
    <w:rsid w:val="00C47E5B"/>
    <w:rsid w:val="00C52C76"/>
    <w:rsid w:val="00C5406A"/>
    <w:rsid w:val="00C568E6"/>
    <w:rsid w:val="00C6003A"/>
    <w:rsid w:val="00C60A0A"/>
    <w:rsid w:val="00C61E4B"/>
    <w:rsid w:val="00C621D4"/>
    <w:rsid w:val="00C6280E"/>
    <w:rsid w:val="00C62DEC"/>
    <w:rsid w:val="00C63745"/>
    <w:rsid w:val="00C64BFF"/>
    <w:rsid w:val="00C663FB"/>
    <w:rsid w:val="00C678A9"/>
    <w:rsid w:val="00C67AFF"/>
    <w:rsid w:val="00C67CA3"/>
    <w:rsid w:val="00C704E9"/>
    <w:rsid w:val="00C728FB"/>
    <w:rsid w:val="00C763C9"/>
    <w:rsid w:val="00C80057"/>
    <w:rsid w:val="00C8080F"/>
    <w:rsid w:val="00C80D73"/>
    <w:rsid w:val="00C82232"/>
    <w:rsid w:val="00C82913"/>
    <w:rsid w:val="00C82D51"/>
    <w:rsid w:val="00C876BF"/>
    <w:rsid w:val="00C90F89"/>
    <w:rsid w:val="00C927E1"/>
    <w:rsid w:val="00C92D90"/>
    <w:rsid w:val="00C930B4"/>
    <w:rsid w:val="00C9394F"/>
    <w:rsid w:val="00C946B7"/>
    <w:rsid w:val="00C94B73"/>
    <w:rsid w:val="00C972B1"/>
    <w:rsid w:val="00C975F2"/>
    <w:rsid w:val="00CA17B9"/>
    <w:rsid w:val="00CA2CCE"/>
    <w:rsid w:val="00CA43FD"/>
    <w:rsid w:val="00CA5B87"/>
    <w:rsid w:val="00CA6DF8"/>
    <w:rsid w:val="00CA71B2"/>
    <w:rsid w:val="00CA7492"/>
    <w:rsid w:val="00CA7EF8"/>
    <w:rsid w:val="00CB0204"/>
    <w:rsid w:val="00CB30F5"/>
    <w:rsid w:val="00CB657D"/>
    <w:rsid w:val="00CC039C"/>
    <w:rsid w:val="00CC0526"/>
    <w:rsid w:val="00CC1854"/>
    <w:rsid w:val="00CC2B18"/>
    <w:rsid w:val="00CC489B"/>
    <w:rsid w:val="00CC4B44"/>
    <w:rsid w:val="00CC4ED1"/>
    <w:rsid w:val="00CC5962"/>
    <w:rsid w:val="00CD2BCD"/>
    <w:rsid w:val="00CD3536"/>
    <w:rsid w:val="00CD3A4C"/>
    <w:rsid w:val="00CD488E"/>
    <w:rsid w:val="00CD60BB"/>
    <w:rsid w:val="00CE0072"/>
    <w:rsid w:val="00CE0A05"/>
    <w:rsid w:val="00CE10E9"/>
    <w:rsid w:val="00CE24E4"/>
    <w:rsid w:val="00CE2910"/>
    <w:rsid w:val="00CE5393"/>
    <w:rsid w:val="00CE6CC4"/>
    <w:rsid w:val="00CE6CF8"/>
    <w:rsid w:val="00CE73AC"/>
    <w:rsid w:val="00CE7BF7"/>
    <w:rsid w:val="00CF0A18"/>
    <w:rsid w:val="00CF2DA5"/>
    <w:rsid w:val="00CF2DEA"/>
    <w:rsid w:val="00CF36BE"/>
    <w:rsid w:val="00CF420B"/>
    <w:rsid w:val="00CF6000"/>
    <w:rsid w:val="00CF6B04"/>
    <w:rsid w:val="00CF76EE"/>
    <w:rsid w:val="00CF7A5B"/>
    <w:rsid w:val="00D003F3"/>
    <w:rsid w:val="00D00686"/>
    <w:rsid w:val="00D017DF"/>
    <w:rsid w:val="00D0364F"/>
    <w:rsid w:val="00D03F4B"/>
    <w:rsid w:val="00D04D87"/>
    <w:rsid w:val="00D04DA5"/>
    <w:rsid w:val="00D0500A"/>
    <w:rsid w:val="00D0561C"/>
    <w:rsid w:val="00D057F3"/>
    <w:rsid w:val="00D05CC2"/>
    <w:rsid w:val="00D05D26"/>
    <w:rsid w:val="00D060F9"/>
    <w:rsid w:val="00D06834"/>
    <w:rsid w:val="00D11AEF"/>
    <w:rsid w:val="00D13C84"/>
    <w:rsid w:val="00D147CB"/>
    <w:rsid w:val="00D14E95"/>
    <w:rsid w:val="00D15490"/>
    <w:rsid w:val="00D21514"/>
    <w:rsid w:val="00D22054"/>
    <w:rsid w:val="00D23466"/>
    <w:rsid w:val="00D242EC"/>
    <w:rsid w:val="00D248D7"/>
    <w:rsid w:val="00D24B8B"/>
    <w:rsid w:val="00D24C3A"/>
    <w:rsid w:val="00D25644"/>
    <w:rsid w:val="00D25C1A"/>
    <w:rsid w:val="00D266DA"/>
    <w:rsid w:val="00D27633"/>
    <w:rsid w:val="00D27BD4"/>
    <w:rsid w:val="00D308ED"/>
    <w:rsid w:val="00D309DD"/>
    <w:rsid w:val="00D34719"/>
    <w:rsid w:val="00D35860"/>
    <w:rsid w:val="00D36D86"/>
    <w:rsid w:val="00D40ADC"/>
    <w:rsid w:val="00D416E7"/>
    <w:rsid w:val="00D41D1F"/>
    <w:rsid w:val="00D428AA"/>
    <w:rsid w:val="00D43186"/>
    <w:rsid w:val="00D47796"/>
    <w:rsid w:val="00D47FF7"/>
    <w:rsid w:val="00D50A34"/>
    <w:rsid w:val="00D51954"/>
    <w:rsid w:val="00D5279D"/>
    <w:rsid w:val="00D53EFA"/>
    <w:rsid w:val="00D541E5"/>
    <w:rsid w:val="00D56E5B"/>
    <w:rsid w:val="00D62E49"/>
    <w:rsid w:val="00D630D8"/>
    <w:rsid w:val="00D632B2"/>
    <w:rsid w:val="00D65496"/>
    <w:rsid w:val="00D72336"/>
    <w:rsid w:val="00D76CD7"/>
    <w:rsid w:val="00D816B7"/>
    <w:rsid w:val="00D81AEC"/>
    <w:rsid w:val="00D837D0"/>
    <w:rsid w:val="00D846C9"/>
    <w:rsid w:val="00D85112"/>
    <w:rsid w:val="00D8567B"/>
    <w:rsid w:val="00D863F4"/>
    <w:rsid w:val="00D875D8"/>
    <w:rsid w:val="00D87D06"/>
    <w:rsid w:val="00D905E5"/>
    <w:rsid w:val="00D90DE4"/>
    <w:rsid w:val="00D91B27"/>
    <w:rsid w:val="00D92A40"/>
    <w:rsid w:val="00D93527"/>
    <w:rsid w:val="00D93D3F"/>
    <w:rsid w:val="00D94A7C"/>
    <w:rsid w:val="00D94DE8"/>
    <w:rsid w:val="00D95777"/>
    <w:rsid w:val="00D95896"/>
    <w:rsid w:val="00D9630D"/>
    <w:rsid w:val="00D96633"/>
    <w:rsid w:val="00D96D8F"/>
    <w:rsid w:val="00D96D9E"/>
    <w:rsid w:val="00DA1026"/>
    <w:rsid w:val="00DA179C"/>
    <w:rsid w:val="00DA2FF7"/>
    <w:rsid w:val="00DB0230"/>
    <w:rsid w:val="00DB1CEF"/>
    <w:rsid w:val="00DB1D49"/>
    <w:rsid w:val="00DB2983"/>
    <w:rsid w:val="00DB374A"/>
    <w:rsid w:val="00DB4A52"/>
    <w:rsid w:val="00DB4D5E"/>
    <w:rsid w:val="00DB4E6B"/>
    <w:rsid w:val="00DB5693"/>
    <w:rsid w:val="00DB61FE"/>
    <w:rsid w:val="00DB7513"/>
    <w:rsid w:val="00DC1257"/>
    <w:rsid w:val="00DC146F"/>
    <w:rsid w:val="00DC1CBE"/>
    <w:rsid w:val="00DC3596"/>
    <w:rsid w:val="00DC3DC0"/>
    <w:rsid w:val="00DC435E"/>
    <w:rsid w:val="00DC571D"/>
    <w:rsid w:val="00DC5B2B"/>
    <w:rsid w:val="00DC5E6F"/>
    <w:rsid w:val="00DC6F3B"/>
    <w:rsid w:val="00DC7243"/>
    <w:rsid w:val="00DC7A55"/>
    <w:rsid w:val="00DC7D8A"/>
    <w:rsid w:val="00DC7FCB"/>
    <w:rsid w:val="00DD24EF"/>
    <w:rsid w:val="00DD318D"/>
    <w:rsid w:val="00DD3722"/>
    <w:rsid w:val="00DD5F76"/>
    <w:rsid w:val="00DD76DA"/>
    <w:rsid w:val="00DE00A6"/>
    <w:rsid w:val="00DE07B0"/>
    <w:rsid w:val="00DE2AE0"/>
    <w:rsid w:val="00DE3B82"/>
    <w:rsid w:val="00DF2019"/>
    <w:rsid w:val="00DF2E08"/>
    <w:rsid w:val="00DF2E12"/>
    <w:rsid w:val="00DF4937"/>
    <w:rsid w:val="00DF514A"/>
    <w:rsid w:val="00DF5897"/>
    <w:rsid w:val="00DF5C72"/>
    <w:rsid w:val="00DF6690"/>
    <w:rsid w:val="00DF6804"/>
    <w:rsid w:val="00E01425"/>
    <w:rsid w:val="00E01F5A"/>
    <w:rsid w:val="00E0358D"/>
    <w:rsid w:val="00E04323"/>
    <w:rsid w:val="00E05288"/>
    <w:rsid w:val="00E070A2"/>
    <w:rsid w:val="00E1022C"/>
    <w:rsid w:val="00E1089C"/>
    <w:rsid w:val="00E140E3"/>
    <w:rsid w:val="00E15BD9"/>
    <w:rsid w:val="00E16F3E"/>
    <w:rsid w:val="00E17DBB"/>
    <w:rsid w:val="00E17FCD"/>
    <w:rsid w:val="00E20B4D"/>
    <w:rsid w:val="00E2656A"/>
    <w:rsid w:val="00E34BED"/>
    <w:rsid w:val="00E35DB6"/>
    <w:rsid w:val="00E37F0E"/>
    <w:rsid w:val="00E40131"/>
    <w:rsid w:val="00E40449"/>
    <w:rsid w:val="00E404D7"/>
    <w:rsid w:val="00E412D0"/>
    <w:rsid w:val="00E415F9"/>
    <w:rsid w:val="00E416F8"/>
    <w:rsid w:val="00E419DD"/>
    <w:rsid w:val="00E42C35"/>
    <w:rsid w:val="00E45563"/>
    <w:rsid w:val="00E45C91"/>
    <w:rsid w:val="00E50B55"/>
    <w:rsid w:val="00E5128E"/>
    <w:rsid w:val="00E51556"/>
    <w:rsid w:val="00E515B2"/>
    <w:rsid w:val="00E51A40"/>
    <w:rsid w:val="00E5206F"/>
    <w:rsid w:val="00E52B29"/>
    <w:rsid w:val="00E53F88"/>
    <w:rsid w:val="00E54972"/>
    <w:rsid w:val="00E552A8"/>
    <w:rsid w:val="00E55A37"/>
    <w:rsid w:val="00E56255"/>
    <w:rsid w:val="00E56322"/>
    <w:rsid w:val="00E57B2F"/>
    <w:rsid w:val="00E57F20"/>
    <w:rsid w:val="00E60058"/>
    <w:rsid w:val="00E60085"/>
    <w:rsid w:val="00E60417"/>
    <w:rsid w:val="00E6072F"/>
    <w:rsid w:val="00E60982"/>
    <w:rsid w:val="00E614BB"/>
    <w:rsid w:val="00E62BF3"/>
    <w:rsid w:val="00E62C62"/>
    <w:rsid w:val="00E63EE6"/>
    <w:rsid w:val="00E654C1"/>
    <w:rsid w:val="00E65D97"/>
    <w:rsid w:val="00E67932"/>
    <w:rsid w:val="00E716D7"/>
    <w:rsid w:val="00E72A5A"/>
    <w:rsid w:val="00E73315"/>
    <w:rsid w:val="00E73354"/>
    <w:rsid w:val="00E73735"/>
    <w:rsid w:val="00E74206"/>
    <w:rsid w:val="00E75B49"/>
    <w:rsid w:val="00E8035A"/>
    <w:rsid w:val="00E811C7"/>
    <w:rsid w:val="00E8639F"/>
    <w:rsid w:val="00E90D10"/>
    <w:rsid w:val="00E9135E"/>
    <w:rsid w:val="00E91EA3"/>
    <w:rsid w:val="00E9242D"/>
    <w:rsid w:val="00E9500B"/>
    <w:rsid w:val="00E97309"/>
    <w:rsid w:val="00E978DD"/>
    <w:rsid w:val="00E97ABF"/>
    <w:rsid w:val="00EA03CA"/>
    <w:rsid w:val="00EA0BBF"/>
    <w:rsid w:val="00EA1788"/>
    <w:rsid w:val="00EA1A92"/>
    <w:rsid w:val="00EA309E"/>
    <w:rsid w:val="00EA3E56"/>
    <w:rsid w:val="00EA427E"/>
    <w:rsid w:val="00EA5B35"/>
    <w:rsid w:val="00EA5B5E"/>
    <w:rsid w:val="00EB0C5E"/>
    <w:rsid w:val="00EB18AF"/>
    <w:rsid w:val="00EB1992"/>
    <w:rsid w:val="00EB3F9F"/>
    <w:rsid w:val="00EB4A2E"/>
    <w:rsid w:val="00EB4ABB"/>
    <w:rsid w:val="00EB5255"/>
    <w:rsid w:val="00EB5C47"/>
    <w:rsid w:val="00EB667D"/>
    <w:rsid w:val="00EB68AD"/>
    <w:rsid w:val="00EB7E35"/>
    <w:rsid w:val="00EC2FAC"/>
    <w:rsid w:val="00EC346E"/>
    <w:rsid w:val="00EC3B9A"/>
    <w:rsid w:val="00EC3E14"/>
    <w:rsid w:val="00EC3F88"/>
    <w:rsid w:val="00EC4C68"/>
    <w:rsid w:val="00EC5319"/>
    <w:rsid w:val="00EC5FF1"/>
    <w:rsid w:val="00EC6A23"/>
    <w:rsid w:val="00ED0309"/>
    <w:rsid w:val="00ED0639"/>
    <w:rsid w:val="00ED0E8B"/>
    <w:rsid w:val="00ED4FDE"/>
    <w:rsid w:val="00ED5206"/>
    <w:rsid w:val="00ED68C3"/>
    <w:rsid w:val="00ED712C"/>
    <w:rsid w:val="00ED7EEF"/>
    <w:rsid w:val="00EE299A"/>
    <w:rsid w:val="00EE2AEB"/>
    <w:rsid w:val="00EE538A"/>
    <w:rsid w:val="00EE6152"/>
    <w:rsid w:val="00EE64BE"/>
    <w:rsid w:val="00EF0853"/>
    <w:rsid w:val="00EF0D38"/>
    <w:rsid w:val="00EF4755"/>
    <w:rsid w:val="00EF57F7"/>
    <w:rsid w:val="00EF5E39"/>
    <w:rsid w:val="00EF7135"/>
    <w:rsid w:val="00F00810"/>
    <w:rsid w:val="00F00AB1"/>
    <w:rsid w:val="00F01CC8"/>
    <w:rsid w:val="00F027DB"/>
    <w:rsid w:val="00F032C6"/>
    <w:rsid w:val="00F04E6D"/>
    <w:rsid w:val="00F051BF"/>
    <w:rsid w:val="00F054D5"/>
    <w:rsid w:val="00F12313"/>
    <w:rsid w:val="00F139F0"/>
    <w:rsid w:val="00F14A7A"/>
    <w:rsid w:val="00F16D54"/>
    <w:rsid w:val="00F16F07"/>
    <w:rsid w:val="00F17E4B"/>
    <w:rsid w:val="00F17F69"/>
    <w:rsid w:val="00F22985"/>
    <w:rsid w:val="00F24357"/>
    <w:rsid w:val="00F25EAF"/>
    <w:rsid w:val="00F262EB"/>
    <w:rsid w:val="00F26A4C"/>
    <w:rsid w:val="00F31BC5"/>
    <w:rsid w:val="00F32AA3"/>
    <w:rsid w:val="00F331CE"/>
    <w:rsid w:val="00F3383E"/>
    <w:rsid w:val="00F33F8E"/>
    <w:rsid w:val="00F37A9F"/>
    <w:rsid w:val="00F405EF"/>
    <w:rsid w:val="00F41FC7"/>
    <w:rsid w:val="00F42CD0"/>
    <w:rsid w:val="00F43375"/>
    <w:rsid w:val="00F45F36"/>
    <w:rsid w:val="00F465A7"/>
    <w:rsid w:val="00F466AB"/>
    <w:rsid w:val="00F46AD6"/>
    <w:rsid w:val="00F477FF"/>
    <w:rsid w:val="00F50B7C"/>
    <w:rsid w:val="00F50FF8"/>
    <w:rsid w:val="00F53B90"/>
    <w:rsid w:val="00F546D4"/>
    <w:rsid w:val="00F550E6"/>
    <w:rsid w:val="00F56BA7"/>
    <w:rsid w:val="00F56EB8"/>
    <w:rsid w:val="00F6303B"/>
    <w:rsid w:val="00F64F96"/>
    <w:rsid w:val="00F65E4E"/>
    <w:rsid w:val="00F672D9"/>
    <w:rsid w:val="00F67326"/>
    <w:rsid w:val="00F67E58"/>
    <w:rsid w:val="00F736E2"/>
    <w:rsid w:val="00F74345"/>
    <w:rsid w:val="00F744E7"/>
    <w:rsid w:val="00F768F4"/>
    <w:rsid w:val="00F76EF8"/>
    <w:rsid w:val="00F77A2B"/>
    <w:rsid w:val="00F80A0A"/>
    <w:rsid w:val="00F82B19"/>
    <w:rsid w:val="00F84DE2"/>
    <w:rsid w:val="00F862F3"/>
    <w:rsid w:val="00F878AC"/>
    <w:rsid w:val="00F9013E"/>
    <w:rsid w:val="00F90335"/>
    <w:rsid w:val="00F90626"/>
    <w:rsid w:val="00F90799"/>
    <w:rsid w:val="00F90B0B"/>
    <w:rsid w:val="00F90B95"/>
    <w:rsid w:val="00F91B08"/>
    <w:rsid w:val="00F9212D"/>
    <w:rsid w:val="00F922C6"/>
    <w:rsid w:val="00F94CDE"/>
    <w:rsid w:val="00F95D62"/>
    <w:rsid w:val="00F962C1"/>
    <w:rsid w:val="00F965DA"/>
    <w:rsid w:val="00F965ED"/>
    <w:rsid w:val="00FA2B37"/>
    <w:rsid w:val="00FA406A"/>
    <w:rsid w:val="00FA4661"/>
    <w:rsid w:val="00FA6740"/>
    <w:rsid w:val="00FB0C80"/>
    <w:rsid w:val="00FB3B1C"/>
    <w:rsid w:val="00FB503A"/>
    <w:rsid w:val="00FB516C"/>
    <w:rsid w:val="00FB74A7"/>
    <w:rsid w:val="00FB7E97"/>
    <w:rsid w:val="00FC3A79"/>
    <w:rsid w:val="00FC4F69"/>
    <w:rsid w:val="00FC5808"/>
    <w:rsid w:val="00FC691C"/>
    <w:rsid w:val="00FC72C3"/>
    <w:rsid w:val="00FC7D07"/>
    <w:rsid w:val="00FD0236"/>
    <w:rsid w:val="00FD0584"/>
    <w:rsid w:val="00FD18F4"/>
    <w:rsid w:val="00FD1964"/>
    <w:rsid w:val="00FD2972"/>
    <w:rsid w:val="00FD32BF"/>
    <w:rsid w:val="00FD3619"/>
    <w:rsid w:val="00FD5173"/>
    <w:rsid w:val="00FD54DB"/>
    <w:rsid w:val="00FD619F"/>
    <w:rsid w:val="00FD7931"/>
    <w:rsid w:val="00FE03D7"/>
    <w:rsid w:val="00FE0495"/>
    <w:rsid w:val="00FE1319"/>
    <w:rsid w:val="00FE4A3F"/>
    <w:rsid w:val="00FE5FA5"/>
    <w:rsid w:val="00FE648C"/>
    <w:rsid w:val="00FE7616"/>
    <w:rsid w:val="00FF2889"/>
    <w:rsid w:val="00FF2982"/>
    <w:rsid w:val="00FF707C"/>
    <w:rsid w:val="01001B5E"/>
    <w:rsid w:val="01253372"/>
    <w:rsid w:val="012810B4"/>
    <w:rsid w:val="01290F7E"/>
    <w:rsid w:val="015D1E09"/>
    <w:rsid w:val="0160084E"/>
    <w:rsid w:val="01614064"/>
    <w:rsid w:val="01745B08"/>
    <w:rsid w:val="01891B53"/>
    <w:rsid w:val="018D7D3C"/>
    <w:rsid w:val="01A929C4"/>
    <w:rsid w:val="01EF6795"/>
    <w:rsid w:val="02094A42"/>
    <w:rsid w:val="0213766F"/>
    <w:rsid w:val="02251150"/>
    <w:rsid w:val="02522B81"/>
    <w:rsid w:val="026954E1"/>
    <w:rsid w:val="02697903"/>
    <w:rsid w:val="02753E85"/>
    <w:rsid w:val="0276417E"/>
    <w:rsid w:val="028E3199"/>
    <w:rsid w:val="02B40E52"/>
    <w:rsid w:val="02F72AEC"/>
    <w:rsid w:val="02F96569"/>
    <w:rsid w:val="036839EA"/>
    <w:rsid w:val="0374238F"/>
    <w:rsid w:val="03806F86"/>
    <w:rsid w:val="039C5442"/>
    <w:rsid w:val="03A013D6"/>
    <w:rsid w:val="03B81ECB"/>
    <w:rsid w:val="03EA7B21"/>
    <w:rsid w:val="0403277C"/>
    <w:rsid w:val="044A30F0"/>
    <w:rsid w:val="04F14881"/>
    <w:rsid w:val="04F96FF0"/>
    <w:rsid w:val="051E6A56"/>
    <w:rsid w:val="052C5814"/>
    <w:rsid w:val="05962A91"/>
    <w:rsid w:val="0599432F"/>
    <w:rsid w:val="059A56A9"/>
    <w:rsid w:val="05A02444"/>
    <w:rsid w:val="05F83EAE"/>
    <w:rsid w:val="061B4D44"/>
    <w:rsid w:val="063E7D85"/>
    <w:rsid w:val="064222D0"/>
    <w:rsid w:val="064603DB"/>
    <w:rsid w:val="065E2E82"/>
    <w:rsid w:val="06712BB6"/>
    <w:rsid w:val="069118E4"/>
    <w:rsid w:val="06976AC0"/>
    <w:rsid w:val="06A116ED"/>
    <w:rsid w:val="06E96BF0"/>
    <w:rsid w:val="0726749D"/>
    <w:rsid w:val="07293586"/>
    <w:rsid w:val="07295285"/>
    <w:rsid w:val="07636392"/>
    <w:rsid w:val="0765096C"/>
    <w:rsid w:val="07770C56"/>
    <w:rsid w:val="07B0770E"/>
    <w:rsid w:val="07BE1E2B"/>
    <w:rsid w:val="07F43EF8"/>
    <w:rsid w:val="07FE2B6F"/>
    <w:rsid w:val="081538D0"/>
    <w:rsid w:val="082A3964"/>
    <w:rsid w:val="084A5DB4"/>
    <w:rsid w:val="08914061"/>
    <w:rsid w:val="089B03BE"/>
    <w:rsid w:val="08B46A13"/>
    <w:rsid w:val="08B576D2"/>
    <w:rsid w:val="08C276F9"/>
    <w:rsid w:val="08EB6C4F"/>
    <w:rsid w:val="08FD2E27"/>
    <w:rsid w:val="09176DC6"/>
    <w:rsid w:val="092217DD"/>
    <w:rsid w:val="092D4B44"/>
    <w:rsid w:val="09385C0D"/>
    <w:rsid w:val="093A7294"/>
    <w:rsid w:val="094255AE"/>
    <w:rsid w:val="097053A7"/>
    <w:rsid w:val="099217C1"/>
    <w:rsid w:val="0999639C"/>
    <w:rsid w:val="09E162A4"/>
    <w:rsid w:val="0A137C0D"/>
    <w:rsid w:val="0A263993"/>
    <w:rsid w:val="0A291079"/>
    <w:rsid w:val="0A2D3AC2"/>
    <w:rsid w:val="0A36214C"/>
    <w:rsid w:val="0A3A4508"/>
    <w:rsid w:val="0A4407E2"/>
    <w:rsid w:val="0A7964DD"/>
    <w:rsid w:val="0A9926DB"/>
    <w:rsid w:val="0A9E5F43"/>
    <w:rsid w:val="0A9F4195"/>
    <w:rsid w:val="0AA755DF"/>
    <w:rsid w:val="0AAF0151"/>
    <w:rsid w:val="0AB45767"/>
    <w:rsid w:val="0B120D44"/>
    <w:rsid w:val="0B5C5BE2"/>
    <w:rsid w:val="0B6344A9"/>
    <w:rsid w:val="0B6727D9"/>
    <w:rsid w:val="0B6F4966"/>
    <w:rsid w:val="0BAA50B0"/>
    <w:rsid w:val="0BB47297"/>
    <w:rsid w:val="0BBA5AC4"/>
    <w:rsid w:val="0BC64C07"/>
    <w:rsid w:val="0BD27BF6"/>
    <w:rsid w:val="0BE4053F"/>
    <w:rsid w:val="0C3B3C7D"/>
    <w:rsid w:val="0C5D78AD"/>
    <w:rsid w:val="0C711A26"/>
    <w:rsid w:val="0CAB2EAE"/>
    <w:rsid w:val="0CC114D1"/>
    <w:rsid w:val="0D0429D6"/>
    <w:rsid w:val="0D406BED"/>
    <w:rsid w:val="0D4E59FF"/>
    <w:rsid w:val="0D4F2E1E"/>
    <w:rsid w:val="0D5A43A4"/>
    <w:rsid w:val="0D5C49F2"/>
    <w:rsid w:val="0D621C7D"/>
    <w:rsid w:val="0DBC0BBA"/>
    <w:rsid w:val="0DE6032D"/>
    <w:rsid w:val="0E1976D0"/>
    <w:rsid w:val="0E3B2427"/>
    <w:rsid w:val="0E5139F9"/>
    <w:rsid w:val="0E5763C6"/>
    <w:rsid w:val="0E5F0D10"/>
    <w:rsid w:val="0E73034D"/>
    <w:rsid w:val="0E85096E"/>
    <w:rsid w:val="0E8536A2"/>
    <w:rsid w:val="0EB421D9"/>
    <w:rsid w:val="0EC56195"/>
    <w:rsid w:val="0F13775A"/>
    <w:rsid w:val="0F3E01A5"/>
    <w:rsid w:val="0F5B1954"/>
    <w:rsid w:val="0F5F45FE"/>
    <w:rsid w:val="0F601A19"/>
    <w:rsid w:val="0F655282"/>
    <w:rsid w:val="0F7D25CB"/>
    <w:rsid w:val="0F7D6B68"/>
    <w:rsid w:val="0F89461F"/>
    <w:rsid w:val="0F9A112B"/>
    <w:rsid w:val="0FD77F2D"/>
    <w:rsid w:val="0FED016C"/>
    <w:rsid w:val="101023FE"/>
    <w:rsid w:val="10523A58"/>
    <w:rsid w:val="106D2F64"/>
    <w:rsid w:val="10882CDE"/>
    <w:rsid w:val="10B63710"/>
    <w:rsid w:val="10B63FE7"/>
    <w:rsid w:val="10D05AC3"/>
    <w:rsid w:val="10D91A83"/>
    <w:rsid w:val="10DD17F2"/>
    <w:rsid w:val="10E70644"/>
    <w:rsid w:val="10F10820"/>
    <w:rsid w:val="11000178"/>
    <w:rsid w:val="11112864"/>
    <w:rsid w:val="111C2F7A"/>
    <w:rsid w:val="112347A1"/>
    <w:rsid w:val="112E6273"/>
    <w:rsid w:val="1136439E"/>
    <w:rsid w:val="115A0E16"/>
    <w:rsid w:val="11665CA1"/>
    <w:rsid w:val="1174013E"/>
    <w:rsid w:val="117A5014"/>
    <w:rsid w:val="11826BD9"/>
    <w:rsid w:val="11875983"/>
    <w:rsid w:val="11DA5AB3"/>
    <w:rsid w:val="11F528ED"/>
    <w:rsid w:val="121F3E0E"/>
    <w:rsid w:val="12386C7D"/>
    <w:rsid w:val="128200C1"/>
    <w:rsid w:val="134A6C68"/>
    <w:rsid w:val="13525B1D"/>
    <w:rsid w:val="135574F5"/>
    <w:rsid w:val="139118B8"/>
    <w:rsid w:val="13951726"/>
    <w:rsid w:val="139F6FB4"/>
    <w:rsid w:val="13D053C0"/>
    <w:rsid w:val="13F15336"/>
    <w:rsid w:val="14172FEE"/>
    <w:rsid w:val="14223B7D"/>
    <w:rsid w:val="14396509"/>
    <w:rsid w:val="146438E9"/>
    <w:rsid w:val="147541B9"/>
    <w:rsid w:val="14A3587B"/>
    <w:rsid w:val="14A70837"/>
    <w:rsid w:val="14B106F3"/>
    <w:rsid w:val="14DD2C3C"/>
    <w:rsid w:val="14E46C49"/>
    <w:rsid w:val="15282FD9"/>
    <w:rsid w:val="153E27FD"/>
    <w:rsid w:val="15905E14"/>
    <w:rsid w:val="15DB44F0"/>
    <w:rsid w:val="15E62472"/>
    <w:rsid w:val="15E95BB3"/>
    <w:rsid w:val="15FF5FFC"/>
    <w:rsid w:val="16087E1D"/>
    <w:rsid w:val="16362871"/>
    <w:rsid w:val="1695469E"/>
    <w:rsid w:val="16B87734"/>
    <w:rsid w:val="16D84556"/>
    <w:rsid w:val="16E01DBD"/>
    <w:rsid w:val="16E15B36"/>
    <w:rsid w:val="1700420E"/>
    <w:rsid w:val="17141A67"/>
    <w:rsid w:val="171B1048"/>
    <w:rsid w:val="17367C2F"/>
    <w:rsid w:val="17701D14"/>
    <w:rsid w:val="17735226"/>
    <w:rsid w:val="17A93D1D"/>
    <w:rsid w:val="17F51966"/>
    <w:rsid w:val="17F75ED1"/>
    <w:rsid w:val="188B5D59"/>
    <w:rsid w:val="189F624C"/>
    <w:rsid w:val="18B726A8"/>
    <w:rsid w:val="18CD4D57"/>
    <w:rsid w:val="18EA7B6D"/>
    <w:rsid w:val="191500C9"/>
    <w:rsid w:val="194D4952"/>
    <w:rsid w:val="194F425A"/>
    <w:rsid w:val="19502129"/>
    <w:rsid w:val="196F7429"/>
    <w:rsid w:val="198A7344"/>
    <w:rsid w:val="19CE05F3"/>
    <w:rsid w:val="19CF6119"/>
    <w:rsid w:val="19E21E5A"/>
    <w:rsid w:val="1A1C66C0"/>
    <w:rsid w:val="1A1D6E85"/>
    <w:rsid w:val="1A42393B"/>
    <w:rsid w:val="1A475B6C"/>
    <w:rsid w:val="1A613215"/>
    <w:rsid w:val="1A775719"/>
    <w:rsid w:val="1A8120B6"/>
    <w:rsid w:val="1AAD45DE"/>
    <w:rsid w:val="1AAE53FE"/>
    <w:rsid w:val="1AB64E74"/>
    <w:rsid w:val="1ABA46D4"/>
    <w:rsid w:val="1B046F80"/>
    <w:rsid w:val="1B177D78"/>
    <w:rsid w:val="1B222279"/>
    <w:rsid w:val="1B3267B5"/>
    <w:rsid w:val="1B40161D"/>
    <w:rsid w:val="1B441859"/>
    <w:rsid w:val="1B6606B1"/>
    <w:rsid w:val="1BB2184F"/>
    <w:rsid w:val="1BE058C9"/>
    <w:rsid w:val="1C035B79"/>
    <w:rsid w:val="1C2E35CB"/>
    <w:rsid w:val="1C377173"/>
    <w:rsid w:val="1C5E7925"/>
    <w:rsid w:val="1CBC2C96"/>
    <w:rsid w:val="1CEB5018"/>
    <w:rsid w:val="1CED4DC4"/>
    <w:rsid w:val="1CFD070F"/>
    <w:rsid w:val="1D035DBE"/>
    <w:rsid w:val="1D232A04"/>
    <w:rsid w:val="1D48246B"/>
    <w:rsid w:val="1D5F6196"/>
    <w:rsid w:val="1D6132A5"/>
    <w:rsid w:val="1D6872A5"/>
    <w:rsid w:val="1D74500E"/>
    <w:rsid w:val="1D8E56D5"/>
    <w:rsid w:val="1D990F18"/>
    <w:rsid w:val="1DCA2E80"/>
    <w:rsid w:val="1DCA77FE"/>
    <w:rsid w:val="1DD50EE3"/>
    <w:rsid w:val="1DD737EE"/>
    <w:rsid w:val="1DE455A1"/>
    <w:rsid w:val="1E032835"/>
    <w:rsid w:val="1E084846"/>
    <w:rsid w:val="1E174572"/>
    <w:rsid w:val="1E5A31BE"/>
    <w:rsid w:val="1E6E5F01"/>
    <w:rsid w:val="1E7A43DA"/>
    <w:rsid w:val="1EB8248F"/>
    <w:rsid w:val="1ED1746F"/>
    <w:rsid w:val="1EE827EF"/>
    <w:rsid w:val="1EEE0DF0"/>
    <w:rsid w:val="1EF009BC"/>
    <w:rsid w:val="1EF67CA4"/>
    <w:rsid w:val="1F0932DC"/>
    <w:rsid w:val="1F106FB8"/>
    <w:rsid w:val="1F1D3483"/>
    <w:rsid w:val="1F2B2044"/>
    <w:rsid w:val="1F2E743E"/>
    <w:rsid w:val="1F486752"/>
    <w:rsid w:val="1F615A66"/>
    <w:rsid w:val="1F662225"/>
    <w:rsid w:val="1F923E71"/>
    <w:rsid w:val="1FD06747"/>
    <w:rsid w:val="1FD43B9A"/>
    <w:rsid w:val="1FE7539E"/>
    <w:rsid w:val="1FFF65F1"/>
    <w:rsid w:val="20032679"/>
    <w:rsid w:val="200E0605"/>
    <w:rsid w:val="2048266C"/>
    <w:rsid w:val="20671BE0"/>
    <w:rsid w:val="207B2B57"/>
    <w:rsid w:val="208B0C7B"/>
    <w:rsid w:val="208F6602"/>
    <w:rsid w:val="20963CB8"/>
    <w:rsid w:val="20A81A1B"/>
    <w:rsid w:val="20B07FB6"/>
    <w:rsid w:val="20B646FB"/>
    <w:rsid w:val="20B83463"/>
    <w:rsid w:val="20EA1DAD"/>
    <w:rsid w:val="213845A4"/>
    <w:rsid w:val="213B74B1"/>
    <w:rsid w:val="214B077B"/>
    <w:rsid w:val="214E5B76"/>
    <w:rsid w:val="215A2310"/>
    <w:rsid w:val="21B46321"/>
    <w:rsid w:val="21BC0608"/>
    <w:rsid w:val="21D16D6F"/>
    <w:rsid w:val="21DE318A"/>
    <w:rsid w:val="21EF5B80"/>
    <w:rsid w:val="2208041A"/>
    <w:rsid w:val="220E1325"/>
    <w:rsid w:val="22112531"/>
    <w:rsid w:val="22576990"/>
    <w:rsid w:val="22950445"/>
    <w:rsid w:val="22B61C24"/>
    <w:rsid w:val="22C64D3A"/>
    <w:rsid w:val="22CC1448"/>
    <w:rsid w:val="22EA7B20"/>
    <w:rsid w:val="22F47480"/>
    <w:rsid w:val="231177A3"/>
    <w:rsid w:val="23130E25"/>
    <w:rsid w:val="2329689A"/>
    <w:rsid w:val="2343105D"/>
    <w:rsid w:val="236773C3"/>
    <w:rsid w:val="236C49D9"/>
    <w:rsid w:val="23713A93"/>
    <w:rsid w:val="23A245C8"/>
    <w:rsid w:val="23B4531E"/>
    <w:rsid w:val="23B73EA6"/>
    <w:rsid w:val="23D424E0"/>
    <w:rsid w:val="23DE1C48"/>
    <w:rsid w:val="240210CD"/>
    <w:rsid w:val="2406098A"/>
    <w:rsid w:val="241C1F5B"/>
    <w:rsid w:val="242A0480"/>
    <w:rsid w:val="24343749"/>
    <w:rsid w:val="24374FE7"/>
    <w:rsid w:val="24793C54"/>
    <w:rsid w:val="24A24B56"/>
    <w:rsid w:val="24BF09F7"/>
    <w:rsid w:val="24C7636B"/>
    <w:rsid w:val="25292B82"/>
    <w:rsid w:val="252C06DE"/>
    <w:rsid w:val="252D53FE"/>
    <w:rsid w:val="25362024"/>
    <w:rsid w:val="2559536E"/>
    <w:rsid w:val="2560231B"/>
    <w:rsid w:val="25D16D75"/>
    <w:rsid w:val="25EC2D81"/>
    <w:rsid w:val="261423A6"/>
    <w:rsid w:val="26143832"/>
    <w:rsid w:val="26356FD8"/>
    <w:rsid w:val="26357304"/>
    <w:rsid w:val="265E7AFD"/>
    <w:rsid w:val="267248FE"/>
    <w:rsid w:val="2717779B"/>
    <w:rsid w:val="273D46C2"/>
    <w:rsid w:val="27554102"/>
    <w:rsid w:val="27565784"/>
    <w:rsid w:val="277057A2"/>
    <w:rsid w:val="27716A62"/>
    <w:rsid w:val="2776096C"/>
    <w:rsid w:val="278422F1"/>
    <w:rsid w:val="278F0DF5"/>
    <w:rsid w:val="279F4567"/>
    <w:rsid w:val="27A824F6"/>
    <w:rsid w:val="27B23302"/>
    <w:rsid w:val="27D36DD5"/>
    <w:rsid w:val="27E8625B"/>
    <w:rsid w:val="280C22E7"/>
    <w:rsid w:val="28133675"/>
    <w:rsid w:val="28177B03"/>
    <w:rsid w:val="283E0F12"/>
    <w:rsid w:val="284B7D00"/>
    <w:rsid w:val="28546167"/>
    <w:rsid w:val="285C501C"/>
    <w:rsid w:val="28723D1E"/>
    <w:rsid w:val="288527C5"/>
    <w:rsid w:val="28BB61E6"/>
    <w:rsid w:val="28CF3A40"/>
    <w:rsid w:val="28D93976"/>
    <w:rsid w:val="29086F52"/>
    <w:rsid w:val="290F208E"/>
    <w:rsid w:val="29206EB8"/>
    <w:rsid w:val="293935AF"/>
    <w:rsid w:val="29475CCC"/>
    <w:rsid w:val="29595666"/>
    <w:rsid w:val="29622B06"/>
    <w:rsid w:val="29672968"/>
    <w:rsid w:val="29815047"/>
    <w:rsid w:val="29874881"/>
    <w:rsid w:val="298F4F7D"/>
    <w:rsid w:val="29A50C45"/>
    <w:rsid w:val="29E325E0"/>
    <w:rsid w:val="29F714A0"/>
    <w:rsid w:val="2A2658E2"/>
    <w:rsid w:val="2A2D169C"/>
    <w:rsid w:val="2A452503"/>
    <w:rsid w:val="2A8E16D9"/>
    <w:rsid w:val="2A9D36CA"/>
    <w:rsid w:val="2ABB0720"/>
    <w:rsid w:val="2ACD11E5"/>
    <w:rsid w:val="2AD215C5"/>
    <w:rsid w:val="2AD71B56"/>
    <w:rsid w:val="2ADA66CC"/>
    <w:rsid w:val="2B87601F"/>
    <w:rsid w:val="2B8A7C32"/>
    <w:rsid w:val="2B9B3782"/>
    <w:rsid w:val="2BA936A8"/>
    <w:rsid w:val="2BBD4024"/>
    <w:rsid w:val="2BF77A2F"/>
    <w:rsid w:val="2C315A5A"/>
    <w:rsid w:val="2C4B1C25"/>
    <w:rsid w:val="2C4F7710"/>
    <w:rsid w:val="2C5D5807"/>
    <w:rsid w:val="2C5E1B0B"/>
    <w:rsid w:val="2C6D5A4A"/>
    <w:rsid w:val="2C7566AC"/>
    <w:rsid w:val="2C7A2503"/>
    <w:rsid w:val="2C952726"/>
    <w:rsid w:val="2C9A25B7"/>
    <w:rsid w:val="2D285E15"/>
    <w:rsid w:val="2D514251"/>
    <w:rsid w:val="2D5F632E"/>
    <w:rsid w:val="2D6F364B"/>
    <w:rsid w:val="2D744BB6"/>
    <w:rsid w:val="2D831325"/>
    <w:rsid w:val="2D9E56F5"/>
    <w:rsid w:val="2DC31699"/>
    <w:rsid w:val="2DCA0C7A"/>
    <w:rsid w:val="2DCC481C"/>
    <w:rsid w:val="2DD072C1"/>
    <w:rsid w:val="2DE55AB4"/>
    <w:rsid w:val="2DFD104F"/>
    <w:rsid w:val="2E0034E5"/>
    <w:rsid w:val="2E290052"/>
    <w:rsid w:val="2E2F6D2F"/>
    <w:rsid w:val="2E304F81"/>
    <w:rsid w:val="2E3507E9"/>
    <w:rsid w:val="2E667F96"/>
    <w:rsid w:val="2E734E6D"/>
    <w:rsid w:val="2E8226AB"/>
    <w:rsid w:val="2E9C077D"/>
    <w:rsid w:val="2E9E5114"/>
    <w:rsid w:val="2EAC037F"/>
    <w:rsid w:val="2EC456C9"/>
    <w:rsid w:val="2EE43FBD"/>
    <w:rsid w:val="2F032695"/>
    <w:rsid w:val="2F2C1457"/>
    <w:rsid w:val="2F393978"/>
    <w:rsid w:val="2F462582"/>
    <w:rsid w:val="2F566C69"/>
    <w:rsid w:val="2F611A30"/>
    <w:rsid w:val="2F662C05"/>
    <w:rsid w:val="2F82243E"/>
    <w:rsid w:val="2F880DEC"/>
    <w:rsid w:val="2FAA7476"/>
    <w:rsid w:val="2FB13E9F"/>
    <w:rsid w:val="2FD065E6"/>
    <w:rsid w:val="2FD91648"/>
    <w:rsid w:val="2FD96870"/>
    <w:rsid w:val="3049232A"/>
    <w:rsid w:val="304B42F4"/>
    <w:rsid w:val="30580BC9"/>
    <w:rsid w:val="309A0DD7"/>
    <w:rsid w:val="30A21A3A"/>
    <w:rsid w:val="30A565FF"/>
    <w:rsid w:val="311961A0"/>
    <w:rsid w:val="311E2ED7"/>
    <w:rsid w:val="31472512"/>
    <w:rsid w:val="315619EE"/>
    <w:rsid w:val="315C449C"/>
    <w:rsid w:val="317D78BE"/>
    <w:rsid w:val="31B82709"/>
    <w:rsid w:val="31BB2DB3"/>
    <w:rsid w:val="31BD2FCF"/>
    <w:rsid w:val="31D05482"/>
    <w:rsid w:val="31D125D7"/>
    <w:rsid w:val="31D9540C"/>
    <w:rsid w:val="31DB3455"/>
    <w:rsid w:val="320C360F"/>
    <w:rsid w:val="32400B34"/>
    <w:rsid w:val="32427031"/>
    <w:rsid w:val="324C4353"/>
    <w:rsid w:val="32933D30"/>
    <w:rsid w:val="329E6876"/>
    <w:rsid w:val="32BD2B5B"/>
    <w:rsid w:val="330B7D6A"/>
    <w:rsid w:val="331F55C4"/>
    <w:rsid w:val="333015F2"/>
    <w:rsid w:val="33462B51"/>
    <w:rsid w:val="334B6320"/>
    <w:rsid w:val="338A5133"/>
    <w:rsid w:val="33A67A93"/>
    <w:rsid w:val="33C059DD"/>
    <w:rsid w:val="33C31BEE"/>
    <w:rsid w:val="33CB12A8"/>
    <w:rsid w:val="33D934D4"/>
    <w:rsid w:val="33FE2F6A"/>
    <w:rsid w:val="34036C94"/>
    <w:rsid w:val="340E07E5"/>
    <w:rsid w:val="34235BF7"/>
    <w:rsid w:val="342E6182"/>
    <w:rsid w:val="3456481C"/>
    <w:rsid w:val="34D643A8"/>
    <w:rsid w:val="35374E47"/>
    <w:rsid w:val="35380B51"/>
    <w:rsid w:val="355A0B35"/>
    <w:rsid w:val="355A6D87"/>
    <w:rsid w:val="35777939"/>
    <w:rsid w:val="358C5FA8"/>
    <w:rsid w:val="358F4C83"/>
    <w:rsid w:val="35B36039"/>
    <w:rsid w:val="35C15DF1"/>
    <w:rsid w:val="35C91817"/>
    <w:rsid w:val="35D408E8"/>
    <w:rsid w:val="35E3774B"/>
    <w:rsid w:val="35EA010B"/>
    <w:rsid w:val="35EB743A"/>
    <w:rsid w:val="36035EE7"/>
    <w:rsid w:val="36074A7F"/>
    <w:rsid w:val="36122DEB"/>
    <w:rsid w:val="3647730B"/>
    <w:rsid w:val="36590E3A"/>
    <w:rsid w:val="367125DA"/>
    <w:rsid w:val="36811BDE"/>
    <w:rsid w:val="36923549"/>
    <w:rsid w:val="36B75FBF"/>
    <w:rsid w:val="36BD0C45"/>
    <w:rsid w:val="36C65D63"/>
    <w:rsid w:val="36C73FA8"/>
    <w:rsid w:val="36D00DCB"/>
    <w:rsid w:val="36EF34FF"/>
    <w:rsid w:val="37224550"/>
    <w:rsid w:val="37847DD8"/>
    <w:rsid w:val="37904FD8"/>
    <w:rsid w:val="37C6364C"/>
    <w:rsid w:val="37E00298"/>
    <w:rsid w:val="380A304A"/>
    <w:rsid w:val="3838111A"/>
    <w:rsid w:val="383B65AB"/>
    <w:rsid w:val="383E1B97"/>
    <w:rsid w:val="38593326"/>
    <w:rsid w:val="38683569"/>
    <w:rsid w:val="38A071A7"/>
    <w:rsid w:val="38B302F9"/>
    <w:rsid w:val="38BC5D18"/>
    <w:rsid w:val="38F11C25"/>
    <w:rsid w:val="38F12CD3"/>
    <w:rsid w:val="38F94775"/>
    <w:rsid w:val="391B0ABF"/>
    <w:rsid w:val="392971ED"/>
    <w:rsid w:val="392E6561"/>
    <w:rsid w:val="39325651"/>
    <w:rsid w:val="393B31C9"/>
    <w:rsid w:val="39417C79"/>
    <w:rsid w:val="394C4C39"/>
    <w:rsid w:val="3A3733EC"/>
    <w:rsid w:val="3A483652"/>
    <w:rsid w:val="3A6D130B"/>
    <w:rsid w:val="3A7226BE"/>
    <w:rsid w:val="3A8257E7"/>
    <w:rsid w:val="3A872856"/>
    <w:rsid w:val="3A9922A8"/>
    <w:rsid w:val="3AB6680E"/>
    <w:rsid w:val="3B0532F1"/>
    <w:rsid w:val="3B181276"/>
    <w:rsid w:val="3B3763D1"/>
    <w:rsid w:val="3B6C511E"/>
    <w:rsid w:val="3B8A6B50"/>
    <w:rsid w:val="3BB0325D"/>
    <w:rsid w:val="3BB14634"/>
    <w:rsid w:val="3BCC3E0F"/>
    <w:rsid w:val="3BDA477E"/>
    <w:rsid w:val="3BDB4D6F"/>
    <w:rsid w:val="3BE60CC6"/>
    <w:rsid w:val="3BEE2C33"/>
    <w:rsid w:val="3C1E595D"/>
    <w:rsid w:val="3C21415B"/>
    <w:rsid w:val="3C2F6E1E"/>
    <w:rsid w:val="3C4F64BA"/>
    <w:rsid w:val="3C756255"/>
    <w:rsid w:val="3C7C70CC"/>
    <w:rsid w:val="3C885A3F"/>
    <w:rsid w:val="3C920BB5"/>
    <w:rsid w:val="3C9B3F0D"/>
    <w:rsid w:val="3CB40E20"/>
    <w:rsid w:val="3CC571DC"/>
    <w:rsid w:val="3CCA034E"/>
    <w:rsid w:val="3CCA65A0"/>
    <w:rsid w:val="3CCF1E09"/>
    <w:rsid w:val="3CDA245A"/>
    <w:rsid w:val="3D023F8C"/>
    <w:rsid w:val="3D1E06B7"/>
    <w:rsid w:val="3D261667"/>
    <w:rsid w:val="3D2A69F0"/>
    <w:rsid w:val="3D3D3216"/>
    <w:rsid w:val="3D3E2AEA"/>
    <w:rsid w:val="3D494C9C"/>
    <w:rsid w:val="3D510A70"/>
    <w:rsid w:val="3D523160"/>
    <w:rsid w:val="3DA40EC2"/>
    <w:rsid w:val="3DA444FD"/>
    <w:rsid w:val="3DC6320C"/>
    <w:rsid w:val="3DD1570D"/>
    <w:rsid w:val="3DF15DAF"/>
    <w:rsid w:val="3E330175"/>
    <w:rsid w:val="3E4800C5"/>
    <w:rsid w:val="3E80785E"/>
    <w:rsid w:val="3E90291B"/>
    <w:rsid w:val="3E9F12F5"/>
    <w:rsid w:val="3EC01BF6"/>
    <w:rsid w:val="3EDA0523"/>
    <w:rsid w:val="3EF73899"/>
    <w:rsid w:val="3F0A33EF"/>
    <w:rsid w:val="3F375A43"/>
    <w:rsid w:val="3F46538F"/>
    <w:rsid w:val="3F593C0C"/>
    <w:rsid w:val="3F742888"/>
    <w:rsid w:val="3FD46E5C"/>
    <w:rsid w:val="3FF6788D"/>
    <w:rsid w:val="3FFD0A3B"/>
    <w:rsid w:val="400242A3"/>
    <w:rsid w:val="402B55A8"/>
    <w:rsid w:val="402C709C"/>
    <w:rsid w:val="4044666A"/>
    <w:rsid w:val="405D772B"/>
    <w:rsid w:val="407A6407"/>
    <w:rsid w:val="408D1DBF"/>
    <w:rsid w:val="40A612F5"/>
    <w:rsid w:val="40D914A8"/>
    <w:rsid w:val="40EF2A79"/>
    <w:rsid w:val="411A73CB"/>
    <w:rsid w:val="41532E15"/>
    <w:rsid w:val="415E27A3"/>
    <w:rsid w:val="41993D57"/>
    <w:rsid w:val="41D35EF7"/>
    <w:rsid w:val="41D43A1D"/>
    <w:rsid w:val="41F8595E"/>
    <w:rsid w:val="4200449D"/>
    <w:rsid w:val="42196C84"/>
    <w:rsid w:val="423A3BCC"/>
    <w:rsid w:val="424E57D2"/>
    <w:rsid w:val="42701998"/>
    <w:rsid w:val="427A6373"/>
    <w:rsid w:val="428B7856"/>
    <w:rsid w:val="42B26C49"/>
    <w:rsid w:val="42F56341"/>
    <w:rsid w:val="430F4175"/>
    <w:rsid w:val="433A6FE6"/>
    <w:rsid w:val="43480868"/>
    <w:rsid w:val="434D7F2B"/>
    <w:rsid w:val="4350713C"/>
    <w:rsid w:val="43654793"/>
    <w:rsid w:val="436653E0"/>
    <w:rsid w:val="438A4CDB"/>
    <w:rsid w:val="43B753A5"/>
    <w:rsid w:val="43C4431A"/>
    <w:rsid w:val="43C71A8C"/>
    <w:rsid w:val="43CA50D8"/>
    <w:rsid w:val="43DE6DD5"/>
    <w:rsid w:val="43E17DBA"/>
    <w:rsid w:val="44020D16"/>
    <w:rsid w:val="44250560"/>
    <w:rsid w:val="442567B2"/>
    <w:rsid w:val="44921E0D"/>
    <w:rsid w:val="44974A0B"/>
    <w:rsid w:val="44A92B99"/>
    <w:rsid w:val="44B951CC"/>
    <w:rsid w:val="44CD14E0"/>
    <w:rsid w:val="44F20B0B"/>
    <w:rsid w:val="452458D8"/>
    <w:rsid w:val="452E5F4C"/>
    <w:rsid w:val="45612018"/>
    <w:rsid w:val="458946E9"/>
    <w:rsid w:val="459E05CA"/>
    <w:rsid w:val="45A47C0E"/>
    <w:rsid w:val="461A1021"/>
    <w:rsid w:val="464253F9"/>
    <w:rsid w:val="464F5D68"/>
    <w:rsid w:val="46536363"/>
    <w:rsid w:val="46577FD6"/>
    <w:rsid w:val="46D955A7"/>
    <w:rsid w:val="46E22739"/>
    <w:rsid w:val="46F32D69"/>
    <w:rsid w:val="47133957"/>
    <w:rsid w:val="475F1FDB"/>
    <w:rsid w:val="47602B25"/>
    <w:rsid w:val="47665118"/>
    <w:rsid w:val="47835CCA"/>
    <w:rsid w:val="4792415F"/>
    <w:rsid w:val="47A07E0C"/>
    <w:rsid w:val="47A143A2"/>
    <w:rsid w:val="47A85730"/>
    <w:rsid w:val="47FE7E41"/>
    <w:rsid w:val="47FF45A8"/>
    <w:rsid w:val="480956EA"/>
    <w:rsid w:val="481D3B60"/>
    <w:rsid w:val="4823125B"/>
    <w:rsid w:val="48276F9D"/>
    <w:rsid w:val="4839282C"/>
    <w:rsid w:val="484418FD"/>
    <w:rsid w:val="484F5769"/>
    <w:rsid w:val="486D24D6"/>
    <w:rsid w:val="486D3D4B"/>
    <w:rsid w:val="4870272E"/>
    <w:rsid w:val="48A91760"/>
    <w:rsid w:val="492359B6"/>
    <w:rsid w:val="494C592E"/>
    <w:rsid w:val="49557A8C"/>
    <w:rsid w:val="4975511E"/>
    <w:rsid w:val="498D21F4"/>
    <w:rsid w:val="49971F00"/>
    <w:rsid w:val="499F2B63"/>
    <w:rsid w:val="49CD76D0"/>
    <w:rsid w:val="49CF51F6"/>
    <w:rsid w:val="49DC7715"/>
    <w:rsid w:val="49F27C41"/>
    <w:rsid w:val="4A023139"/>
    <w:rsid w:val="4A0F1A96"/>
    <w:rsid w:val="4A147379"/>
    <w:rsid w:val="4A2806B5"/>
    <w:rsid w:val="4A48741A"/>
    <w:rsid w:val="4A6C0C97"/>
    <w:rsid w:val="4A7B576F"/>
    <w:rsid w:val="4AC00FE3"/>
    <w:rsid w:val="4AE02AF8"/>
    <w:rsid w:val="4AE44CD1"/>
    <w:rsid w:val="4AF561A9"/>
    <w:rsid w:val="4AF64A04"/>
    <w:rsid w:val="4B08477A"/>
    <w:rsid w:val="4B391F09"/>
    <w:rsid w:val="4B593E3A"/>
    <w:rsid w:val="4B6B7D05"/>
    <w:rsid w:val="4B83098E"/>
    <w:rsid w:val="4B895B94"/>
    <w:rsid w:val="4B932E33"/>
    <w:rsid w:val="4B933353"/>
    <w:rsid w:val="4BB74194"/>
    <w:rsid w:val="4BC5578A"/>
    <w:rsid w:val="4BDC3BFA"/>
    <w:rsid w:val="4BDD02CB"/>
    <w:rsid w:val="4BF21670"/>
    <w:rsid w:val="4BF63CBE"/>
    <w:rsid w:val="4C352FB5"/>
    <w:rsid w:val="4C4A0649"/>
    <w:rsid w:val="4C583BC9"/>
    <w:rsid w:val="4C653BF0"/>
    <w:rsid w:val="4C6562E6"/>
    <w:rsid w:val="4C7E5ECA"/>
    <w:rsid w:val="4C876AA5"/>
    <w:rsid w:val="4CAA3CF8"/>
    <w:rsid w:val="4CD9638C"/>
    <w:rsid w:val="4D0E00FB"/>
    <w:rsid w:val="4D153868"/>
    <w:rsid w:val="4D176606"/>
    <w:rsid w:val="4D1F0243"/>
    <w:rsid w:val="4D1F6494"/>
    <w:rsid w:val="4D387556"/>
    <w:rsid w:val="4D5048A0"/>
    <w:rsid w:val="4D56444F"/>
    <w:rsid w:val="4D673998"/>
    <w:rsid w:val="4D731358"/>
    <w:rsid w:val="4D7A78E7"/>
    <w:rsid w:val="4DAC584E"/>
    <w:rsid w:val="4DC87CC0"/>
    <w:rsid w:val="4DEC4FB0"/>
    <w:rsid w:val="4DFA480C"/>
    <w:rsid w:val="4E012B46"/>
    <w:rsid w:val="4E075D8A"/>
    <w:rsid w:val="4E1B3100"/>
    <w:rsid w:val="4E2979E5"/>
    <w:rsid w:val="4E2B2C17"/>
    <w:rsid w:val="4E542EFB"/>
    <w:rsid w:val="4E6C3AD2"/>
    <w:rsid w:val="4E7F0BC2"/>
    <w:rsid w:val="4EB21C47"/>
    <w:rsid w:val="4EC00FAD"/>
    <w:rsid w:val="4EC5306C"/>
    <w:rsid w:val="4EDD1473"/>
    <w:rsid w:val="4EFD45B3"/>
    <w:rsid w:val="4F2002A2"/>
    <w:rsid w:val="4F29184C"/>
    <w:rsid w:val="4F361873"/>
    <w:rsid w:val="4F406E80"/>
    <w:rsid w:val="4F644633"/>
    <w:rsid w:val="4F9843DC"/>
    <w:rsid w:val="4FB7572D"/>
    <w:rsid w:val="4FC62A8C"/>
    <w:rsid w:val="4FE20F0D"/>
    <w:rsid w:val="4FE51552"/>
    <w:rsid w:val="4FF57980"/>
    <w:rsid w:val="502618E8"/>
    <w:rsid w:val="50265D8C"/>
    <w:rsid w:val="503C6F0D"/>
    <w:rsid w:val="504B75A0"/>
    <w:rsid w:val="50504C4B"/>
    <w:rsid w:val="50575F45"/>
    <w:rsid w:val="5079438A"/>
    <w:rsid w:val="50827466"/>
    <w:rsid w:val="50856264"/>
    <w:rsid w:val="508E75C7"/>
    <w:rsid w:val="509C6E7C"/>
    <w:rsid w:val="50AA6263"/>
    <w:rsid w:val="50D13F4A"/>
    <w:rsid w:val="50DE6667"/>
    <w:rsid w:val="50F857CB"/>
    <w:rsid w:val="5100038B"/>
    <w:rsid w:val="51420FB5"/>
    <w:rsid w:val="51595CED"/>
    <w:rsid w:val="5162104E"/>
    <w:rsid w:val="51B03B5F"/>
    <w:rsid w:val="51B71D10"/>
    <w:rsid w:val="51B72638"/>
    <w:rsid w:val="51E23F34"/>
    <w:rsid w:val="51E92AD9"/>
    <w:rsid w:val="52581213"/>
    <w:rsid w:val="52595FA5"/>
    <w:rsid w:val="52A03BD4"/>
    <w:rsid w:val="52A336C4"/>
    <w:rsid w:val="52A511EA"/>
    <w:rsid w:val="52CD0741"/>
    <w:rsid w:val="52D675F5"/>
    <w:rsid w:val="52E53CDC"/>
    <w:rsid w:val="52FB3500"/>
    <w:rsid w:val="53071EA5"/>
    <w:rsid w:val="535350EA"/>
    <w:rsid w:val="5382152B"/>
    <w:rsid w:val="53822AC2"/>
    <w:rsid w:val="53A039CC"/>
    <w:rsid w:val="53A1505A"/>
    <w:rsid w:val="53A22DCE"/>
    <w:rsid w:val="53CF4DC8"/>
    <w:rsid w:val="54063E08"/>
    <w:rsid w:val="54120B01"/>
    <w:rsid w:val="541C54DC"/>
    <w:rsid w:val="54336CC9"/>
    <w:rsid w:val="543437E8"/>
    <w:rsid w:val="5458228C"/>
    <w:rsid w:val="545A4256"/>
    <w:rsid w:val="54732C89"/>
    <w:rsid w:val="54745F13"/>
    <w:rsid w:val="54843081"/>
    <w:rsid w:val="548C1165"/>
    <w:rsid w:val="548C46A1"/>
    <w:rsid w:val="54931516"/>
    <w:rsid w:val="54981519"/>
    <w:rsid w:val="54AE27B0"/>
    <w:rsid w:val="54E35FFA"/>
    <w:rsid w:val="54F73313"/>
    <w:rsid w:val="54F80955"/>
    <w:rsid w:val="551663CF"/>
    <w:rsid w:val="55172147"/>
    <w:rsid w:val="55314FB7"/>
    <w:rsid w:val="554051FA"/>
    <w:rsid w:val="555170A7"/>
    <w:rsid w:val="5587536D"/>
    <w:rsid w:val="559B174B"/>
    <w:rsid w:val="55B77E63"/>
    <w:rsid w:val="55CE0CF4"/>
    <w:rsid w:val="55EC0491"/>
    <w:rsid w:val="56091A90"/>
    <w:rsid w:val="56336B0D"/>
    <w:rsid w:val="5637484F"/>
    <w:rsid w:val="56503B63"/>
    <w:rsid w:val="56680EAC"/>
    <w:rsid w:val="56764C4B"/>
    <w:rsid w:val="56867584"/>
    <w:rsid w:val="56892BD1"/>
    <w:rsid w:val="56A005ED"/>
    <w:rsid w:val="56AE2637"/>
    <w:rsid w:val="56B22A9C"/>
    <w:rsid w:val="56C93308"/>
    <w:rsid w:val="56D226C4"/>
    <w:rsid w:val="56D51FFC"/>
    <w:rsid w:val="56E623A1"/>
    <w:rsid w:val="56FE536D"/>
    <w:rsid w:val="57014E5D"/>
    <w:rsid w:val="573C420C"/>
    <w:rsid w:val="57800669"/>
    <w:rsid w:val="578F06BB"/>
    <w:rsid w:val="57B72A76"/>
    <w:rsid w:val="57C3426C"/>
    <w:rsid w:val="57CE1F93"/>
    <w:rsid w:val="57DA7815"/>
    <w:rsid w:val="57E03457"/>
    <w:rsid w:val="57E63027"/>
    <w:rsid w:val="58124259"/>
    <w:rsid w:val="581666E6"/>
    <w:rsid w:val="585F62DF"/>
    <w:rsid w:val="58767185"/>
    <w:rsid w:val="588743D1"/>
    <w:rsid w:val="5887701A"/>
    <w:rsid w:val="58977827"/>
    <w:rsid w:val="58977881"/>
    <w:rsid w:val="58BC02C6"/>
    <w:rsid w:val="58D62A4B"/>
    <w:rsid w:val="58D8365F"/>
    <w:rsid w:val="58E93DFA"/>
    <w:rsid w:val="590316FF"/>
    <w:rsid w:val="59554FEC"/>
    <w:rsid w:val="59575208"/>
    <w:rsid w:val="59670B6F"/>
    <w:rsid w:val="59834D46"/>
    <w:rsid w:val="59A20090"/>
    <w:rsid w:val="59A321FB"/>
    <w:rsid w:val="59C0439F"/>
    <w:rsid w:val="59E20F76"/>
    <w:rsid w:val="59E37E79"/>
    <w:rsid w:val="5A051F60"/>
    <w:rsid w:val="5A1153B7"/>
    <w:rsid w:val="5A5B2AD6"/>
    <w:rsid w:val="5A5F6122"/>
    <w:rsid w:val="5A673229"/>
    <w:rsid w:val="5A8C0EE1"/>
    <w:rsid w:val="5AA955EF"/>
    <w:rsid w:val="5ABE2233"/>
    <w:rsid w:val="5AC57E95"/>
    <w:rsid w:val="5AE94B18"/>
    <w:rsid w:val="5B0D3DD0"/>
    <w:rsid w:val="5B2630E4"/>
    <w:rsid w:val="5B745BFD"/>
    <w:rsid w:val="5B7E082A"/>
    <w:rsid w:val="5B863B83"/>
    <w:rsid w:val="5BA610D8"/>
    <w:rsid w:val="5BD01FE3"/>
    <w:rsid w:val="5BD90156"/>
    <w:rsid w:val="5BDF5D95"/>
    <w:rsid w:val="5BFE7528"/>
    <w:rsid w:val="5C1C06A6"/>
    <w:rsid w:val="5C1D0043"/>
    <w:rsid w:val="5C272C70"/>
    <w:rsid w:val="5C5030D5"/>
    <w:rsid w:val="5C751602"/>
    <w:rsid w:val="5C95665E"/>
    <w:rsid w:val="5D5C6839"/>
    <w:rsid w:val="5D7B64BE"/>
    <w:rsid w:val="5DAB167E"/>
    <w:rsid w:val="5DB2076D"/>
    <w:rsid w:val="5DE057CC"/>
    <w:rsid w:val="5DE8277F"/>
    <w:rsid w:val="5E2467F1"/>
    <w:rsid w:val="5E6957C1"/>
    <w:rsid w:val="5E6D4E96"/>
    <w:rsid w:val="5E82331D"/>
    <w:rsid w:val="5EA458E2"/>
    <w:rsid w:val="5EB96036"/>
    <w:rsid w:val="5EE341B8"/>
    <w:rsid w:val="5EE94B54"/>
    <w:rsid w:val="5EF269AF"/>
    <w:rsid w:val="5EF86B45"/>
    <w:rsid w:val="5F1A2B43"/>
    <w:rsid w:val="5F62602F"/>
    <w:rsid w:val="5F6D12E1"/>
    <w:rsid w:val="5F7F7267"/>
    <w:rsid w:val="5FB837BB"/>
    <w:rsid w:val="5FD2383A"/>
    <w:rsid w:val="5FE14111"/>
    <w:rsid w:val="60114363"/>
    <w:rsid w:val="604118C1"/>
    <w:rsid w:val="604D2EC1"/>
    <w:rsid w:val="608C5797"/>
    <w:rsid w:val="609B59DA"/>
    <w:rsid w:val="60A32AE1"/>
    <w:rsid w:val="60AC3F9D"/>
    <w:rsid w:val="60AE7E03"/>
    <w:rsid w:val="60CC405A"/>
    <w:rsid w:val="60CC64DC"/>
    <w:rsid w:val="61243146"/>
    <w:rsid w:val="61375EAB"/>
    <w:rsid w:val="61656567"/>
    <w:rsid w:val="617A1A94"/>
    <w:rsid w:val="617D10E2"/>
    <w:rsid w:val="61923281"/>
    <w:rsid w:val="61A07A90"/>
    <w:rsid w:val="61A26D54"/>
    <w:rsid w:val="61E215D8"/>
    <w:rsid w:val="61E64C09"/>
    <w:rsid w:val="61ED7BB9"/>
    <w:rsid w:val="61F42DC1"/>
    <w:rsid w:val="61F47A98"/>
    <w:rsid w:val="620D2908"/>
    <w:rsid w:val="620F4693"/>
    <w:rsid w:val="621B3775"/>
    <w:rsid w:val="6220263B"/>
    <w:rsid w:val="62364782"/>
    <w:rsid w:val="624D71A8"/>
    <w:rsid w:val="628C7CD0"/>
    <w:rsid w:val="62911EF4"/>
    <w:rsid w:val="629923ED"/>
    <w:rsid w:val="62AC5BD3"/>
    <w:rsid w:val="62AD6CE7"/>
    <w:rsid w:val="630C7063"/>
    <w:rsid w:val="63253C81"/>
    <w:rsid w:val="634B4390"/>
    <w:rsid w:val="635E372E"/>
    <w:rsid w:val="6394356A"/>
    <w:rsid w:val="63A177AC"/>
    <w:rsid w:val="63A728E8"/>
    <w:rsid w:val="63A948B2"/>
    <w:rsid w:val="63C61B2C"/>
    <w:rsid w:val="63D40BE9"/>
    <w:rsid w:val="63E20C5C"/>
    <w:rsid w:val="63F92A66"/>
    <w:rsid w:val="64102431"/>
    <w:rsid w:val="641066DF"/>
    <w:rsid w:val="641174AF"/>
    <w:rsid w:val="64326656"/>
    <w:rsid w:val="646D63CB"/>
    <w:rsid w:val="646F3574"/>
    <w:rsid w:val="647749B0"/>
    <w:rsid w:val="6489026C"/>
    <w:rsid w:val="649E3CEB"/>
    <w:rsid w:val="64A5243A"/>
    <w:rsid w:val="64D57D45"/>
    <w:rsid w:val="64F531DE"/>
    <w:rsid w:val="64F953C5"/>
    <w:rsid w:val="6511270F"/>
    <w:rsid w:val="65273CE0"/>
    <w:rsid w:val="652A4008"/>
    <w:rsid w:val="65373578"/>
    <w:rsid w:val="653E682E"/>
    <w:rsid w:val="653F17F6"/>
    <w:rsid w:val="655B1BDC"/>
    <w:rsid w:val="656C7C05"/>
    <w:rsid w:val="657E3639"/>
    <w:rsid w:val="65B732B6"/>
    <w:rsid w:val="65B978C5"/>
    <w:rsid w:val="65C94D98"/>
    <w:rsid w:val="65D8068E"/>
    <w:rsid w:val="65F04A1A"/>
    <w:rsid w:val="660109D5"/>
    <w:rsid w:val="66157FDD"/>
    <w:rsid w:val="663568D1"/>
    <w:rsid w:val="66BD48F7"/>
    <w:rsid w:val="66D02156"/>
    <w:rsid w:val="66D67198"/>
    <w:rsid w:val="66DE4FB2"/>
    <w:rsid w:val="670328B1"/>
    <w:rsid w:val="671F124A"/>
    <w:rsid w:val="67204E8B"/>
    <w:rsid w:val="67310E46"/>
    <w:rsid w:val="67674492"/>
    <w:rsid w:val="677A33C6"/>
    <w:rsid w:val="67BA7C67"/>
    <w:rsid w:val="67DC5256"/>
    <w:rsid w:val="67E63ED9"/>
    <w:rsid w:val="67F26828"/>
    <w:rsid w:val="67F46030"/>
    <w:rsid w:val="680B1697"/>
    <w:rsid w:val="68106CAE"/>
    <w:rsid w:val="681F6961"/>
    <w:rsid w:val="68282249"/>
    <w:rsid w:val="684F3C7A"/>
    <w:rsid w:val="68522A3E"/>
    <w:rsid w:val="6859214C"/>
    <w:rsid w:val="68610A2F"/>
    <w:rsid w:val="68703BF0"/>
    <w:rsid w:val="68805514"/>
    <w:rsid w:val="6892481D"/>
    <w:rsid w:val="68CF79BA"/>
    <w:rsid w:val="68D0643D"/>
    <w:rsid w:val="69011A1A"/>
    <w:rsid w:val="691B590A"/>
    <w:rsid w:val="69216452"/>
    <w:rsid w:val="69286306"/>
    <w:rsid w:val="692B7910"/>
    <w:rsid w:val="69316E2F"/>
    <w:rsid w:val="694A61EF"/>
    <w:rsid w:val="694E2071"/>
    <w:rsid w:val="69766163"/>
    <w:rsid w:val="697A3B33"/>
    <w:rsid w:val="698C6808"/>
    <w:rsid w:val="69B738B5"/>
    <w:rsid w:val="69CF4947"/>
    <w:rsid w:val="69D44760"/>
    <w:rsid w:val="6A013FBE"/>
    <w:rsid w:val="6A386990"/>
    <w:rsid w:val="6A3A44B6"/>
    <w:rsid w:val="6A520EC7"/>
    <w:rsid w:val="6A55309E"/>
    <w:rsid w:val="6A885E08"/>
    <w:rsid w:val="6AF87E20"/>
    <w:rsid w:val="6AFB3C45"/>
    <w:rsid w:val="6B322639"/>
    <w:rsid w:val="6B6F1F3D"/>
    <w:rsid w:val="6B741C4A"/>
    <w:rsid w:val="6BCE4EB6"/>
    <w:rsid w:val="6BF652DA"/>
    <w:rsid w:val="6C136D6D"/>
    <w:rsid w:val="6C3B62C3"/>
    <w:rsid w:val="6C46039C"/>
    <w:rsid w:val="6C547262"/>
    <w:rsid w:val="6C636C38"/>
    <w:rsid w:val="6C7C0DB6"/>
    <w:rsid w:val="6CAB36AD"/>
    <w:rsid w:val="6CDE580B"/>
    <w:rsid w:val="6D2A0812"/>
    <w:rsid w:val="6D433682"/>
    <w:rsid w:val="6D68758C"/>
    <w:rsid w:val="6DAA54AF"/>
    <w:rsid w:val="6DB34098"/>
    <w:rsid w:val="6DB545B6"/>
    <w:rsid w:val="6DBB590E"/>
    <w:rsid w:val="6DE02FB4"/>
    <w:rsid w:val="6E1B015A"/>
    <w:rsid w:val="6E46167B"/>
    <w:rsid w:val="6E514CED"/>
    <w:rsid w:val="6E591835"/>
    <w:rsid w:val="6E843F52"/>
    <w:rsid w:val="6EB563D5"/>
    <w:rsid w:val="6ED753ED"/>
    <w:rsid w:val="6ED92677"/>
    <w:rsid w:val="6F060E0B"/>
    <w:rsid w:val="6F225983"/>
    <w:rsid w:val="6F3B2B90"/>
    <w:rsid w:val="6F4056E8"/>
    <w:rsid w:val="6F563B40"/>
    <w:rsid w:val="6F743FC6"/>
    <w:rsid w:val="6F9742E9"/>
    <w:rsid w:val="6FB37B6D"/>
    <w:rsid w:val="6FDD7DBD"/>
    <w:rsid w:val="6FF2313D"/>
    <w:rsid w:val="6FF70753"/>
    <w:rsid w:val="6FFC5590"/>
    <w:rsid w:val="703E2B7C"/>
    <w:rsid w:val="70457711"/>
    <w:rsid w:val="705F4C76"/>
    <w:rsid w:val="706D1DD0"/>
    <w:rsid w:val="708523F5"/>
    <w:rsid w:val="70856B87"/>
    <w:rsid w:val="70932B72"/>
    <w:rsid w:val="70AE52B6"/>
    <w:rsid w:val="70D527EE"/>
    <w:rsid w:val="70DF1913"/>
    <w:rsid w:val="70E60EF4"/>
    <w:rsid w:val="712C4F41"/>
    <w:rsid w:val="715B5300"/>
    <w:rsid w:val="71793B16"/>
    <w:rsid w:val="71816E6E"/>
    <w:rsid w:val="71BC1C54"/>
    <w:rsid w:val="71D27F8A"/>
    <w:rsid w:val="71DE1BCB"/>
    <w:rsid w:val="72553024"/>
    <w:rsid w:val="726C367A"/>
    <w:rsid w:val="727A404A"/>
    <w:rsid w:val="72874010"/>
    <w:rsid w:val="72E8641E"/>
    <w:rsid w:val="72F71196"/>
    <w:rsid w:val="72FD3C68"/>
    <w:rsid w:val="73107C5C"/>
    <w:rsid w:val="73122968"/>
    <w:rsid w:val="731F5D5E"/>
    <w:rsid w:val="73774085"/>
    <w:rsid w:val="738F5872"/>
    <w:rsid w:val="73C51AD5"/>
    <w:rsid w:val="73CF2113"/>
    <w:rsid w:val="73ED2599"/>
    <w:rsid w:val="741E793C"/>
    <w:rsid w:val="743C1F72"/>
    <w:rsid w:val="745919DD"/>
    <w:rsid w:val="745E3944"/>
    <w:rsid w:val="7476433D"/>
    <w:rsid w:val="747C12BA"/>
    <w:rsid w:val="7486110F"/>
    <w:rsid w:val="74885F7F"/>
    <w:rsid w:val="74956EB9"/>
    <w:rsid w:val="74973049"/>
    <w:rsid w:val="74D37FBD"/>
    <w:rsid w:val="74D774D1"/>
    <w:rsid w:val="74DD0860"/>
    <w:rsid w:val="74FF2584"/>
    <w:rsid w:val="75063912"/>
    <w:rsid w:val="7513602F"/>
    <w:rsid w:val="75620A94"/>
    <w:rsid w:val="756D573F"/>
    <w:rsid w:val="756E14B8"/>
    <w:rsid w:val="758F1B5A"/>
    <w:rsid w:val="75B01AD0"/>
    <w:rsid w:val="75BE5F9B"/>
    <w:rsid w:val="75D51537"/>
    <w:rsid w:val="75FF0D99"/>
    <w:rsid w:val="760D5BC4"/>
    <w:rsid w:val="76164029"/>
    <w:rsid w:val="76232CDF"/>
    <w:rsid w:val="762A7AD4"/>
    <w:rsid w:val="762D3A63"/>
    <w:rsid w:val="7635099D"/>
    <w:rsid w:val="763C496B"/>
    <w:rsid w:val="766B24AF"/>
    <w:rsid w:val="76C23768"/>
    <w:rsid w:val="772B0F86"/>
    <w:rsid w:val="774F0B31"/>
    <w:rsid w:val="776C1A27"/>
    <w:rsid w:val="77762421"/>
    <w:rsid w:val="7777396F"/>
    <w:rsid w:val="777C610E"/>
    <w:rsid w:val="77A00454"/>
    <w:rsid w:val="77B56B1F"/>
    <w:rsid w:val="78075FC4"/>
    <w:rsid w:val="780879A1"/>
    <w:rsid w:val="780B56E4"/>
    <w:rsid w:val="780F09F4"/>
    <w:rsid w:val="78177BE5"/>
    <w:rsid w:val="782567A5"/>
    <w:rsid w:val="78320EC2"/>
    <w:rsid w:val="783267CC"/>
    <w:rsid w:val="78972AD3"/>
    <w:rsid w:val="78A05E2C"/>
    <w:rsid w:val="78A90480"/>
    <w:rsid w:val="78CB653B"/>
    <w:rsid w:val="78CE2999"/>
    <w:rsid w:val="78F910B4"/>
    <w:rsid w:val="79183C14"/>
    <w:rsid w:val="79194FEF"/>
    <w:rsid w:val="791A5F75"/>
    <w:rsid w:val="791E07A5"/>
    <w:rsid w:val="79802730"/>
    <w:rsid w:val="79AC4AA8"/>
    <w:rsid w:val="79E306C6"/>
    <w:rsid w:val="7A103B79"/>
    <w:rsid w:val="7A15269A"/>
    <w:rsid w:val="7A364017"/>
    <w:rsid w:val="7A722CB4"/>
    <w:rsid w:val="7A763B8C"/>
    <w:rsid w:val="7A8265E1"/>
    <w:rsid w:val="7AB94F83"/>
    <w:rsid w:val="7ACF47A6"/>
    <w:rsid w:val="7AE75F94"/>
    <w:rsid w:val="7B0D14A7"/>
    <w:rsid w:val="7B18439F"/>
    <w:rsid w:val="7B310FBD"/>
    <w:rsid w:val="7B5D0004"/>
    <w:rsid w:val="7B672C31"/>
    <w:rsid w:val="7B686D42"/>
    <w:rsid w:val="7B7D6B62"/>
    <w:rsid w:val="7B841746"/>
    <w:rsid w:val="7BAA5455"/>
    <w:rsid w:val="7BAD6BCB"/>
    <w:rsid w:val="7BB81105"/>
    <w:rsid w:val="7BC4009E"/>
    <w:rsid w:val="7BCB31C0"/>
    <w:rsid w:val="7BF344C5"/>
    <w:rsid w:val="7BF705CE"/>
    <w:rsid w:val="7C374CF9"/>
    <w:rsid w:val="7C4D6BA8"/>
    <w:rsid w:val="7C5F7DAC"/>
    <w:rsid w:val="7C6C5AC7"/>
    <w:rsid w:val="7C776EA4"/>
    <w:rsid w:val="7C7C095E"/>
    <w:rsid w:val="7C9673F2"/>
    <w:rsid w:val="7CC25B1A"/>
    <w:rsid w:val="7CC6544B"/>
    <w:rsid w:val="7CE7227B"/>
    <w:rsid w:val="7CFC2533"/>
    <w:rsid w:val="7D0239FF"/>
    <w:rsid w:val="7D0746CC"/>
    <w:rsid w:val="7D083F22"/>
    <w:rsid w:val="7D121E4C"/>
    <w:rsid w:val="7D425704"/>
    <w:rsid w:val="7D5E40CD"/>
    <w:rsid w:val="7D624BF2"/>
    <w:rsid w:val="7D6D5821"/>
    <w:rsid w:val="7D8201F6"/>
    <w:rsid w:val="7D872579"/>
    <w:rsid w:val="7D891584"/>
    <w:rsid w:val="7D985324"/>
    <w:rsid w:val="7DAB14FB"/>
    <w:rsid w:val="7DBB7264"/>
    <w:rsid w:val="7DCD56F2"/>
    <w:rsid w:val="7DD24CD9"/>
    <w:rsid w:val="7DDD542C"/>
    <w:rsid w:val="7DEC38C1"/>
    <w:rsid w:val="7DEC67E0"/>
    <w:rsid w:val="7E3C65F7"/>
    <w:rsid w:val="7E3D2248"/>
    <w:rsid w:val="7E622A36"/>
    <w:rsid w:val="7E755665"/>
    <w:rsid w:val="7E991353"/>
    <w:rsid w:val="7EBE0DBA"/>
    <w:rsid w:val="7EEF18BB"/>
    <w:rsid w:val="7F001CE7"/>
    <w:rsid w:val="7F005876"/>
    <w:rsid w:val="7F076FCC"/>
    <w:rsid w:val="7F3D43D5"/>
    <w:rsid w:val="7F814ED7"/>
    <w:rsid w:val="7F967F89"/>
    <w:rsid w:val="7FBD5515"/>
    <w:rsid w:val="7FD921AA"/>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9" w:semiHidden="0" w:name="heading 2" w:locked="1"/>
    <w:lsdException w:qFormat="1" w:unhideWhenUsed="0" w:uiPriority="99"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qFormat="1" w:uiPriority="99" w:semiHidden="0" w:name="Body Text 3" w:locked="1"/>
    <w:lsdException w:qFormat="1" w:uiPriority="99" w:semiHidden="0" w:name="Body Text Indent 2" w:locked="1"/>
    <w:lsdException w:qFormat="1" w:uiPriority="99"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semiHidden="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3"/>
    <w:unhideWhenUsed/>
    <w:qFormat/>
    <w:locked/>
    <w:uiPriority w:val="9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44"/>
    <w:qFormat/>
    <w:locked/>
    <w:uiPriority w:val="99"/>
    <w:pPr>
      <w:keepNext/>
      <w:keepLines/>
      <w:widowControl/>
      <w:spacing w:line="360" w:lineRule="auto"/>
      <w:ind w:firstLine="512"/>
      <w:jc w:val="left"/>
      <w:outlineLvl w:val="2"/>
    </w:pPr>
    <w:rPr>
      <w:b/>
      <w:bCs/>
      <w:color w:val="000000"/>
      <w:kern w:val="0"/>
      <w:sz w:val="24"/>
    </w:rPr>
  </w:style>
  <w:style w:type="paragraph" w:styleId="5">
    <w:name w:val="heading 4"/>
    <w:basedOn w:val="1"/>
    <w:next w:val="1"/>
    <w:link w:val="45"/>
    <w:qFormat/>
    <w:locked/>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6">
    <w:name w:val="Normal Indent"/>
    <w:basedOn w:val="1"/>
    <w:link w:val="46"/>
    <w:qFormat/>
    <w:locked/>
    <w:uiPriority w:val="0"/>
    <w:pPr>
      <w:ind w:firstLine="420" w:firstLineChars="200"/>
    </w:pPr>
    <w:rPr>
      <w:szCs w:val="20"/>
    </w:rPr>
  </w:style>
  <w:style w:type="paragraph" w:styleId="7">
    <w:name w:val="caption"/>
    <w:basedOn w:val="1"/>
    <w:next w:val="1"/>
    <w:link w:val="47"/>
    <w:qFormat/>
    <w:locked/>
    <w:uiPriority w:val="0"/>
    <w:rPr>
      <w:rFonts w:ascii="Arial" w:hAnsi="Arial" w:eastAsia="黑体" w:cs="Arial"/>
      <w:sz w:val="20"/>
      <w:szCs w:val="20"/>
    </w:rPr>
  </w:style>
  <w:style w:type="paragraph" w:styleId="8">
    <w:name w:val="Document Map"/>
    <w:basedOn w:val="1"/>
    <w:link w:val="48"/>
    <w:unhideWhenUsed/>
    <w:qFormat/>
    <w:locked/>
    <w:uiPriority w:val="99"/>
    <w:pPr>
      <w:widowControl/>
      <w:spacing w:line="360" w:lineRule="auto"/>
      <w:jc w:val="left"/>
    </w:pPr>
    <w:rPr>
      <w:rFonts w:ascii="宋体"/>
      <w:color w:val="000000"/>
      <w:sz w:val="18"/>
      <w:szCs w:val="18"/>
    </w:rPr>
  </w:style>
  <w:style w:type="paragraph" w:styleId="9">
    <w:name w:val="annotation text"/>
    <w:basedOn w:val="1"/>
    <w:link w:val="49"/>
    <w:semiHidden/>
    <w:qFormat/>
    <w:uiPriority w:val="99"/>
    <w:pPr>
      <w:jc w:val="left"/>
    </w:pPr>
    <w:rPr>
      <w:kern w:val="0"/>
      <w:sz w:val="24"/>
      <w:szCs w:val="20"/>
    </w:rPr>
  </w:style>
  <w:style w:type="paragraph" w:styleId="10">
    <w:name w:val="Salutation"/>
    <w:basedOn w:val="1"/>
    <w:next w:val="1"/>
    <w:qFormat/>
    <w:locked/>
    <w:uiPriority w:val="0"/>
    <w:pPr>
      <w:spacing w:line="240" w:lineRule="auto"/>
      <w:ind w:firstLine="0" w:firstLineChars="0"/>
    </w:pPr>
    <w:rPr>
      <w:sz w:val="28"/>
      <w:szCs w:val="20"/>
    </w:rPr>
  </w:style>
  <w:style w:type="paragraph" w:styleId="11">
    <w:name w:val="Body Text 3"/>
    <w:basedOn w:val="1"/>
    <w:link w:val="50"/>
    <w:unhideWhenUsed/>
    <w:qFormat/>
    <w:locked/>
    <w:uiPriority w:val="99"/>
    <w:pPr>
      <w:widowControl/>
      <w:spacing w:after="120" w:line="360" w:lineRule="auto"/>
      <w:jc w:val="left"/>
    </w:pPr>
    <w:rPr>
      <w:color w:val="000000"/>
      <w:sz w:val="16"/>
      <w:szCs w:val="16"/>
    </w:rPr>
  </w:style>
  <w:style w:type="paragraph" w:styleId="12">
    <w:name w:val="Body Text"/>
    <w:basedOn w:val="1"/>
    <w:next w:val="13"/>
    <w:link w:val="51"/>
    <w:qFormat/>
    <w:uiPriority w:val="99"/>
    <w:pPr>
      <w:widowControl/>
      <w:snapToGrid w:val="0"/>
      <w:spacing w:before="60" w:after="160" w:line="259" w:lineRule="auto"/>
      <w:ind w:right="113"/>
    </w:pPr>
    <w:rPr>
      <w:kern w:val="0"/>
      <w:sz w:val="18"/>
      <w:szCs w:val="20"/>
    </w:rPr>
  </w:style>
  <w:style w:type="paragraph" w:customStyle="1" w:styleId="1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4">
    <w:name w:val="Body Text Indent"/>
    <w:basedOn w:val="1"/>
    <w:next w:val="1"/>
    <w:link w:val="40"/>
    <w:qFormat/>
    <w:uiPriority w:val="99"/>
    <w:pPr>
      <w:spacing w:after="120"/>
      <w:ind w:left="420" w:leftChars="200"/>
    </w:pPr>
    <w:rPr>
      <w:kern w:val="0"/>
      <w:sz w:val="24"/>
      <w:szCs w:val="20"/>
    </w:rPr>
  </w:style>
  <w:style w:type="paragraph" w:styleId="15">
    <w:name w:val="Plain Text"/>
    <w:basedOn w:val="1"/>
    <w:next w:val="10"/>
    <w:link w:val="52"/>
    <w:qFormat/>
    <w:locked/>
    <w:uiPriority w:val="0"/>
    <w:pPr>
      <w:widowControl/>
      <w:jc w:val="left"/>
    </w:pPr>
    <w:rPr>
      <w:rFonts w:ascii="宋体" w:hAnsi="Courier New"/>
      <w:szCs w:val="20"/>
    </w:rPr>
  </w:style>
  <w:style w:type="paragraph" w:styleId="16">
    <w:name w:val="Date"/>
    <w:basedOn w:val="1"/>
    <w:next w:val="1"/>
    <w:link w:val="53"/>
    <w:qFormat/>
    <w:uiPriority w:val="0"/>
    <w:pPr>
      <w:ind w:left="100" w:leftChars="2500"/>
    </w:pPr>
    <w:rPr>
      <w:kern w:val="0"/>
      <w:sz w:val="24"/>
      <w:szCs w:val="20"/>
    </w:rPr>
  </w:style>
  <w:style w:type="paragraph" w:styleId="17">
    <w:name w:val="Body Text Indent 2"/>
    <w:basedOn w:val="1"/>
    <w:link w:val="54"/>
    <w:unhideWhenUsed/>
    <w:qFormat/>
    <w:locked/>
    <w:uiPriority w:val="99"/>
    <w:pPr>
      <w:widowControl/>
      <w:spacing w:after="120" w:line="480" w:lineRule="auto"/>
      <w:ind w:left="420" w:leftChars="200"/>
      <w:jc w:val="left"/>
    </w:pPr>
    <w:rPr>
      <w:color w:val="000000"/>
      <w:sz w:val="24"/>
    </w:rPr>
  </w:style>
  <w:style w:type="paragraph" w:styleId="18">
    <w:name w:val="Balloon Text"/>
    <w:basedOn w:val="1"/>
    <w:link w:val="55"/>
    <w:qFormat/>
    <w:uiPriority w:val="99"/>
    <w:rPr>
      <w:kern w:val="0"/>
      <w:sz w:val="18"/>
      <w:szCs w:val="20"/>
    </w:rPr>
  </w:style>
  <w:style w:type="paragraph" w:styleId="19">
    <w:name w:val="footer"/>
    <w:basedOn w:val="1"/>
    <w:link w:val="56"/>
    <w:qFormat/>
    <w:uiPriority w:val="99"/>
    <w:pPr>
      <w:tabs>
        <w:tab w:val="center" w:pos="4153"/>
        <w:tab w:val="right" w:pos="8306"/>
      </w:tabs>
      <w:snapToGrid w:val="0"/>
      <w:jc w:val="left"/>
    </w:pPr>
    <w:rPr>
      <w:kern w:val="0"/>
      <w:sz w:val="18"/>
      <w:szCs w:val="20"/>
    </w:rPr>
  </w:style>
  <w:style w:type="paragraph" w:styleId="20">
    <w:name w:val="header"/>
    <w:basedOn w:val="1"/>
    <w:link w:val="57"/>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List"/>
    <w:basedOn w:val="1"/>
    <w:unhideWhenUsed/>
    <w:qFormat/>
    <w:locked/>
    <w:uiPriority w:val="99"/>
    <w:pPr>
      <w:widowControl/>
      <w:spacing w:line="320" w:lineRule="exact"/>
      <w:jc w:val="center"/>
    </w:pPr>
    <w:rPr>
      <w:color w:val="000000"/>
      <w:sz w:val="22"/>
      <w:szCs w:val="22"/>
    </w:rPr>
  </w:style>
  <w:style w:type="paragraph" w:styleId="22">
    <w:name w:val="Body Text Indent 3"/>
    <w:basedOn w:val="1"/>
    <w:link w:val="58"/>
    <w:unhideWhenUsed/>
    <w:qFormat/>
    <w:locked/>
    <w:uiPriority w:val="99"/>
    <w:pPr>
      <w:widowControl/>
      <w:spacing w:after="120" w:line="360" w:lineRule="auto"/>
      <w:ind w:left="420" w:leftChars="200"/>
      <w:jc w:val="left"/>
    </w:pPr>
    <w:rPr>
      <w:color w:val="000000"/>
      <w:sz w:val="16"/>
      <w:szCs w:val="16"/>
    </w:rPr>
  </w:style>
  <w:style w:type="paragraph" w:styleId="23">
    <w:name w:val="table of figures"/>
    <w:basedOn w:val="1"/>
    <w:next w:val="1"/>
    <w:unhideWhenUsed/>
    <w:qFormat/>
    <w:locked/>
    <w:uiPriority w:val="99"/>
    <w:pPr>
      <w:widowControl/>
      <w:spacing w:before="100" w:beforeAutospacing="1" w:after="100" w:afterAutospacing="1" w:line="360" w:lineRule="auto"/>
      <w:ind w:leftChars="200" w:hanging="200" w:hangingChars="200"/>
      <w:jc w:val="left"/>
    </w:pPr>
    <w:rPr>
      <w:color w:val="000000"/>
      <w:sz w:val="24"/>
    </w:rPr>
  </w:style>
  <w:style w:type="paragraph" w:styleId="24">
    <w:name w:val="Body Text 2"/>
    <w:basedOn w:val="1"/>
    <w:link w:val="59"/>
    <w:unhideWhenUsed/>
    <w:qFormat/>
    <w:locked/>
    <w:uiPriority w:val="99"/>
    <w:pPr>
      <w:widowControl/>
      <w:spacing w:after="120" w:line="480" w:lineRule="auto"/>
      <w:jc w:val="left"/>
    </w:pPr>
    <w:rPr>
      <w:color w:val="000000"/>
      <w:sz w:val="24"/>
    </w:rPr>
  </w:style>
  <w:style w:type="paragraph" w:styleId="25">
    <w:name w:val="HTML Preformatted"/>
    <w:basedOn w:val="1"/>
    <w:link w:val="60"/>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link w:val="62"/>
    <w:qFormat/>
    <w:locked/>
    <w:uiPriority w:val="10"/>
    <w:pPr>
      <w:widowControl/>
      <w:spacing w:before="240" w:after="60" w:line="360" w:lineRule="auto"/>
      <w:jc w:val="center"/>
      <w:outlineLvl w:val="0"/>
    </w:pPr>
    <w:rPr>
      <w:rFonts w:ascii="Cambria" w:hAnsi="Cambria"/>
      <w:b/>
      <w:bCs/>
      <w:color w:val="000000"/>
      <w:sz w:val="32"/>
      <w:szCs w:val="32"/>
    </w:rPr>
  </w:style>
  <w:style w:type="paragraph" w:styleId="28">
    <w:name w:val="annotation subject"/>
    <w:basedOn w:val="9"/>
    <w:next w:val="9"/>
    <w:link w:val="63"/>
    <w:semiHidden/>
    <w:qFormat/>
    <w:uiPriority w:val="0"/>
    <w:rPr>
      <w:b/>
      <w:sz w:val="24"/>
      <w:szCs w:val="20"/>
    </w:rPr>
  </w:style>
  <w:style w:type="paragraph" w:styleId="29">
    <w:name w:val="Body Text First Indent"/>
    <w:basedOn w:val="12"/>
    <w:link w:val="64"/>
    <w:unhideWhenUsed/>
    <w:qFormat/>
    <w:locked/>
    <w:uiPriority w:val="99"/>
    <w:pPr>
      <w:snapToGrid/>
      <w:spacing w:before="0" w:after="120" w:line="360" w:lineRule="auto"/>
      <w:ind w:right="0" w:firstLine="420" w:firstLineChars="100"/>
      <w:jc w:val="left"/>
    </w:pPr>
    <w:rPr>
      <w:color w:val="000000"/>
      <w:kern w:val="2"/>
      <w:sz w:val="24"/>
      <w:szCs w:val="24"/>
    </w:rPr>
  </w:style>
  <w:style w:type="paragraph" w:styleId="30">
    <w:name w:val="Body Text First Indent 2"/>
    <w:basedOn w:val="14"/>
    <w:next w:val="1"/>
    <w:link w:val="41"/>
    <w:qFormat/>
    <w:locked/>
    <w:uiPriority w:val="0"/>
    <w:pPr>
      <w:ind w:firstLine="420" w:firstLineChars="200"/>
    </w:pPr>
    <w:rPr>
      <w:kern w:val="2"/>
      <w:sz w:val="21"/>
      <w:szCs w:val="24"/>
    </w:r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locked/>
    <w:uiPriority w:val="22"/>
    <w:rPr>
      <w:b/>
      <w:bCs/>
    </w:rPr>
  </w:style>
  <w:style w:type="character" w:styleId="35">
    <w:name w:val="page number"/>
    <w:basedOn w:val="33"/>
    <w:qFormat/>
    <w:locked/>
    <w:uiPriority w:val="0"/>
  </w:style>
  <w:style w:type="character" w:styleId="36">
    <w:name w:val="FollowedHyperlink"/>
    <w:unhideWhenUsed/>
    <w:qFormat/>
    <w:locked/>
    <w:uiPriority w:val="99"/>
    <w:rPr>
      <w:color w:val="800080"/>
      <w:u w:val="single"/>
    </w:rPr>
  </w:style>
  <w:style w:type="character" w:styleId="37">
    <w:name w:val="Emphasis"/>
    <w:qFormat/>
    <w:locked/>
    <w:uiPriority w:val="20"/>
    <w:rPr>
      <w:i/>
      <w:iCs/>
    </w:rPr>
  </w:style>
  <w:style w:type="character" w:styleId="38">
    <w:name w:val="Hyperlink"/>
    <w:unhideWhenUsed/>
    <w:qFormat/>
    <w:locked/>
    <w:uiPriority w:val="99"/>
    <w:rPr>
      <w:color w:val="0000FF"/>
      <w:u w:val="single"/>
    </w:rPr>
  </w:style>
  <w:style w:type="character" w:styleId="39">
    <w:name w:val="annotation reference"/>
    <w:qFormat/>
    <w:uiPriority w:val="99"/>
    <w:rPr>
      <w:sz w:val="21"/>
    </w:rPr>
  </w:style>
  <w:style w:type="character" w:customStyle="1" w:styleId="40">
    <w:name w:val="正文文本缩进 字符"/>
    <w:link w:val="14"/>
    <w:qFormat/>
    <w:locked/>
    <w:uiPriority w:val="99"/>
    <w:rPr>
      <w:rFonts w:ascii="Times New Roman" w:hAnsi="Times New Roman" w:eastAsia="宋体"/>
      <w:sz w:val="24"/>
    </w:rPr>
  </w:style>
  <w:style w:type="character" w:customStyle="1" w:styleId="41">
    <w:name w:val="正文文本首行缩进 2 字符"/>
    <w:link w:val="30"/>
    <w:qFormat/>
    <w:uiPriority w:val="0"/>
    <w:rPr>
      <w:rFonts w:ascii="Times New Roman" w:hAnsi="Times New Roman" w:eastAsia="宋体"/>
      <w:kern w:val="2"/>
      <w:sz w:val="21"/>
      <w:szCs w:val="24"/>
    </w:rPr>
  </w:style>
  <w:style w:type="character" w:customStyle="1" w:styleId="42">
    <w:name w:val="标题 1 字符"/>
    <w:link w:val="2"/>
    <w:qFormat/>
    <w:uiPriority w:val="99"/>
    <w:rPr>
      <w:rFonts w:eastAsia="黑体"/>
      <w:b/>
      <w:bCs/>
      <w:color w:val="000000"/>
      <w:kern w:val="44"/>
      <w:sz w:val="30"/>
      <w:szCs w:val="30"/>
    </w:rPr>
  </w:style>
  <w:style w:type="character" w:customStyle="1" w:styleId="43">
    <w:name w:val="标题 2 字符"/>
    <w:link w:val="3"/>
    <w:qFormat/>
    <w:uiPriority w:val="99"/>
    <w:rPr>
      <w:rFonts w:ascii="等线 Light" w:hAnsi="等线 Light" w:eastAsia="等线 Light" w:cs="Times New Roman"/>
      <w:b/>
      <w:bCs/>
      <w:kern w:val="2"/>
      <w:sz w:val="32"/>
      <w:szCs w:val="32"/>
    </w:rPr>
  </w:style>
  <w:style w:type="character" w:customStyle="1" w:styleId="44">
    <w:name w:val="标题 3 字符"/>
    <w:link w:val="4"/>
    <w:qFormat/>
    <w:uiPriority w:val="99"/>
    <w:rPr>
      <w:b/>
      <w:bCs/>
      <w:color w:val="000000"/>
      <w:sz w:val="24"/>
      <w:szCs w:val="24"/>
    </w:rPr>
  </w:style>
  <w:style w:type="character" w:customStyle="1" w:styleId="45">
    <w:name w:val="标题 4 字符"/>
    <w:link w:val="5"/>
    <w:qFormat/>
    <w:uiPriority w:val="9"/>
    <w:rPr>
      <w:rFonts w:ascii="Cambria" w:hAnsi="Cambria"/>
      <w:b/>
      <w:bCs/>
      <w:color w:val="000000"/>
      <w:kern w:val="2"/>
      <w:sz w:val="28"/>
      <w:szCs w:val="28"/>
    </w:rPr>
  </w:style>
  <w:style w:type="character" w:customStyle="1" w:styleId="46">
    <w:name w:val="正文缩进 字符"/>
    <w:link w:val="6"/>
    <w:qFormat/>
    <w:uiPriority w:val="0"/>
    <w:rPr>
      <w:kern w:val="2"/>
      <w:sz w:val="21"/>
    </w:rPr>
  </w:style>
  <w:style w:type="character" w:customStyle="1" w:styleId="47">
    <w:name w:val="题注 字符"/>
    <w:link w:val="7"/>
    <w:qFormat/>
    <w:uiPriority w:val="0"/>
    <w:rPr>
      <w:rFonts w:ascii="Arial" w:hAnsi="Arial" w:eastAsia="黑体" w:cs="Arial"/>
      <w:kern w:val="2"/>
    </w:rPr>
  </w:style>
  <w:style w:type="character" w:customStyle="1" w:styleId="48">
    <w:name w:val="文档结构图 字符"/>
    <w:link w:val="8"/>
    <w:qFormat/>
    <w:uiPriority w:val="99"/>
    <w:rPr>
      <w:rFonts w:ascii="宋体"/>
      <w:color w:val="000000"/>
      <w:kern w:val="2"/>
      <w:sz w:val="18"/>
      <w:szCs w:val="18"/>
    </w:rPr>
  </w:style>
  <w:style w:type="character" w:customStyle="1" w:styleId="49">
    <w:name w:val="批注文字 字符"/>
    <w:link w:val="9"/>
    <w:qFormat/>
    <w:locked/>
    <w:uiPriority w:val="99"/>
    <w:rPr>
      <w:rFonts w:ascii="Times New Roman" w:hAnsi="Times New Roman" w:eastAsia="宋体"/>
      <w:sz w:val="24"/>
    </w:rPr>
  </w:style>
  <w:style w:type="character" w:customStyle="1" w:styleId="50">
    <w:name w:val="正文文本 3 字符"/>
    <w:link w:val="11"/>
    <w:qFormat/>
    <w:uiPriority w:val="99"/>
    <w:rPr>
      <w:color w:val="000000"/>
      <w:kern w:val="2"/>
      <w:sz w:val="16"/>
      <w:szCs w:val="16"/>
    </w:rPr>
  </w:style>
  <w:style w:type="character" w:customStyle="1" w:styleId="51">
    <w:name w:val="正文文本 字符"/>
    <w:link w:val="12"/>
    <w:qFormat/>
    <w:locked/>
    <w:uiPriority w:val="99"/>
    <w:rPr>
      <w:sz w:val="18"/>
    </w:rPr>
  </w:style>
  <w:style w:type="character" w:customStyle="1" w:styleId="52">
    <w:name w:val="纯文本 字符"/>
    <w:link w:val="15"/>
    <w:qFormat/>
    <w:locked/>
    <w:uiPriority w:val="0"/>
    <w:rPr>
      <w:rFonts w:ascii="宋体" w:hAnsi="Courier New"/>
      <w:kern w:val="2"/>
      <w:sz w:val="21"/>
    </w:rPr>
  </w:style>
  <w:style w:type="character" w:customStyle="1" w:styleId="53">
    <w:name w:val="日期 字符1"/>
    <w:link w:val="16"/>
    <w:qFormat/>
    <w:locked/>
    <w:uiPriority w:val="99"/>
    <w:rPr>
      <w:rFonts w:ascii="Times New Roman" w:hAnsi="Times New Roman" w:eastAsia="宋体"/>
      <w:sz w:val="24"/>
    </w:rPr>
  </w:style>
  <w:style w:type="character" w:customStyle="1" w:styleId="54">
    <w:name w:val="正文文本缩进 2 字符"/>
    <w:link w:val="17"/>
    <w:qFormat/>
    <w:uiPriority w:val="99"/>
    <w:rPr>
      <w:color w:val="000000"/>
      <w:kern w:val="2"/>
      <w:sz w:val="24"/>
      <w:szCs w:val="24"/>
    </w:rPr>
  </w:style>
  <w:style w:type="character" w:customStyle="1" w:styleId="55">
    <w:name w:val="批注框文本 字符"/>
    <w:link w:val="18"/>
    <w:semiHidden/>
    <w:qFormat/>
    <w:locked/>
    <w:uiPriority w:val="99"/>
    <w:rPr>
      <w:rFonts w:ascii="Times New Roman" w:hAnsi="Times New Roman" w:eastAsia="宋体"/>
      <w:sz w:val="18"/>
    </w:rPr>
  </w:style>
  <w:style w:type="character" w:customStyle="1" w:styleId="56">
    <w:name w:val="页脚 字符1"/>
    <w:link w:val="19"/>
    <w:qFormat/>
    <w:locked/>
    <w:uiPriority w:val="99"/>
    <w:rPr>
      <w:sz w:val="18"/>
    </w:rPr>
  </w:style>
  <w:style w:type="character" w:customStyle="1" w:styleId="57">
    <w:name w:val="页眉 字符"/>
    <w:link w:val="20"/>
    <w:qFormat/>
    <w:locked/>
    <w:uiPriority w:val="99"/>
    <w:rPr>
      <w:sz w:val="18"/>
    </w:rPr>
  </w:style>
  <w:style w:type="character" w:customStyle="1" w:styleId="58">
    <w:name w:val="正文文本缩进 3 字符"/>
    <w:link w:val="22"/>
    <w:qFormat/>
    <w:uiPriority w:val="99"/>
    <w:rPr>
      <w:color w:val="000000"/>
      <w:kern w:val="2"/>
      <w:sz w:val="16"/>
      <w:szCs w:val="16"/>
    </w:rPr>
  </w:style>
  <w:style w:type="character" w:customStyle="1" w:styleId="59">
    <w:name w:val="正文文本 2 字符"/>
    <w:link w:val="24"/>
    <w:qFormat/>
    <w:uiPriority w:val="99"/>
    <w:rPr>
      <w:color w:val="000000"/>
      <w:kern w:val="2"/>
      <w:sz w:val="24"/>
      <w:szCs w:val="24"/>
    </w:rPr>
  </w:style>
  <w:style w:type="character" w:customStyle="1" w:styleId="60">
    <w:name w:val="HTML 预设格式 字符"/>
    <w:link w:val="25"/>
    <w:qFormat/>
    <w:uiPriority w:val="99"/>
    <w:rPr>
      <w:rFonts w:ascii="宋体" w:hAnsi="宋体" w:cs="宋体"/>
      <w:sz w:val="24"/>
      <w:szCs w:val="24"/>
    </w:rPr>
  </w:style>
  <w:style w:type="character" w:customStyle="1" w:styleId="61">
    <w:name w:val="普通(网站) 字符"/>
    <w:link w:val="26"/>
    <w:qFormat/>
    <w:locked/>
    <w:uiPriority w:val="0"/>
    <w:rPr>
      <w:rFonts w:ascii="宋体" w:hAnsi="宋体" w:eastAsia="宋体"/>
      <w:sz w:val="24"/>
    </w:rPr>
  </w:style>
  <w:style w:type="character" w:customStyle="1" w:styleId="62">
    <w:name w:val="标题 字符"/>
    <w:link w:val="27"/>
    <w:qFormat/>
    <w:uiPriority w:val="10"/>
    <w:rPr>
      <w:rFonts w:ascii="Cambria" w:hAnsi="Cambria"/>
      <w:b/>
      <w:bCs/>
      <w:color w:val="000000"/>
      <w:kern w:val="2"/>
      <w:sz w:val="32"/>
      <w:szCs w:val="32"/>
    </w:rPr>
  </w:style>
  <w:style w:type="character" w:customStyle="1" w:styleId="63">
    <w:name w:val="批注主题 字符"/>
    <w:link w:val="28"/>
    <w:semiHidden/>
    <w:qFormat/>
    <w:locked/>
    <w:uiPriority w:val="0"/>
    <w:rPr>
      <w:rFonts w:ascii="Times New Roman" w:hAnsi="Times New Roman" w:eastAsia="宋体"/>
      <w:b/>
      <w:kern w:val="2"/>
      <w:sz w:val="24"/>
    </w:rPr>
  </w:style>
  <w:style w:type="character" w:customStyle="1" w:styleId="64">
    <w:name w:val="正文文本首行缩进 字符"/>
    <w:link w:val="29"/>
    <w:qFormat/>
    <w:uiPriority w:val="99"/>
    <w:rPr>
      <w:color w:val="000000"/>
      <w:kern w:val="2"/>
      <w:sz w:val="24"/>
      <w:szCs w:val="24"/>
    </w:rPr>
  </w:style>
  <w:style w:type="paragraph" w:customStyle="1" w:styleId="65">
    <w:name w:val="表格1"/>
    <w:basedOn w:val="1"/>
    <w:semiHidden/>
    <w:qFormat/>
    <w:uiPriority w:val="0"/>
    <w:pPr>
      <w:adjustRightInd w:val="0"/>
      <w:snapToGrid w:val="0"/>
      <w:spacing w:line="360" w:lineRule="auto"/>
      <w:jc w:val="center"/>
    </w:pPr>
    <w:rPr>
      <w:rFonts w:ascii="黑体" w:hAnsi="宋体" w:eastAsia="黑体"/>
      <w:szCs w:val="21"/>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日期 字符"/>
    <w:qFormat/>
    <w:uiPriority w:val="0"/>
    <w:rPr>
      <w:rFonts w:ascii="Times New Roman" w:hAnsi="Times New Roman" w:eastAsia="宋体"/>
      <w:sz w:val="24"/>
    </w:rPr>
  </w:style>
  <w:style w:type="character" w:customStyle="1" w:styleId="68">
    <w:name w:val="页脚 字符"/>
    <w:basedOn w:val="33"/>
    <w:qFormat/>
    <w:uiPriority w:val="99"/>
  </w:style>
  <w:style w:type="character" w:customStyle="1" w:styleId="69">
    <w:name w:val="表格 Char"/>
    <w:link w:val="70"/>
    <w:qFormat/>
    <w:locked/>
    <w:uiPriority w:val="0"/>
    <w:rPr>
      <w:rFonts w:ascii="宋体"/>
      <w:sz w:val="21"/>
    </w:rPr>
  </w:style>
  <w:style w:type="paragraph" w:customStyle="1" w:styleId="70">
    <w:name w:val="表格"/>
    <w:basedOn w:val="1"/>
    <w:next w:val="1"/>
    <w:link w:val="69"/>
    <w:qFormat/>
    <w:uiPriority w:val="0"/>
    <w:pPr>
      <w:adjustRightInd w:val="0"/>
      <w:snapToGrid w:val="0"/>
      <w:spacing w:beforeLines="10" w:afterLines="10" w:line="259" w:lineRule="auto"/>
      <w:jc w:val="center"/>
    </w:pPr>
    <w:rPr>
      <w:rFonts w:ascii="宋体"/>
      <w:kern w:val="0"/>
      <w:szCs w:val="20"/>
    </w:rPr>
  </w:style>
  <w:style w:type="character" w:customStyle="1" w:styleId="71">
    <w:name w:val="正文文本 字符1"/>
    <w:semiHidden/>
    <w:qFormat/>
    <w:uiPriority w:val="0"/>
    <w:rPr>
      <w:rFonts w:ascii="Times New Roman" w:hAnsi="Times New Roman" w:eastAsia="宋体"/>
      <w:sz w:val="24"/>
    </w:rPr>
  </w:style>
  <w:style w:type="paragraph" w:customStyle="1" w:styleId="7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4">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5">
    <w:name w:val="Body text (2)_"/>
    <w:link w:val="76"/>
    <w:qFormat/>
    <w:uiPriority w:val="0"/>
    <w:rPr>
      <w:rFonts w:eastAsia="Times New Roman"/>
      <w:sz w:val="26"/>
      <w:szCs w:val="26"/>
      <w:shd w:val="clear" w:color="auto" w:fill="FFFFFF"/>
    </w:rPr>
  </w:style>
  <w:style w:type="paragraph" w:customStyle="1" w:styleId="76">
    <w:name w:val="Body text (2)"/>
    <w:basedOn w:val="1"/>
    <w:link w:val="75"/>
    <w:qFormat/>
    <w:uiPriority w:val="0"/>
    <w:pPr>
      <w:shd w:val="clear" w:color="auto" w:fill="FFFFFF"/>
      <w:spacing w:line="503" w:lineRule="exact"/>
      <w:jc w:val="distribute"/>
    </w:pPr>
    <w:rPr>
      <w:rFonts w:eastAsia="Times New Roman"/>
      <w:kern w:val="0"/>
      <w:sz w:val="26"/>
      <w:szCs w:val="26"/>
    </w:rPr>
  </w:style>
  <w:style w:type="paragraph" w:customStyle="1" w:styleId="77">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78">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79">
    <w:name w:val="纯文本 Char2"/>
    <w:qFormat/>
    <w:locked/>
    <w:uiPriority w:val="0"/>
    <w:rPr>
      <w:rFonts w:ascii="宋体" w:hAnsi="Courier New" w:eastAsia="宋体"/>
      <w:kern w:val="2"/>
      <w:sz w:val="21"/>
      <w:lang w:val="en-US" w:eastAsia="zh-CN" w:bidi="ar-SA"/>
    </w:rPr>
  </w:style>
  <w:style w:type="character" w:customStyle="1" w:styleId="80">
    <w:name w:val="正文01 Char"/>
    <w:link w:val="81"/>
    <w:qFormat/>
    <w:uiPriority w:val="0"/>
    <w:rPr>
      <w:color w:val="000000"/>
      <w:kern w:val="2"/>
      <w:sz w:val="24"/>
      <w:szCs w:val="24"/>
    </w:rPr>
  </w:style>
  <w:style w:type="paragraph" w:customStyle="1" w:styleId="81">
    <w:name w:val="正文01"/>
    <w:basedOn w:val="1"/>
    <w:link w:val="80"/>
    <w:qFormat/>
    <w:uiPriority w:val="0"/>
    <w:pPr>
      <w:widowControl/>
      <w:spacing w:before="60" w:after="100" w:afterAutospacing="1" w:line="460" w:lineRule="exact"/>
      <w:ind w:firstLine="200"/>
      <w:jc w:val="left"/>
    </w:pPr>
    <w:rPr>
      <w:color w:val="000000"/>
      <w:sz w:val="24"/>
    </w:rPr>
  </w:style>
  <w:style w:type="character" w:customStyle="1" w:styleId="82">
    <w:name w:val="15"/>
    <w:qFormat/>
    <w:uiPriority w:val="0"/>
    <w:rPr>
      <w:rFonts w:hint="default" w:ascii="Times New Roman" w:hAnsi="Times New Roman" w:cs="Times New Roman"/>
    </w:rPr>
  </w:style>
  <w:style w:type="character" w:customStyle="1" w:styleId="83">
    <w:name w:val="表格 Char Char"/>
    <w:qFormat/>
    <w:uiPriority w:val="0"/>
    <w:rPr>
      <w:rFonts w:eastAsia="宋体"/>
      <w:sz w:val="21"/>
      <w:lang w:val="en-US" w:eastAsia="zh-CN" w:bidi="ar-SA"/>
    </w:rPr>
  </w:style>
  <w:style w:type="character" w:customStyle="1" w:styleId="84">
    <w:name w:val="10"/>
    <w:qFormat/>
    <w:uiPriority w:val="0"/>
    <w:rPr>
      <w:rFonts w:hint="default" w:ascii="Times New Roman" w:hAnsi="Times New Roman" w:cs="Times New Roman"/>
    </w:rPr>
  </w:style>
  <w:style w:type="character" w:customStyle="1" w:styleId="85">
    <w:name w:val="批注文字 Char1"/>
    <w:semiHidden/>
    <w:qFormat/>
    <w:uiPriority w:val="99"/>
    <w:rPr>
      <w:rFonts w:ascii="Times New Roman" w:hAnsi="Times New Roman"/>
      <w:color w:val="000000"/>
      <w:kern w:val="2"/>
      <w:sz w:val="24"/>
      <w:szCs w:val="24"/>
    </w:rPr>
  </w:style>
  <w:style w:type="character" w:customStyle="1" w:styleId="86">
    <w:name w:val="18"/>
    <w:qFormat/>
    <w:uiPriority w:val="0"/>
    <w:rPr>
      <w:rFonts w:ascii="MingLiU" w:hAnsi="MingLiU" w:eastAsia="MingLiU" w:cs="Times New Roman"/>
      <w:spacing w:val="30"/>
      <w:sz w:val="26"/>
      <w:szCs w:val="26"/>
    </w:rPr>
  </w:style>
  <w:style w:type="character" w:customStyle="1" w:styleId="87">
    <w:name w:val="apple-converted-space"/>
    <w:qFormat/>
    <w:uiPriority w:val="0"/>
  </w:style>
  <w:style w:type="character" w:customStyle="1" w:styleId="88">
    <w:name w:val="表格 32 Char"/>
    <w:link w:val="89"/>
    <w:qFormat/>
    <w:uiPriority w:val="0"/>
    <w:rPr>
      <w:sz w:val="24"/>
    </w:rPr>
  </w:style>
  <w:style w:type="paragraph" w:customStyle="1" w:styleId="89">
    <w:name w:val="表格 32"/>
    <w:basedOn w:val="1"/>
    <w:link w:val="88"/>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90">
    <w:name w:val="纯文本 Char1"/>
    <w:semiHidden/>
    <w:qFormat/>
    <w:uiPriority w:val="99"/>
    <w:rPr>
      <w:rFonts w:ascii="宋体" w:hAnsi="Courier New" w:cs="Courier New"/>
      <w:color w:val="000000"/>
      <w:kern w:val="2"/>
      <w:sz w:val="21"/>
      <w:szCs w:val="21"/>
    </w:rPr>
  </w:style>
  <w:style w:type="character" w:customStyle="1" w:styleId="91">
    <w:name w:val="表格文字 Char"/>
    <w:link w:val="92"/>
    <w:qFormat/>
    <w:uiPriority w:val="0"/>
    <w:rPr>
      <w:rFonts w:ascii="Arial" w:hAnsi="Arial" w:cs="Arial"/>
      <w:color w:val="000000"/>
      <w:spacing w:val="-20"/>
      <w:kern w:val="2"/>
      <w:sz w:val="24"/>
    </w:rPr>
  </w:style>
  <w:style w:type="paragraph" w:customStyle="1" w:styleId="92">
    <w:name w:val="表格文字"/>
    <w:basedOn w:val="1"/>
    <w:link w:val="91"/>
    <w:qFormat/>
    <w:uiPriority w:val="0"/>
    <w:pPr>
      <w:adjustRightInd w:val="0"/>
      <w:snapToGrid w:val="0"/>
      <w:jc w:val="center"/>
    </w:pPr>
    <w:rPr>
      <w:rFonts w:ascii="Arial" w:hAnsi="Arial" w:cs="Arial"/>
      <w:color w:val="000000"/>
      <w:spacing w:val="-20"/>
      <w:sz w:val="24"/>
      <w:szCs w:val="20"/>
    </w:rPr>
  </w:style>
  <w:style w:type="character" w:customStyle="1" w:styleId="93">
    <w:name w:val="【表中文字】 Char"/>
    <w:link w:val="94"/>
    <w:qFormat/>
    <w:uiPriority w:val="0"/>
    <w:rPr>
      <w:kern w:val="2"/>
      <w:sz w:val="21"/>
    </w:rPr>
  </w:style>
  <w:style w:type="paragraph" w:customStyle="1" w:styleId="94">
    <w:name w:val="【表中文字】"/>
    <w:basedOn w:val="1"/>
    <w:next w:val="95"/>
    <w:link w:val="93"/>
    <w:qFormat/>
    <w:uiPriority w:val="0"/>
    <w:pPr>
      <w:jc w:val="center"/>
    </w:pPr>
    <w:rPr>
      <w:szCs w:val="20"/>
    </w:rPr>
  </w:style>
  <w:style w:type="paragraph" w:customStyle="1" w:styleId="95">
    <w:name w:val="正文缩进1"/>
    <w:basedOn w:val="1"/>
    <w:next w:val="1"/>
    <w:qFormat/>
    <w:uiPriority w:val="0"/>
    <w:pPr>
      <w:widowControl w:val="0"/>
      <w:spacing w:line="240" w:lineRule="auto"/>
      <w:ind w:firstLine="420" w:firstLineChars="200"/>
      <w:jc w:val="both"/>
    </w:pPr>
    <w:rPr>
      <w:rFonts w:ascii="宋体" w:hAnsi="Calibri"/>
      <w:color w:val="auto"/>
      <w:sz w:val="28"/>
    </w:rPr>
  </w:style>
  <w:style w:type="character" w:customStyle="1" w:styleId="96">
    <w:name w:val="表格数字 Char"/>
    <w:link w:val="97"/>
    <w:qFormat/>
    <w:uiPriority w:val="0"/>
    <w:rPr>
      <w:rFonts w:ascii="Arial" w:hAnsi="Arial" w:cs="宋体"/>
      <w:sz w:val="21"/>
    </w:rPr>
  </w:style>
  <w:style w:type="paragraph" w:customStyle="1" w:styleId="97">
    <w:name w:val="表格数字"/>
    <w:basedOn w:val="1"/>
    <w:link w:val="96"/>
    <w:qFormat/>
    <w:uiPriority w:val="0"/>
    <w:pPr>
      <w:widowControl/>
      <w:spacing w:line="360" w:lineRule="exact"/>
      <w:jc w:val="center"/>
    </w:pPr>
    <w:rPr>
      <w:rFonts w:ascii="Arial" w:hAnsi="Arial" w:cs="宋体"/>
      <w:kern w:val="0"/>
      <w:szCs w:val="20"/>
    </w:rPr>
  </w:style>
  <w:style w:type="character" w:customStyle="1" w:styleId="98">
    <w:name w:val="表格正文 Char"/>
    <w:link w:val="99"/>
    <w:qFormat/>
    <w:uiPriority w:val="0"/>
    <w:rPr>
      <w:rFonts w:ascii="Arial" w:hAnsi="Arial"/>
      <w:color w:val="000000"/>
      <w:kern w:val="2"/>
      <w:sz w:val="21"/>
      <w:szCs w:val="21"/>
    </w:rPr>
  </w:style>
  <w:style w:type="paragraph" w:customStyle="1" w:styleId="99">
    <w:name w:val="表格正文"/>
    <w:basedOn w:val="1"/>
    <w:link w:val="98"/>
    <w:semiHidden/>
    <w:qFormat/>
    <w:uiPriority w:val="0"/>
    <w:pPr>
      <w:widowControl/>
      <w:spacing w:line="360" w:lineRule="exact"/>
      <w:jc w:val="center"/>
    </w:pPr>
    <w:rPr>
      <w:rFonts w:ascii="Arial" w:hAnsi="Arial"/>
      <w:color w:val="000000"/>
      <w:szCs w:val="21"/>
    </w:rPr>
  </w:style>
  <w:style w:type="paragraph" w:customStyle="1" w:styleId="100">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1">
    <w:name w:val="正文格式"/>
    <w:basedOn w:val="1"/>
    <w:qFormat/>
    <w:uiPriority w:val="0"/>
    <w:pPr>
      <w:spacing w:line="360" w:lineRule="auto"/>
      <w:ind w:firstLine="544" w:firstLineChars="200"/>
    </w:pPr>
    <w:rPr>
      <w:rFonts w:ascii="Calibri" w:hAnsi="Calibri"/>
      <w:sz w:val="24"/>
    </w:rPr>
  </w:style>
  <w:style w:type="character" w:customStyle="1" w:styleId="102">
    <w:name w:val="HTML 预设格式 字符1"/>
    <w:qFormat/>
    <w:uiPriority w:val="0"/>
    <w:rPr>
      <w:rFonts w:ascii="Courier New" w:hAnsi="Courier New" w:cs="Courier New"/>
      <w:kern w:val="2"/>
    </w:rPr>
  </w:style>
  <w:style w:type="character" w:customStyle="1" w:styleId="103">
    <w:name w:val="正文文本首行缩进 字符1"/>
    <w:qFormat/>
    <w:uiPriority w:val="0"/>
    <w:rPr>
      <w:kern w:val="2"/>
      <w:sz w:val="21"/>
      <w:szCs w:val="24"/>
    </w:rPr>
  </w:style>
  <w:style w:type="character" w:customStyle="1" w:styleId="104">
    <w:name w:val="正文文本 2 字符1"/>
    <w:qFormat/>
    <w:uiPriority w:val="0"/>
    <w:rPr>
      <w:kern w:val="2"/>
      <w:sz w:val="21"/>
      <w:szCs w:val="24"/>
    </w:rPr>
  </w:style>
  <w:style w:type="character" w:customStyle="1" w:styleId="105">
    <w:name w:val="正文文本缩进 3 字符1"/>
    <w:qFormat/>
    <w:uiPriority w:val="0"/>
    <w:rPr>
      <w:kern w:val="2"/>
      <w:sz w:val="16"/>
      <w:szCs w:val="16"/>
    </w:rPr>
  </w:style>
  <w:style w:type="character" w:customStyle="1" w:styleId="106">
    <w:name w:val="文档结构图 字符1"/>
    <w:qFormat/>
    <w:uiPriority w:val="0"/>
    <w:rPr>
      <w:rFonts w:ascii="Microsoft YaHei UI" w:eastAsia="Microsoft YaHei UI"/>
      <w:kern w:val="2"/>
      <w:sz w:val="18"/>
      <w:szCs w:val="18"/>
    </w:rPr>
  </w:style>
  <w:style w:type="paragraph" w:customStyle="1" w:styleId="107">
    <w:name w:val="样式1"/>
    <w:basedOn w:val="1"/>
    <w:qFormat/>
    <w:uiPriority w:val="0"/>
    <w:pPr>
      <w:spacing w:line="360" w:lineRule="auto"/>
    </w:pPr>
    <w:rPr>
      <w:b/>
      <w:bCs/>
      <w:sz w:val="28"/>
    </w:rPr>
  </w:style>
  <w:style w:type="character" w:customStyle="1" w:styleId="108">
    <w:name w:val="正文文本缩进 2 字符1"/>
    <w:qFormat/>
    <w:uiPriority w:val="0"/>
    <w:rPr>
      <w:kern w:val="2"/>
      <w:sz w:val="21"/>
      <w:szCs w:val="24"/>
    </w:rPr>
  </w:style>
  <w:style w:type="character" w:customStyle="1" w:styleId="109">
    <w:name w:val="正文文本 3 字符1"/>
    <w:qFormat/>
    <w:uiPriority w:val="0"/>
    <w:rPr>
      <w:kern w:val="2"/>
      <w:sz w:val="16"/>
      <w:szCs w:val="16"/>
    </w:rPr>
  </w:style>
  <w:style w:type="character" w:customStyle="1" w:styleId="110">
    <w:name w:val="标题 字符1"/>
    <w:qFormat/>
    <w:uiPriority w:val="0"/>
    <w:rPr>
      <w:rFonts w:ascii="等线 Light" w:hAnsi="等线 Light" w:cs="Times New Roman"/>
      <w:b/>
      <w:bCs/>
      <w:kern w:val="2"/>
      <w:sz w:val="32"/>
      <w:szCs w:val="32"/>
    </w:rPr>
  </w:style>
  <w:style w:type="character" w:customStyle="1" w:styleId="111">
    <w:name w:val="纯文本 字符1"/>
    <w:qFormat/>
    <w:uiPriority w:val="0"/>
    <w:rPr>
      <w:rFonts w:ascii="宋体" w:hAnsi="Courier New" w:cs="Courier New"/>
      <w:kern w:val="2"/>
      <w:sz w:val="21"/>
      <w:szCs w:val="21"/>
    </w:rPr>
  </w:style>
  <w:style w:type="paragraph" w:customStyle="1" w:styleId="112">
    <w:name w:val=" Char"/>
    <w:basedOn w:val="1"/>
    <w:qFormat/>
    <w:uiPriority w:val="0"/>
    <w:rPr>
      <w:sz w:val="24"/>
    </w:rPr>
  </w:style>
  <w:style w:type="paragraph" w:customStyle="1" w:styleId="113">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4">
    <w:name w:val="表 标题"/>
    <w:basedOn w:val="1"/>
    <w:qFormat/>
    <w:uiPriority w:val="0"/>
    <w:pPr>
      <w:adjustRightInd w:val="0"/>
      <w:snapToGrid w:val="0"/>
      <w:spacing w:beforeLines="50"/>
      <w:jc w:val="center"/>
    </w:pPr>
    <w:rPr>
      <w:b/>
      <w:kern w:val="0"/>
      <w:sz w:val="20"/>
      <w:szCs w:val="21"/>
    </w:rPr>
  </w:style>
  <w:style w:type="paragraph" w:customStyle="1" w:styleId="115">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6">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正文2"/>
    <w:basedOn w:val="1"/>
    <w:link w:val="118"/>
    <w:qFormat/>
    <w:uiPriority w:val="0"/>
    <w:pPr>
      <w:adjustRightInd w:val="0"/>
      <w:snapToGrid w:val="0"/>
      <w:spacing w:line="440" w:lineRule="atLeast"/>
      <w:ind w:firstLine="510"/>
    </w:pPr>
    <w:rPr>
      <w:szCs w:val="20"/>
    </w:rPr>
  </w:style>
  <w:style w:type="character" w:customStyle="1" w:styleId="118">
    <w:name w:val="正文2 Char"/>
    <w:link w:val="117"/>
    <w:qFormat/>
    <w:uiPriority w:val="0"/>
    <w:rPr>
      <w:kern w:val="2"/>
      <w:sz w:val="21"/>
    </w:rPr>
  </w:style>
  <w:style w:type="paragraph" w:customStyle="1" w:styleId="119">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20">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21">
    <w:name w:val="1级标题"/>
    <w:basedOn w:val="2"/>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2">
    <w:name w:val="表格001"/>
    <w:basedOn w:val="1"/>
    <w:qFormat/>
    <w:uiPriority w:val="0"/>
    <w:pPr>
      <w:widowControl/>
      <w:spacing w:line="360" w:lineRule="exact"/>
      <w:jc w:val="center"/>
    </w:pPr>
    <w:rPr>
      <w:color w:val="000000"/>
      <w:sz w:val="24"/>
    </w:rPr>
  </w:style>
  <w:style w:type="paragraph" w:customStyle="1" w:styleId="123">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4">
    <w:name w:val="表格内容"/>
    <w:basedOn w:val="15"/>
    <w:qFormat/>
    <w:uiPriority w:val="0"/>
    <w:pPr>
      <w:spacing w:line="312" w:lineRule="auto"/>
      <w:ind w:firstLine="0" w:firstLineChars="0"/>
      <w:jc w:val="center"/>
    </w:pPr>
    <w:rPr>
      <w:rFonts w:ascii="Calibri" w:hAnsi="Calibri"/>
      <w:sz w:val="24"/>
    </w:rPr>
  </w:style>
  <w:style w:type="paragraph" w:customStyle="1" w:styleId="125">
    <w:name w:val="民武正文"/>
    <w:basedOn w:val="15"/>
    <w:qFormat/>
    <w:uiPriority w:val="0"/>
    <w:pPr>
      <w:spacing w:line="300" w:lineRule="auto"/>
      <w:ind w:firstLine="200" w:firstLineChars="200"/>
    </w:pPr>
    <w:rPr>
      <w:rFonts w:ascii="Times New Roman" w:hAnsi="Times New Roman"/>
      <w:kern w:val="0"/>
      <w:sz w:val="24"/>
      <w:szCs w:val="24"/>
      <w:lang w:bidi="en-US"/>
    </w:rPr>
  </w:style>
  <w:style w:type="paragraph" w:customStyle="1" w:styleId="126">
    <w:name w:val="Table Paragraph"/>
    <w:basedOn w:val="1"/>
    <w:qFormat/>
    <w:uiPriority w:val="0"/>
    <w:pPr>
      <w:jc w:val="center"/>
    </w:pPr>
    <w:rPr>
      <w:rFonts w:ascii="宋体" w:hAnsi="宋体" w:cs="宋体"/>
      <w:kern w:val="0"/>
      <w:sz w:val="22"/>
      <w:szCs w:val="22"/>
      <w:lang w:eastAsia="en-US"/>
    </w:rPr>
  </w:style>
  <w:style w:type="paragraph" w:customStyle="1" w:styleId="127">
    <w:name w:val="正文缩近"/>
    <w:basedOn w:val="1"/>
    <w:qFormat/>
    <w:uiPriority w:val="0"/>
    <w:pPr>
      <w:spacing w:line="360" w:lineRule="auto"/>
      <w:ind w:firstLine="560" w:firstLineChars="200"/>
    </w:pPr>
    <w:rPr>
      <w:sz w:val="28"/>
      <w:szCs w:val="28"/>
    </w:rPr>
  </w:style>
  <w:style w:type="paragraph" w:customStyle="1" w:styleId="128">
    <w:name w:val="bg正文首行缩进"/>
    <w:basedOn w:val="1"/>
    <w:qFormat/>
    <w:uiPriority w:val="0"/>
    <w:pPr>
      <w:widowControl/>
      <w:spacing w:line="400" w:lineRule="exact"/>
      <w:ind w:firstLine="482"/>
      <w:jc w:val="left"/>
    </w:pPr>
    <w:rPr>
      <w:color w:val="000000"/>
      <w:sz w:val="24"/>
    </w:rPr>
  </w:style>
  <w:style w:type="paragraph" w:customStyle="1" w:styleId="129">
    <w:name w:val="正文3"/>
    <w:basedOn w:val="1"/>
    <w:qFormat/>
    <w:uiPriority w:val="0"/>
    <w:pPr>
      <w:spacing w:line="360" w:lineRule="auto"/>
      <w:ind w:firstLine="454"/>
      <w:jc w:val="left"/>
    </w:pPr>
    <w:rPr>
      <w:rFonts w:ascii="宋体" w:hAnsi="宋体"/>
      <w:kern w:val="0"/>
      <w:sz w:val="24"/>
      <w:szCs w:val="20"/>
    </w:rPr>
  </w:style>
  <w:style w:type="paragraph" w:customStyle="1" w:styleId="130">
    <w:name w:val="p0"/>
    <w:basedOn w:val="1"/>
    <w:qFormat/>
    <w:uiPriority w:val="0"/>
    <w:pPr>
      <w:widowControl/>
    </w:pPr>
    <w:rPr>
      <w:kern w:val="0"/>
      <w:szCs w:val="21"/>
    </w:rPr>
  </w:style>
  <w:style w:type="paragraph" w:customStyle="1" w:styleId="131">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32">
    <w:name w:val="【正文】"/>
    <w:basedOn w:val="1"/>
    <w:qFormat/>
    <w:uiPriority w:val="0"/>
    <w:pPr>
      <w:widowControl/>
      <w:spacing w:line="440" w:lineRule="exact"/>
      <w:ind w:firstLine="544"/>
      <w:jc w:val="left"/>
    </w:pPr>
    <w:rPr>
      <w:rFonts w:cs="宋体"/>
      <w:color w:val="000000"/>
      <w:sz w:val="24"/>
    </w:rPr>
  </w:style>
  <w:style w:type="paragraph" w:customStyle="1" w:styleId="133">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4">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5">
    <w:name w:val="Default"/>
    <w:basedOn w:val="1"/>
    <w:qFormat/>
    <w:uiPriority w:val="0"/>
    <w:pPr>
      <w:widowControl/>
      <w:autoSpaceDE w:val="0"/>
      <w:autoSpaceDN w:val="0"/>
      <w:jc w:val="left"/>
    </w:pPr>
    <w:rPr>
      <w:rFonts w:ascii="宋体" w:cs="宋体"/>
      <w:color w:val="000000"/>
      <w:kern w:val="0"/>
      <w:sz w:val="24"/>
    </w:rPr>
  </w:style>
  <w:style w:type="paragraph" w:customStyle="1" w:styleId="136">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37">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38">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39">
    <w:name w:val="表格2"/>
    <w:basedOn w:val="1"/>
    <w:qFormat/>
    <w:uiPriority w:val="0"/>
    <w:pPr>
      <w:widowControl/>
      <w:jc w:val="center"/>
    </w:pPr>
    <w:rPr>
      <w:rFonts w:cs="宋体"/>
      <w:color w:val="000000"/>
      <w:szCs w:val="21"/>
    </w:rPr>
  </w:style>
  <w:style w:type="paragraph" w:customStyle="1" w:styleId="140">
    <w:name w:val="_Style 44"/>
    <w:basedOn w:val="1"/>
    <w:qFormat/>
    <w:uiPriority w:val="0"/>
    <w:pPr>
      <w:spacing w:line="360" w:lineRule="auto"/>
      <w:ind w:firstLine="200" w:firstLineChars="200"/>
    </w:pPr>
    <w:rPr>
      <w:rFonts w:ascii="宋体" w:hAnsi="宋体" w:cs="宋体"/>
      <w:sz w:val="24"/>
    </w:rPr>
  </w:style>
  <w:style w:type="paragraph" w:customStyle="1" w:styleId="141">
    <w:name w:val="中文"/>
    <w:basedOn w:val="1"/>
    <w:qFormat/>
    <w:uiPriority w:val="0"/>
    <w:pPr>
      <w:widowControl/>
      <w:spacing w:line="360" w:lineRule="auto"/>
      <w:ind w:firstLine="200" w:firstLineChars="200"/>
    </w:pPr>
    <w:rPr>
      <w:rFonts w:ascii="Calibri" w:hAnsi="Calibri"/>
      <w:lang w:eastAsia="en-US"/>
    </w:rPr>
  </w:style>
  <w:style w:type="paragraph" w:customStyle="1" w:styleId="142">
    <w:name w:val=" Char Char Char Char Char Char Char Char Char Char"/>
    <w:basedOn w:val="1"/>
    <w:qFormat/>
    <w:uiPriority w:val="0"/>
    <w:pPr>
      <w:widowControl/>
      <w:spacing w:after="160" w:line="240" w:lineRule="exact"/>
      <w:jc w:val="left"/>
    </w:pPr>
  </w:style>
  <w:style w:type="paragraph" w:customStyle="1" w:styleId="143">
    <w:name w:val="表内容"/>
    <w:basedOn w:val="15"/>
    <w:qFormat/>
    <w:uiPriority w:val="0"/>
    <w:pPr>
      <w:widowControl w:val="0"/>
      <w:jc w:val="both"/>
    </w:pPr>
    <w:rPr>
      <w:rFonts w:ascii="Times New Roman" w:hAnsi="Times New Roman"/>
      <w:lang w:val="en-US" w:eastAsia="zh-CN"/>
    </w:rPr>
  </w:style>
  <w:style w:type="character" w:customStyle="1" w:styleId="144">
    <w:name w:val="正文文本 (2)_"/>
    <w:link w:val="145"/>
    <w:qFormat/>
    <w:uiPriority w:val="0"/>
    <w:rPr>
      <w:rFonts w:ascii="宋体" w:hAnsi="宋体"/>
      <w:sz w:val="22"/>
      <w:szCs w:val="22"/>
      <w:shd w:val="clear" w:color="auto" w:fill="FFFFFF"/>
    </w:rPr>
  </w:style>
  <w:style w:type="paragraph" w:customStyle="1" w:styleId="145">
    <w:name w:val="正文文本 (2)1"/>
    <w:basedOn w:val="1"/>
    <w:link w:val="144"/>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6">
    <w:name w:val="正文文本 (2) + 粗体"/>
    <w:qFormat/>
    <w:uiPriority w:val="0"/>
    <w:rPr>
      <w:rFonts w:ascii="宋体" w:hAnsi="宋体" w:cs="宋体"/>
      <w:b/>
      <w:bCs/>
      <w:sz w:val="22"/>
      <w:szCs w:val="22"/>
      <w:u w:val="none"/>
      <w:shd w:val="clear" w:color="auto" w:fill="FFFFFF"/>
    </w:rPr>
  </w:style>
  <w:style w:type="character" w:customStyle="1" w:styleId="147">
    <w:name w:val="表内格式 Char"/>
    <w:link w:val="148"/>
    <w:qFormat/>
    <w:locked/>
    <w:uiPriority w:val="0"/>
    <w:rPr>
      <w:rFonts w:eastAsia="楷体_GB2312"/>
      <w:sz w:val="18"/>
      <w:szCs w:val="18"/>
    </w:rPr>
  </w:style>
  <w:style w:type="paragraph" w:customStyle="1" w:styleId="148">
    <w:name w:val="表内格式"/>
    <w:basedOn w:val="1"/>
    <w:next w:val="1"/>
    <w:link w:val="147"/>
    <w:qFormat/>
    <w:uiPriority w:val="0"/>
    <w:pPr>
      <w:spacing w:line="360" w:lineRule="auto"/>
      <w:ind w:firstLine="200" w:firstLineChars="200"/>
      <w:jc w:val="center"/>
    </w:pPr>
    <w:rPr>
      <w:rFonts w:eastAsia="楷体_GB2312"/>
      <w:kern w:val="0"/>
      <w:sz w:val="18"/>
      <w:szCs w:val="18"/>
    </w:rPr>
  </w:style>
  <w:style w:type="paragraph" w:customStyle="1" w:styleId="149">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50">
    <w:name w:val="列出段落2"/>
    <w:basedOn w:val="1"/>
    <w:qFormat/>
    <w:uiPriority w:val="34"/>
    <w:pPr>
      <w:spacing w:line="360" w:lineRule="auto"/>
      <w:ind w:firstLine="420" w:firstLineChars="200"/>
    </w:pPr>
    <w:rPr>
      <w:sz w:val="24"/>
      <w:szCs w:val="20"/>
    </w:rPr>
  </w:style>
  <w:style w:type="paragraph" w:customStyle="1" w:styleId="151">
    <w:name w:val="表 内容"/>
    <w:basedOn w:val="1"/>
    <w:qFormat/>
    <w:uiPriority w:val="0"/>
    <w:pPr>
      <w:adjustRightInd w:val="0"/>
      <w:snapToGrid w:val="0"/>
      <w:spacing w:beforeLines="15" w:afterLines="15"/>
      <w:jc w:val="center"/>
    </w:pPr>
    <w:rPr>
      <w:b/>
      <w:sz w:val="24"/>
      <w:szCs w:val="21"/>
    </w:rPr>
  </w:style>
  <w:style w:type="paragraph" w:customStyle="1" w:styleId="152">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3">
    <w:name w:val="文"/>
    <w:basedOn w:val="1"/>
    <w:qFormat/>
    <w:uiPriority w:val="0"/>
    <w:pPr>
      <w:spacing w:line="360" w:lineRule="auto"/>
      <w:ind w:firstLine="200" w:firstLineChars="200"/>
      <w:jc w:val="left"/>
    </w:pPr>
    <w:rPr>
      <w:bCs/>
      <w:sz w:val="24"/>
    </w:rPr>
  </w:style>
  <w:style w:type="paragraph" w:customStyle="1" w:styleId="154">
    <w:name w:val="我表标题"/>
    <w:basedOn w:val="1"/>
    <w:qFormat/>
    <w:uiPriority w:val="0"/>
    <w:pPr>
      <w:jc w:val="center"/>
      <w:textAlignment w:val="baseline"/>
    </w:pPr>
    <w:rPr>
      <w:b/>
      <w:kern w:val="24"/>
      <w:szCs w:val="21"/>
    </w:rPr>
  </w:style>
  <w:style w:type="paragraph" w:customStyle="1" w:styleId="155">
    <w:name w:val="环评表内容"/>
    <w:basedOn w:val="1"/>
    <w:qFormat/>
    <w:uiPriority w:val="0"/>
    <w:pPr>
      <w:widowControl/>
      <w:spacing w:line="260" w:lineRule="exact"/>
      <w:jc w:val="center"/>
    </w:pPr>
    <w:rPr>
      <w:rFonts w:ascii="Tahoma" w:hAnsi="Tahoma" w:cs="Tahoma"/>
    </w:rPr>
  </w:style>
  <w:style w:type="paragraph" w:customStyle="1" w:styleId="156">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57">
    <w:name w:val="_Style 33"/>
    <w:basedOn w:val="1"/>
    <w:qFormat/>
    <w:uiPriority w:val="0"/>
    <w:rPr>
      <w:sz w:val="24"/>
    </w:rPr>
  </w:style>
  <w:style w:type="paragraph" w:customStyle="1" w:styleId="158">
    <w:name w:val="正文1"/>
    <w:basedOn w:val="17"/>
    <w:qFormat/>
    <w:uiPriority w:val="0"/>
    <w:pPr>
      <w:widowControl w:val="0"/>
      <w:spacing w:line="360" w:lineRule="auto"/>
      <w:ind w:firstLine="200"/>
      <w:jc w:val="both"/>
    </w:pPr>
    <w:rPr>
      <w:sz w:val="21"/>
      <w:lang w:val="en-US" w:eastAsia="zh-CN"/>
    </w:rPr>
  </w:style>
  <w:style w:type="paragraph" w:customStyle="1" w:styleId="159">
    <w:name w:val="万瑞报告表1"/>
    <w:basedOn w:val="14"/>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0">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1">
    <w:name w:val=" Char3"/>
    <w:basedOn w:val="1"/>
    <w:qFormat/>
    <w:uiPriority w:val="0"/>
    <w:rPr>
      <w:szCs w:val="20"/>
    </w:rPr>
  </w:style>
  <w:style w:type="paragraph" w:customStyle="1" w:styleId="162">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3">
    <w:name w:val="小标题"/>
    <w:basedOn w:val="1"/>
    <w:qFormat/>
    <w:uiPriority w:val="0"/>
    <w:pPr>
      <w:widowControl/>
      <w:spacing w:line="360" w:lineRule="auto"/>
      <w:ind w:firstLine="562"/>
      <w:jc w:val="left"/>
    </w:pPr>
    <w:rPr>
      <w:rFonts w:ascii="宋体" w:hAnsi="宋体"/>
      <w:b/>
      <w:sz w:val="28"/>
      <w:szCs w:val="21"/>
    </w:rPr>
  </w:style>
  <w:style w:type="paragraph" w:customStyle="1" w:styleId="164">
    <w:name w:val="表 头"/>
    <w:basedOn w:val="1"/>
    <w:qFormat/>
    <w:uiPriority w:val="0"/>
    <w:pPr>
      <w:widowControl/>
      <w:tabs>
        <w:tab w:val="left" w:pos="3750"/>
      </w:tabs>
      <w:snapToGrid w:val="0"/>
      <w:jc w:val="center"/>
    </w:pPr>
    <w:rPr>
      <w:rFonts w:ascii="Calibri" w:hAnsi="Calibri"/>
      <w:b/>
      <w:bCs/>
    </w:rPr>
  </w:style>
  <w:style w:type="paragraph" w:styleId="165">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6">
    <w:name w:val="列出段落1"/>
    <w:basedOn w:val="1"/>
    <w:qFormat/>
    <w:uiPriority w:val="0"/>
    <w:pPr>
      <w:widowControl/>
      <w:spacing w:line="360" w:lineRule="auto"/>
      <w:ind w:firstLine="420"/>
      <w:jc w:val="left"/>
    </w:pPr>
    <w:rPr>
      <w:rFonts w:ascii="Calibri" w:hAnsi="Calibri"/>
      <w:szCs w:val="21"/>
    </w:rPr>
  </w:style>
  <w:style w:type="paragraph" w:customStyle="1" w:styleId="167">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68">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69">
    <w:name w:val="表   头 Char"/>
    <w:link w:val="170"/>
    <w:qFormat/>
    <w:uiPriority w:val="0"/>
    <w:rPr>
      <w:b/>
    </w:rPr>
  </w:style>
  <w:style w:type="paragraph" w:customStyle="1" w:styleId="170">
    <w:name w:val="表   头"/>
    <w:basedOn w:val="1"/>
    <w:link w:val="169"/>
    <w:qFormat/>
    <w:uiPriority w:val="0"/>
    <w:pPr>
      <w:snapToGrid w:val="0"/>
      <w:jc w:val="center"/>
    </w:pPr>
    <w:rPr>
      <w:b/>
      <w:kern w:val="0"/>
      <w:sz w:val="20"/>
      <w:szCs w:val="20"/>
    </w:rPr>
  </w:style>
  <w:style w:type="character" w:customStyle="1" w:styleId="171">
    <w:name w:val="无间隔表格内 Char"/>
    <w:link w:val="172"/>
    <w:qFormat/>
    <w:uiPriority w:val="0"/>
    <w:rPr>
      <w:sz w:val="21"/>
    </w:rPr>
  </w:style>
  <w:style w:type="paragraph" w:customStyle="1" w:styleId="172">
    <w:name w:val="无间隔表格内"/>
    <w:basedOn w:val="170"/>
    <w:link w:val="171"/>
    <w:qFormat/>
    <w:uiPriority w:val="0"/>
    <w:rPr>
      <w:b w:val="0"/>
      <w:sz w:val="21"/>
    </w:rPr>
  </w:style>
  <w:style w:type="paragraph" w:customStyle="1" w:styleId="173">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4">
    <w:name w:val="大标题"/>
    <w:basedOn w:val="1"/>
    <w:qFormat/>
    <w:uiPriority w:val="0"/>
    <w:pPr>
      <w:spacing w:line="360" w:lineRule="auto"/>
    </w:pPr>
    <w:rPr>
      <w:rFonts w:ascii="宋体" w:hAnsi="宋体"/>
      <w:b/>
      <w:sz w:val="28"/>
      <w:szCs w:val="28"/>
    </w:rPr>
  </w:style>
  <w:style w:type="paragraph" w:customStyle="1" w:styleId="175">
    <w:name w:val="000000"/>
    <w:basedOn w:val="1"/>
    <w:qFormat/>
    <w:uiPriority w:val="0"/>
    <w:pPr>
      <w:widowControl/>
      <w:jc w:val="center"/>
    </w:pPr>
    <w:rPr>
      <w:b/>
      <w:kern w:val="0"/>
      <w:szCs w:val="20"/>
      <w:lang w:val="en-GB"/>
    </w:rPr>
  </w:style>
  <w:style w:type="character" w:customStyle="1" w:styleId="176">
    <w:name w:val="font31"/>
    <w:basedOn w:val="33"/>
    <w:qFormat/>
    <w:uiPriority w:val="0"/>
    <w:rPr>
      <w:rFonts w:hint="eastAsia" w:ascii="宋体" w:hAnsi="宋体" w:eastAsia="宋体" w:cs="宋体"/>
      <w:color w:val="000000"/>
      <w:sz w:val="18"/>
      <w:szCs w:val="18"/>
      <w:u w:val="none"/>
    </w:rPr>
  </w:style>
  <w:style w:type="character" w:customStyle="1" w:styleId="177">
    <w:name w:val="font41"/>
    <w:basedOn w:val="33"/>
    <w:qFormat/>
    <w:uiPriority w:val="0"/>
    <w:rPr>
      <w:rFonts w:hint="eastAsia" w:ascii="宋体" w:hAnsi="宋体" w:eastAsia="宋体" w:cs="宋体"/>
      <w:color w:val="000000"/>
      <w:sz w:val="16"/>
      <w:szCs w:val="16"/>
      <w:u w:val="none"/>
    </w:rPr>
  </w:style>
  <w:style w:type="character" w:customStyle="1" w:styleId="178">
    <w:name w:val="font51"/>
    <w:basedOn w:val="33"/>
    <w:qFormat/>
    <w:uiPriority w:val="0"/>
    <w:rPr>
      <w:rFonts w:ascii="Calibri" w:hAnsi="Calibri" w:cs="Calibri"/>
      <w:color w:val="000000"/>
      <w:sz w:val="16"/>
      <w:szCs w:val="16"/>
      <w:u w:val="none"/>
    </w:rPr>
  </w:style>
  <w:style w:type="paragraph" w:customStyle="1" w:styleId="179">
    <w:name w:val="惠泽正文"/>
    <w:basedOn w:val="1"/>
    <w:qFormat/>
    <w:uiPriority w:val="0"/>
    <w:pPr>
      <w:spacing w:line="480" w:lineRule="exact"/>
      <w:ind w:firstLine="480" w:firstLineChars="200"/>
    </w:pPr>
    <w:rPr>
      <w:rFonts w:hAnsi="宋体" w:cs="宋体"/>
      <w:sz w:val="24"/>
      <w:szCs w:val="20"/>
    </w:rPr>
  </w:style>
  <w:style w:type="paragraph" w:customStyle="1" w:styleId="180">
    <w:name w:val="Body Text Indent1"/>
    <w:basedOn w:val="1"/>
    <w:qFormat/>
    <w:uiPriority w:val="0"/>
    <w:pPr>
      <w:ind w:firstLine="570"/>
    </w:pPr>
    <w:rPr>
      <w:rFonts w:ascii="Calibri" w:hAnsi="Calibri"/>
      <w:kern w:val="0"/>
      <w:sz w:val="24"/>
    </w:rPr>
  </w:style>
  <w:style w:type="paragraph" w:customStyle="1" w:styleId="181">
    <w:name w:val="Table Text"/>
    <w:basedOn w:val="1"/>
    <w:semiHidden/>
    <w:qFormat/>
    <w:uiPriority w:val="0"/>
    <w:rPr>
      <w:rFonts w:ascii="宋体" w:hAnsi="宋体" w:eastAsia="宋体" w:cs="宋体"/>
      <w:sz w:val="24"/>
      <w:szCs w:val="24"/>
      <w:lang w:val="en-US" w:eastAsia="en-US" w:bidi="ar-SA"/>
    </w:rPr>
  </w:style>
  <w:style w:type="table" w:customStyle="1" w:styleId="182">
    <w:name w:val="Table Normal"/>
    <w:unhideWhenUsed/>
    <w:qFormat/>
    <w:uiPriority w:val="0"/>
    <w:tblPr>
      <w:tblCellMar>
        <w:top w:w="0" w:type="dxa"/>
        <w:left w:w="0" w:type="dxa"/>
        <w:bottom w:w="0" w:type="dxa"/>
        <w:right w:w="0" w:type="dxa"/>
      </w:tblCellMar>
    </w:tblPr>
  </w:style>
  <w:style w:type="paragraph" w:customStyle="1" w:styleId="183">
    <w:name w:val="权威表格内容"/>
    <w:basedOn w:val="1"/>
    <w:qFormat/>
    <w:uiPriority w:val="0"/>
    <w:pPr>
      <w:spacing w:line="240" w:lineRule="auto"/>
      <w:jc w:val="center"/>
    </w:pPr>
    <w:rPr>
      <w:rFonts w:hint="eastAsia" w:ascii="Times New Roman" w:hAnsi="Times New Roman" w:eastAsia="宋体"/>
      <w:bCs/>
      <w:color w:val="000000"/>
    </w:rPr>
  </w:style>
  <w:style w:type="character" w:customStyle="1" w:styleId="184">
    <w:name w:val="阿威表格1 Char"/>
    <w:link w:val="185"/>
    <w:qFormat/>
    <w:uiPriority w:val="0"/>
    <w:rPr>
      <w:rFonts w:ascii="Times New Roman" w:hAnsi="Times New Roman" w:eastAsia="宋体" w:cs="Times New Roman"/>
      <w:snapToGrid w:val="0"/>
      <w:color w:val="000000"/>
      <w:kern w:val="0"/>
      <w:sz w:val="21"/>
      <w:szCs w:val="21"/>
      <w:lang w:val="en-US" w:eastAsia="en-US" w:bidi="ar-SA"/>
    </w:rPr>
  </w:style>
  <w:style w:type="paragraph" w:customStyle="1" w:styleId="185">
    <w:name w:val="阿威表格1"/>
    <w:link w:val="184"/>
    <w:qFormat/>
    <w:uiPriority w:val="0"/>
    <w:pPr>
      <w:widowControl w:val="0"/>
      <w:spacing w:line="240" w:lineRule="auto"/>
      <w:ind w:firstLine="0" w:firstLineChars="0"/>
      <w:jc w:val="center"/>
      <w:textAlignment w:val="center"/>
    </w:pPr>
    <w:rPr>
      <w:rFonts w:ascii="Times New Roman" w:hAnsi="Times New Roman" w:eastAsia="宋体" w:cs="Times New Roman"/>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86a12394-7ad0-4077-9313-a631957b9724</errorID>
      <errorWord>，</errorWord>
      <group>L1_Punc</group>
      <groupName>标点问题</groupName>
      <ability>L2_Punc</ability>
      <abilityName>标点符号检查</abilityName>
      <candidateList>
        <item>：</item>
      </candidateList>
      <explain/>
      <paraID>294E4E0B</paraID>
      <start>8</start>
      <end>9</end>
      <status>modified</status>
      <modifiedWord>：</modifiedWord>
      <trackRevisions>false</trackRevisions>
    </reviewItem>
    <reviewItem>
      <errorID>ea5e62a2-0bad-4bc2-9290-956a92046ec4</errorID>
      <errorWord>“三线一单符合</errorWord>
      <group>L1_Political</group>
      <groupName>政治性问题</groupName>
      <ability>L2_Keyword</ability>
      <abilityName>固定表述</abilityName>
      <candidateList>
        <item>“三线一单”符合</item>
      </candidateList>
      <explain>此处内容疑似含有固定表述相关错误，建议核查。</explain>
      <paraID>294E4E0B</paraID>
      <start>12</start>
      <end>20</end>
      <status>modified</status>
      <modifiedWord>“三线一单”符合</modifiedWord>
      <trackRevisions>false</trackRevisions>
    </reviewItem>
    <reviewItem>
      <errorID>dd42c684-83c9-44ff-b57a-9061f6e0e6be</errorID>
      <errorWord>”</errorWord>
      <group>L1_Punc</group>
      <groupName>标点问题</groupName>
      <ability>L2_Punc</ability>
      <abilityName>标点符号检查</abilityName>
      <candidateList>
        <item/>
      </candidateList>
      <explain/>
      <paraID>294E4E0B</paraID>
      <start>23</start>
      <end>23</end>
      <status>modified</status>
      <modifiedWord/>
      <trackRevisions>false</trackRevisions>
    </reviewItem>
    <reviewItem>
      <errorID>9605475f-6d07-4ead-a8f8-4223f7d3812c</errorID>
      <errorWord>、</errorWord>
      <group>L1_Grammar</group>
      <groupName>语法问题</groupName>
      <ability>L2_Grammar</ability>
      <abilityName>语法错误</abilityName>
      <candidateList>
        <item>，确保</item>
      </candidateList>
      <explain/>
      <paraID>1D7C9527</paraID>
      <start>127</start>
      <end>130</end>
      <status>modified</status>
      <modifiedWord>，确保</modifiedWord>
      <trackRevisions>false</trackRevisions>
    </reviewItem>
    <reviewItem>
      <errorID>f475fd41-ebda-4a84-a4a4-8e8e99dd1dff</errorID>
      <errorWord>规</errorWord>
      <group>L1_Word</group>
      <groupName>字词问题</groupName>
      <ability>L2_Typo</ability>
      <abilityName>字词错误</abilityName>
      <candidateList>
        <item>规和</item>
      </candidateList>
      <explain/>
      <paraID>1F97D0C1</paraID>
      <start>15</start>
      <end>17</end>
      <status>modified</status>
      <modifiedWord>规和</modifiedWord>
      <trackRevisions>false</trackRevisions>
    </reviewItem>
    <reviewItem>
      <errorID>9598df24-2d2d-44a2-86d2-83f7b3cb54d3</errorID>
      <errorWord>项目现</errorWord>
      <group>L1_Word</group>
      <groupName>字词问题</groupName>
      <ability>L2_Typo</ability>
      <abilityName>字词错误</abilityName>
      <candidateList>
        <item>项目</item>
      </candidateList>
      <explain>〈名〉事物分成的门类：服务～｜体育～｜建设～。</explain>
      <paraID>29D31691</paraID>
      <start>1</start>
      <end>3</end>
      <status>modified</status>
      <modifiedWord>项目</modifiedWord>
      <trackRevisions>false</trackRevisions>
    </reviewItem>
    <reviewItem>
      <errorID>65018444-bff2-498d-9cb2-421e9a96dfad</errorID>
      <errorWord>下文</errorWord>
      <group>L1_Word</group>
      <groupName>字词问题</groupName>
      <ability>L2_Typo</ability>
      <abilityName>字词错误</abilityName>
      <candidateList>
        <item>后续</item>
      </candidateList>
      <explain/>
      <paraID>29D31691</paraID>
      <start>93</start>
      <end>95</end>
      <status>modified</status>
      <modifiedWord>后续</modifiedWord>
      <trackRevisions>false</trackRevisions>
    </reviewItem>
    <reviewItem>
      <errorID>f6b41b1d-043c-4b52-887f-5b3c09f930f7</errorID>
      <errorWord>封村</errorWord>
      <group>L1_Sensitive</group>
      <groupName>敏感问题</groupName>
      <ability>L2_Prohibited</ability>
      <abilityName>违禁内容</abilityName>
      <candidateList/>
      <explain>【违禁内容】句中涉及国家法律明令禁止的违禁内容，请注意甄别。</explain>
      <paraID>53AF4196</paraID>
      <start>65</start>
      <end>67</end>
      <status>ignored</status>
      <modifiedWord/>
      <trackRevisions>false</trackRevisions>
    </reviewItem>
    <reviewItem>
      <errorID>0d83c28b-2120-4091-ac52-cdcf910d9a0d</errorID>
      <errorWord>项目现</errorWord>
      <group>L1_Word</group>
      <groupName>字词问题</groupName>
      <ability>L2_Typo</ability>
      <abilityName>字词错误</abilityName>
      <candidateList>
        <item>项目</item>
      </candidateList>
      <explain>〈名〉事物分成的门类：服务～｜体育～｜建设～。</explain>
      <paraID>48C73334</paraID>
      <start>1</start>
      <end>3</end>
      <status>modified</status>
      <modifiedWord>项目</modifiedWord>
      <trackRevisions>false</trackRevisions>
    </reviewItem>
    <reviewItem>
      <errorID>e5fd7319-0f2a-4db2-a9e4-4612538a95f3</errorID>
      <errorWord>下文</errorWord>
      <group>L1_Word</group>
      <groupName>字词问题</groupName>
      <ability>L2_Typo</ability>
      <abilityName>字词错误</abilityName>
      <candidateList>
        <item>后续</item>
      </candidateList>
      <explain/>
      <paraID>48C73334</paraID>
      <start>90</start>
      <end>92</end>
      <status>modified</status>
      <modifiedWord>后续</modifiedWord>
      <trackRevisions>false</trackRevisions>
    </reviewItem>
    <reviewItem>
      <errorID>d3bc037d-af53-46f3-a2ff-e54c07c029d1</errorID>
      <errorWord>，</errorWord>
      <group>L1_Punc</group>
      <groupName>标点问题</groupName>
      <ability>L2_Punc</ability>
      <abilityName>标点符号检查</abilityName>
      <candidateList>
        <item>。</item>
      </candidateList>
      <explain/>
      <paraID>686DE121</paraID>
      <start>26</start>
      <end>27</end>
      <status>modified</status>
      <modifiedWord>。</modifiedWord>
      <trackRevisions>false</trackRevisions>
    </reviewItem>
    <reviewItem>
      <errorID>5c39baf5-1c9f-4306-bb05-f9b45f60d7c1</errorID>
      <errorWord>可知</errorWord>
      <group>L1_Word</group>
      <groupName>字词问题</groupName>
      <ability>L2_Typo</ability>
      <abilityName>字词错误</abilityName>
      <candidateList>
        <item>，</item>
      </candidateList>
      <explain/>
      <paraID>686DE121</paraID>
      <start>45</start>
      <end>46</end>
      <status>modified</status>
      <modifiedWord>，</modifiedWord>
      <trackRevisions>false</trackRevisions>
    </reviewItem>
    <reviewItem>
      <errorID>b9910be9-9511-44d9-b759-19fde3999390</errorID>
      <errorWord>、</errorWord>
      <group>L1_Punc</group>
      <groupName>标点问题</groupName>
      <ability>L2_Punc</ability>
      <abilityName>标点符号检查</abilityName>
      <candidateList>
        <item>，</item>
      </candidateList>
      <explain/>
      <paraID>686DE121</paraID>
      <start>153</start>
      <end>154</end>
      <status>modified</status>
      <modifiedWord>，</modifiedWord>
      <trackRevisions>false</trackRevisions>
    </reviewItem>
    <reviewItem>
      <errorID>bbd6ace3-2d69-432d-ab84-c776b48c2012</errorID>
      <errorWord>15米</errorWord>
      <group>L1_Word</group>
      <groupName>字词问题</groupName>
      <ability>L2_Typo</ability>
      <abilityName>字词错误</abilityName>
      <candidateList>
        <item>15m高</item>
      </candidateList>
      <explain/>
      <paraID> 5188770</paraID>
      <start>38</start>
      <end>42</end>
      <status>modified</status>
      <modifiedWord>15m高</modifiedWord>
      <trackRevisions>false</trackRevisions>
    </reviewItem>
    <reviewItem>
      <errorID>db8bdced-36d9-41a7-a90f-e7f8a60a211e</errorID>
      <errorWord>，</errorWord>
      <group>L1_Punc</group>
      <groupName>标点问题</groupName>
      <ability>L2_Punc</ability>
      <abilityName>标点符号检查</abilityName>
      <candidateList>
        <item>。</item>
      </candidateList>
      <explain/>
      <paraID> 5188770</paraID>
      <start>73</start>
      <end>74</end>
      <status>modified</status>
      <modifiedWord>。</modifiedWord>
      <trackRevisions>false</trackRevisions>
    </reviewItem>
    <reviewItem>
      <errorID>91e4a3d1-f5d5-4cc2-ba30-6fefd058b5d7</errorID>
      <errorWord>厂</errorWord>
      <group>L1_Punc</group>
      <groupName>标点问题</groupName>
      <ability>L2_Punc</ability>
      <abilityName>标点符号检查</abilityName>
      <candidateList>
        <item>，厂</item>
      </candidateList>
      <explain/>
      <paraID> 5188770</paraID>
      <start>100</start>
      <end>102</end>
      <status>modified</status>
      <modifiedWord>，厂</modifiedWord>
      <trackRevisions>false</trackRevisions>
    </reviewItem>
    <reviewItem>
      <errorID>29adafae-ca9b-45ce-8caf-4e32beefccb1</errorID>
      <errorWord>，</errorWord>
      <group>L1_Grammar</group>
      <groupName>语法问题</groupName>
      <ability>L2_Grammar</ability>
      <abilityName>语法错误</abilityName>
      <candidateList>
        <item>措施，</item>
      </candidateList>
      <explain/>
      <paraID> 5188770</paraID>
      <start>123</start>
      <end>124</end>
      <status>ignored</status>
      <modifiedWord/>
      <trackRevisions>false</trackRevisions>
    </reviewItem>
    <reviewItem>
      <errorID>e3cd42fa-ba6c-4663-a166-427145996b52</errorID>
      <errorWord>程</errorWord>
      <group>L1_Word</group>
      <groupName>字词问题</groupName>
      <ability>L2_Typo</ability>
      <abilityName>字词错误</abilityName>
      <candidateList>
        <item>程中</item>
      </candidateList>
      <explain/>
      <paraID>6E5F7B65</paraID>
      <start>6</start>
      <end>8</end>
      <status>modified</status>
      <modifiedWord>程中</modifiedWord>
      <trackRevisions>false</trackRevisions>
    </reviewItem>
    <reviewItem>
      <errorID>d6b21f58-cf54-4cf3-b867-673c23615c36</errorID>
      <errorWord>一方面为</errorWord>
      <group>L1_Word</group>
      <groupName>字词问题</groupName>
      <ability>L2_Typo</ability>
      <abilityName>字词错误</abilityName>
      <candidateList>
        <item>一方面</item>
      </candidateList>
      <explain/>
      <paraID>6E5F7B65</paraID>
      <start>170</start>
      <end>173</end>
      <status>modified</status>
      <modifiedWord>一方面</modifiedWord>
      <trackRevisions>false</trackRevisions>
    </reviewItem>
    <reviewItem>
      <errorID>acedfe29-6ec6-46dd-ba30-c6ceaa8d74ff</errorID>
      <errorWord>投资30万</errorWord>
      <group>L1_Other</group>
      <groupName>其他问题</groupName>
      <ability>L2_Consistency</ability>
      <abilityName>一致性检查</abilityName>
      <candidateList>
        <item>投资25万</item>
      </candidateList>
      <explain>数字一致性：前文提到总投资（万元）为25，此处‘30万’与前文总投资金额不一致，应统一为‘25万’</explain>
      <paraID>4E46B4A9</paraID>
      <start>7</start>
      <end>12</end>
      <status>modified</status>
      <modifiedWord>投资25万</modifiedWord>
      <trackRevisions>false</trackRevisions>
    </reviewItem>
    <reviewItem>
      <errorID>b37840ff-6291-41f7-a282-8f3e5ed4546e</errorID>
      <errorWord>，</errorWord>
      <group>L1_Punc</group>
      <groupName>标点问题</groupName>
      <ability>L2_Punc</ability>
      <abilityName>标点符号检查</abilityName>
      <candidateList>
        <item>。</item>
      </candidateList>
      <explain/>
      <paraID>2AAF7E20</paraID>
      <start>23</start>
      <end>24</end>
      <status>modified</status>
      <modifiedWord>。</modifiedWord>
      <trackRevisions>false</trackRevisions>
    </reviewItem>
    <reviewItem>
      <errorID>4c7aab12-48d5-4700-9b75-2dbe0d34bf96</errorID>
      <errorWord>kw</errorWord>
      <group>L1_Word</group>
      <groupName>字词问题</groupName>
      <ability>L2_Typo</ability>
      <abilityName>字词错误</abilityName>
      <candidateList>
        <item>kW</item>
      </candidateList>
      <explain/>
      <paraID>1991FCD9</paraID>
      <start>4</start>
      <end>6</end>
      <status>modified</status>
      <modifiedWord>kW</modifiedWord>
      <trackRevisions>false</trackRevisions>
    </reviewItem>
    <reviewItem>
      <errorID>26709184-eff6-4e55-bee4-14ec3ff99cdf</errorID>
      <errorWord>蒸气</errorWord>
      <group>L1_Word</group>
      <groupName>字词问题</groupName>
      <ability>L2_Typo</ability>
      <abilityName>字词错误</abilityName>
      <candidateList>
        <item>蒸汽</item>
      </candidateList>
      <explain/>
      <paraID>3CA913AC</paraID>
      <start>68</start>
      <end>70</end>
      <status>modified</status>
      <modifiedWord>蒸汽</modifiedWord>
      <trackRevisions>false</trackRevisions>
    </reviewItem>
    <reviewItem>
      <errorID>1f5f93d9-a17f-4652-8202-81dbd0981152</errorID>
      <errorWord>收集</errorWord>
      <group>L1_Punc</group>
      <groupName>标点问题</groupName>
      <ability>L2_Punc</ability>
      <abilityName>标点符号检查</abilityName>
      <candidateList>
        <item>，收集</item>
      </candidateList>
      <explain/>
      <paraID>56FF9D34</paraID>
      <start>230</start>
      <end>233</end>
      <status>modified</status>
      <modifiedWord>，收集</modifiedWord>
      <trackRevisions>false</trackRevisions>
    </reviewItem>
    <reviewItem>
      <errorID>f4e31ea7-64f9-4b86-ac0e-fbf4031ef5f4</errorID>
      <errorWord>-</errorWord>
      <group>L1_Format</group>
      <groupName>格式问题</groupName>
      <ability>L2_HalfPunc</ability>
      <abilityName>全半角检查</abilityName>
      <candidateList>
        <item>－</item>
      </candidateList>
      <explain>文本全半角错误。</explain>
      <paraID> BA72332</paraID>
      <start>3</start>
      <end>4</end>
      <status>modified</status>
      <modifiedWord>－</modifiedWord>
      <trackRevisions>false</trackRevisions>
    </reviewItem>
    <reviewItem>
      <errorID>2fcba053-1fbe-479a-af94-7f5b9e8067a1</errorID>
      <errorWord>区内</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 CAAE75C</paraID>
      <start>87</start>
      <end>88</end>
      <status>modified</status>
      <modifiedWord>区</modifiedWord>
      <trackRevisions>false</trackRevisions>
    </reviewItem>
    <reviewItem>
      <errorID>d78a8d99-24dd-4ce8-a1d4-d4528d0f20cc</errorID>
      <errorWord>含用</errorWord>
      <group>L1_Word</group>
      <groupName>字词问题</groupName>
      <ability>L2_Typo</ability>
      <abilityName>字词错误</abilityName>
      <candidateList>
        <item>含有</item>
      </candidateList>
      <explain/>
      <paraID>2142F7AE</paraID>
      <start>82</start>
      <end>84</end>
      <status>modified</status>
      <modifiedWord>含有</modifiedWord>
      <trackRevisions>false</trackRevisions>
    </reviewItem>
    <reviewItem>
      <errorID>c6baf644-41b0-40f0-b342-49bb7ead5d81</errorID>
      <errorWord>一部分</errorWord>
      <group>L1_Punc</group>
      <groupName>标点问题</groupName>
      <ability>L2_Punc</ability>
      <abilityName>标点符号检查</abilityName>
      <candidateList>
        <item>，一部分</item>
      </candidateList>
      <explain/>
      <paraID>2142F7AE</paraID>
      <start>87</start>
      <end>91</end>
      <status>modified</status>
      <modifiedWord>，一部分</modifiedWord>
      <trackRevisions>false</trackRevisions>
    </reviewItem>
    <reviewItem>
      <errorID>8248f8e9-317e-44b9-b1a5-bb4d0d584371</errorID>
      <errorWord>，</errorWord>
      <group>L1_Punc</group>
      <groupName>标点问题</groupName>
      <ability>L2_Punc</ability>
      <abilityName>标点符号检查</abilityName>
      <candidateList>
        <item>；</item>
      </candidateList>
      <explain/>
      <paraID>2142F7AE</paraID>
      <start>100</start>
      <end>101</end>
      <status>modified</status>
      <modifiedWord>；</modifiedWord>
      <trackRevisions>false</trackRevisions>
    </reviewItem>
    <reviewItem>
      <errorID>a7ae457b-5b36-4753-9bcf-8b6da019d1ef</errorID>
      <errorWord>；</errorWord>
      <group>L1_Punc</group>
      <groupName>标点问题</groupName>
      <ability>L2_Punc</ability>
      <abilityName>标点符号检查</abilityName>
      <candidateList>
        <item>。</item>
      </candidateList>
      <explain/>
      <paraID>2142F7AE</paraID>
      <start>112</start>
      <end>113</end>
      <status>modified</status>
      <modifiedWord>。</modifiedWord>
      <trackRevisions>false</trackRevisions>
    </reviewItem>
    <reviewItem>
      <errorID>c23c265f-237d-40d6-9b78-422b63246e31</errorID>
      <errorWord>祥见</errorWord>
      <group>L1_Word</group>
      <groupName>字词问题</groupName>
      <ability>L2_Typo</ability>
      <abilityName>字词错误</abilityName>
      <candidateList>
        <item>详见</item>
      </candidateList>
      <explain/>
      <paraID>3F165725</paraID>
      <start>11</start>
      <end>13</end>
      <status>modified</status>
      <modifiedWord>详见</modifiedWord>
      <trackRevisions>false</trackRevisions>
    </reviewItem>
    <reviewItem>
      <errorID>3cc0bcaf-e064-48c5-8acf-42019aafd9b3</errorID>
      <errorWord>属</errorWord>
      <group>L1_Word</group>
      <groupName>字词问题</groupName>
      <ability>L2_Typo</ability>
      <abilityName>字词错误</abilityName>
      <candidateList>
        <item>属于</item>
      </candidateList>
      <explain/>
      <paraID>71AA3F97</paraID>
      <start>111</start>
      <end>113</end>
      <status>modified</status>
      <modifiedWord>属于</modifiedWord>
      <trackRevisions>false</trackRevisions>
    </reviewItem>
    <reviewItem>
      <errorID>b5fccd81-b3d6-4f8c-84d0-4fd77a0b37e8</errorID>
      <errorWord>）</errorWord>
      <group>L1_Format</group>
      <groupName>格式问题</groupName>
      <ability>L2_HalfPunc</ability>
      <abilityName>全半角检查</abilityName>
      <candidateList>
        <item>)</item>
      </candidateList>
      <explain>文本全半角错误。</explain>
      <paraID>685A8ADC</paraID>
      <start>6</start>
      <end>7</end>
      <status>ignored</status>
      <modifiedWord/>
      <trackRevisions>false</trackRevisions>
    </reviewItem>
    <reviewItem>
      <errorID>4fd5410d-67a3-43b6-80f7-952226f1dd09</errorID>
      <errorWord>）</errorWord>
      <group>L1_Format</group>
      <groupName>格式问题</groupName>
      <ability>L2_HalfPunc</ability>
      <abilityName>全半角检查</abilityName>
      <candidateList>
        <item>)</item>
      </candidateList>
      <explain>文本全半角错误。</explain>
      <paraID>2AC6AFBA</paraID>
      <start>6</start>
      <end>7</end>
      <status>unmodified</status>
      <modifiedWord/>
      <trackRevisions>false</trackRevisions>
    </reviewItem>
    <reviewItem>
      <errorID>4bd800ed-a99c-43b5-91f4-a69f6509d382</errorID>
      <errorWord>，</errorWord>
      <group>L1_Punc</group>
      <groupName>标点问题</groupName>
      <ability>L2_Punc</ability>
      <abilityName>标点符号检查</abilityName>
      <candidateList>
        <item>》，</item>
      </candidateList>
      <explain/>
      <paraID>4448C02D</paraID>
      <start>64</start>
      <end>65</end>
      <status>unmodified</status>
      <modifiedWord/>
      <trackRevisions>false</trackRevisions>
    </reviewItem>
    <reviewItem>
      <errorID>bcaddef8-3bd2-47db-9067-b3febcf6db98</errorID>
      <errorWord>位于</errorWord>
      <group>L1_Grammar</group>
      <groupName>语法问题</groupName>
      <ability>L2_Grammar</ability>
      <abilityName>语法错误</abilityName>
      <candidateList>
        <item>该点位于</item>
      </candidateList>
      <explain/>
      <paraID>4448C02D</paraID>
      <start>87</start>
      <end>91</end>
      <status>modified</status>
      <modifiedWord>该点位于</modifiedWord>
      <trackRevisions>false</trackRevisions>
    </reviewItem>
    <reviewItem>
      <errorID>a36cf989-755d-4378-8d7a-885c1c2ca8ef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4448C02D</paraID>
      <start>123</start>
      <end>124</end>
      <status>unmodified</status>
      <modifiedWord/>
      <trackRevisions>false</trackRevisions>
    </reviewItem>
    <reviewItem>
      <errorID>84c999ff-4e0c-4578-bf38-53787a7cfb78</errorID>
      <errorWord>）</errorWord>
      <group>L1_Format</group>
      <groupName>格式问题</groupName>
      <ability>L2_HalfPunc</ability>
      <abilityName>全半角检查</abilityName>
      <candidateList>
        <item>)</item>
      </candidateList>
      <explain>文本全半角错误。</explain>
      <paraID>26619565</paraID>
      <start>6</start>
      <end>7</end>
      <status>unmodified</status>
      <modifiedWord/>
      <trackRevisions>false</trackRevisions>
    </reviewItem>
    <reviewItem>
      <errorID>70b86e1e-1fb8-40eb-a27e-f2c4e3c2e9e2</errorID>
      <errorWord>～</errorWord>
      <group>L1_Format</group>
      <groupName>格式问题</groupName>
      <ability>L2_HalfPunc</ability>
      <abilityName>全半角检查</abilityName>
      <candidateList>
        <item>~</item>
      </candidateList>
      <explain>文本全半角错误。</explain>
      <paraID>60B57FFE</paraID>
      <start>5</start>
      <end>6</end>
      <status>unmodified</status>
      <modifiedWord/>
      <trackRevisions>false</trackRevisions>
    </reviewItem>
    <reviewItem>
      <errorID>0b8cfb2d-2ca3-49ac-a55b-5b14f954930f</errorID>
      <errorWord>土壤</errorWord>
      <group>L1_Punc</group>
      <groupName>标点问题</groupName>
      <ability>L2_Punc</ability>
      <abilityName>标点符号检查</abilityName>
      <candidateList>
        <item>、土壤</item>
      </candidateList>
      <explain/>
      <paraID>53BC2FFF</paraID>
      <start>5</start>
      <end>8</end>
      <status>modified</status>
      <modifiedWord>、土壤</modifiedWord>
      <trackRevisions>false</trackRevisions>
    </reviewItem>
    <reviewItem>
      <errorID>4b6006bd-474c-47b0-921f-7ef339c478f3</errorID>
      <errorWord>主要以人工植被为主</errorWord>
      <group>L1_Grammar</group>
      <groupName>语法问题</groupName>
      <ability>L2_Grammar</ability>
      <abilityName>语法错误</abilityName>
      <candidateList>
        <item>以人工植被为主</item>
      </candidateList>
      <explain/>
      <paraID>21AA36D0</paraID>
      <start>29</start>
      <end>36</end>
      <status>modified</status>
      <modifiedWord>以人工植被为主</modifiedWord>
      <trackRevisions>false</trackRevisions>
    </reviewItem>
    <reviewItem>
      <errorID>3898c73c-4d35-479f-a6e1-1c13e238f28e</errorID>
      <errorWord>为</errorWord>
      <group>L1_Grammar</group>
      <groupName>语法问题</groupName>
      <ability>L2_Grammar</ability>
      <abilityName>语法错误</abilityName>
      <candidateList>
        <item>该区域为</item>
      </candidateList>
      <explain/>
      <paraID>3DC1C933</paraID>
      <start>16</start>
      <end>20</end>
      <status>modified</status>
      <modifiedWord>该区域为</modifiedWord>
      <trackRevisions>false</trackRevisions>
    </reviewItem>
    <reviewItem>
      <errorID>08084f27-3172-4b21-9ffc-378a9faf74e7</errorID>
      <errorWord>》中</errorWord>
      <group>L1_Word</group>
      <groupName>字词问题</groupName>
      <ability>L2_Typo</ability>
      <abilityName>字词错误</abilityName>
      <candidateList>
        <item>》</item>
      </candidateList>
      <explain/>
      <paraID> B1D1CF3</paraID>
      <start>36</start>
      <end>37</end>
      <status>modified</status>
      <modifiedWord>》</modifiedWord>
      <trackRevisions>false</trackRevisions>
    </reviewItem>
    <reviewItem>
      <errorID>7c3813b1-5490-49f7-9c39-300c17e18606</errorID>
      <errorWord>周围</errorWord>
      <group>L1_Grammar</group>
      <groupName>语法问题</groupName>
      <ability>L2_Grammar</ability>
      <abilityName>语法错误</abilityName>
      <candidateList>
        <item>周围环境的</item>
      </candidateList>
      <explain/>
      <paraID>669F1010</paraID>
      <start>51</start>
      <end>56</end>
      <status>modified</status>
      <modifiedWord>周围环境的</modifiedWord>
      <trackRevisions>false</trackRevisions>
    </reviewItem>
    <reviewItem>
      <errorID>6d165606-780d-4751-9620-e88a70a78a9b</errorID>
      <errorWord>、</errorWord>
      <group>L1_Word</group>
      <groupName>字词问题</groupName>
      <ability>L2_Typo</ability>
      <abilityName>字词错误</abilityName>
      <candidateList>
        <item>和</item>
      </candidateList>
      <explain/>
      <paraID>16BAE663</paraID>
      <start>23</start>
      <end>24</end>
      <status>unmodified</status>
      <modifiedWord/>
      <trackRevisions>false</trackRevisions>
    </reviewItem>
    <reviewItem>
      <errorID>ced6ac65-3afd-45ac-b71a-48f256b1a356</errorID>
      <errorWord>环境</errorWord>
      <group>L1_Grammar</group>
      <groupName>语法问题</groupName>
      <ability>L2_Grammar</ability>
      <abilityName>语法错误</abilityName>
      <candidateList>
        <item>周围环境</item>
      </candidateList>
      <explain/>
      <paraID>6E43F0A5</paraID>
      <start>32</start>
      <end>36</end>
      <status>modified</status>
      <modifiedWord>周围环境</modifiedWord>
      <trackRevisions>false</trackRevisions>
    </reviewItem>
    <reviewItem>
      <errorID>2c82d789-c25a-4c91-9448-649b0b3b5b2e</errorID>
      <errorWord>程</errorWord>
      <group>L1_Word</group>
      <groupName>字词问题</groupName>
      <ability>L2_Typo</ability>
      <abilityName>字词错误</abilityName>
      <candidateList>
        <item>程中</item>
      </candidateList>
      <explain/>
      <paraID>31F83709</paraID>
      <start>21</start>
      <end>23</end>
      <status>modified</status>
      <modifiedWord>程中</modifiedWord>
      <trackRevisions>false</trackRevisions>
    </reviewItem>
    <reviewItem>
      <errorID>52246d4a-9011-4521-8647-d54e023d1369</errorID>
      <errorWord>经上述</errorWord>
      <group>L1_Word</group>
      <groupName>字词问题</groupName>
      <ability>L2_Typo</ability>
      <abilityName>字词错误</abilityName>
      <candidateList>
        <item>通过上述</item>
      </candidateList>
      <explain/>
      <paraID>26129D47</paraID>
      <start>0</start>
      <end>4</end>
      <status>modified</status>
      <modifiedWord>通过上述</modifiedWord>
      <trackRevisions>false</trackRevisions>
    </reviewItem>
    <reviewItem>
      <errorID>7dff574b-059f-4040-ac1e-b789824f1817</errorID>
      <errorWord>污染</errorWord>
      <group>L1_Word</group>
      <groupName>字词问题</groupName>
      <ability>L2_Typo</ability>
      <abilityName>字词错误</abilityName>
      <candidateList>
        <item>的污染</item>
      </candidateList>
      <explain/>
      <paraID>26129D47</paraID>
      <start>28</start>
      <end>31</end>
      <status>modified</status>
      <modifiedWord>的污染</modifiedWord>
      <trackRevisions>false</trackRevisions>
    </reviewItem>
    <reviewItem>
      <errorID>a09b62e3-ab71-4269-9f3e-840c34cc1f00</errorID>
      <errorWord>脱销</errorWord>
      <group>L1_Word</group>
      <groupName>字词问题</groupName>
      <ability>L2_Typo</ability>
      <abilityName>字词错误</abilityName>
      <candidateList>
        <item>脱硝</item>
      </candidateList>
      <explain/>
      <paraID>3A98BEA1</paraID>
      <start>2</start>
      <end>4</end>
      <status>modified</status>
      <modifiedWord>脱硝</modifiedWord>
      <trackRevisions>false</trackRevisions>
    </reviewItem>
    <reviewItem>
      <errorID>237eaacb-0ee6-417f-8470-498519aad9f9</errorID>
      <errorWord>是将通过</errorWord>
      <group>L1_Grammar</group>
      <groupName>语法问题</groupName>
      <ability>L2_Grammar</ability>
      <abilityName>语法错误</abilityName>
      <candidateList>
        <item>，将</item>
      </candidateList>
      <explain/>
      <paraID>11421B75</paraID>
      <start>17</start>
      <end>19</end>
      <status>modified</status>
      <modifiedWord>，将</modifiedWord>
      <trackRevisions>false</trackRevisions>
    </reviewItem>
    <reviewItem>
      <errorID>8b8a129d-4330-45e0-ac10-2716fee396a7</errorID>
      <errorWord>参考</errorWord>
      <group>L1_Word</group>
      <groupName>字词问题</groupName>
      <ability>L2_Typo</ability>
      <abilityName>字词错误</abilityName>
      <candidateList>
        <item>根据</item>
      </candidateList>
      <explain/>
      <paraID>12C82F9F</paraID>
      <start>0</start>
      <end>2</end>
      <status>modified</status>
      <modifiedWord>根据</modifiedWord>
      <trackRevisions>false</trackRevisions>
    </reviewItem>
    <reviewItem>
      <errorID>cd2ee964-7c7f-48c4-9cf3-b5372c832bcd</errorID>
      <errorWord>可知</errorWord>
      <group>L1_Punc</group>
      <groupName>标点问题</groupName>
      <ability>L2_Punc</ability>
      <abilityName>标点符号检查</abilityName>
      <candidateList>
        <item>，可知</item>
      </candidateList>
      <explain/>
      <paraID>12C82F9F</paraID>
      <start>56</start>
      <end>59</end>
      <status>modified</status>
      <modifiedWord>，可知</modifiedWord>
      <trackRevisions>false</trackRevisions>
    </reviewItem>
    <reviewItem>
      <errorID>034bdc92-5296-42f6-8bea-b509f0e41bc6</errorID>
      <errorWord>，</errorWord>
      <group>L1_Punc</group>
      <groupName>标点问题</groupName>
      <ability>L2_Punc</ability>
      <abilityName>标点符号检查</abilityName>
      <candidateList>
        <item>。</item>
      </candidateList>
      <explain/>
      <paraID>12C82F9F</paraID>
      <start>113</start>
      <end>114</end>
      <status>modified</status>
      <modifiedWord>。</modifiedWord>
      <trackRevisions>false</trackRevisions>
    </reviewItem>
    <reviewItem>
      <errorID>88d20ccc-e3c3-4e6d-8732-e12ba198edf1</errorID>
      <errorWord>配套</errorWord>
      <group>L1_Punc</group>
      <groupName>标点问题</groupName>
      <ability>L2_Punc</ability>
      <abilityName>标点符号检查</abilityName>
      <candidateList>
        <item>，配套</item>
      </candidateList>
      <explain/>
      <paraID>12C82F9F</paraID>
      <start>127</start>
      <end>130</end>
      <status>modified</status>
      <modifiedWord>，配套</modifiedWord>
      <trackRevisions>false</trackRevisions>
    </reviewItem>
    <reviewItem>
      <errorID>ee8e3788-f185-44fd-a46c-ac28849bb515</errorID>
      <errorWord>，</errorWord>
      <group>L1_Punc</group>
      <groupName>标点问题</groupName>
      <ability>L2_Punc</ability>
      <abilityName>标点符号检查</abilityName>
      <candidateList>
        <item>。</item>
      </candidateList>
      <explain/>
      <paraID>40182EB4</paraID>
      <start>40</start>
      <end>41</end>
      <status>modified</status>
      <modifiedWord>。</modifiedWord>
      <trackRevisions>false</trackRevisions>
    </reviewItem>
    <reviewItem>
      <errorID>40a70241-1f49-4e96-ba46-2f2a5958bb22</errorID>
      <errorWord>废气排放0.5h</errorWord>
      <group>L1_Word</group>
      <groupName>字词问题</groupName>
      <ability>L2_Typo</ability>
      <abilityName>字词错误</abilityName>
      <candidateList>
        <item>排放0.5h废气</item>
      </candidateList>
      <explain/>
      <paraID>40182EB4</paraID>
      <start>70</start>
      <end>78</end>
      <status>ignored</status>
      <modifiedWord/>
      <trackRevisions>false</trackRevisions>
    </reviewItem>
    <reviewItem>
      <errorID>7d6345e0-6a2c-4a8c-8513-1f555531aa02</errorID>
      <errorWord>，</errorWord>
      <group>L1_Punc</group>
      <groupName>标点问题</groupName>
      <ability>L2_Punc</ability>
      <abilityName>标点符号检查</abilityName>
      <candidateList>
        <item>、</item>
      </candidateList>
      <explain/>
      <paraID>17A9F8C4</paraID>
      <start>51</start>
      <end>52</end>
      <status>modified</status>
      <modifiedWord>、</modifiedWord>
      <trackRevisions>false</trackRevisions>
    </reviewItem>
    <reviewItem>
      <errorID>95689df1-e9b8-4d45-8901-b9a53035a26f</errorID>
      <errorWord>，</errorWord>
      <group>L1_Punc</group>
      <groupName>标点问题</groupName>
      <ability>L2_Punc</ability>
      <abilityName>标点符号检查</abilityName>
      <candidateList>
        <item>。</item>
      </candidateList>
      <explain/>
      <paraID>7A3CE9AE</paraID>
      <start>70</start>
      <end>71</end>
      <status>unmodified</status>
      <modifiedWord/>
      <trackRevisions>false</trackRevisions>
    </reviewItem>
    <reviewItem>
      <errorID>75a0f352-bba6-4220-9551-4d24e73e974b</errorID>
      <errorWord>，则</errorWord>
      <group>L1_Word</group>
      <groupName>字词问题</groupName>
      <ability>L2_Typo</ability>
      <abilityName>字词错误</abilityName>
      <candidateList>
        <item>。</item>
      </candidateList>
      <explain/>
      <paraID>7A3CE9AE</paraID>
      <start>128</start>
      <end>130</end>
      <status>unmodified</status>
      <modifiedWord/>
      <trackRevisions>false</trackRevisions>
    </reviewItem>
    <reviewItem>
      <errorID>a851bd8a-1077-471b-acf6-3c75307326dc</errorID>
      <errorWord>，</errorWord>
      <group>L1_Punc</group>
      <groupName>标点问题</groupName>
      <ability>L2_Punc</ability>
      <abilityName>标点符号检查</abilityName>
      <candidateList>
        <item>。</item>
      </candidateList>
      <explain/>
      <paraID>324FC6CB</paraID>
      <start>39</start>
      <end>40</end>
      <status>unmodified</status>
      <modifiedWord/>
      <trackRevisions>false</trackRevisions>
    </reviewItem>
    <reviewItem>
      <errorID>8cf20570-97c3-4b03-ab1f-288023991f27</errorID>
      <errorWord>，</errorWord>
      <group>L1_Punc</group>
      <groupName>标点问题</groupName>
      <ability>L2_Punc</ability>
      <abilityName>标点符号检查</abilityName>
      <candidateList>
        <item>。</item>
      </candidateList>
      <explain/>
      <paraID>269E9F74</paraID>
      <start>32</start>
      <end>33</end>
      <status>unmodified</status>
      <modifiedWord/>
      <trackRevisions>false</trackRevisions>
    </reviewItem>
    <reviewItem>
      <errorID>82c4e183-962e-436f-818e-cf3d11f00ea2</errorID>
      <errorWord>营运</errorWord>
      <group>L1_Word</group>
      <groupName>字词问题</groupName>
      <ability>L2_Typo</ability>
      <abilityName>字词错误</abilityName>
      <candidateList>
        <item>运营</item>
      </candidateList>
      <explain/>
      <paraID>29619F83</paraID>
      <start>2</start>
      <end>4</end>
      <status>modified</status>
      <modifiedWord>运营</modifiedWord>
      <trackRevisions>false</trackRevisions>
    </reviewItem>
    <reviewItem>
      <errorID>1772f72f-0a82-4b39-b25d-a6f6ce118f50</errorID>
      <errorWord>：</errorWord>
      <group>L1_Punc</group>
      <groupName>标点问题</groupName>
      <ability>L2_Punc</ability>
      <abilityName>标点符号检查</abilityName>
      <candidateList>
        <item>，</item>
      </candidateList>
      <explain/>
      <paraID>28A59C9F</paraID>
      <start>31</start>
      <end>32</end>
      <status>modified</status>
      <modifiedWord>，</modifiedWord>
      <trackRevisions>false</trackRevisions>
    </reviewItem>
    <reviewItem>
      <errorID>594da8cb-484f-45cd-9792-023d6c23a416</errorID>
      <errorWord>：</errorWord>
      <group>L1_Punc</group>
      <groupName>标点问题</groupName>
      <ability>L2_Punc</ability>
      <abilityName>标点符号检查</abilityName>
      <candidateList>
        <item>，</item>
      </candidateList>
      <explain/>
      <paraID> B8BFD73</paraID>
      <start>19</start>
      <end>20</end>
      <status>modified</status>
      <modifiedWord>，</modifiedWord>
      <trackRevisions>false</trackRevisions>
    </reviewItem>
    <reviewItem>
      <errorID>22c4241a-c196-44f0-8afc-8795e4747020</errorID>
      <errorWord>：</errorWord>
      <group>L1_Punc</group>
      <groupName>标点问题</groupName>
      <ability>L2_Punc</ability>
      <abilityName>标点符号检查</abilityName>
      <candidateList>
        <item>，</item>
      </candidateList>
      <explain/>
      <paraID> FAFE039</paraID>
      <start>27</start>
      <end>28</end>
      <status>modified</status>
      <modifiedWord>，</modifiedWord>
      <trackRevisions>false</trackRevisions>
    </reviewItem>
    <reviewItem>
      <errorID>57918e8f-9551-4d10-ad65-5181835696ca</errorID>
      <errorWord>：</errorWord>
      <group>L1_Punc</group>
      <groupName>标点问题</groupName>
      <ability>L2_Punc</ability>
      <abilityName>标点符号检查</abilityName>
      <candidateList>
        <item>，</item>
      </candidateList>
      <explain/>
      <paraID> 617C86B</paraID>
      <start>34</start>
      <end>35</end>
      <status>modified</status>
      <modifiedWord>，</modifiedWord>
      <trackRevisions>false</trackRevisions>
    </reviewItem>
    <reviewItem>
      <errorID>08fa9029-53d6-4915-bfa1-f3d2d811ca3d</errorID>
      <errorWord>除尘灰</errorWord>
      <group>L1_Word</group>
      <groupName>字词问题</groupName>
      <ability>L2_Typo</ability>
      <abilityName>字词错误</abilityName>
      <candidateList>
        <item>收尘灰</item>
      </candidateList>
      <explain/>
      <paraID>25A32EA2</paraID>
      <start>16</start>
      <end>19</end>
      <status>modified</status>
      <modifiedWord>收尘灰</modifiedWord>
      <trackRevisions>false</trackRevisions>
    </reviewItem>
    <reviewItem>
      <errorID>eb47a806-772f-4bdd-ade6-2db7157ff12b</errorID>
      <errorWord>固体废弃物</errorWord>
      <group>L1_Word</group>
      <groupName>字词问题</groupName>
      <ability>L2_Typo</ability>
      <abilityName>字词错误</abilityName>
      <candidateList>
        <item>固体废物</item>
      </candidateList>
      <explain/>
      <paraID>3A28F6E1</paraID>
      <start>2</start>
      <end>6</end>
      <status>modified</status>
      <modifiedWord>固体废物</modifiedWord>
      <trackRevisions>false</trackRevisions>
    </reviewItem>
    <reviewItem>
      <errorID>eb714283-795d-49b6-acf0-b4cce4c27f77</errorID>
      <errorWord>落地</errorWord>
      <group>L1_Word</group>
      <groupName>字词问题</groupName>
      <ability>L2_Typo</ability>
      <abilityName>字词错误</abilityName>
      <candidateList>
        <item>锅炉</item>
      </candidateList>
      <explain/>
      <paraID>3A28F6E1</paraID>
      <start>18</start>
      <end>20</end>
      <status>modified</status>
      <modifiedWord>锅炉</modifiedWord>
      <trackRevisions>false</trackRevisions>
    </reviewItem>
    <reviewItem>
      <errorID>bd088047-5aca-4cc5-b504-d6de8ca80353</errorID>
      <errorWord>落地</errorWord>
      <group>L1_Word</group>
      <groupName>字词问题</groupName>
      <ability>L2_Typo</ability>
      <abilityName>字词错误</abilityName>
      <candidateList>
        <item>锅炉</item>
      </candidateList>
      <explain/>
      <paraID>5A4B3D74</paraID>
      <start>9</start>
      <end>11</end>
      <status>modified</status>
      <modifiedWord>锅炉</modifiedWord>
      <trackRevisions>false</trackRevisions>
    </reviewItem>
    <reviewItem>
      <errorID>5bb06c95-e282-476b-91ce-b017134bb407</errorID>
      <errorWord>收</errorWord>
      <group>L1_Word</group>
      <groupName>字词问题</groupName>
      <ability>L2_Typo</ability>
      <abilityName>字词错误</abilityName>
      <candidateList>
        <item>收集</item>
      </candidateList>
      <explain/>
      <paraID>5A4B3D74</paraID>
      <start>14</start>
      <end>16</end>
      <status>modified</status>
      <modifiedWord>收集</modifiedWord>
      <trackRevisions>false</trackRevisions>
    </reviewItem>
    <reviewItem>
      <errorID>6789189d-55f3-4b67-8ccb-b4c1e23675e6</errorID>
      <errorWord>至</errorWord>
      <group>L1_Word</group>
      <groupName>字词问题</groupName>
      <ability>L2_Typo</ability>
      <abilityName>字词错误</abilityName>
      <candidateList>
        <item>给</item>
      </candidateList>
      <explain/>
      <paraID>5A4B3D74</paraID>
      <start>50</start>
      <end>51</end>
      <status>modified</status>
      <modifiedWord>给</modifiedWord>
      <trackRevisions>false</trackRevisions>
    </reviewItem>
    <reviewItem>
      <errorID>f5f10fe0-f414-4dd9-bc3f-91072feac6fd</errorID>
      <errorWord>废物</errorWord>
      <group>L1_Grammar</group>
      <groupName>语法问题</groupName>
      <ability>L2_Grammar</ability>
      <abilityName>语法错误</abilityName>
      <candidateList>
        <item>固体废物</item>
      </candidateList>
      <explain/>
      <paraID>6A0726BC</paraID>
      <start>4</start>
      <end>8</end>
      <status>modified</status>
      <modifiedWord>固体废物</modifiedWord>
      <trackRevisions>false</trackRevisions>
    </reviewItem>
    <reviewItem>
      <errorID>a7f2aa89-8902-4c5d-b65c-0cdd850f6492</errorID>
      <errorWord>作为</errorWord>
      <group>L1_Word</group>
      <groupName>字词问题</groupName>
      <ability>L2_Typo</ability>
      <abilityName>字词错误</abilityName>
      <candidateList>
        <item>供</item>
      </candidateList>
      <explain/>
      <paraID>6A0726BC</paraID>
      <start>70</start>
      <end>71</end>
      <status>modified</status>
      <modifiedWord>供</modifiedWord>
      <trackRevisions>false</trackRevisions>
    </reviewItem>
    <reviewItem>
      <errorID>c673a9f4-78c9-4f7a-a02b-15b1c83b453b</errorID>
      <errorWord>再</errorWord>
      <group>L1_Grammar</group>
      <groupName>语法问题</groupName>
      <ability>L2_Grammar</ability>
      <abilityName>语法错误</abilityName>
      <candidateList>
        <item>单位再</item>
      </candidateList>
      <explain/>
      <paraID>6A0726BC</paraID>
      <start>75</start>
      <end>78</end>
      <status>modified</status>
      <modifiedWord>单位再</modifiedWord>
      <trackRevisions>false</trackRevisions>
    </reviewItem>
    <reviewItem>
      <errorID>c48e5f8f-4aae-49b9-aa88-da8923864a5d</errorID>
      <errorWord>的</errorWord>
      <group>L1_Word</group>
      <groupName>字词问题</groupName>
      <ability>L2_Typo</ability>
      <abilityName>字词错误</abilityName>
      <candidateList>
        <item>造成</item>
      </candidateList>
      <explain/>
      <paraID>6F241E8C</paraID>
      <start>38</start>
      <end>40</end>
      <status>modified</status>
      <modifiedWord>造成</modifiedWord>
      <trackRevisions>false</trackRevisions>
    </reviewItem>
    <reviewItem>
      <errorID>ebc21f75-00ae-43b0-aaef-71279d816351</errorID>
      <errorWord>，因此</errorWord>
      <group>L1_Grammar</group>
      <groupName>语法问题</groupName>
      <ability>L2_Grammar</ability>
      <abilityName>语法错误</abilityName>
      <candidateList>
        <item>，</item>
      </candidateList>
      <explain/>
      <paraID>6F241E8C</paraID>
      <start>44</start>
      <end>47</end>
      <status>ignored</status>
      <modifiedWord/>
      <trackRevisions>false</trackRevisions>
    </reviewItem>
    <reviewItem>
      <errorID>0a3ac747-1136-4706-b102-5983bcfdd125</errorID>
      <errorWord>源强</errorWord>
      <group>L1_Word</group>
      <groupName>字词问题</groupName>
      <ability>L2_Typo</ability>
      <abilityName>字词错误</abilityName>
      <candidateList>
        <item>源</item>
      </candidateList>
      <explain/>
      <paraID>5C1899CA</paraID>
      <start>32</start>
      <end>34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30a89-fdac-412b-a4a2-41ca035a2de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43</Pages>
  <Words>11297</Words>
  <Characters>12500</Characters>
  <Lines>153</Lines>
  <Paragraphs>43</Paragraphs>
  <TotalTime>5</TotalTime>
  <ScaleCrop>false</ScaleCrop>
  <LinksUpToDate>false</LinksUpToDate>
  <CharactersWithSpaces>12641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小小树</cp:lastModifiedBy>
  <cp:lastPrinted>2023-03-09T09:15:00Z</cp:lastPrinted>
  <dcterms:modified xsi:type="dcterms:W3CDTF">2026-05-18T14:26:04Z</dcterms:modified>
  <dc:title>附件2</dc:title>
  <cp:revision>7254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647DF50D09394B32A7A9F59613BC6F87_13</vt:lpwstr>
  </property>
  <property fmtid="{D5CDD505-2E9C-101B-9397-08002B2CF9AE}" pid="4" name="KSOTemplateDocerSaveRecord">
    <vt:lpwstr>eyJoZGlkIjoiMWM3NWQxNzQ1Nzg5M2Q0ZDE1ZmYzMGUxODVmMTU0ZGQiLCJ1c2VySWQiOiIxMzM3ODM2MiJ9</vt:lpwstr>
  </property>
</Properties>
</file>