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49CB8B">
      <w:pPr>
        <w:rPr>
          <w:rFonts w:hint="default" w:ascii="Times New Roman" w:hAnsi="Times New Roman" w:eastAsia="仿宋_GB2312" w:cs="Times New Roman"/>
          <w:color w:val="000000" w:themeColor="text1"/>
          <w:sz w:val="36"/>
          <w:szCs w:val="36"/>
          <w14:textFill>
            <w14:solidFill>
              <w14:schemeClr w14:val="tx1"/>
            </w14:solidFill>
          </w14:textFill>
        </w:rPr>
      </w:pPr>
    </w:p>
    <w:p w14:paraId="5ABC4B78">
      <w:pPr>
        <w:rPr>
          <w:rFonts w:hint="default" w:ascii="Times New Roman" w:hAnsi="Times New Roman" w:eastAsia="仿宋_GB2312" w:cs="Times New Roman"/>
          <w:color w:val="000000" w:themeColor="text1"/>
          <w:sz w:val="36"/>
          <w:szCs w:val="36"/>
          <w:lang w:eastAsia="zh-CN"/>
          <w14:textFill>
            <w14:solidFill>
              <w14:schemeClr w14:val="tx1"/>
            </w14:solidFill>
          </w14:textFill>
        </w:rPr>
      </w:pPr>
    </w:p>
    <w:p w14:paraId="03B1F20C">
      <w:pPr>
        <w:rPr>
          <w:rFonts w:hint="default" w:ascii="Times New Roman" w:hAnsi="Times New Roman" w:eastAsia="仿宋_GB2312" w:cs="Times New Roman"/>
          <w:color w:val="000000" w:themeColor="text1"/>
          <w:sz w:val="36"/>
          <w:szCs w:val="36"/>
          <w14:textFill>
            <w14:solidFill>
              <w14:schemeClr w14:val="tx1"/>
            </w14:solidFill>
          </w14:textFill>
        </w:rPr>
      </w:pPr>
    </w:p>
    <w:p w14:paraId="5F9AF45A">
      <w:pPr>
        <w:adjustRightInd w:val="0"/>
        <w:snapToGrid w:val="0"/>
        <w:jc w:val="center"/>
        <w:outlineLvl w:val="0"/>
        <w:rPr>
          <w:rFonts w:hint="default" w:ascii="Times New Roman" w:hAnsi="Times New Roman" w:eastAsia="方正小标宋_GBK" w:cs="Times New Roman"/>
          <w:bCs/>
          <w:color w:val="000000" w:themeColor="text1"/>
          <w:sz w:val="72"/>
          <w:szCs w:val="72"/>
          <w14:textFill>
            <w14:solidFill>
              <w14:schemeClr w14:val="tx1"/>
            </w14:solidFill>
          </w14:textFill>
        </w:rPr>
      </w:pPr>
      <w:r>
        <w:rPr>
          <w:rFonts w:hint="default" w:ascii="Times New Roman" w:hAnsi="Times New Roman" w:eastAsia="方正小标宋_GBK" w:cs="Times New Roman"/>
          <w:bCs/>
          <w:color w:val="000000" w:themeColor="text1"/>
          <w:sz w:val="72"/>
          <w:szCs w:val="72"/>
          <w14:textFill>
            <w14:solidFill>
              <w14:schemeClr w14:val="tx1"/>
            </w14:solidFill>
          </w14:textFill>
        </w:rPr>
        <w:t>建设项目环境影响报告表</w:t>
      </w:r>
    </w:p>
    <w:p w14:paraId="784FA77C">
      <w:pPr>
        <w:adjustRightInd w:val="0"/>
        <w:snapToGrid w:val="0"/>
        <w:spacing w:before="192" w:beforeLines="80"/>
        <w:jc w:val="center"/>
        <w:rPr>
          <w:rFonts w:hint="default" w:ascii="Times New Roman" w:hAnsi="Times New Roman" w:eastAsia="楷体_GB2312" w:cs="Times New Roman"/>
          <w:bCs/>
          <w:color w:val="000000" w:themeColor="text1"/>
          <w:sz w:val="48"/>
          <w:szCs w:val="48"/>
          <w14:textFill>
            <w14:solidFill>
              <w14:schemeClr w14:val="tx1"/>
            </w14:solidFill>
          </w14:textFill>
        </w:rPr>
      </w:pPr>
      <w:r>
        <w:rPr>
          <w:rFonts w:hint="default" w:ascii="Times New Roman" w:hAnsi="Times New Roman" w:eastAsia="楷体_GB2312" w:cs="Times New Roman"/>
          <w:bCs/>
          <w:color w:val="000000" w:themeColor="text1"/>
          <w:sz w:val="48"/>
          <w:szCs w:val="48"/>
          <w14:textFill>
            <w14:solidFill>
              <w14:schemeClr w14:val="tx1"/>
            </w14:solidFill>
          </w14:textFill>
        </w:rPr>
        <w:t>（污染影响类）</w:t>
      </w:r>
    </w:p>
    <w:p w14:paraId="79AAEA55">
      <w:pPr>
        <w:adjustRightInd w:val="0"/>
        <w:snapToGrid w:val="0"/>
        <w:spacing w:line="288" w:lineRule="auto"/>
        <w:jc w:val="center"/>
        <w:outlineLvl w:val="0"/>
        <w:rPr>
          <w:rFonts w:hint="default" w:ascii="Times New Roman" w:hAnsi="Times New Roman" w:eastAsia="华文仿宋" w:cs="Times New Roman"/>
          <w:color w:val="000000" w:themeColor="text1"/>
          <w:kern w:val="44"/>
          <w:sz w:val="44"/>
          <w:szCs w:val="44"/>
          <w14:textFill>
            <w14:solidFill>
              <w14:schemeClr w14:val="tx1"/>
            </w14:solidFill>
          </w14:textFill>
        </w:rPr>
      </w:pPr>
    </w:p>
    <w:p w14:paraId="49C3CB22">
      <w:pPr>
        <w:jc w:val="center"/>
        <w:rPr>
          <w:rFonts w:hint="default" w:ascii="Times New Roman" w:hAnsi="Times New Roman" w:eastAsia="仿宋" w:cs="Times New Roman"/>
          <w:color w:val="000000" w:themeColor="text1"/>
          <w:sz w:val="52"/>
          <w:szCs w:val="52"/>
          <w14:textFill>
            <w14:solidFill>
              <w14:schemeClr w14:val="tx1"/>
            </w14:solidFill>
          </w14:textFill>
        </w:rPr>
      </w:pPr>
    </w:p>
    <w:p w14:paraId="2E367A88">
      <w:pPr>
        <w:ind w:firstLine="1040"/>
        <w:rPr>
          <w:rFonts w:hint="default" w:ascii="Times New Roman" w:hAnsi="Times New Roman" w:eastAsia="仿宋" w:cs="Times New Roman"/>
          <w:color w:val="000000" w:themeColor="text1"/>
          <w:sz w:val="44"/>
          <w:szCs w:val="44"/>
          <w14:textFill>
            <w14:solidFill>
              <w14:schemeClr w14:val="tx1"/>
            </w14:solidFill>
          </w14:textFill>
        </w:rPr>
      </w:pPr>
    </w:p>
    <w:p w14:paraId="756C4BE4">
      <w:pPr>
        <w:ind w:firstLine="1040"/>
        <w:rPr>
          <w:rFonts w:hint="default" w:ascii="Times New Roman" w:hAnsi="Times New Roman" w:eastAsia="仿宋" w:cs="Times New Roman"/>
          <w:color w:val="000000" w:themeColor="text1"/>
          <w:sz w:val="44"/>
          <w:szCs w:val="44"/>
          <w14:textFill>
            <w14:solidFill>
              <w14:schemeClr w14:val="tx1"/>
            </w14:solidFill>
          </w14:textFill>
        </w:rPr>
      </w:pPr>
    </w:p>
    <w:p w14:paraId="610C5596">
      <w:pPr>
        <w:ind w:firstLine="1040"/>
        <w:rPr>
          <w:rFonts w:hint="default" w:ascii="Times New Roman" w:hAnsi="Times New Roman" w:eastAsia="仿宋" w:cs="Times New Roman"/>
          <w:color w:val="000000" w:themeColor="text1"/>
          <w:sz w:val="44"/>
          <w:szCs w:val="44"/>
          <w14:textFill>
            <w14:solidFill>
              <w14:schemeClr w14:val="tx1"/>
            </w14:solidFill>
          </w14:textFill>
        </w:rPr>
      </w:pPr>
    </w:p>
    <w:p w14:paraId="37E9676B">
      <w:pPr>
        <w:ind w:firstLine="1040"/>
        <w:rPr>
          <w:rFonts w:hint="default" w:ascii="Times New Roman" w:hAnsi="Times New Roman" w:eastAsia="仿宋" w:cs="Times New Roman"/>
          <w:color w:val="000000" w:themeColor="text1"/>
          <w:sz w:val="44"/>
          <w:szCs w:val="44"/>
          <w14:textFill>
            <w14:solidFill>
              <w14:schemeClr w14:val="tx1"/>
            </w14:solidFill>
          </w14:textFill>
        </w:rPr>
      </w:pPr>
    </w:p>
    <w:p w14:paraId="3FFC6345">
      <w:pPr>
        <w:ind w:firstLine="1040"/>
        <w:rPr>
          <w:rFonts w:hint="default" w:ascii="Times New Roman" w:hAnsi="Times New Roman" w:eastAsia="仿宋" w:cs="Times New Roman"/>
          <w:color w:val="000000" w:themeColor="text1"/>
          <w:sz w:val="44"/>
          <w:szCs w:val="44"/>
          <w14:textFill>
            <w14:solidFill>
              <w14:schemeClr w14:val="tx1"/>
            </w14:solidFill>
          </w14:textFill>
        </w:rPr>
      </w:pPr>
    </w:p>
    <w:p w14:paraId="7049CAC3">
      <w:pPr>
        <w:adjustRightInd w:val="0"/>
        <w:snapToGrid w:val="0"/>
        <w:spacing w:line="360" w:lineRule="auto"/>
        <w:ind w:firstLine="320" w:firstLineChars="100"/>
        <w:jc w:val="both"/>
        <w:rPr>
          <w:rFonts w:hint="default" w:ascii="Times New Roman" w:hAnsi="Times New Roman" w:eastAsia="仿宋_GB2312" w:cs="Times New Roman"/>
          <w:color w:val="000000" w:themeColor="text1"/>
          <w:sz w:val="32"/>
          <w:szCs w:val="32"/>
          <w:u w:val="single"/>
          <w:lang w:val="en-US"/>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项目名称：</w:t>
      </w:r>
      <w:r>
        <w:rPr>
          <w:rFonts w:hint="default" w:ascii="Times New Roman" w:hAnsi="Times New Roman" w:eastAsia="仿宋_GB2312" w:cs="Times New Roman"/>
          <w:color w:val="000000" w:themeColor="text1"/>
          <w:sz w:val="32"/>
          <w:szCs w:val="32"/>
          <w:u w:val="single"/>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u w:val="single"/>
          <w:lang w:eastAsia="zh-CN"/>
          <w14:textFill>
            <w14:solidFill>
              <w14:schemeClr w14:val="tx1"/>
            </w14:solidFill>
          </w14:textFill>
        </w:rPr>
        <w:t>年产2亿只智能化电子元器件生产线迁建项目</w:t>
      </w:r>
      <w:r>
        <w:rPr>
          <w:rFonts w:hint="default" w:ascii="Times New Roman" w:hAnsi="Times New Roman" w:eastAsia="仿宋_GB2312" w:cs="Times New Roman"/>
          <w:color w:val="000000" w:themeColor="text1"/>
          <w:sz w:val="32"/>
          <w:szCs w:val="32"/>
          <w:u w:val="single"/>
          <w:lang w:val="en-US" w:eastAsia="zh-CN"/>
          <w14:textFill>
            <w14:solidFill>
              <w14:schemeClr w14:val="tx1"/>
            </w14:solidFill>
          </w14:textFill>
        </w:rPr>
        <w:t xml:space="preserve"> </w:t>
      </w:r>
    </w:p>
    <w:p w14:paraId="12387A32">
      <w:pPr>
        <w:adjustRightInd w:val="0"/>
        <w:snapToGrid w:val="0"/>
        <w:spacing w:line="360" w:lineRule="auto"/>
        <w:ind w:firstLine="320" w:firstLineChars="100"/>
        <w:jc w:val="both"/>
        <w:rPr>
          <w:rFonts w:hint="default" w:ascii="Times New Roman" w:hAnsi="Times New Roman" w:eastAsia="仿宋_GB2312" w:cs="Times New Roman"/>
          <w:color w:val="000000" w:themeColor="text1"/>
          <w:sz w:val="32"/>
          <w:szCs w:val="32"/>
          <w:u w:val="single"/>
          <w:lang w:val="en-US"/>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建设单位：</w:t>
      </w:r>
      <w:r>
        <w:rPr>
          <w:rFonts w:hint="default" w:ascii="Times New Roman" w:hAnsi="Times New Roman" w:eastAsia="仿宋_GB2312" w:cs="Times New Roman"/>
          <w:color w:val="000000" w:themeColor="text1"/>
          <w:sz w:val="32"/>
          <w:szCs w:val="32"/>
          <w:u w:val="single"/>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u w:val="singl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u w:val="single"/>
          <w:lang w:eastAsia="zh-CN"/>
          <w14:textFill>
            <w14:solidFill>
              <w14:schemeClr w14:val="tx1"/>
            </w14:solidFill>
          </w14:textFill>
        </w:rPr>
        <w:t>陕西富宸田鑫电子有限公司</w:t>
      </w:r>
      <w:r>
        <w:rPr>
          <w:rFonts w:hint="default" w:ascii="Times New Roman" w:hAnsi="Times New Roman" w:eastAsia="仿宋_GB2312" w:cs="Times New Roman"/>
          <w:color w:val="000000" w:themeColor="text1"/>
          <w:sz w:val="32"/>
          <w:szCs w:val="32"/>
          <w:u w:val="single"/>
          <w:lang w:val="en-US" w:eastAsia="zh-CN"/>
          <w14:textFill>
            <w14:solidFill>
              <w14:schemeClr w14:val="tx1"/>
            </w14:solidFill>
          </w14:textFill>
        </w:rPr>
        <w:t xml:space="preserve">         </w:t>
      </w:r>
    </w:p>
    <w:p w14:paraId="6151CD34">
      <w:pPr>
        <w:adjustRightInd w:val="0"/>
        <w:snapToGrid w:val="0"/>
        <w:spacing w:line="360" w:lineRule="auto"/>
        <w:ind w:firstLine="320" w:firstLineChars="100"/>
        <w:jc w:val="both"/>
        <w:rPr>
          <w:rFonts w:hint="default" w:ascii="Times New Roman" w:hAnsi="Times New Roman" w:eastAsia="仿宋_GB2312" w:cs="Times New Roman"/>
          <w:color w:val="000000" w:themeColor="text1"/>
          <w:sz w:val="32"/>
          <w:szCs w:val="32"/>
          <w:u w:val="singl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编制日期：</w:t>
      </w:r>
      <w:r>
        <w:rPr>
          <w:rFonts w:hint="default" w:ascii="Times New Roman" w:hAnsi="Times New Roman" w:eastAsia="仿宋_GB2312" w:cs="Times New Roman"/>
          <w:color w:val="000000" w:themeColor="text1"/>
          <w:sz w:val="32"/>
          <w:szCs w:val="32"/>
          <w:u w:val="single"/>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u w:val="singl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u w:val="single"/>
          <w14:textFill>
            <w14:solidFill>
              <w14:schemeClr w14:val="tx1"/>
            </w14:solidFill>
          </w14:textFill>
        </w:rPr>
        <w:t>202</w:t>
      </w:r>
      <w:r>
        <w:rPr>
          <w:rFonts w:hint="default" w:ascii="Times New Roman" w:hAnsi="Times New Roman" w:eastAsia="仿宋_GB2312" w:cs="Times New Roman"/>
          <w:color w:val="000000" w:themeColor="text1"/>
          <w:sz w:val="32"/>
          <w:szCs w:val="32"/>
          <w:u w:val="single"/>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u w:val="single"/>
          <w14:textFill>
            <w14:solidFill>
              <w14:schemeClr w14:val="tx1"/>
            </w14:solidFill>
          </w14:textFill>
        </w:rPr>
        <w:t>年</w:t>
      </w:r>
      <w:r>
        <w:rPr>
          <w:rFonts w:hint="eastAsia" w:eastAsia="仿宋_GB2312" w:cs="Times New Roman"/>
          <w:color w:val="000000" w:themeColor="text1"/>
          <w:sz w:val="32"/>
          <w:szCs w:val="32"/>
          <w:u w:val="single"/>
          <w:lang w:val="en-US" w:eastAsia="zh-CN"/>
          <w14:textFill>
            <w14:solidFill>
              <w14:schemeClr w14:val="tx1"/>
            </w14:solidFill>
          </w14:textFill>
        </w:rPr>
        <w:t>7</w:t>
      </w:r>
      <w:r>
        <w:rPr>
          <w:rFonts w:hint="default" w:ascii="Times New Roman" w:hAnsi="Times New Roman" w:eastAsia="仿宋_GB2312" w:cs="Times New Roman"/>
          <w:color w:val="000000" w:themeColor="text1"/>
          <w:sz w:val="32"/>
          <w:szCs w:val="32"/>
          <w:u w:val="single"/>
          <w14:textFill>
            <w14:solidFill>
              <w14:schemeClr w14:val="tx1"/>
            </w14:solidFill>
          </w14:textFill>
        </w:rPr>
        <w:t>月</w:t>
      </w:r>
      <w:r>
        <w:rPr>
          <w:rFonts w:hint="default" w:ascii="Times New Roman" w:hAnsi="Times New Roman" w:eastAsia="仿宋_GB2312" w:cs="Times New Roman"/>
          <w:color w:val="000000" w:themeColor="text1"/>
          <w:sz w:val="32"/>
          <w:szCs w:val="32"/>
          <w:u w:val="single"/>
          <w:lang w:val="en-US" w:eastAsia="zh-CN"/>
          <w14:textFill>
            <w14:solidFill>
              <w14:schemeClr w14:val="tx1"/>
            </w14:solidFill>
          </w14:textFill>
        </w:rPr>
        <w:t xml:space="preserve">                 </w:t>
      </w:r>
    </w:p>
    <w:p w14:paraId="49A1463D">
      <w:pPr>
        <w:adjustRightInd w:val="0"/>
        <w:snapToGrid w:val="0"/>
        <w:spacing w:line="288" w:lineRule="auto"/>
        <w:ind w:firstLine="1040"/>
        <w:rPr>
          <w:rFonts w:hint="default" w:ascii="Times New Roman" w:hAnsi="Times New Roman" w:eastAsia="仿宋_GB2312" w:cs="Times New Roman"/>
          <w:color w:val="000000" w:themeColor="text1"/>
          <w:sz w:val="36"/>
          <w:szCs w:val="36"/>
          <w:u w:val="single"/>
          <w14:textFill>
            <w14:solidFill>
              <w14:schemeClr w14:val="tx1"/>
            </w14:solidFill>
          </w14:textFill>
        </w:rPr>
      </w:pPr>
      <w:bookmarkStart w:id="0" w:name="_Hlk57884087"/>
    </w:p>
    <w:p w14:paraId="3DA1A256">
      <w:pPr>
        <w:adjustRightInd w:val="0"/>
        <w:snapToGrid w:val="0"/>
        <w:spacing w:line="288" w:lineRule="auto"/>
        <w:ind w:firstLine="1040"/>
        <w:rPr>
          <w:rFonts w:hint="default" w:ascii="Times New Roman" w:hAnsi="Times New Roman" w:eastAsia="仿宋_GB2312" w:cs="Times New Roman"/>
          <w:color w:val="000000" w:themeColor="text1"/>
          <w:sz w:val="36"/>
          <w:szCs w:val="36"/>
          <w:u w:val="single"/>
          <w14:textFill>
            <w14:solidFill>
              <w14:schemeClr w14:val="tx1"/>
            </w14:solidFill>
          </w14:textFill>
        </w:rPr>
      </w:pPr>
    </w:p>
    <w:p w14:paraId="4806264F">
      <w:pPr>
        <w:adjustRightInd w:val="0"/>
        <w:snapToGrid w:val="0"/>
        <w:spacing w:line="288" w:lineRule="auto"/>
        <w:ind w:firstLine="1040"/>
        <w:rPr>
          <w:rFonts w:hint="default" w:ascii="Times New Roman" w:hAnsi="Times New Roman" w:eastAsia="仿宋_GB2312" w:cs="Times New Roman"/>
          <w:color w:val="000000" w:themeColor="text1"/>
          <w:sz w:val="36"/>
          <w:szCs w:val="36"/>
          <w:u w:val="single"/>
          <w14:textFill>
            <w14:solidFill>
              <w14:schemeClr w14:val="tx1"/>
            </w14:solidFill>
          </w14:textFill>
        </w:rPr>
      </w:pPr>
    </w:p>
    <w:p w14:paraId="2553A616">
      <w:pPr>
        <w:adjustRightInd w:val="0"/>
        <w:snapToGrid w:val="0"/>
        <w:spacing w:line="288" w:lineRule="auto"/>
        <w:ind w:firstLine="1040"/>
        <w:rPr>
          <w:rFonts w:hint="default" w:ascii="Times New Roman" w:hAnsi="Times New Roman" w:eastAsia="仿宋_GB2312" w:cs="Times New Roman"/>
          <w:color w:val="000000" w:themeColor="text1"/>
          <w:sz w:val="36"/>
          <w:szCs w:val="36"/>
          <w14:textFill>
            <w14:solidFill>
              <w14:schemeClr w14:val="tx1"/>
            </w14:solidFill>
          </w14:textFill>
        </w:rPr>
      </w:pPr>
    </w:p>
    <w:bookmarkEnd w:id="0"/>
    <w:p w14:paraId="7B69B5C1">
      <w:pPr>
        <w:adjustRightInd w:val="0"/>
        <w:snapToGrid w:val="0"/>
        <w:spacing w:line="288" w:lineRule="auto"/>
        <w:jc w:val="center"/>
        <w:rPr>
          <w:rFonts w:hint="default" w:ascii="Times New Roman" w:hAnsi="Times New Roman" w:eastAsia="楷体_GB2312" w:cs="Times New Roman"/>
          <w:color w:val="000000" w:themeColor="text1"/>
          <w:sz w:val="36"/>
          <w:szCs w:val="36"/>
          <w14:textFill>
            <w14:solidFill>
              <w14:schemeClr w14:val="tx1"/>
            </w14:solidFill>
          </w14:textFill>
        </w:rPr>
      </w:pPr>
      <w:r>
        <w:rPr>
          <w:rFonts w:hint="default" w:ascii="Times New Roman" w:hAnsi="Times New Roman" w:eastAsia="楷体_GB2312" w:cs="Times New Roman"/>
          <w:color w:val="000000" w:themeColor="text1"/>
          <w:sz w:val="36"/>
          <w:szCs w:val="36"/>
          <w14:textFill>
            <w14:solidFill>
              <w14:schemeClr w14:val="tx1"/>
            </w14:solidFill>
          </w14:textFill>
        </w:rPr>
        <w:t>中华人民共和国生态环境部制</w:t>
      </w:r>
    </w:p>
    <w:p w14:paraId="601C6C87">
      <w:pPr>
        <w:adjustRightInd w:val="0"/>
        <w:snapToGrid w:val="0"/>
        <w:spacing w:line="288" w:lineRule="auto"/>
        <w:ind w:firstLine="1040"/>
        <w:rPr>
          <w:rFonts w:hint="default" w:ascii="Times New Roman" w:hAnsi="Times New Roman" w:eastAsia="仿宋_GB2312" w:cs="Times New Roman"/>
          <w:color w:val="000000" w:themeColor="text1"/>
          <w:sz w:val="36"/>
          <w:szCs w:val="36"/>
          <w14:textFill>
            <w14:solidFill>
              <w14:schemeClr w14:val="tx1"/>
            </w14:solidFill>
          </w14:textFill>
        </w:rPr>
        <w:sectPr>
          <w:footerReference r:id="rId3" w:type="default"/>
          <w:footerReference r:id="rId4" w:type="even"/>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p>
    <w:p w14:paraId="3697E136">
      <w:pPr>
        <w:pStyle w:val="31"/>
        <w:jc w:val="center"/>
        <w:outlineLvl w:val="0"/>
        <w:rPr>
          <w:rFonts w:hint="default" w:ascii="Times New Roman" w:hAnsi="Times New Roman" w:eastAsia="黑体" w:cs="Times New Roman"/>
          <w:snapToGrid w:val="0"/>
          <w:color w:val="000000" w:themeColor="text1"/>
          <w:sz w:val="30"/>
          <w:szCs w:val="30"/>
          <w14:textFill>
            <w14:solidFill>
              <w14:schemeClr w14:val="tx1"/>
            </w14:solidFill>
          </w14:textFill>
        </w:rPr>
      </w:pPr>
      <w:r>
        <w:rPr>
          <w:rFonts w:hint="default" w:ascii="Times New Roman" w:hAnsi="Times New Roman" w:eastAsia="黑体" w:cs="Times New Roman"/>
          <w:snapToGrid w:val="0"/>
          <w:color w:val="000000" w:themeColor="text1"/>
          <w:sz w:val="30"/>
          <w:szCs w:val="30"/>
          <w14:textFill>
            <w14:solidFill>
              <w14:schemeClr w14:val="tx1"/>
            </w14:solidFill>
          </w14:textFill>
        </w:rPr>
        <w:t>一、建设项目基本情况</w:t>
      </w:r>
    </w:p>
    <w:tbl>
      <w:tblPr>
        <w:tblStyle w:val="3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030"/>
        <w:gridCol w:w="2482"/>
        <w:gridCol w:w="2314"/>
        <w:gridCol w:w="3044"/>
      </w:tblGrid>
      <w:tr w14:paraId="1C627E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81" w:hRule="atLeast"/>
          <w:jc w:val="center"/>
        </w:trPr>
        <w:tc>
          <w:tcPr>
            <w:tcW w:w="1030" w:type="dxa"/>
            <w:noWrap w:val="0"/>
            <w:tcMar>
              <w:top w:w="16" w:type="dxa"/>
              <w:left w:w="16" w:type="dxa"/>
              <w:right w:w="16" w:type="dxa"/>
            </w:tcMar>
            <w:vAlign w:val="center"/>
          </w:tcPr>
          <w:p w14:paraId="2016E8E2">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建设项目名称</w:t>
            </w:r>
          </w:p>
        </w:tc>
        <w:tc>
          <w:tcPr>
            <w:tcW w:w="7840" w:type="dxa"/>
            <w:gridSpan w:val="3"/>
            <w:noWrap w:val="0"/>
            <w:vAlign w:val="center"/>
          </w:tcPr>
          <w:p w14:paraId="5D8E5E5C">
            <w:pPr>
              <w:adjustRightInd w:val="0"/>
              <w:snapToGrid w:val="0"/>
              <w:jc w:val="center"/>
              <w:rPr>
                <w:rFonts w:hint="default" w:ascii="Times New Roman" w:hAnsi="Times New Roman" w:eastAsia="宋体" w:cs="Times New Roman"/>
                <w:color w:val="000000" w:themeColor="text1"/>
                <w:szCs w:val="21"/>
                <w:lang w:eastAsia="zh-CN"/>
                <w14:textFill>
                  <w14:solidFill>
                    <w14:schemeClr w14:val="tx1"/>
                  </w14:solidFill>
                </w14:textFill>
              </w:rPr>
            </w:pPr>
            <w:r>
              <w:rPr>
                <w:rFonts w:hint="default" w:ascii="Times New Roman" w:hAnsi="Times New Roman" w:cs="Times New Roman"/>
                <w:color w:val="000000" w:themeColor="text1"/>
                <w:szCs w:val="21"/>
                <w:lang w:eastAsia="zh-CN"/>
                <w14:textFill>
                  <w14:solidFill>
                    <w14:schemeClr w14:val="tx1"/>
                  </w14:solidFill>
                </w14:textFill>
              </w:rPr>
              <w:t>年产2亿只智能化电子元器件生产线迁建项目</w:t>
            </w:r>
          </w:p>
        </w:tc>
      </w:tr>
      <w:tr w14:paraId="559DF6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60" w:hRule="atLeast"/>
          <w:jc w:val="center"/>
        </w:trPr>
        <w:tc>
          <w:tcPr>
            <w:tcW w:w="1030" w:type="dxa"/>
            <w:noWrap w:val="0"/>
            <w:tcMar>
              <w:top w:w="16" w:type="dxa"/>
              <w:left w:w="16" w:type="dxa"/>
              <w:right w:w="16" w:type="dxa"/>
            </w:tcMar>
            <w:vAlign w:val="center"/>
          </w:tcPr>
          <w:p w14:paraId="2A2E3FB7">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项目代码</w:t>
            </w:r>
          </w:p>
        </w:tc>
        <w:tc>
          <w:tcPr>
            <w:tcW w:w="7840" w:type="dxa"/>
            <w:gridSpan w:val="3"/>
            <w:noWrap w:val="0"/>
            <w:vAlign w:val="center"/>
          </w:tcPr>
          <w:p w14:paraId="7CEBF535">
            <w:pPr>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2604-610363-04-0</w:t>
            </w:r>
            <w:r>
              <w:rPr>
                <w:rFonts w:hint="default" w:ascii="Times New Roman" w:hAnsi="Times New Roman" w:cs="Times New Roman"/>
                <w:color w:val="000000" w:themeColor="text1"/>
                <w:szCs w:val="21"/>
                <w:lang w:val="en-US" w:eastAsia="zh-CN"/>
                <w14:textFill>
                  <w14:solidFill>
                    <w14:schemeClr w14:val="tx1"/>
                  </w14:solidFill>
                </w14:textFill>
              </w:rPr>
              <w:t>1</w:t>
            </w:r>
            <w:r>
              <w:rPr>
                <w:rFonts w:hint="default" w:ascii="Times New Roman" w:hAnsi="Times New Roman" w:eastAsia="宋体" w:cs="Times New Roman"/>
                <w:color w:val="000000" w:themeColor="text1"/>
                <w:szCs w:val="21"/>
                <w:lang w:val="en-US" w:eastAsia="zh-CN"/>
                <w14:textFill>
                  <w14:solidFill>
                    <w14:schemeClr w14:val="tx1"/>
                  </w14:solidFill>
                </w14:textFill>
              </w:rPr>
              <w:t>-50</w:t>
            </w:r>
            <w:r>
              <w:rPr>
                <w:rFonts w:hint="default" w:ascii="Times New Roman" w:hAnsi="Times New Roman" w:cs="Times New Roman"/>
                <w:color w:val="000000" w:themeColor="text1"/>
                <w:szCs w:val="21"/>
                <w:lang w:val="en-US" w:eastAsia="zh-CN"/>
                <w14:textFill>
                  <w14:solidFill>
                    <w14:schemeClr w14:val="tx1"/>
                  </w14:solidFill>
                </w14:textFill>
              </w:rPr>
              <w:t>6796</w:t>
            </w:r>
          </w:p>
        </w:tc>
      </w:tr>
      <w:tr w14:paraId="3CA0D7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04" w:hRule="atLeast"/>
          <w:jc w:val="center"/>
        </w:trPr>
        <w:tc>
          <w:tcPr>
            <w:tcW w:w="1030" w:type="dxa"/>
            <w:noWrap w:val="0"/>
            <w:tcMar>
              <w:top w:w="16" w:type="dxa"/>
              <w:left w:w="16" w:type="dxa"/>
              <w:right w:w="16" w:type="dxa"/>
            </w:tcMar>
            <w:vAlign w:val="center"/>
          </w:tcPr>
          <w:p w14:paraId="7621F557">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建设单位联系人</w:t>
            </w:r>
          </w:p>
        </w:tc>
        <w:tc>
          <w:tcPr>
            <w:tcW w:w="2482" w:type="dxa"/>
            <w:noWrap w:val="0"/>
            <w:vAlign w:val="center"/>
          </w:tcPr>
          <w:p w14:paraId="324270AA">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w:t>
            </w:r>
          </w:p>
        </w:tc>
        <w:tc>
          <w:tcPr>
            <w:tcW w:w="2314" w:type="dxa"/>
            <w:noWrap w:val="0"/>
            <w:vAlign w:val="center"/>
          </w:tcPr>
          <w:p w14:paraId="5AC37E94">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联系方式</w:t>
            </w:r>
          </w:p>
        </w:tc>
        <w:tc>
          <w:tcPr>
            <w:tcW w:w="3044" w:type="dxa"/>
            <w:noWrap w:val="0"/>
            <w:vAlign w:val="center"/>
          </w:tcPr>
          <w:p w14:paraId="7EDE80E9">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w:t>
            </w:r>
          </w:p>
        </w:tc>
      </w:tr>
      <w:tr w14:paraId="3BFCE3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00" w:hRule="atLeast"/>
          <w:jc w:val="center"/>
        </w:trPr>
        <w:tc>
          <w:tcPr>
            <w:tcW w:w="1030" w:type="dxa"/>
            <w:noWrap w:val="0"/>
            <w:tcMar>
              <w:top w:w="16" w:type="dxa"/>
              <w:left w:w="16" w:type="dxa"/>
              <w:right w:w="16" w:type="dxa"/>
            </w:tcMar>
            <w:vAlign w:val="center"/>
          </w:tcPr>
          <w:p w14:paraId="46466AA3">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建设地点</w:t>
            </w:r>
          </w:p>
        </w:tc>
        <w:tc>
          <w:tcPr>
            <w:tcW w:w="7840" w:type="dxa"/>
            <w:gridSpan w:val="3"/>
            <w:noWrap w:val="0"/>
            <w:vAlign w:val="center"/>
          </w:tcPr>
          <w:p w14:paraId="72657525">
            <w:pPr>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陕西省</w:t>
            </w:r>
            <w:r>
              <w:rPr>
                <w:rFonts w:hint="default" w:ascii="Times New Roman" w:hAnsi="Times New Roman" w:cs="Times New Roman"/>
                <w:color w:val="000000" w:themeColor="text1"/>
                <w:szCs w:val="21"/>
                <w:lang w:eastAsia="zh-CN"/>
                <w14:textFill>
                  <w14:solidFill>
                    <w14:schemeClr w14:val="tx1"/>
                  </w14:solidFill>
                </w14:textFill>
              </w:rPr>
              <w:t>宝鸡市凤翔</w:t>
            </w:r>
            <w:r>
              <w:rPr>
                <w:rFonts w:hint="default" w:ascii="Times New Roman" w:hAnsi="Times New Roman" w:cs="Times New Roman"/>
                <w:color w:val="000000" w:themeColor="text1"/>
                <w:szCs w:val="21"/>
                <w:lang w:val="en-US" w:eastAsia="zh-CN"/>
                <w14:textFill>
                  <w14:solidFill>
                    <w14:schemeClr w14:val="tx1"/>
                  </w14:solidFill>
                </w14:textFill>
              </w:rPr>
              <w:t>高新</w:t>
            </w:r>
            <w:r>
              <w:rPr>
                <w:rFonts w:hint="default" w:ascii="Times New Roman" w:hAnsi="Times New Roman" w:cs="Times New Roman"/>
                <w:color w:val="000000" w:themeColor="text1"/>
                <w:szCs w:val="21"/>
                <w:lang w:eastAsia="zh-CN"/>
                <w14:textFill>
                  <w14:solidFill>
                    <w14:schemeClr w14:val="tx1"/>
                  </w14:solidFill>
                </w14:textFill>
              </w:rPr>
              <w:t>区</w:t>
            </w:r>
            <w:r>
              <w:rPr>
                <w:rFonts w:hint="default" w:ascii="Times New Roman" w:hAnsi="Times New Roman" w:cs="Times New Roman"/>
                <w:color w:val="000000" w:themeColor="text1"/>
                <w:szCs w:val="21"/>
                <w:lang w:val="en-US" w:eastAsia="zh-CN"/>
                <w14:textFill>
                  <w14:solidFill>
                    <w14:schemeClr w14:val="tx1"/>
                  </w14:solidFill>
                </w14:textFill>
              </w:rPr>
              <w:t>科创生态新城</w:t>
            </w:r>
          </w:p>
        </w:tc>
      </w:tr>
      <w:tr w14:paraId="6209D9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030" w:type="dxa"/>
            <w:noWrap w:val="0"/>
            <w:tcMar>
              <w:top w:w="16" w:type="dxa"/>
              <w:left w:w="16" w:type="dxa"/>
              <w:right w:w="16" w:type="dxa"/>
            </w:tcMar>
            <w:vAlign w:val="center"/>
          </w:tcPr>
          <w:p w14:paraId="42AC7108">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地理坐标</w:t>
            </w:r>
          </w:p>
        </w:tc>
        <w:tc>
          <w:tcPr>
            <w:tcW w:w="7840" w:type="dxa"/>
            <w:gridSpan w:val="3"/>
            <w:noWrap w:val="0"/>
            <w:vAlign w:val="center"/>
          </w:tcPr>
          <w:p w14:paraId="1F38A8E5">
            <w:pPr>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w:t>
            </w:r>
            <w:r>
              <w:rPr>
                <w:rFonts w:hint="default" w:ascii="Times New Roman" w:hAnsi="Times New Roman" w:cs="Times New Roman"/>
                <w:color w:val="000000" w:themeColor="text1"/>
                <w:szCs w:val="21"/>
                <w:u w:val="single"/>
                <w14:textFill>
                  <w14:solidFill>
                    <w14:schemeClr w14:val="tx1"/>
                  </w14:solidFill>
                </w14:textFill>
              </w:rPr>
              <w:t>107</w:t>
            </w:r>
            <w:r>
              <w:rPr>
                <w:rFonts w:hint="default" w:ascii="Times New Roman" w:hAnsi="Times New Roman" w:cs="Times New Roman"/>
                <w:color w:val="000000" w:themeColor="text1"/>
                <w:szCs w:val="21"/>
                <w14:textFill>
                  <w14:solidFill>
                    <w14:schemeClr w14:val="tx1"/>
                  </w14:solidFill>
                </w14:textFill>
              </w:rPr>
              <w:t>度</w:t>
            </w:r>
            <w:r>
              <w:rPr>
                <w:rFonts w:hint="default" w:ascii="Times New Roman" w:hAnsi="Times New Roman" w:cs="Times New Roman"/>
                <w:color w:val="000000" w:themeColor="text1"/>
                <w:szCs w:val="21"/>
                <w:u w:val="single"/>
                <w14:textFill>
                  <w14:solidFill>
                    <w14:schemeClr w14:val="tx1"/>
                  </w14:solidFill>
                </w14:textFill>
              </w:rPr>
              <w:t>2</w:t>
            </w:r>
            <w:r>
              <w:rPr>
                <w:rFonts w:hint="default" w:ascii="Times New Roman" w:hAnsi="Times New Roman" w:cs="Times New Roman"/>
                <w:color w:val="000000" w:themeColor="text1"/>
                <w:szCs w:val="21"/>
                <w:u w:val="single"/>
                <w:lang w:val="en-US" w:eastAsia="zh-CN"/>
                <w14:textFill>
                  <w14:solidFill>
                    <w14:schemeClr w14:val="tx1"/>
                  </w14:solidFill>
                </w14:textFill>
              </w:rPr>
              <w:t>0</w:t>
            </w:r>
            <w:r>
              <w:rPr>
                <w:rFonts w:hint="default" w:ascii="Times New Roman" w:hAnsi="Times New Roman" w:cs="Times New Roman"/>
                <w:color w:val="000000" w:themeColor="text1"/>
                <w:szCs w:val="21"/>
                <w14:textFill>
                  <w14:solidFill>
                    <w14:schemeClr w14:val="tx1"/>
                  </w14:solidFill>
                </w14:textFill>
              </w:rPr>
              <w:t>分</w:t>
            </w:r>
            <w:r>
              <w:rPr>
                <w:rFonts w:hint="default" w:ascii="Times New Roman" w:hAnsi="Times New Roman" w:cs="Times New Roman"/>
                <w:color w:val="000000" w:themeColor="text1"/>
                <w:szCs w:val="21"/>
                <w:u w:val="single"/>
                <w:lang w:val="en-US" w:eastAsia="zh-CN"/>
                <w14:textFill>
                  <w14:solidFill>
                    <w14:schemeClr w14:val="tx1"/>
                  </w14:solidFill>
                </w14:textFill>
              </w:rPr>
              <w:t>48.019</w:t>
            </w:r>
            <w:r>
              <w:rPr>
                <w:rFonts w:hint="default" w:ascii="Times New Roman" w:hAnsi="Times New Roman" w:cs="Times New Roman"/>
                <w:color w:val="000000" w:themeColor="text1"/>
                <w:szCs w:val="21"/>
                <w14:textFill>
                  <w14:solidFill>
                    <w14:schemeClr w14:val="tx1"/>
                  </w14:solidFill>
                </w14:textFill>
              </w:rPr>
              <w:t>秒，</w:t>
            </w:r>
            <w:r>
              <w:rPr>
                <w:rFonts w:hint="default" w:ascii="Times New Roman" w:hAnsi="Times New Roman" w:cs="Times New Roman"/>
                <w:color w:val="000000" w:themeColor="text1"/>
                <w:szCs w:val="21"/>
                <w:u w:val="single"/>
                <w14:textFill>
                  <w14:solidFill>
                    <w14:schemeClr w14:val="tx1"/>
                  </w14:solidFill>
                </w14:textFill>
              </w:rPr>
              <w:t>34</w:t>
            </w:r>
            <w:r>
              <w:rPr>
                <w:rFonts w:hint="default" w:ascii="Times New Roman" w:hAnsi="Times New Roman" w:cs="Times New Roman"/>
                <w:color w:val="000000" w:themeColor="text1"/>
                <w:szCs w:val="21"/>
                <w14:textFill>
                  <w14:solidFill>
                    <w14:schemeClr w14:val="tx1"/>
                  </w14:solidFill>
                </w14:textFill>
              </w:rPr>
              <w:t>度</w:t>
            </w:r>
            <w:r>
              <w:rPr>
                <w:rFonts w:hint="default" w:ascii="Times New Roman" w:hAnsi="Times New Roman" w:cs="Times New Roman"/>
                <w:color w:val="000000" w:themeColor="text1"/>
                <w:szCs w:val="21"/>
                <w:u w:val="single"/>
                <w14:textFill>
                  <w14:solidFill>
                    <w14:schemeClr w14:val="tx1"/>
                  </w14:solidFill>
                </w14:textFill>
              </w:rPr>
              <w:t>3</w:t>
            </w:r>
            <w:r>
              <w:rPr>
                <w:rFonts w:hint="default" w:ascii="Times New Roman" w:hAnsi="Times New Roman" w:cs="Times New Roman"/>
                <w:color w:val="000000" w:themeColor="text1"/>
                <w:szCs w:val="21"/>
                <w:u w:val="single"/>
                <w:lang w:val="en-US" w:eastAsia="zh-CN"/>
                <w14:textFill>
                  <w14:solidFill>
                    <w14:schemeClr w14:val="tx1"/>
                  </w14:solidFill>
                </w14:textFill>
              </w:rPr>
              <w:t>1</w:t>
            </w:r>
            <w:r>
              <w:rPr>
                <w:rFonts w:hint="default" w:ascii="Times New Roman" w:hAnsi="Times New Roman" w:cs="Times New Roman"/>
                <w:color w:val="000000" w:themeColor="text1"/>
                <w:szCs w:val="21"/>
                <w14:textFill>
                  <w14:solidFill>
                    <w14:schemeClr w14:val="tx1"/>
                  </w14:solidFill>
                </w14:textFill>
              </w:rPr>
              <w:t>分</w:t>
            </w:r>
            <w:r>
              <w:rPr>
                <w:rFonts w:hint="default" w:ascii="Times New Roman" w:hAnsi="Times New Roman" w:cs="Times New Roman"/>
                <w:color w:val="000000" w:themeColor="text1"/>
                <w:szCs w:val="21"/>
                <w:u w:val="single"/>
                <w:lang w:val="en-US" w:eastAsia="zh-CN"/>
                <w14:textFill>
                  <w14:solidFill>
                    <w14:schemeClr w14:val="tx1"/>
                  </w14:solidFill>
                </w14:textFill>
              </w:rPr>
              <w:t>8.033</w:t>
            </w:r>
            <w:r>
              <w:rPr>
                <w:rFonts w:hint="default" w:ascii="Times New Roman" w:hAnsi="Times New Roman" w:cs="Times New Roman"/>
                <w:color w:val="000000" w:themeColor="text1"/>
                <w:szCs w:val="21"/>
                <w14:textFill>
                  <w14:solidFill>
                    <w14:schemeClr w14:val="tx1"/>
                  </w14:solidFill>
                </w14:textFill>
              </w:rPr>
              <w:t>秒）</w:t>
            </w:r>
          </w:p>
        </w:tc>
      </w:tr>
      <w:tr w14:paraId="312B3A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49" w:hRule="atLeast"/>
          <w:jc w:val="center"/>
        </w:trPr>
        <w:tc>
          <w:tcPr>
            <w:tcW w:w="1030" w:type="dxa"/>
            <w:noWrap w:val="0"/>
            <w:tcMar>
              <w:top w:w="16" w:type="dxa"/>
              <w:left w:w="16" w:type="dxa"/>
              <w:right w:w="16" w:type="dxa"/>
            </w:tcMar>
            <w:vAlign w:val="center"/>
          </w:tcPr>
          <w:p w14:paraId="23E4B693">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国民经济</w:t>
            </w:r>
          </w:p>
          <w:p w14:paraId="0DF3CF46">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行业类别</w:t>
            </w:r>
          </w:p>
        </w:tc>
        <w:tc>
          <w:tcPr>
            <w:tcW w:w="2482" w:type="dxa"/>
            <w:noWrap w:val="0"/>
            <w:vAlign w:val="center"/>
          </w:tcPr>
          <w:p w14:paraId="3E6B832F">
            <w:pPr>
              <w:adjustRightInd w:val="0"/>
              <w:snapToGrid w:val="0"/>
              <w:jc w:val="center"/>
              <w:rPr>
                <w:rFonts w:hint="default" w:ascii="Times New Roman" w:hAnsi="Times New Roman" w:eastAsia="宋体" w:cs="Times New Roman"/>
                <w:color w:val="000000" w:themeColor="text1"/>
                <w:szCs w:val="21"/>
                <w:lang w:val="en-US"/>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C3983  敏感元件传感器制造</w:t>
            </w:r>
          </w:p>
        </w:tc>
        <w:tc>
          <w:tcPr>
            <w:tcW w:w="2314" w:type="dxa"/>
            <w:noWrap w:val="0"/>
            <w:vAlign w:val="center"/>
          </w:tcPr>
          <w:p w14:paraId="23F581BC">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bookmarkStart w:id="1" w:name="_Hlk49843745"/>
            <w:r>
              <w:rPr>
                <w:rFonts w:hint="default" w:ascii="Times New Roman" w:hAnsi="Times New Roman" w:cs="Times New Roman"/>
                <w:color w:val="000000" w:themeColor="text1"/>
                <w:szCs w:val="21"/>
                <w14:textFill>
                  <w14:solidFill>
                    <w14:schemeClr w14:val="tx1"/>
                  </w14:solidFill>
                </w14:textFill>
              </w:rPr>
              <w:t>建设项目</w:t>
            </w:r>
          </w:p>
          <w:p w14:paraId="654978AC">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行业类别</w:t>
            </w:r>
            <w:bookmarkEnd w:id="1"/>
          </w:p>
        </w:tc>
        <w:tc>
          <w:tcPr>
            <w:tcW w:w="3044" w:type="dxa"/>
            <w:noWrap w:val="0"/>
            <w:vAlign w:val="center"/>
          </w:tcPr>
          <w:p w14:paraId="58CB4E1C">
            <w:pPr>
              <w:numPr>
                <w:ilvl w:val="0"/>
                <w:numId w:val="0"/>
              </w:numPr>
              <w:adjustRightInd w:val="0"/>
              <w:snapToGrid w:val="0"/>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81.电子元件及电子专用材料制造</w:t>
            </w:r>
          </w:p>
        </w:tc>
      </w:tr>
      <w:tr w14:paraId="669604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358" w:hRule="atLeast"/>
          <w:jc w:val="center"/>
        </w:trPr>
        <w:tc>
          <w:tcPr>
            <w:tcW w:w="1030" w:type="dxa"/>
            <w:noWrap w:val="0"/>
            <w:tcMar>
              <w:top w:w="16" w:type="dxa"/>
              <w:left w:w="16" w:type="dxa"/>
              <w:right w:w="16" w:type="dxa"/>
            </w:tcMar>
            <w:vAlign w:val="center"/>
          </w:tcPr>
          <w:p w14:paraId="61FD539D">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建设性质</w:t>
            </w:r>
          </w:p>
        </w:tc>
        <w:tc>
          <w:tcPr>
            <w:tcW w:w="2482" w:type="dxa"/>
            <w:noWrap w:val="0"/>
            <w:vAlign w:val="center"/>
          </w:tcPr>
          <w:p w14:paraId="0AD784B0">
            <w:pPr>
              <w:jc w:val="lef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lang w:eastAsia="zh-CN"/>
                <w14:textFill>
                  <w14:solidFill>
                    <w14:schemeClr w14:val="tx1"/>
                  </w14:solidFill>
                </w14:textFill>
              </w:rPr>
              <w:t>☑</w:t>
            </w:r>
            <w:r>
              <w:rPr>
                <w:rFonts w:hint="default" w:ascii="Times New Roman" w:hAnsi="Times New Roman" w:cs="Times New Roman"/>
                <w:color w:val="000000" w:themeColor="text1"/>
                <w:szCs w:val="21"/>
                <w14:textFill>
                  <w14:solidFill>
                    <w14:schemeClr w14:val="tx1"/>
                  </w14:solidFill>
                </w14:textFill>
              </w:rPr>
              <w:t>新建（迁建）</w:t>
            </w:r>
          </w:p>
          <w:p w14:paraId="2DBC5CB9">
            <w:pPr>
              <w:jc w:val="left"/>
              <w:rPr>
                <w:rFonts w:hint="default" w:ascii="Times New Roman" w:hAnsi="Times New Roman" w:cs="Times New Roman"/>
                <w:color w:val="000000" w:themeColor="text1"/>
                <w:szCs w:val="21"/>
                <w14:textFill>
                  <w14:solidFill>
                    <w14:schemeClr w14:val="tx1"/>
                  </w14:solidFill>
                </w14:textFill>
              </w:rPr>
            </w:pPr>
            <w:r>
              <w:rPr>
                <w:rFonts w:hint="eastAsia" w:cs="Times New Roman"/>
                <w:color w:val="000000" w:themeColor="text1"/>
                <w:szCs w:val="21"/>
                <w:lang w:eastAsia="zh-CN"/>
                <w14:textFill>
                  <w14:solidFill>
                    <w14:schemeClr w14:val="tx1"/>
                  </w14:solidFill>
                </w14:textFill>
              </w:rPr>
              <w:t>□</w:t>
            </w:r>
            <w:r>
              <w:rPr>
                <w:rFonts w:hint="default" w:ascii="Times New Roman" w:hAnsi="Times New Roman" w:cs="Times New Roman"/>
                <w:color w:val="000000" w:themeColor="text1"/>
                <w:szCs w:val="21"/>
                <w14:textFill>
                  <w14:solidFill>
                    <w14:schemeClr w14:val="tx1"/>
                  </w14:solidFill>
                </w14:textFill>
              </w:rPr>
              <w:t>改建</w:t>
            </w:r>
          </w:p>
          <w:p w14:paraId="659F468C">
            <w:pPr>
              <w:jc w:val="lef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sym w:font="Wingdings 2" w:char="00A3"/>
            </w:r>
            <w:r>
              <w:rPr>
                <w:rFonts w:hint="default" w:ascii="Times New Roman" w:hAnsi="Times New Roman" w:cs="Times New Roman"/>
                <w:color w:val="000000" w:themeColor="text1"/>
                <w:szCs w:val="21"/>
                <w14:textFill>
                  <w14:solidFill>
                    <w14:schemeClr w14:val="tx1"/>
                  </w14:solidFill>
                </w14:textFill>
              </w:rPr>
              <w:t>扩建</w:t>
            </w:r>
          </w:p>
          <w:p w14:paraId="7F09B6C5">
            <w:pPr>
              <w:jc w:val="left"/>
              <w:rPr>
                <w:rFonts w:hint="default" w:ascii="Times New Roman" w:hAnsi="Times New Roman" w:cs="Times New Roman"/>
                <w:color w:val="000000" w:themeColor="text1"/>
                <w:szCs w:val="21"/>
                <w14:textFill>
                  <w14:solidFill>
                    <w14:schemeClr w14:val="tx1"/>
                  </w14:solidFill>
                </w14:textFill>
              </w:rPr>
            </w:pPr>
            <w:r>
              <w:rPr>
                <w:rFonts w:hint="eastAsia" w:cs="Times New Roman"/>
                <w:color w:val="000000" w:themeColor="text1"/>
                <w:szCs w:val="21"/>
                <w:lang w:eastAsia="zh-CN"/>
                <w14:textFill>
                  <w14:solidFill>
                    <w14:schemeClr w14:val="tx1"/>
                  </w14:solidFill>
                </w14:textFill>
              </w:rPr>
              <w:t>□</w:t>
            </w:r>
            <w:r>
              <w:rPr>
                <w:rFonts w:hint="default" w:ascii="Times New Roman" w:hAnsi="Times New Roman" w:cs="Times New Roman"/>
                <w:color w:val="000000" w:themeColor="text1"/>
                <w:szCs w:val="21"/>
                <w14:textFill>
                  <w14:solidFill>
                    <w14:schemeClr w14:val="tx1"/>
                  </w14:solidFill>
                </w14:textFill>
              </w:rPr>
              <w:t>技术改造</w:t>
            </w:r>
          </w:p>
        </w:tc>
        <w:tc>
          <w:tcPr>
            <w:tcW w:w="2314" w:type="dxa"/>
            <w:noWrap w:val="0"/>
            <w:vAlign w:val="center"/>
          </w:tcPr>
          <w:p w14:paraId="0D6EE993">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建设项目</w:t>
            </w:r>
          </w:p>
          <w:p w14:paraId="495C56B3">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申报情形</w:t>
            </w:r>
          </w:p>
        </w:tc>
        <w:tc>
          <w:tcPr>
            <w:tcW w:w="3044" w:type="dxa"/>
            <w:noWrap w:val="0"/>
            <w:vAlign w:val="center"/>
          </w:tcPr>
          <w:p w14:paraId="02BAD0C8">
            <w:pPr>
              <w:jc w:val="lef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sym w:font="Wingdings 2" w:char="0052"/>
            </w:r>
            <w:r>
              <w:rPr>
                <w:rFonts w:hint="default" w:ascii="Times New Roman" w:hAnsi="Times New Roman" w:cs="Times New Roman"/>
                <w:color w:val="000000" w:themeColor="text1"/>
                <w:szCs w:val="21"/>
                <w14:textFill>
                  <w14:solidFill>
                    <w14:schemeClr w14:val="tx1"/>
                  </w14:solidFill>
                </w14:textFill>
              </w:rPr>
              <w:t xml:space="preserve">首次申报项目             </w:t>
            </w:r>
          </w:p>
          <w:p w14:paraId="011A479A">
            <w:pPr>
              <w:jc w:val="left"/>
              <w:rPr>
                <w:rFonts w:hint="default" w:ascii="Times New Roman" w:hAnsi="Times New Roman" w:cs="Times New Roman"/>
                <w:color w:val="000000" w:themeColor="text1"/>
                <w:szCs w:val="21"/>
                <w14:textFill>
                  <w14:solidFill>
                    <w14:schemeClr w14:val="tx1"/>
                  </w14:solidFill>
                </w14:textFill>
              </w:rPr>
            </w:pPr>
            <w:r>
              <w:rPr>
                <w:rFonts w:hint="eastAsia" w:cs="Times New Roman"/>
                <w:color w:val="000000" w:themeColor="text1"/>
                <w:szCs w:val="21"/>
                <w:lang w:eastAsia="zh-CN"/>
                <w14:textFill>
                  <w14:solidFill>
                    <w14:schemeClr w14:val="tx1"/>
                  </w14:solidFill>
                </w14:textFill>
              </w:rPr>
              <w:t>□</w:t>
            </w:r>
            <w:r>
              <w:rPr>
                <w:rFonts w:hint="default" w:ascii="Times New Roman" w:hAnsi="Times New Roman" w:cs="Times New Roman"/>
                <w:color w:val="000000" w:themeColor="text1"/>
                <w:szCs w:val="21"/>
                <w14:textFill>
                  <w14:solidFill>
                    <w14:schemeClr w14:val="tx1"/>
                  </w14:solidFill>
                </w14:textFill>
              </w:rPr>
              <w:t>不予批准后再次申报项目</w:t>
            </w:r>
          </w:p>
          <w:p w14:paraId="1B5F2A4A">
            <w:pPr>
              <w:jc w:val="left"/>
              <w:rPr>
                <w:rFonts w:hint="default" w:ascii="Times New Roman" w:hAnsi="Times New Roman" w:cs="Times New Roman"/>
                <w:color w:val="000000" w:themeColor="text1"/>
                <w:szCs w:val="21"/>
                <w14:textFill>
                  <w14:solidFill>
                    <w14:schemeClr w14:val="tx1"/>
                  </w14:solidFill>
                </w14:textFill>
              </w:rPr>
            </w:pPr>
            <w:r>
              <w:rPr>
                <w:rFonts w:hint="eastAsia" w:cs="Times New Roman"/>
                <w:color w:val="000000" w:themeColor="text1"/>
                <w:szCs w:val="21"/>
                <w:lang w:eastAsia="zh-CN"/>
                <w14:textFill>
                  <w14:solidFill>
                    <w14:schemeClr w14:val="tx1"/>
                  </w14:solidFill>
                </w14:textFill>
              </w:rPr>
              <w:t>□</w:t>
            </w:r>
            <w:r>
              <w:rPr>
                <w:rFonts w:hint="default" w:ascii="Times New Roman" w:hAnsi="Times New Roman" w:cs="Times New Roman"/>
                <w:color w:val="000000" w:themeColor="text1"/>
                <w:szCs w:val="21"/>
                <w14:textFill>
                  <w14:solidFill>
                    <w14:schemeClr w14:val="tx1"/>
                  </w14:solidFill>
                </w14:textFill>
              </w:rPr>
              <w:t xml:space="preserve">超五年重新审核项目     </w:t>
            </w:r>
          </w:p>
          <w:p w14:paraId="0BA7F064">
            <w:pPr>
              <w:jc w:val="left"/>
              <w:rPr>
                <w:rFonts w:hint="default" w:ascii="Times New Roman" w:hAnsi="Times New Roman" w:cs="Times New Roman"/>
                <w:color w:val="000000" w:themeColor="text1"/>
                <w:szCs w:val="21"/>
                <w14:textFill>
                  <w14:solidFill>
                    <w14:schemeClr w14:val="tx1"/>
                  </w14:solidFill>
                </w14:textFill>
              </w:rPr>
            </w:pPr>
            <w:r>
              <w:rPr>
                <w:rFonts w:hint="eastAsia" w:cs="Times New Roman"/>
                <w:color w:val="000000" w:themeColor="text1"/>
                <w:szCs w:val="21"/>
                <w:lang w:eastAsia="zh-CN"/>
                <w14:textFill>
                  <w14:solidFill>
                    <w14:schemeClr w14:val="tx1"/>
                  </w14:solidFill>
                </w14:textFill>
              </w:rPr>
              <w:t>□</w:t>
            </w:r>
            <w:r>
              <w:rPr>
                <w:rFonts w:hint="default" w:ascii="Times New Roman" w:hAnsi="Times New Roman" w:cs="Times New Roman"/>
                <w:color w:val="000000" w:themeColor="text1"/>
                <w:szCs w:val="21"/>
                <w14:textFill>
                  <w14:solidFill>
                    <w14:schemeClr w14:val="tx1"/>
                  </w14:solidFill>
                </w14:textFill>
              </w:rPr>
              <w:t>重大变动重新报批项目</w:t>
            </w:r>
          </w:p>
        </w:tc>
      </w:tr>
      <w:tr w14:paraId="1C6A73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24" w:hRule="atLeast"/>
          <w:jc w:val="center"/>
        </w:trPr>
        <w:tc>
          <w:tcPr>
            <w:tcW w:w="1030" w:type="dxa"/>
            <w:noWrap w:val="0"/>
            <w:tcMar>
              <w:top w:w="16" w:type="dxa"/>
              <w:left w:w="16" w:type="dxa"/>
              <w:right w:w="16" w:type="dxa"/>
            </w:tcMar>
            <w:vAlign w:val="center"/>
          </w:tcPr>
          <w:p w14:paraId="0431B050">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项目备案部门</w:t>
            </w:r>
          </w:p>
        </w:tc>
        <w:tc>
          <w:tcPr>
            <w:tcW w:w="2482" w:type="dxa"/>
            <w:noWrap w:val="0"/>
            <w:vAlign w:val="center"/>
          </w:tcPr>
          <w:p w14:paraId="11A9E79A">
            <w:pPr>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凤翔高新技术产业开发区管理委员会</w:t>
            </w:r>
          </w:p>
        </w:tc>
        <w:tc>
          <w:tcPr>
            <w:tcW w:w="2314" w:type="dxa"/>
            <w:noWrap w:val="0"/>
            <w:vAlign w:val="center"/>
          </w:tcPr>
          <w:p w14:paraId="372FC111">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项目备案文号</w:t>
            </w:r>
          </w:p>
        </w:tc>
        <w:tc>
          <w:tcPr>
            <w:tcW w:w="3044" w:type="dxa"/>
            <w:noWrap w:val="0"/>
            <w:vAlign w:val="center"/>
          </w:tcPr>
          <w:p w14:paraId="21FC5925">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w:t>
            </w:r>
          </w:p>
        </w:tc>
      </w:tr>
      <w:tr w14:paraId="55D99E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030" w:type="dxa"/>
            <w:noWrap w:val="0"/>
            <w:tcMar>
              <w:top w:w="16" w:type="dxa"/>
              <w:left w:w="16" w:type="dxa"/>
              <w:right w:w="16" w:type="dxa"/>
            </w:tcMar>
            <w:vAlign w:val="center"/>
          </w:tcPr>
          <w:p w14:paraId="26955C92">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总投资（万元）</w:t>
            </w:r>
          </w:p>
        </w:tc>
        <w:tc>
          <w:tcPr>
            <w:tcW w:w="2482" w:type="dxa"/>
            <w:noWrap w:val="0"/>
            <w:vAlign w:val="center"/>
          </w:tcPr>
          <w:p w14:paraId="6CBD9B3F">
            <w:pPr>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1000</w:t>
            </w:r>
          </w:p>
        </w:tc>
        <w:tc>
          <w:tcPr>
            <w:tcW w:w="2314" w:type="dxa"/>
            <w:noWrap w:val="0"/>
            <w:tcMar>
              <w:top w:w="16" w:type="dxa"/>
              <w:left w:w="16" w:type="dxa"/>
              <w:right w:w="16" w:type="dxa"/>
            </w:tcMar>
            <w:vAlign w:val="center"/>
          </w:tcPr>
          <w:p w14:paraId="0EEC5A67">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环保投资（万元）</w:t>
            </w:r>
          </w:p>
        </w:tc>
        <w:tc>
          <w:tcPr>
            <w:tcW w:w="3044" w:type="dxa"/>
            <w:noWrap w:val="0"/>
            <w:vAlign w:val="center"/>
          </w:tcPr>
          <w:p w14:paraId="7B5171BB">
            <w:pPr>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35</w:t>
            </w:r>
          </w:p>
        </w:tc>
      </w:tr>
      <w:tr w14:paraId="65918B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07" w:hRule="atLeast"/>
          <w:jc w:val="center"/>
        </w:trPr>
        <w:tc>
          <w:tcPr>
            <w:tcW w:w="1030" w:type="dxa"/>
            <w:noWrap w:val="0"/>
            <w:tcMar>
              <w:top w:w="16" w:type="dxa"/>
              <w:left w:w="16" w:type="dxa"/>
              <w:right w:w="16" w:type="dxa"/>
            </w:tcMar>
            <w:vAlign w:val="center"/>
          </w:tcPr>
          <w:p w14:paraId="5DB4EE4C">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环保投资占比（%）</w:t>
            </w:r>
          </w:p>
        </w:tc>
        <w:tc>
          <w:tcPr>
            <w:tcW w:w="2482" w:type="dxa"/>
            <w:noWrap w:val="0"/>
            <w:vAlign w:val="center"/>
          </w:tcPr>
          <w:p w14:paraId="0826F910">
            <w:pPr>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3.5</w:t>
            </w:r>
          </w:p>
        </w:tc>
        <w:tc>
          <w:tcPr>
            <w:tcW w:w="2314" w:type="dxa"/>
            <w:noWrap w:val="0"/>
            <w:tcMar>
              <w:top w:w="16" w:type="dxa"/>
              <w:left w:w="16" w:type="dxa"/>
              <w:right w:w="16" w:type="dxa"/>
            </w:tcMar>
            <w:vAlign w:val="center"/>
          </w:tcPr>
          <w:p w14:paraId="621D2BA7">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施工工期</w:t>
            </w:r>
          </w:p>
        </w:tc>
        <w:tc>
          <w:tcPr>
            <w:tcW w:w="3044" w:type="dxa"/>
            <w:noWrap w:val="0"/>
            <w:vAlign w:val="center"/>
          </w:tcPr>
          <w:p w14:paraId="77F7D722">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2</w:t>
            </w:r>
            <w:r>
              <w:rPr>
                <w:rFonts w:hint="default" w:ascii="Times New Roman" w:hAnsi="Times New Roman" w:cs="Times New Roman"/>
                <w:color w:val="000000" w:themeColor="text1"/>
                <w:szCs w:val="21"/>
                <w14:textFill>
                  <w14:solidFill>
                    <w14:schemeClr w14:val="tx1"/>
                  </w14:solidFill>
                </w14:textFill>
              </w:rPr>
              <w:t>个月</w:t>
            </w:r>
          </w:p>
        </w:tc>
      </w:tr>
      <w:tr w14:paraId="5CCC44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19" w:hRule="atLeast"/>
          <w:jc w:val="center"/>
        </w:trPr>
        <w:tc>
          <w:tcPr>
            <w:tcW w:w="1030" w:type="dxa"/>
            <w:noWrap w:val="0"/>
            <w:tcMar>
              <w:top w:w="16" w:type="dxa"/>
              <w:left w:w="16" w:type="dxa"/>
              <w:right w:w="16" w:type="dxa"/>
            </w:tcMar>
            <w:vAlign w:val="center"/>
          </w:tcPr>
          <w:p w14:paraId="53E659B8">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是否开工建设</w:t>
            </w:r>
          </w:p>
        </w:tc>
        <w:tc>
          <w:tcPr>
            <w:tcW w:w="2482" w:type="dxa"/>
            <w:noWrap w:val="0"/>
            <w:vAlign w:val="center"/>
          </w:tcPr>
          <w:p w14:paraId="1A6358BD">
            <w:pPr>
              <w:adjustRightInd w:val="0"/>
              <w:snapToGrid w:val="0"/>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sym w:font="Wingdings 2" w:char="0052"/>
            </w:r>
            <w:r>
              <w:rPr>
                <w:rFonts w:hint="default" w:ascii="Times New Roman" w:hAnsi="Times New Roman" w:cs="Times New Roman"/>
                <w:color w:val="000000" w:themeColor="text1"/>
                <w:szCs w:val="21"/>
                <w14:textFill>
                  <w14:solidFill>
                    <w14:schemeClr w14:val="tx1"/>
                  </w14:solidFill>
                </w14:textFill>
              </w:rPr>
              <w:t>否</w:t>
            </w:r>
          </w:p>
          <w:p w14:paraId="6F413CE5">
            <w:pPr>
              <w:adjustRightInd w:val="0"/>
              <w:snapToGrid w:val="0"/>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sym w:font="Wingdings 2" w:char="00A3"/>
            </w:r>
            <w:r>
              <w:rPr>
                <w:rFonts w:hint="default" w:ascii="Times New Roman" w:hAnsi="Times New Roman" w:cs="Times New Roman"/>
                <w:color w:val="000000" w:themeColor="text1"/>
                <w:szCs w:val="21"/>
                <w14:textFill>
                  <w14:solidFill>
                    <w14:schemeClr w14:val="tx1"/>
                  </w14:solidFill>
                </w14:textFill>
              </w:rPr>
              <w:t>是：</w:t>
            </w:r>
            <w:r>
              <w:rPr>
                <w:rFonts w:hint="default" w:ascii="Times New Roman" w:hAnsi="Times New Roman" w:cs="Times New Roman"/>
                <w:color w:val="000000" w:themeColor="text1"/>
                <w:szCs w:val="21"/>
                <w:u w:val="single"/>
                <w:lang w:val="en-US" w:eastAsia="zh-CN"/>
                <w14:textFill>
                  <w14:solidFill>
                    <w14:schemeClr w14:val="tx1"/>
                  </w14:solidFill>
                </w14:textFill>
              </w:rPr>
              <w:t xml:space="preserve">   </w:t>
            </w:r>
          </w:p>
        </w:tc>
        <w:tc>
          <w:tcPr>
            <w:tcW w:w="2314" w:type="dxa"/>
            <w:noWrap w:val="0"/>
            <w:tcMar>
              <w:top w:w="16" w:type="dxa"/>
              <w:left w:w="16" w:type="dxa"/>
              <w:right w:w="16" w:type="dxa"/>
            </w:tcMar>
            <w:vAlign w:val="center"/>
          </w:tcPr>
          <w:p w14:paraId="0A2471E8">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用地面积（m</w:t>
            </w:r>
            <w:r>
              <w:rPr>
                <w:rFonts w:hint="default" w:ascii="Times New Roman" w:hAnsi="Times New Roman" w:cs="Times New Roman"/>
                <w:color w:val="000000" w:themeColor="text1"/>
                <w:szCs w:val="21"/>
                <w:vertAlign w:val="superscript"/>
                <w14:textFill>
                  <w14:solidFill>
                    <w14:schemeClr w14:val="tx1"/>
                  </w14:solidFill>
                </w14:textFill>
              </w:rPr>
              <w:t>2</w:t>
            </w:r>
            <w:r>
              <w:rPr>
                <w:rFonts w:hint="default" w:ascii="Times New Roman" w:hAnsi="Times New Roman" w:cs="Times New Roman"/>
                <w:color w:val="000000" w:themeColor="text1"/>
                <w:szCs w:val="21"/>
                <w14:textFill>
                  <w14:solidFill>
                    <w14:schemeClr w14:val="tx1"/>
                  </w14:solidFill>
                </w14:textFill>
              </w:rPr>
              <w:t>）</w:t>
            </w:r>
          </w:p>
        </w:tc>
        <w:tc>
          <w:tcPr>
            <w:tcW w:w="3044" w:type="dxa"/>
            <w:noWrap w:val="0"/>
            <w:vAlign w:val="center"/>
          </w:tcPr>
          <w:p w14:paraId="0817A2CC">
            <w:pPr>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1976.4</w:t>
            </w:r>
          </w:p>
        </w:tc>
      </w:tr>
      <w:tr w14:paraId="620640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1030" w:type="dxa"/>
            <w:noWrap w:val="0"/>
            <w:vAlign w:val="center"/>
          </w:tcPr>
          <w:p w14:paraId="04D282AA">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专项评价设置情况</w:t>
            </w:r>
          </w:p>
        </w:tc>
        <w:tc>
          <w:tcPr>
            <w:tcW w:w="7840" w:type="dxa"/>
            <w:gridSpan w:val="3"/>
            <w:noWrap w:val="0"/>
            <w:vAlign w:val="center"/>
          </w:tcPr>
          <w:p w14:paraId="5198ACA6">
            <w:pPr>
              <w:autoSpaceDE w:val="0"/>
              <w:autoSpaceDN w:val="0"/>
              <w:adjustRightInd w:val="0"/>
              <w:snapToGrid w:val="0"/>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cs="Times New Roman"/>
                <w:color w:val="000000" w:themeColor="text1"/>
                <w:kern w:val="0"/>
                <w:szCs w:val="21"/>
                <w:lang w:val="en-US" w:eastAsia="zh-CN"/>
                <w14:textFill>
                  <w14:solidFill>
                    <w14:schemeClr w14:val="tx1"/>
                  </w14:solidFill>
                </w14:textFill>
              </w:rPr>
              <w:t>无</w:t>
            </w:r>
          </w:p>
        </w:tc>
      </w:tr>
      <w:tr w14:paraId="4D301C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030" w:type="dxa"/>
            <w:noWrap w:val="0"/>
            <w:vAlign w:val="center"/>
          </w:tcPr>
          <w:p w14:paraId="33B96726">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规划情况</w:t>
            </w:r>
          </w:p>
        </w:tc>
        <w:tc>
          <w:tcPr>
            <w:tcW w:w="7840" w:type="dxa"/>
            <w:gridSpan w:val="3"/>
            <w:noWrap w:val="0"/>
            <w:vAlign w:val="center"/>
          </w:tcPr>
          <w:p w14:paraId="125E5295">
            <w:pPr>
              <w:pStyle w:val="128"/>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36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2"/>
                <w:szCs w:val="21"/>
                <w:lang w:val="en-US" w:eastAsia="zh-CN" w:bidi="ar-SA"/>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无</w:t>
            </w:r>
          </w:p>
        </w:tc>
      </w:tr>
      <w:tr w14:paraId="50D1BA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030" w:type="dxa"/>
            <w:noWrap w:val="0"/>
            <w:vAlign w:val="center"/>
          </w:tcPr>
          <w:p w14:paraId="6FCAF625">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规划环境影响</w:t>
            </w:r>
          </w:p>
          <w:p w14:paraId="773AF08C">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评价情况</w:t>
            </w:r>
          </w:p>
        </w:tc>
        <w:tc>
          <w:tcPr>
            <w:tcW w:w="7840" w:type="dxa"/>
            <w:gridSpan w:val="3"/>
            <w:noWrap w:val="0"/>
            <w:vAlign w:val="center"/>
          </w:tcPr>
          <w:p w14:paraId="2AD8B3D7">
            <w:pPr>
              <w:autoSpaceDE w:val="0"/>
              <w:autoSpaceDN w:val="0"/>
              <w:adjustRightInd w:val="0"/>
              <w:snapToGrid w:val="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无</w:t>
            </w:r>
          </w:p>
        </w:tc>
      </w:tr>
      <w:tr w14:paraId="4675D4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1030" w:type="dxa"/>
            <w:noWrap w:val="0"/>
            <w:vAlign w:val="center"/>
          </w:tcPr>
          <w:p w14:paraId="546F4226">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规划及规划环境影响评价符合性分析</w:t>
            </w:r>
          </w:p>
        </w:tc>
        <w:tc>
          <w:tcPr>
            <w:tcW w:w="7840" w:type="dxa"/>
            <w:gridSpan w:val="3"/>
            <w:noWrap w:val="0"/>
            <w:vAlign w:val="center"/>
          </w:tcPr>
          <w:p w14:paraId="6B126693">
            <w:pPr>
              <w:autoSpaceDE w:val="0"/>
              <w:autoSpaceDN w:val="0"/>
              <w:adjustRightInd w:val="0"/>
              <w:snapToGrid w:val="0"/>
              <w:jc w:val="center"/>
              <w:rPr>
                <w:rFonts w:hint="default" w:ascii="Times New Roman" w:hAnsi="Times New Roman" w:cs="Times New Roman"/>
                <w:color w:val="000000" w:themeColor="text1"/>
                <w:kern w:val="0"/>
                <w:szCs w:val="21"/>
                <w:lang w:val="en-US" w:eastAsia="zh-CN"/>
                <w14:textFill>
                  <w14:solidFill>
                    <w14:schemeClr w14:val="tx1"/>
                  </w14:solidFill>
                </w14:textFill>
              </w:rPr>
            </w:pPr>
            <w:r>
              <w:rPr>
                <w:rFonts w:hint="default" w:ascii="Times New Roman" w:hAnsi="Times New Roman" w:cs="Times New Roman"/>
                <w:color w:val="000000" w:themeColor="text1"/>
                <w:kern w:val="0"/>
                <w:szCs w:val="21"/>
                <w:lang w:val="en-US" w:eastAsia="zh-CN"/>
                <w14:textFill>
                  <w14:solidFill>
                    <w14:schemeClr w14:val="tx1"/>
                  </w14:solidFill>
                </w14:textFill>
              </w:rPr>
              <w:t>无</w:t>
            </w:r>
          </w:p>
        </w:tc>
      </w:tr>
      <w:tr w14:paraId="70D48C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285" w:hRule="atLeast"/>
          <w:jc w:val="center"/>
        </w:trPr>
        <w:tc>
          <w:tcPr>
            <w:tcW w:w="1030" w:type="dxa"/>
            <w:noWrap w:val="0"/>
            <w:vAlign w:val="center"/>
          </w:tcPr>
          <w:p w14:paraId="5F9EF411">
            <w:pPr>
              <w:autoSpaceDE w:val="0"/>
              <w:autoSpaceDN w:val="0"/>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其他符合性分析</w:t>
            </w:r>
          </w:p>
        </w:tc>
        <w:tc>
          <w:tcPr>
            <w:tcW w:w="7840" w:type="dxa"/>
            <w:gridSpan w:val="3"/>
            <w:noWrap w:val="0"/>
            <w:vAlign w:val="center"/>
          </w:tcPr>
          <w:p w14:paraId="7E7AC19F">
            <w:pPr>
              <w:keepNext/>
              <w:keepLines/>
              <w:widowControl/>
              <w:adjustRightInd w:val="0"/>
              <w:snapToGrid w:val="0"/>
              <w:spacing w:line="360" w:lineRule="auto"/>
              <w:jc w:val="left"/>
              <w:outlineLvl w:val="1"/>
              <w:rPr>
                <w:rFonts w:hint="default" w:ascii="Times New Roman" w:hAnsi="Times New Roman" w:eastAsia="黑体" w:cs="Times New Roman"/>
                <w:bCs/>
                <w:color w:val="000000" w:themeColor="text1"/>
                <w:sz w:val="24"/>
                <w:szCs w:val="28"/>
                <w14:textFill>
                  <w14:solidFill>
                    <w14:schemeClr w14:val="tx1"/>
                  </w14:solidFill>
                </w14:textFill>
              </w:rPr>
            </w:pPr>
            <w:r>
              <w:rPr>
                <w:rFonts w:hint="default" w:ascii="Times New Roman" w:hAnsi="Times New Roman" w:eastAsia="黑体" w:cs="Times New Roman"/>
                <w:bCs/>
                <w:color w:val="000000" w:themeColor="text1"/>
                <w:sz w:val="24"/>
                <w:szCs w:val="28"/>
                <w:lang w:val="en-US" w:eastAsia="zh-CN"/>
                <w14:textFill>
                  <w14:solidFill>
                    <w14:schemeClr w14:val="tx1"/>
                  </w14:solidFill>
                </w14:textFill>
              </w:rPr>
              <w:t>1.</w:t>
            </w:r>
            <w:r>
              <w:rPr>
                <w:rFonts w:hint="default" w:ascii="Times New Roman" w:hAnsi="Times New Roman" w:eastAsia="黑体" w:cs="Times New Roman"/>
                <w:bCs/>
                <w:color w:val="000000" w:themeColor="text1"/>
                <w:sz w:val="24"/>
                <w:szCs w:val="28"/>
                <w14:textFill>
                  <w14:solidFill>
                    <w14:schemeClr w14:val="tx1"/>
                  </w14:solidFill>
                </w14:textFill>
              </w:rPr>
              <w:t>建设项目所在地</w:t>
            </w:r>
            <w:r>
              <w:rPr>
                <w:rFonts w:hint="default" w:ascii="Times New Roman" w:hAnsi="Times New Roman" w:eastAsia="黑体" w:cs="Times New Roman"/>
                <w:bCs/>
                <w:color w:val="000000" w:themeColor="text1"/>
                <w:sz w:val="24"/>
                <w:szCs w:val="28"/>
                <w:lang w:eastAsia="zh-CN"/>
                <w14:textFill>
                  <w14:solidFill>
                    <w14:schemeClr w14:val="tx1"/>
                  </w14:solidFill>
                </w14:textFill>
              </w:rPr>
              <w:t>“</w:t>
            </w:r>
            <w:r>
              <w:rPr>
                <w:rFonts w:hint="eastAsia" w:eastAsia="黑体" w:cs="Times New Roman"/>
                <w:bCs/>
                <w:color w:val="000000" w:themeColor="text1"/>
                <w:sz w:val="24"/>
                <w:szCs w:val="28"/>
                <w:lang w:val="en-US" w:eastAsia="zh-CN"/>
                <w14:textFill>
                  <w14:solidFill>
                    <w14:schemeClr w14:val="tx1"/>
                  </w14:solidFill>
                </w14:textFill>
              </w:rPr>
              <w:t>生态环境分区管控</w:t>
            </w:r>
            <w:r>
              <w:rPr>
                <w:rFonts w:hint="default" w:ascii="Times New Roman" w:hAnsi="Times New Roman" w:eastAsia="黑体" w:cs="Times New Roman"/>
                <w:bCs/>
                <w:color w:val="000000" w:themeColor="text1"/>
                <w:sz w:val="24"/>
                <w:szCs w:val="28"/>
                <w:lang w:eastAsia="zh-CN"/>
                <w14:textFill>
                  <w14:solidFill>
                    <w14:schemeClr w14:val="tx1"/>
                  </w14:solidFill>
                </w14:textFill>
              </w:rPr>
              <w:t>”</w:t>
            </w:r>
            <w:r>
              <w:rPr>
                <w:rFonts w:hint="default" w:ascii="Times New Roman" w:hAnsi="Times New Roman" w:eastAsia="黑体" w:cs="Times New Roman"/>
                <w:bCs/>
                <w:color w:val="000000" w:themeColor="text1"/>
                <w:sz w:val="24"/>
                <w:szCs w:val="28"/>
                <w14:textFill>
                  <w14:solidFill>
                    <w14:schemeClr w14:val="tx1"/>
                  </w14:solidFill>
                </w14:textFill>
              </w:rPr>
              <w:t>符合性分析</w:t>
            </w:r>
          </w:p>
          <w:p w14:paraId="656CA145">
            <w:pPr>
              <w:numPr>
                <w:ilvl w:val="0"/>
                <w:numId w:val="0"/>
              </w:numPr>
              <w:bidi w:val="0"/>
              <w:spacing w:line="360" w:lineRule="auto"/>
              <w:ind w:firstLine="480" w:firstLineChars="200"/>
              <w:jc w:val="both"/>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根据陕西省生态环境厅</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文件</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《陕</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环办发</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〔2022〕</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76</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号〈</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陕西省“三线一单”生态环境分区管理应用技术指南</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环境影响评价（试行）</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，进行建设项目与生态环境分区管控符合性分析，采用一图、一表、一说明的形式表达。</w:t>
            </w:r>
          </w:p>
          <w:p w14:paraId="45714A0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（1）</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一图</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，项目与环境管控单元对照分析示意图</w:t>
            </w:r>
          </w:p>
          <w:p w14:paraId="0C2AD76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根据陕西省“三线一单”数据应用管理平台，形成对照分析示意图，图中所示本项目位于环境管控重点管控单元。管控单元对照分析示意图见下图。</w:t>
            </w:r>
          </w:p>
          <w:p w14:paraId="5ED9C01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1855470</wp:posOffset>
                      </wp:positionH>
                      <wp:positionV relativeFrom="paragraph">
                        <wp:posOffset>2333625</wp:posOffset>
                      </wp:positionV>
                      <wp:extent cx="593090" cy="267335"/>
                      <wp:effectExtent l="294005" t="4445" r="8255" b="261620"/>
                      <wp:wrapNone/>
                      <wp:docPr id="3" name="自选图形 11"/>
                      <wp:cNvGraphicFramePr/>
                      <a:graphic xmlns:a="http://schemas.openxmlformats.org/drawingml/2006/main">
                        <a:graphicData uri="http://schemas.microsoft.com/office/word/2010/wordprocessingShape">
                          <wps:wsp>
                            <wps:cNvSpPr/>
                            <wps:spPr>
                              <a:xfrm>
                                <a:off x="0" y="0"/>
                                <a:ext cx="593090" cy="267335"/>
                              </a:xfrm>
                              <a:prstGeom prst="wedgeRectCallout">
                                <a:avLst>
                                  <a:gd name="adj1" fmla="val -93796"/>
                                  <a:gd name="adj2" fmla="val 135509"/>
                                </a:avLst>
                              </a:prstGeom>
                              <a:solidFill>
                                <a:srgbClr val="FFFFFF"/>
                              </a:solidFill>
                              <a:ln w="9525" cap="flat" cmpd="sng">
                                <a:solidFill>
                                  <a:srgbClr val="000000"/>
                                </a:solidFill>
                                <a:prstDash val="solid"/>
                                <a:miter/>
                                <a:headEnd type="none" w="med" len="med"/>
                                <a:tailEnd type="none" w="med" len="med"/>
                              </a:ln>
                            </wps:spPr>
                            <wps:txbx>
                              <w:txbxContent>
                                <w:p w14:paraId="67B7C92F">
                                  <w:pPr>
                                    <w:rPr>
                                      <w:rFonts w:hint="eastAsia" w:eastAsia="宋体"/>
                                      <w:lang w:val="en-US" w:eastAsia="zh-CN"/>
                                    </w:rPr>
                                  </w:pPr>
                                  <w:r>
                                    <w:rPr>
                                      <w:rFonts w:hint="eastAsia"/>
                                      <w:lang w:val="en-US" w:eastAsia="zh-CN"/>
                                    </w:rPr>
                                    <w:t>项目地</w:t>
                                  </w:r>
                                </w:p>
                              </w:txbxContent>
                            </wps:txbx>
                            <wps:bodyPr vert="horz" wrap="square" anchor="t" anchorCtr="0" upright="1"/>
                          </wps:wsp>
                        </a:graphicData>
                      </a:graphic>
                    </wp:anchor>
                  </w:drawing>
                </mc:Choice>
                <mc:Fallback>
                  <w:pict>
                    <v:shape id="自选图形 11" o:spid="_x0000_s1026" o:spt="61" type="#_x0000_t61" style="position:absolute;left:0pt;margin-left:146.1pt;margin-top:183.75pt;height:21.05pt;width:46.7pt;z-index:251660288;mso-width-relative:page;mso-height-relative:page;" fillcolor="#FFFFFF" filled="t" stroked="t" coordsize="21600,21600" o:gfxdata="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LKd&#10;vIPbAAAACwEAAA8AAAAAAAAAAQAgAAAAIgAAAGRycy9kb3ducmV2LnhtbFBLAQIUABQAAAAIAIdO&#10;4kAfDFWrWQIAAMEEAAAOAAAAAAAAAAEAIAAAACoBAABkcnMvZTJvRG9jLnhtbFBLBQYAAAAABgAG&#10;AFkBAAD1BQAAAAA=&#10;" adj="-9460,40070">
                      <v:fill on="t" focussize="0,0"/>
                      <v:stroke color="#000000" joinstyle="miter"/>
                      <v:imagedata o:title=""/>
                      <o:lock v:ext="edit" aspectratio="f"/>
                      <v:textbox>
                        <w:txbxContent>
                          <w:p w14:paraId="67B7C92F">
                            <w:pPr>
                              <w:rPr>
                                <w:rFonts w:hint="eastAsia" w:eastAsia="宋体"/>
                                <w:lang w:val="en-US" w:eastAsia="zh-CN"/>
                              </w:rPr>
                            </w:pPr>
                            <w:r>
                              <w:rPr>
                                <w:rFonts w:hint="eastAsia"/>
                                <w:lang w:val="en-US" w:eastAsia="zh-CN"/>
                              </w:rPr>
                              <w:t>项目地</w:t>
                            </w:r>
                          </w:p>
                        </w:txbxContent>
                      </v:textbox>
                    </v:shape>
                  </w:pict>
                </mc:Fallback>
              </mc:AlternateConten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drawing>
                <wp:anchor distT="0" distB="0" distL="114300" distR="114300" simplePos="0" relativeHeight="251659264" behindDoc="0" locked="0" layoutInCell="1" allowOverlap="1">
                  <wp:simplePos x="0" y="0"/>
                  <wp:positionH relativeFrom="column">
                    <wp:posOffset>3625850</wp:posOffset>
                  </wp:positionH>
                  <wp:positionV relativeFrom="paragraph">
                    <wp:posOffset>173355</wp:posOffset>
                  </wp:positionV>
                  <wp:extent cx="478790" cy="478790"/>
                  <wp:effectExtent l="0" t="0" r="16510" b="16510"/>
                  <wp:wrapNone/>
                  <wp:docPr id="1" name="图片 11" descr="指北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descr="指北针"/>
                          <pic:cNvPicPr>
                            <a:picLocks noChangeAspect="1"/>
                          </pic:cNvPicPr>
                        </pic:nvPicPr>
                        <pic:blipFill>
                          <a:blip r:embed="rId9"/>
                          <a:stretch>
                            <a:fillRect/>
                          </a:stretch>
                        </pic:blipFill>
                        <pic:spPr>
                          <a:xfrm>
                            <a:off x="0" y="0"/>
                            <a:ext cx="478790" cy="478790"/>
                          </a:xfrm>
                          <a:prstGeom prst="rect">
                            <a:avLst/>
                          </a:prstGeom>
                          <a:noFill/>
                          <a:ln>
                            <a:noFill/>
                          </a:ln>
                        </pic:spPr>
                      </pic:pic>
                    </a:graphicData>
                  </a:graphic>
                </wp:anchor>
              </w:drawing>
            </w:r>
            <w:r>
              <w:rPr>
                <w:color w:val="000000" w:themeColor="text1"/>
                <w14:textFill>
                  <w14:solidFill>
                    <w14:schemeClr w14:val="tx1"/>
                  </w14:solidFill>
                </w14:textFill>
              </w:rPr>
              <w:drawing>
                <wp:inline distT="0" distB="0" distL="114300" distR="114300">
                  <wp:extent cx="3390265" cy="5495290"/>
                  <wp:effectExtent l="0" t="0" r="635" b="10160"/>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pic:cNvPicPr>
                        </pic:nvPicPr>
                        <pic:blipFill>
                          <a:blip r:embed="rId10"/>
                          <a:stretch>
                            <a:fillRect/>
                          </a:stretch>
                        </pic:blipFill>
                        <pic:spPr>
                          <a:xfrm>
                            <a:off x="0" y="0"/>
                            <a:ext cx="3390265" cy="5495290"/>
                          </a:xfrm>
                          <a:prstGeom prst="rect">
                            <a:avLst/>
                          </a:prstGeom>
                          <a:noFill/>
                          <a:ln>
                            <a:noFill/>
                          </a:ln>
                        </pic:spPr>
                      </pic:pic>
                    </a:graphicData>
                  </a:graphic>
                </wp:inline>
              </w:drawing>
            </w:r>
          </w:p>
          <w:p w14:paraId="4CEBE608">
            <w:pPr>
              <w:keepNext/>
              <w:keepLines/>
              <w:pageBreakBefore w:val="0"/>
              <w:widowControl/>
              <w:kinsoku/>
              <w:wordWrap/>
              <w:overflowPunct/>
              <w:topLinePunct w:val="0"/>
              <w:autoSpaceDE/>
              <w:autoSpaceDN/>
              <w:bidi w:val="0"/>
              <w:adjustRightInd w:val="0"/>
              <w:snapToGrid w:val="0"/>
              <w:spacing w:line="240" w:lineRule="auto"/>
              <w:jc w:val="center"/>
              <w:textAlignment w:val="auto"/>
              <w:outlineLvl w:val="1"/>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bCs w:val="0"/>
                <w:color w:val="000000" w:themeColor="text1"/>
                <w:sz w:val="21"/>
                <w:szCs w:val="21"/>
                <w:lang w:val="en-US" w:eastAsia="zh-CN"/>
                <w14:textFill>
                  <w14:solidFill>
                    <w14:schemeClr w14:val="tx1"/>
                  </w14:solidFill>
                </w14:textFill>
              </w:rPr>
              <w:t>图1-1  项目与环境管控单元示意图</w:t>
            </w:r>
          </w:p>
          <w:p w14:paraId="73163A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color w:val="000000" w:themeColor="text1"/>
                <w:sz w:val="21"/>
                <w:szCs w:val="21"/>
                <w14:textFill>
                  <w14:solidFill>
                    <w14:schemeClr w14:val="tx1"/>
                  </w14:solidFill>
                </w14:textFill>
              </w:rPr>
              <w:t>表</w:t>
            </w:r>
            <w:r>
              <w:rPr>
                <w:rFonts w:hint="default" w:ascii="Times New Roman" w:hAnsi="Times New Roman" w:cs="Times New Roman"/>
                <w:b/>
                <w:color w:val="000000" w:themeColor="text1"/>
                <w:sz w:val="21"/>
                <w:szCs w:val="21"/>
                <w:lang w:val="en-US" w:eastAsia="zh-CN"/>
                <w14:textFill>
                  <w14:solidFill>
                    <w14:schemeClr w14:val="tx1"/>
                  </w14:solidFill>
                </w14:textFill>
              </w:rPr>
              <w:t xml:space="preserve">1-1  </w:t>
            </w:r>
            <w:r>
              <w:rPr>
                <w:rFonts w:hint="default" w:ascii="Times New Roman" w:hAnsi="Times New Roman" w:eastAsia="宋体" w:cs="Times New Roman"/>
                <w:b/>
                <w:color w:val="000000" w:themeColor="text1"/>
                <w:sz w:val="21"/>
                <w:szCs w:val="21"/>
                <w14:textFill>
                  <w14:solidFill>
                    <w14:schemeClr w14:val="tx1"/>
                  </w14:solidFill>
                </w14:textFill>
              </w:rPr>
              <w:t>项目与环境管控单元</w:t>
            </w:r>
            <w:r>
              <w:rPr>
                <w:rFonts w:hint="default" w:ascii="Times New Roman" w:hAnsi="Times New Roman" w:eastAsia="宋体" w:cs="Times New Roman"/>
                <w:b/>
                <w:color w:val="000000" w:themeColor="text1"/>
                <w:sz w:val="21"/>
                <w:szCs w:val="21"/>
                <w:lang w:val="en-US" w:eastAsia="zh-CN"/>
                <w14:textFill>
                  <w14:solidFill>
                    <w14:schemeClr w14:val="tx1"/>
                  </w14:solidFill>
                </w14:textFill>
              </w:rPr>
              <w:t>涉及情况</w:t>
            </w:r>
          </w:p>
          <w:tbl>
            <w:tblPr>
              <w:tblStyle w:val="37"/>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97"/>
              <w:gridCol w:w="1898"/>
              <w:gridCol w:w="1898"/>
              <w:gridCol w:w="1898"/>
            </w:tblGrid>
            <w:tr w14:paraId="7D0D4B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50" w:type="pct"/>
                  <w:tcBorders>
                    <w:tl2br w:val="nil"/>
                    <w:tr2bl w:val="nil"/>
                  </w:tcBorders>
                  <w:noWrap w:val="0"/>
                  <w:vAlign w:val="top"/>
                </w:tcPr>
                <w:p w14:paraId="0D26F78C">
                  <w:pPr>
                    <w:adjustRightInd w:val="0"/>
                    <w:snapToGrid w:val="0"/>
                    <w:jc w:val="center"/>
                    <w:rPr>
                      <w:rFonts w:hint="default" w:ascii="Times New Roman" w:hAnsi="Times New Roman" w:eastAsia="宋体" w:cs="Times New Roman"/>
                      <w:b/>
                      <w:bCs w:val="0"/>
                      <w:color w:val="000000" w:themeColor="text1"/>
                      <w:sz w:val="21"/>
                      <w:szCs w:val="21"/>
                      <w:lang w:eastAsia="zh-CN"/>
                      <w14:textFill>
                        <w14:solidFill>
                          <w14:schemeClr w14:val="tx1"/>
                        </w14:solidFill>
                      </w14:textFill>
                    </w:rPr>
                  </w:pPr>
                  <w:r>
                    <w:rPr>
                      <w:rFonts w:hint="default" w:ascii="Times New Roman" w:hAnsi="Times New Roman" w:eastAsia="宋体" w:cs="Times New Roman"/>
                      <w:b/>
                      <w:bCs w:val="0"/>
                      <w:color w:val="000000" w:themeColor="text1"/>
                      <w:sz w:val="21"/>
                      <w:szCs w:val="21"/>
                      <w14:textFill>
                        <w14:solidFill>
                          <w14:schemeClr w14:val="tx1"/>
                        </w14:solidFill>
                      </w14:textFill>
                    </w:rPr>
                    <w:t xml:space="preserve">环境管控单元分类 </w:t>
                  </w:r>
                </w:p>
              </w:tc>
              <w:tc>
                <w:tcPr>
                  <w:tcW w:w="1250" w:type="pct"/>
                  <w:tcBorders>
                    <w:tl2br w:val="nil"/>
                    <w:tr2bl w:val="nil"/>
                  </w:tcBorders>
                  <w:noWrap w:val="0"/>
                  <w:vAlign w:val="top"/>
                </w:tcPr>
                <w:p w14:paraId="4D3732FA">
                  <w:pPr>
                    <w:adjustRightInd w:val="0"/>
                    <w:snapToGrid w:val="0"/>
                    <w:jc w:val="center"/>
                    <w:rPr>
                      <w:rFonts w:hint="default" w:ascii="Times New Roman" w:hAnsi="Times New Roman" w:eastAsia="宋体" w:cs="Times New Roman"/>
                      <w:b/>
                      <w:bCs w:val="0"/>
                      <w:color w:val="000000" w:themeColor="text1"/>
                      <w:sz w:val="21"/>
                      <w:szCs w:val="21"/>
                      <w:lang w:eastAsia="zh-CN"/>
                      <w14:textFill>
                        <w14:solidFill>
                          <w14:schemeClr w14:val="tx1"/>
                        </w14:solidFill>
                      </w14:textFill>
                    </w:rPr>
                  </w:pPr>
                  <w:r>
                    <w:rPr>
                      <w:rFonts w:hint="default" w:ascii="Times New Roman" w:hAnsi="Times New Roman" w:eastAsia="宋体" w:cs="Times New Roman"/>
                      <w:b/>
                      <w:bCs w:val="0"/>
                      <w:color w:val="000000" w:themeColor="text1"/>
                      <w:sz w:val="21"/>
                      <w:szCs w:val="21"/>
                      <w14:textFill>
                        <w14:solidFill>
                          <w14:schemeClr w14:val="tx1"/>
                        </w14:solidFill>
                      </w14:textFill>
                    </w:rPr>
                    <w:t>是否涉及</w:t>
                  </w:r>
                </w:p>
              </w:tc>
              <w:tc>
                <w:tcPr>
                  <w:tcW w:w="1250" w:type="pct"/>
                  <w:tcBorders>
                    <w:tl2br w:val="nil"/>
                    <w:tr2bl w:val="nil"/>
                  </w:tcBorders>
                  <w:noWrap w:val="0"/>
                  <w:vAlign w:val="top"/>
                </w:tcPr>
                <w:p w14:paraId="20E84ED1">
                  <w:pPr>
                    <w:adjustRightInd w:val="0"/>
                    <w:snapToGrid w:val="0"/>
                    <w:jc w:val="center"/>
                    <w:rPr>
                      <w:rFonts w:hint="default" w:ascii="Times New Roman" w:hAnsi="Times New Roman" w:eastAsia="宋体" w:cs="Times New Roman"/>
                      <w:b/>
                      <w:bCs w:val="0"/>
                      <w:color w:val="000000" w:themeColor="text1"/>
                      <w:sz w:val="21"/>
                      <w:szCs w:val="21"/>
                      <w:lang w:eastAsia="zh-CN"/>
                      <w14:textFill>
                        <w14:solidFill>
                          <w14:schemeClr w14:val="tx1"/>
                        </w14:solidFill>
                      </w14:textFill>
                    </w:rPr>
                  </w:pPr>
                  <w:r>
                    <w:rPr>
                      <w:rFonts w:hint="default" w:ascii="Times New Roman" w:hAnsi="Times New Roman" w:eastAsia="宋体" w:cs="Times New Roman"/>
                      <w:b/>
                      <w:bCs w:val="0"/>
                      <w:color w:val="000000" w:themeColor="text1"/>
                      <w:sz w:val="21"/>
                      <w:szCs w:val="21"/>
                      <w14:textFill>
                        <w14:solidFill>
                          <w14:schemeClr w14:val="tx1"/>
                        </w14:solidFill>
                      </w14:textFill>
                    </w:rPr>
                    <w:t>面积</w:t>
                  </w:r>
                </w:p>
              </w:tc>
              <w:tc>
                <w:tcPr>
                  <w:tcW w:w="1250" w:type="pct"/>
                  <w:tcBorders>
                    <w:tl2br w:val="nil"/>
                    <w:tr2bl w:val="nil"/>
                  </w:tcBorders>
                  <w:noWrap w:val="0"/>
                  <w:vAlign w:val="top"/>
                </w:tcPr>
                <w:p w14:paraId="2D8E3EA2">
                  <w:pPr>
                    <w:adjustRightInd w:val="0"/>
                    <w:snapToGrid w:val="0"/>
                    <w:jc w:val="center"/>
                    <w:rPr>
                      <w:rFonts w:hint="default" w:ascii="Times New Roman" w:hAnsi="Times New Roman" w:eastAsia="宋体" w:cs="Times New Roman"/>
                      <w:b/>
                      <w:bCs w:val="0"/>
                      <w:color w:val="000000" w:themeColor="text1"/>
                      <w:sz w:val="21"/>
                      <w:szCs w:val="21"/>
                      <w:lang w:eastAsia="zh-CN"/>
                      <w14:textFill>
                        <w14:solidFill>
                          <w14:schemeClr w14:val="tx1"/>
                        </w14:solidFill>
                      </w14:textFill>
                    </w:rPr>
                  </w:pPr>
                  <w:r>
                    <w:rPr>
                      <w:rFonts w:hint="default" w:ascii="Times New Roman" w:hAnsi="Times New Roman" w:eastAsia="宋体" w:cs="Times New Roman"/>
                      <w:b/>
                      <w:bCs w:val="0"/>
                      <w:color w:val="000000" w:themeColor="text1"/>
                      <w:sz w:val="21"/>
                      <w:szCs w:val="21"/>
                      <w:lang w:eastAsia="zh-CN"/>
                      <w14:textFill>
                        <w14:solidFill>
                          <w14:schemeClr w14:val="tx1"/>
                        </w14:solidFill>
                      </w14:textFill>
                    </w:rPr>
                    <w:t>占比</w:t>
                  </w:r>
                </w:p>
              </w:tc>
            </w:tr>
            <w:tr w14:paraId="4A226C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50" w:type="pct"/>
                  <w:tcBorders>
                    <w:tl2br w:val="nil"/>
                    <w:tr2bl w:val="nil"/>
                  </w:tcBorders>
                  <w:noWrap w:val="0"/>
                  <w:vAlign w:val="top"/>
                </w:tcPr>
                <w:p w14:paraId="2B81E0C6">
                  <w:pPr>
                    <w:adjustRightInd w:val="0"/>
                    <w:snapToGrid w:val="0"/>
                    <w:jc w:val="center"/>
                    <w:rPr>
                      <w:rFonts w:hint="default" w:ascii="Times New Roman" w:hAnsi="Times New Roman" w:eastAsia="宋体" w:cs="Times New Roman"/>
                      <w:bCs/>
                      <w:color w:val="000000" w:themeColor="text1"/>
                      <w:sz w:val="21"/>
                      <w:szCs w:val="21"/>
                      <w:lang w:eastAsia="zh-CN"/>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优先保护单元</w:t>
                  </w:r>
                </w:p>
              </w:tc>
              <w:tc>
                <w:tcPr>
                  <w:tcW w:w="1250" w:type="pct"/>
                  <w:tcBorders>
                    <w:tl2br w:val="nil"/>
                    <w:tr2bl w:val="nil"/>
                  </w:tcBorders>
                  <w:noWrap w:val="0"/>
                  <w:vAlign w:val="top"/>
                </w:tcPr>
                <w:p w14:paraId="643F635E">
                  <w:pPr>
                    <w:adjustRightInd w:val="0"/>
                    <w:snapToGrid w:val="0"/>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否</w:t>
                  </w:r>
                </w:p>
              </w:tc>
              <w:tc>
                <w:tcPr>
                  <w:tcW w:w="1250" w:type="pct"/>
                  <w:tcBorders>
                    <w:tl2br w:val="nil"/>
                    <w:tr2bl w:val="nil"/>
                  </w:tcBorders>
                  <w:noWrap w:val="0"/>
                  <w:vAlign w:val="top"/>
                </w:tcPr>
                <w:p w14:paraId="2486A856">
                  <w:pPr>
                    <w:adjustRightInd w:val="0"/>
                    <w:snapToGrid w:val="0"/>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0平方米</w:t>
                  </w:r>
                </w:p>
              </w:tc>
              <w:tc>
                <w:tcPr>
                  <w:tcW w:w="1250" w:type="pct"/>
                  <w:tcBorders>
                    <w:tl2br w:val="nil"/>
                    <w:tr2bl w:val="nil"/>
                  </w:tcBorders>
                  <w:noWrap w:val="0"/>
                  <w:vAlign w:val="top"/>
                </w:tcPr>
                <w:p w14:paraId="6C1B733A">
                  <w:pPr>
                    <w:adjustRightInd w:val="0"/>
                    <w:snapToGrid w:val="0"/>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0%</w:t>
                  </w:r>
                </w:p>
              </w:tc>
            </w:tr>
            <w:tr w14:paraId="5FC3DD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1250" w:type="pct"/>
                  <w:tcBorders>
                    <w:tl2br w:val="nil"/>
                    <w:tr2bl w:val="nil"/>
                  </w:tcBorders>
                  <w:noWrap w:val="0"/>
                  <w:vAlign w:val="top"/>
                </w:tcPr>
                <w:p w14:paraId="7E2F3017">
                  <w:pPr>
                    <w:adjustRightInd w:val="0"/>
                    <w:snapToGrid w:val="0"/>
                    <w:jc w:val="center"/>
                    <w:rPr>
                      <w:rFonts w:hint="default" w:ascii="Times New Roman" w:hAnsi="Times New Roman" w:eastAsia="宋体" w:cs="Times New Roman"/>
                      <w:bCs/>
                      <w:color w:val="000000" w:themeColor="text1"/>
                      <w:sz w:val="21"/>
                      <w:szCs w:val="21"/>
                      <w:lang w:eastAsia="zh-CN"/>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一般管控单元</w:t>
                  </w:r>
                </w:p>
              </w:tc>
              <w:tc>
                <w:tcPr>
                  <w:tcW w:w="1250" w:type="pct"/>
                  <w:tcBorders>
                    <w:tl2br w:val="nil"/>
                    <w:tr2bl w:val="nil"/>
                  </w:tcBorders>
                  <w:noWrap w:val="0"/>
                  <w:vAlign w:val="top"/>
                </w:tcPr>
                <w:p w14:paraId="2000322A">
                  <w:pPr>
                    <w:adjustRightInd w:val="0"/>
                    <w:snapToGrid w:val="0"/>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否</w:t>
                  </w:r>
                </w:p>
              </w:tc>
              <w:tc>
                <w:tcPr>
                  <w:tcW w:w="1250" w:type="pct"/>
                  <w:tcBorders>
                    <w:tl2br w:val="nil"/>
                    <w:tr2bl w:val="nil"/>
                  </w:tcBorders>
                  <w:noWrap w:val="0"/>
                  <w:vAlign w:val="top"/>
                </w:tcPr>
                <w:p w14:paraId="17767163">
                  <w:pPr>
                    <w:adjustRightInd w:val="0"/>
                    <w:snapToGrid w:val="0"/>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0平方米</w:t>
                  </w:r>
                </w:p>
              </w:tc>
              <w:tc>
                <w:tcPr>
                  <w:tcW w:w="1250" w:type="pct"/>
                  <w:tcBorders>
                    <w:tl2br w:val="nil"/>
                    <w:tr2bl w:val="nil"/>
                  </w:tcBorders>
                  <w:noWrap w:val="0"/>
                  <w:vAlign w:val="top"/>
                </w:tcPr>
                <w:p w14:paraId="4C844044">
                  <w:pPr>
                    <w:adjustRightInd w:val="0"/>
                    <w:snapToGrid w:val="0"/>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0%</w:t>
                  </w:r>
                </w:p>
              </w:tc>
            </w:tr>
            <w:tr w14:paraId="1BFB7D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50" w:type="pct"/>
                  <w:tcBorders>
                    <w:tl2br w:val="nil"/>
                    <w:tr2bl w:val="nil"/>
                  </w:tcBorders>
                  <w:noWrap w:val="0"/>
                  <w:vAlign w:val="top"/>
                </w:tcPr>
                <w:p w14:paraId="49E02C48">
                  <w:pPr>
                    <w:adjustRightInd w:val="0"/>
                    <w:snapToGrid w:val="0"/>
                    <w:jc w:val="center"/>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重点管控单元</w:t>
                  </w:r>
                </w:p>
              </w:tc>
              <w:tc>
                <w:tcPr>
                  <w:tcW w:w="1250" w:type="pct"/>
                  <w:tcBorders>
                    <w:tl2br w:val="nil"/>
                    <w:tr2bl w:val="nil"/>
                  </w:tcBorders>
                  <w:noWrap w:val="0"/>
                  <w:vAlign w:val="top"/>
                </w:tcPr>
                <w:p w14:paraId="37ED8E76">
                  <w:pPr>
                    <w:adjustRightInd w:val="0"/>
                    <w:snapToGrid w:val="0"/>
                    <w:jc w:val="center"/>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是</w:t>
                  </w:r>
                </w:p>
              </w:tc>
              <w:tc>
                <w:tcPr>
                  <w:tcW w:w="1250" w:type="pct"/>
                  <w:tcBorders>
                    <w:tl2br w:val="nil"/>
                    <w:tr2bl w:val="nil"/>
                  </w:tcBorders>
                  <w:noWrap w:val="0"/>
                  <w:vAlign w:val="top"/>
                </w:tcPr>
                <w:p w14:paraId="60562FC2">
                  <w:pPr>
                    <w:adjustRightInd w:val="0"/>
                    <w:snapToGrid w:val="0"/>
                    <w:jc w:val="center"/>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w:t>
                  </w:r>
                  <w:r>
                    <w:rPr>
                      <w:rFonts w:hint="eastAsia" w:cs="Times New Roman"/>
                      <w:color w:val="000000" w:themeColor="text1"/>
                      <w:lang w:val="en-US" w:eastAsia="zh-CN"/>
                      <w14:textFill>
                        <w14:solidFill>
                          <w14:schemeClr w14:val="tx1"/>
                        </w14:solidFill>
                      </w14:textFill>
                    </w:rPr>
                    <w:t>990.84</w:t>
                  </w:r>
                  <w:r>
                    <w:rPr>
                      <w:rFonts w:hint="default" w:ascii="Times New Roman" w:hAnsi="Times New Roman" w:eastAsia="宋体" w:cs="Times New Roman"/>
                      <w:bCs/>
                      <w:color w:val="000000" w:themeColor="text1"/>
                      <w:sz w:val="21"/>
                      <w:szCs w:val="21"/>
                      <w14:textFill>
                        <w14:solidFill>
                          <w14:schemeClr w14:val="tx1"/>
                        </w14:solidFill>
                      </w14:textFill>
                    </w:rPr>
                    <w:t>平方米</w:t>
                  </w:r>
                </w:p>
              </w:tc>
              <w:tc>
                <w:tcPr>
                  <w:tcW w:w="1250" w:type="pct"/>
                  <w:tcBorders>
                    <w:tl2br w:val="nil"/>
                    <w:tr2bl w:val="nil"/>
                  </w:tcBorders>
                  <w:noWrap w:val="0"/>
                  <w:vAlign w:val="top"/>
                </w:tcPr>
                <w:p w14:paraId="34772C91">
                  <w:pPr>
                    <w:adjustRightInd w:val="0"/>
                    <w:snapToGrid w:val="0"/>
                    <w:jc w:val="center"/>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100%</w:t>
                  </w:r>
                </w:p>
              </w:tc>
            </w:tr>
          </w:tbl>
          <w:p w14:paraId="17766FB2">
            <w:pPr>
              <w:numPr>
                <w:ilvl w:val="0"/>
                <w:numId w:val="0"/>
              </w:numPr>
              <w:bidi w:val="0"/>
              <w:spacing w:line="360" w:lineRule="auto"/>
              <w:ind w:firstLine="480" w:firstLineChars="200"/>
              <w:jc w:val="both"/>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（2）“一表”，项目涉及的生态环境管控单元准入清单</w:t>
            </w:r>
          </w:p>
          <w:p w14:paraId="6E37D361">
            <w:pPr>
              <w:numPr>
                <w:ilvl w:val="0"/>
                <w:numId w:val="0"/>
              </w:numPr>
              <w:bidi w:val="0"/>
              <w:spacing w:line="360" w:lineRule="auto"/>
              <w:ind w:firstLine="480" w:firstLineChars="200"/>
              <w:jc w:val="both"/>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根据陕西省“三线一单”数据应用管理平台数据分析，项目涉及环境管控单元管控要求如下。</w:t>
            </w:r>
          </w:p>
          <w:p w14:paraId="1061A677">
            <w:pPr>
              <w:numPr>
                <w:ilvl w:val="0"/>
                <w:numId w:val="0"/>
              </w:numPr>
              <w:bidi w:val="0"/>
              <w:spacing w:line="240" w:lineRule="auto"/>
              <w:ind w:firstLine="422" w:firstLineChars="200"/>
              <w:jc w:val="cente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表1-1  本项目涉及的生态环境管控单元准入清单</w:t>
            </w:r>
          </w:p>
          <w:tbl>
            <w:tblPr>
              <w:tblStyle w:val="36"/>
              <w:tblW w:w="4998"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504"/>
              <w:gridCol w:w="509"/>
              <w:gridCol w:w="509"/>
              <w:gridCol w:w="741"/>
              <w:gridCol w:w="682"/>
              <w:gridCol w:w="3044"/>
              <w:gridCol w:w="1601"/>
            </w:tblGrid>
            <w:tr w14:paraId="6148D2A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332" w:type="pct"/>
                  <w:tcBorders>
                    <w:tl2br w:val="nil"/>
                    <w:tr2bl w:val="nil"/>
                  </w:tcBorders>
                  <w:noWrap w:val="0"/>
                  <w:vAlign w:val="center"/>
                </w:tcPr>
                <w:p w14:paraId="459C9AAA">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序号</w:t>
                  </w:r>
                </w:p>
              </w:tc>
              <w:tc>
                <w:tcPr>
                  <w:tcW w:w="335" w:type="pct"/>
                  <w:tcBorders>
                    <w:tl2br w:val="nil"/>
                    <w:tr2bl w:val="nil"/>
                  </w:tcBorders>
                  <w:noWrap w:val="0"/>
                  <w:vAlign w:val="center"/>
                </w:tcPr>
                <w:p w14:paraId="1B3444CB">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市区</w:t>
                  </w:r>
                </w:p>
              </w:tc>
              <w:tc>
                <w:tcPr>
                  <w:tcW w:w="335" w:type="pct"/>
                  <w:tcBorders>
                    <w:tl2br w:val="nil"/>
                    <w:tr2bl w:val="nil"/>
                  </w:tcBorders>
                  <w:noWrap w:val="0"/>
                  <w:vAlign w:val="center"/>
                </w:tcPr>
                <w:p w14:paraId="76A72097">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区县</w:t>
                  </w:r>
                </w:p>
              </w:tc>
              <w:tc>
                <w:tcPr>
                  <w:tcW w:w="488" w:type="pct"/>
                  <w:tcBorders>
                    <w:tl2br w:val="nil"/>
                    <w:tr2bl w:val="nil"/>
                  </w:tcBorders>
                  <w:noWrap w:val="0"/>
                  <w:vAlign w:val="center"/>
                </w:tcPr>
                <w:p w14:paraId="7E1F058D">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单元要素属性</w:t>
                  </w:r>
                </w:p>
              </w:tc>
              <w:tc>
                <w:tcPr>
                  <w:tcW w:w="449" w:type="pct"/>
                  <w:tcBorders>
                    <w:tl2br w:val="nil"/>
                    <w:tr2bl w:val="nil"/>
                  </w:tcBorders>
                  <w:noWrap w:val="0"/>
                  <w:vAlign w:val="center"/>
                </w:tcPr>
                <w:p w14:paraId="04F1EAA5">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管控要求分类</w:t>
                  </w:r>
                </w:p>
              </w:tc>
              <w:tc>
                <w:tcPr>
                  <w:tcW w:w="2004" w:type="pct"/>
                  <w:tcBorders>
                    <w:tl2br w:val="nil"/>
                    <w:tr2bl w:val="nil"/>
                  </w:tcBorders>
                  <w:noWrap w:val="0"/>
                  <w:vAlign w:val="center"/>
                </w:tcPr>
                <w:p w14:paraId="77650AD1">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管控要求</w:t>
                  </w:r>
                </w:p>
              </w:tc>
              <w:tc>
                <w:tcPr>
                  <w:tcW w:w="1054" w:type="pct"/>
                  <w:tcBorders>
                    <w:tl2br w:val="nil"/>
                    <w:tr2bl w:val="nil"/>
                  </w:tcBorders>
                  <w:noWrap/>
                  <w:vAlign w:val="center"/>
                </w:tcPr>
                <w:p w14:paraId="25340500">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项目情况</w:t>
                  </w:r>
                </w:p>
              </w:tc>
            </w:tr>
            <w:tr w14:paraId="0B464D8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8" w:hRule="atLeast"/>
                <w:jc w:val="center"/>
              </w:trPr>
              <w:tc>
                <w:tcPr>
                  <w:tcW w:w="332" w:type="pct"/>
                  <w:vMerge w:val="restart"/>
                  <w:tcBorders>
                    <w:tl2br w:val="nil"/>
                    <w:tr2bl w:val="nil"/>
                  </w:tcBorders>
                  <w:noWrap w:val="0"/>
                  <w:vAlign w:val="center"/>
                </w:tcPr>
                <w:p w14:paraId="3A88F3D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335" w:type="pct"/>
                  <w:vMerge w:val="restart"/>
                  <w:tcBorders>
                    <w:tl2br w:val="nil"/>
                    <w:tr2bl w:val="nil"/>
                  </w:tcBorders>
                  <w:noWrap w:val="0"/>
                  <w:vAlign w:val="center"/>
                </w:tcPr>
                <w:p w14:paraId="40A3BDD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宝鸡市</w:t>
                  </w:r>
                </w:p>
              </w:tc>
              <w:tc>
                <w:tcPr>
                  <w:tcW w:w="335" w:type="pct"/>
                  <w:vMerge w:val="restart"/>
                  <w:tcBorders>
                    <w:tl2br w:val="nil"/>
                    <w:tr2bl w:val="nil"/>
                  </w:tcBorders>
                  <w:noWrap w:val="0"/>
                  <w:vAlign w:val="center"/>
                </w:tcPr>
                <w:p w14:paraId="49648C7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凤翔区</w:t>
                  </w:r>
                </w:p>
              </w:tc>
              <w:tc>
                <w:tcPr>
                  <w:tcW w:w="488" w:type="pct"/>
                  <w:vMerge w:val="restart"/>
                  <w:tcBorders>
                    <w:tl2br w:val="nil"/>
                    <w:tr2bl w:val="nil"/>
                  </w:tcBorders>
                  <w:noWrap w:val="0"/>
                  <w:vAlign w:val="center"/>
                </w:tcPr>
                <w:p w14:paraId="66321D8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大气环境布局敏感重点管控区、水环境工业污染重点管控</w:t>
                  </w:r>
                </w:p>
                <w:p w14:paraId="2E113BA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区</w:t>
                  </w:r>
                </w:p>
              </w:tc>
              <w:tc>
                <w:tcPr>
                  <w:tcW w:w="449" w:type="pct"/>
                  <w:tcBorders>
                    <w:tl2br w:val="nil"/>
                    <w:tr2bl w:val="nil"/>
                  </w:tcBorders>
                  <w:noWrap w:val="0"/>
                  <w:vAlign w:val="center"/>
                </w:tcPr>
                <w:p w14:paraId="51A1916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sz w:val="21"/>
                      <w:szCs w:val="21"/>
                      <w:u w:val="no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空间布局</w:t>
                  </w:r>
                </w:p>
              </w:tc>
              <w:tc>
                <w:tcPr>
                  <w:tcW w:w="2004" w:type="pct"/>
                  <w:tcBorders>
                    <w:tl2br w:val="nil"/>
                    <w:tr2bl w:val="nil"/>
                  </w:tcBorders>
                  <w:noWrap w:val="0"/>
                  <w:vAlign w:val="center"/>
                </w:tcPr>
                <w:p w14:paraId="1DFF3560">
                  <w:pPr>
                    <w:keepNext w:val="0"/>
                    <w:keepLines w:val="0"/>
                    <w:widowControl/>
                    <w:suppressLineNumbers w:val="0"/>
                    <w:spacing w:line="240" w:lineRule="auto"/>
                    <w:jc w:val="both"/>
                    <w:textAlignment w:val="center"/>
                    <w:rPr>
                      <w:rFonts w:hint="default" w:ascii="Times New Roman" w:hAnsi="Times New Roman" w:eastAsia="宋体" w:cs="Times New Roman"/>
                      <w:b/>
                      <w:bCs/>
                      <w:i w:val="0"/>
                      <w:iCs w:val="0"/>
                      <w:color w:val="000000" w:themeColor="text1"/>
                      <w:sz w:val="21"/>
                      <w:szCs w:val="21"/>
                      <w:u w:val="none"/>
                      <w:lang w:val="en-US" w:eastAsia="zh-CN"/>
                      <w14:textFill>
                        <w14:solidFill>
                          <w14:schemeClr w14:val="tx1"/>
                        </w14:solidFill>
                      </w14:textFill>
                    </w:rPr>
                  </w:pPr>
                  <w:r>
                    <w:rPr>
                      <w:rFonts w:hint="default" w:ascii="Times New Roman" w:hAnsi="Times New Roman" w:eastAsia="宋体" w:cs="Times New Roman"/>
                      <w:b/>
                      <w:bCs/>
                      <w:i w:val="0"/>
                      <w:iCs w:val="0"/>
                      <w:color w:val="000000" w:themeColor="text1"/>
                      <w:sz w:val="21"/>
                      <w:szCs w:val="21"/>
                      <w:u w:val="none"/>
                      <w:lang w:val="en-US" w:eastAsia="zh-CN"/>
                      <w14:textFill>
                        <w14:solidFill>
                          <w14:schemeClr w14:val="tx1"/>
                        </w14:solidFill>
                      </w14:textFill>
                    </w:rPr>
                    <w:t>大气环境高排放重点管控区：</w:t>
                  </w:r>
                </w:p>
                <w:p w14:paraId="23BA3EB3">
                  <w:pPr>
                    <w:keepNext w:val="0"/>
                    <w:keepLines w:val="0"/>
                    <w:widowControl/>
                    <w:numPr>
                      <w:ilvl w:val="0"/>
                      <w:numId w:val="0"/>
                    </w:numPr>
                    <w:suppressLineNumbers w:val="0"/>
                    <w:spacing w:line="240" w:lineRule="auto"/>
                    <w:jc w:val="both"/>
                    <w:textAlignment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r>
                    <w:rPr>
                      <w:rFonts w:hint="default" w:ascii="Times New Roman" w:hAnsi="Times New Roman" w:cs="Times New Roman"/>
                      <w:i w:val="0"/>
                      <w:iCs w:val="0"/>
                      <w:color w:val="000000" w:themeColor="text1"/>
                      <w:sz w:val="21"/>
                      <w:szCs w:val="21"/>
                      <w:u w:val="none"/>
                      <w:lang w:val="en-US" w:eastAsia="zh-CN"/>
                      <w14:textFill>
                        <w14:solidFill>
                          <w14:schemeClr w14:val="tx1"/>
                        </w14:solidFill>
                      </w14:textFill>
                    </w:rPr>
                    <w:t>1.</w:t>
                  </w: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严格控制新增《陕西省</w:t>
                  </w:r>
                  <w:r>
                    <w:rPr>
                      <w:rFonts w:hint="default" w:ascii="Times New Roman" w:hAnsi="Times New Roman" w:cs="Times New Roman"/>
                      <w:i w:val="0"/>
                      <w:iCs w:val="0"/>
                      <w:color w:val="000000" w:themeColor="text1"/>
                      <w:sz w:val="21"/>
                      <w:szCs w:val="21"/>
                      <w:u w:val="none"/>
                      <w:lang w:val="en-US" w:eastAsia="zh-CN"/>
                      <w14:textFill>
                        <w14:solidFill>
                          <w14:schemeClr w14:val="tx1"/>
                        </w14:solidFill>
                      </w14:textFill>
                    </w:rPr>
                    <w:t>“</w:t>
                  </w: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两高</w:t>
                  </w:r>
                  <w:r>
                    <w:rPr>
                      <w:rFonts w:hint="default" w:ascii="Times New Roman" w:hAnsi="Times New Roman" w:cs="Times New Roman"/>
                      <w:i w:val="0"/>
                      <w:iCs w:val="0"/>
                      <w:color w:val="000000" w:themeColor="text1"/>
                      <w:sz w:val="21"/>
                      <w:szCs w:val="21"/>
                      <w:u w:val="none"/>
                      <w:lang w:val="en-US" w:eastAsia="zh-CN"/>
                      <w14:textFill>
                        <w14:solidFill>
                          <w14:schemeClr w14:val="tx1"/>
                        </w14:solidFill>
                      </w14:textFill>
                    </w:rPr>
                    <w:t>”</w:t>
                  </w: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项目管理暂行目录》行业项目（民生等项目除外，后续对</w:t>
                  </w:r>
                  <w:r>
                    <w:rPr>
                      <w:rFonts w:hint="default" w:ascii="Times New Roman" w:hAnsi="Times New Roman" w:cs="Times New Roman"/>
                      <w:i w:val="0"/>
                      <w:iCs w:val="0"/>
                      <w:color w:val="000000" w:themeColor="text1"/>
                      <w:sz w:val="21"/>
                      <w:szCs w:val="21"/>
                      <w:u w:val="none"/>
                      <w:lang w:val="en-US" w:eastAsia="zh-CN"/>
                      <w14:textFill>
                        <w14:solidFill>
                          <w14:schemeClr w14:val="tx1"/>
                        </w14:solidFill>
                      </w14:textFill>
                    </w:rPr>
                    <w:t>“</w:t>
                  </w: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两高</w:t>
                  </w:r>
                  <w:r>
                    <w:rPr>
                      <w:rFonts w:hint="default" w:ascii="Times New Roman" w:hAnsi="Times New Roman" w:cs="Times New Roman"/>
                      <w:i w:val="0"/>
                      <w:iCs w:val="0"/>
                      <w:color w:val="000000" w:themeColor="text1"/>
                      <w:sz w:val="21"/>
                      <w:szCs w:val="21"/>
                      <w:u w:val="none"/>
                      <w:lang w:val="en-US" w:eastAsia="zh-CN"/>
                      <w14:textFill>
                        <w14:solidFill>
                          <w14:schemeClr w14:val="tx1"/>
                        </w14:solidFill>
                      </w14:textFill>
                    </w:rPr>
                    <w:t>”</w:t>
                  </w: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范围国家如有新规定的，从其规定）。</w:t>
                  </w:r>
                </w:p>
                <w:p w14:paraId="59E1D40F">
                  <w:pPr>
                    <w:keepNext w:val="0"/>
                    <w:keepLines w:val="0"/>
                    <w:widowControl/>
                    <w:numPr>
                      <w:ilvl w:val="0"/>
                      <w:numId w:val="0"/>
                    </w:numPr>
                    <w:suppressLineNumbers w:val="0"/>
                    <w:spacing w:line="240" w:lineRule="auto"/>
                    <w:jc w:val="both"/>
                    <w:textAlignment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r>
                    <w:rPr>
                      <w:rFonts w:hint="default" w:ascii="Times New Roman" w:hAnsi="Times New Roman" w:cs="Times New Roman"/>
                      <w:i w:val="0"/>
                      <w:iCs w:val="0"/>
                      <w:color w:val="000000" w:themeColor="text1"/>
                      <w:sz w:val="21"/>
                      <w:szCs w:val="21"/>
                      <w:u w:val="none"/>
                      <w:lang w:val="en-US" w:eastAsia="zh-CN"/>
                      <w14:textFill>
                        <w14:solidFill>
                          <w14:schemeClr w14:val="tx1"/>
                        </w14:solidFill>
                      </w14:textFill>
                    </w:rPr>
                    <w:t>2.</w:t>
                  </w: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严禁新增钢铁、焦化、水泥熟料、平板玻璃、电解铝、氧化铝、煤化工产能。</w:t>
                  </w:r>
                </w:p>
                <w:p w14:paraId="0FA36DD2">
                  <w:pPr>
                    <w:keepNext w:val="0"/>
                    <w:keepLines w:val="0"/>
                    <w:widowControl/>
                    <w:numPr>
                      <w:ilvl w:val="0"/>
                      <w:numId w:val="0"/>
                    </w:numPr>
                    <w:suppressLineNumbers w:val="0"/>
                    <w:spacing w:line="240" w:lineRule="auto"/>
                    <w:jc w:val="both"/>
                    <w:textAlignment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r>
                    <w:rPr>
                      <w:rFonts w:hint="default" w:ascii="Times New Roman" w:hAnsi="Times New Roman" w:cs="Times New Roman"/>
                      <w:i w:val="0"/>
                      <w:iCs w:val="0"/>
                      <w:color w:val="000000" w:themeColor="text1"/>
                      <w:sz w:val="21"/>
                      <w:szCs w:val="21"/>
                      <w:u w:val="none"/>
                      <w:lang w:val="en-US" w:eastAsia="zh-CN"/>
                      <w14:textFill>
                        <w14:solidFill>
                          <w14:schemeClr w14:val="tx1"/>
                        </w14:solidFill>
                      </w14:textFill>
                    </w:rPr>
                    <w:t>3.</w:t>
                  </w: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推动重污染企业搬迁入园或依法关闭，实施工业企业退城搬迁改造。</w:t>
                  </w:r>
                </w:p>
                <w:p w14:paraId="1B99CC3A">
                  <w:pPr>
                    <w:keepNext w:val="0"/>
                    <w:keepLines w:val="0"/>
                    <w:widowControl/>
                    <w:numPr>
                      <w:ilvl w:val="0"/>
                      <w:numId w:val="0"/>
                    </w:numPr>
                    <w:suppressLineNumbers w:val="0"/>
                    <w:spacing w:line="240" w:lineRule="auto"/>
                    <w:jc w:val="both"/>
                    <w:textAlignment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r>
                    <w:rPr>
                      <w:rFonts w:hint="default" w:ascii="Times New Roman" w:hAnsi="Times New Roman" w:eastAsia="宋体" w:cs="Times New Roman"/>
                      <w:b/>
                      <w:bCs/>
                      <w:i w:val="0"/>
                      <w:iCs w:val="0"/>
                      <w:color w:val="000000" w:themeColor="text1"/>
                      <w:sz w:val="21"/>
                      <w:szCs w:val="21"/>
                      <w:u w:val="none"/>
                      <w:lang w:val="en-US" w:eastAsia="zh-CN"/>
                      <w14:textFill>
                        <w14:solidFill>
                          <w14:schemeClr w14:val="tx1"/>
                        </w14:solidFill>
                      </w14:textFill>
                    </w:rPr>
                    <w:t>水环境工业污染重点管控区：</w:t>
                  </w: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根据流域水质目标和主体功能区规划要求，实施差别化环境准入政策，严格限制增加氮磷污染物排放的工业项目。关中地区严格控制新建、扩建化学制浆造纸、化工、印染、果汁和淀粉加工等高耗水、高污染项目。</w:t>
                  </w:r>
                </w:p>
              </w:tc>
              <w:tc>
                <w:tcPr>
                  <w:tcW w:w="1054" w:type="pct"/>
                  <w:tcBorders>
                    <w:tl2br w:val="nil"/>
                    <w:tr2bl w:val="nil"/>
                  </w:tcBorders>
                  <w:noWrap w:val="0"/>
                  <w:vAlign w:val="center"/>
                </w:tcPr>
                <w:p w14:paraId="70119011">
                  <w:pPr>
                    <w:keepNext w:val="0"/>
                    <w:keepLines w:val="0"/>
                    <w:widowControl/>
                    <w:suppressLineNumbers w:val="0"/>
                    <w:spacing w:line="240" w:lineRule="auto"/>
                    <w:jc w:val="both"/>
                    <w:textAlignment w:val="center"/>
                    <w:rPr>
                      <w:rFonts w:hint="default" w:ascii="Times New Roman" w:hAnsi="Times New Roman" w:eastAsia="宋体" w:cs="Times New Roman"/>
                      <w:b/>
                      <w:bCs/>
                      <w:i w:val="0"/>
                      <w:iCs w:val="0"/>
                      <w:color w:val="000000" w:themeColor="text1"/>
                      <w:sz w:val="21"/>
                      <w:szCs w:val="21"/>
                      <w:u w:val="none"/>
                      <w:lang w:val="en-US" w:eastAsia="zh-CN"/>
                      <w14:textFill>
                        <w14:solidFill>
                          <w14:schemeClr w14:val="tx1"/>
                        </w14:solidFill>
                      </w14:textFill>
                    </w:rPr>
                  </w:pPr>
                  <w:r>
                    <w:rPr>
                      <w:rFonts w:hint="default" w:ascii="Times New Roman" w:hAnsi="Times New Roman" w:eastAsia="宋体" w:cs="Times New Roman"/>
                      <w:b/>
                      <w:bCs/>
                      <w:i w:val="0"/>
                      <w:iCs w:val="0"/>
                      <w:color w:val="000000" w:themeColor="text1"/>
                      <w:sz w:val="21"/>
                      <w:szCs w:val="21"/>
                      <w:u w:val="none"/>
                      <w:lang w:val="en-US" w:eastAsia="zh-CN"/>
                      <w14:textFill>
                        <w14:solidFill>
                          <w14:schemeClr w14:val="tx1"/>
                        </w14:solidFill>
                      </w14:textFill>
                    </w:rPr>
                    <w:t>大气环境高排放重点管控区：</w:t>
                  </w:r>
                </w:p>
                <w:p w14:paraId="223AD3B0">
                  <w:pPr>
                    <w:numPr>
                      <w:ilvl w:val="0"/>
                      <w:numId w:val="0"/>
                    </w:numPr>
                    <w:spacing w:line="240" w:lineRule="auto"/>
                    <w:jc w:val="both"/>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r>
                    <w:rPr>
                      <w:rFonts w:hint="default" w:ascii="Times New Roman" w:hAnsi="Times New Roman" w:cs="Times New Roman"/>
                      <w:i w:val="0"/>
                      <w:iCs w:val="0"/>
                      <w:color w:val="000000" w:themeColor="text1"/>
                      <w:sz w:val="21"/>
                      <w:szCs w:val="21"/>
                      <w:u w:val="none"/>
                      <w:lang w:val="en-US" w:eastAsia="zh-CN"/>
                      <w14:textFill>
                        <w14:solidFill>
                          <w14:schemeClr w14:val="tx1"/>
                        </w14:solidFill>
                      </w14:textFill>
                    </w:rPr>
                    <w:t>1.</w:t>
                  </w: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本项目不属于“两高”项目。</w:t>
                  </w:r>
                </w:p>
                <w:p w14:paraId="7E1FA36A">
                  <w:pPr>
                    <w:numPr>
                      <w:ilvl w:val="0"/>
                      <w:numId w:val="0"/>
                    </w:numPr>
                    <w:spacing w:line="240" w:lineRule="auto"/>
                    <w:jc w:val="both"/>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r>
                    <w:rPr>
                      <w:rFonts w:hint="default" w:ascii="Times New Roman" w:hAnsi="Times New Roman" w:cs="Times New Roman"/>
                      <w:i w:val="0"/>
                      <w:iCs w:val="0"/>
                      <w:color w:val="000000" w:themeColor="text1"/>
                      <w:sz w:val="21"/>
                      <w:szCs w:val="21"/>
                      <w:u w:val="none"/>
                      <w:lang w:val="en-US" w:eastAsia="zh-CN"/>
                      <w14:textFill>
                        <w14:solidFill>
                          <w14:schemeClr w14:val="tx1"/>
                        </w14:solidFill>
                      </w14:textFill>
                    </w:rPr>
                    <w:t>2.</w:t>
                  </w: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本项目属于电子元件及电子专用材料制造，不属于严禁新增的行业。</w:t>
                  </w:r>
                </w:p>
                <w:p w14:paraId="6826BF43">
                  <w:pPr>
                    <w:numPr>
                      <w:ilvl w:val="0"/>
                      <w:numId w:val="0"/>
                    </w:numPr>
                    <w:spacing w:line="240" w:lineRule="auto"/>
                    <w:jc w:val="both"/>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r>
                    <w:rPr>
                      <w:rFonts w:hint="default" w:ascii="Times New Roman" w:hAnsi="Times New Roman" w:cs="Times New Roman"/>
                      <w:i w:val="0"/>
                      <w:iCs w:val="0"/>
                      <w:color w:val="000000" w:themeColor="text1"/>
                      <w:sz w:val="21"/>
                      <w:szCs w:val="21"/>
                      <w:u w:val="none"/>
                      <w:lang w:val="en-US" w:eastAsia="zh-CN"/>
                      <w14:textFill>
                        <w14:solidFill>
                          <w14:schemeClr w14:val="tx1"/>
                        </w14:solidFill>
                      </w14:textFill>
                    </w:rPr>
                    <w:t>3.</w:t>
                  </w:r>
                  <w:r>
                    <w:rPr>
                      <w:rFonts w:hint="eastAsia" w:cs="Times New Roman"/>
                      <w:i w:val="0"/>
                      <w:iCs w:val="0"/>
                      <w:color w:val="000000" w:themeColor="text1"/>
                      <w:sz w:val="21"/>
                      <w:szCs w:val="21"/>
                      <w:u w:val="none"/>
                      <w:lang w:val="en-US" w:eastAsia="zh-CN"/>
                      <w14:textFill>
                        <w14:solidFill>
                          <w14:schemeClr w14:val="tx1"/>
                        </w14:solidFill>
                      </w14:textFill>
                    </w:rPr>
                    <w:t>本项目地不属于园区范围，但企业属于工业企业退城搬迁改造企业，且拟迁建的地址为政府统一规划的区域。</w:t>
                  </w:r>
                </w:p>
                <w:p w14:paraId="4158BE8D">
                  <w:pPr>
                    <w:numPr>
                      <w:ilvl w:val="0"/>
                      <w:numId w:val="0"/>
                    </w:numPr>
                    <w:spacing w:line="240" w:lineRule="auto"/>
                    <w:jc w:val="both"/>
                    <w:rPr>
                      <w:rFonts w:hint="default" w:ascii="Times New Roman" w:hAnsi="Times New Roman" w:eastAsia="宋体" w:cs="Times New Roman"/>
                      <w:b/>
                      <w:bCs/>
                      <w:i w:val="0"/>
                      <w:iCs w:val="0"/>
                      <w:color w:val="000000" w:themeColor="text1"/>
                      <w:sz w:val="21"/>
                      <w:szCs w:val="21"/>
                      <w:u w:val="none"/>
                      <w:lang w:val="en-US" w:eastAsia="zh-CN"/>
                      <w14:textFill>
                        <w14:solidFill>
                          <w14:schemeClr w14:val="tx1"/>
                        </w14:solidFill>
                      </w14:textFill>
                    </w:rPr>
                  </w:pPr>
                  <w:r>
                    <w:rPr>
                      <w:rFonts w:hint="default" w:ascii="Times New Roman" w:hAnsi="Times New Roman" w:eastAsia="宋体" w:cs="Times New Roman"/>
                      <w:b/>
                      <w:bCs/>
                      <w:i w:val="0"/>
                      <w:iCs w:val="0"/>
                      <w:color w:val="000000" w:themeColor="text1"/>
                      <w:sz w:val="21"/>
                      <w:szCs w:val="21"/>
                      <w:u w:val="none"/>
                      <w:lang w:val="en-US" w:eastAsia="zh-CN"/>
                      <w14:textFill>
                        <w14:solidFill>
                          <w14:schemeClr w14:val="tx1"/>
                        </w14:solidFill>
                      </w14:textFill>
                    </w:rPr>
                    <w:t>水环境工业污染重点管控区：</w:t>
                  </w:r>
                </w:p>
                <w:p w14:paraId="72C5078F">
                  <w:pPr>
                    <w:numPr>
                      <w:ilvl w:val="0"/>
                      <w:numId w:val="0"/>
                    </w:numPr>
                    <w:spacing w:line="240" w:lineRule="auto"/>
                    <w:jc w:val="both"/>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r>
                    <w:rPr>
                      <w:rFonts w:hint="eastAsia" w:cs="Times New Roman"/>
                      <w:i w:val="0"/>
                      <w:iCs w:val="0"/>
                      <w:color w:val="000000" w:themeColor="text1"/>
                      <w:sz w:val="21"/>
                      <w:szCs w:val="21"/>
                      <w:u w:val="none"/>
                      <w:lang w:val="en-US" w:eastAsia="zh-CN"/>
                      <w14:textFill>
                        <w14:solidFill>
                          <w14:schemeClr w14:val="tx1"/>
                        </w14:solidFill>
                      </w14:textFill>
                    </w:rPr>
                    <w:t>1.</w:t>
                  </w: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本项目不属于严格控制的高耗水、高污染项目。</w:t>
                  </w:r>
                </w:p>
                <w:p w14:paraId="24BD922A">
                  <w:pPr>
                    <w:pStyle w:val="2"/>
                    <w:rPr>
                      <w:rFonts w:hint="default"/>
                      <w:color w:val="000000" w:themeColor="text1"/>
                      <w:lang w:val="en-US" w:eastAsia="zh-CN"/>
                      <w14:textFill>
                        <w14:solidFill>
                          <w14:schemeClr w14:val="tx1"/>
                        </w14:solidFill>
                      </w14:textFill>
                    </w:rPr>
                  </w:pPr>
                </w:p>
              </w:tc>
            </w:tr>
            <w:tr w14:paraId="039BD9A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8" w:hRule="atLeast"/>
                <w:jc w:val="center"/>
              </w:trPr>
              <w:tc>
                <w:tcPr>
                  <w:tcW w:w="332" w:type="pct"/>
                  <w:vMerge w:val="continue"/>
                  <w:tcBorders>
                    <w:tl2br w:val="nil"/>
                    <w:tr2bl w:val="nil"/>
                  </w:tcBorders>
                  <w:noWrap w:val="0"/>
                  <w:vAlign w:val="center"/>
                </w:tcPr>
                <w:p w14:paraId="05145EB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p>
              </w:tc>
              <w:tc>
                <w:tcPr>
                  <w:tcW w:w="335" w:type="pct"/>
                  <w:vMerge w:val="continue"/>
                  <w:tcBorders>
                    <w:tl2br w:val="nil"/>
                    <w:tr2bl w:val="nil"/>
                  </w:tcBorders>
                  <w:noWrap w:val="0"/>
                  <w:vAlign w:val="center"/>
                </w:tcPr>
                <w:p w14:paraId="3AE6C59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p>
              </w:tc>
              <w:tc>
                <w:tcPr>
                  <w:tcW w:w="335" w:type="pct"/>
                  <w:vMerge w:val="continue"/>
                  <w:tcBorders>
                    <w:tl2br w:val="nil"/>
                    <w:tr2bl w:val="nil"/>
                  </w:tcBorders>
                  <w:noWrap w:val="0"/>
                  <w:vAlign w:val="center"/>
                </w:tcPr>
                <w:p w14:paraId="791ECB6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p>
              </w:tc>
              <w:tc>
                <w:tcPr>
                  <w:tcW w:w="488" w:type="pct"/>
                  <w:vMerge w:val="continue"/>
                  <w:tcBorders>
                    <w:tl2br w:val="nil"/>
                    <w:tr2bl w:val="nil"/>
                  </w:tcBorders>
                  <w:noWrap w:val="0"/>
                  <w:vAlign w:val="center"/>
                </w:tcPr>
                <w:p w14:paraId="65C04A3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p>
              </w:tc>
              <w:tc>
                <w:tcPr>
                  <w:tcW w:w="449" w:type="pct"/>
                  <w:tcBorders>
                    <w:tl2br w:val="nil"/>
                    <w:tr2bl w:val="nil"/>
                  </w:tcBorders>
                  <w:noWrap w:val="0"/>
                  <w:vAlign w:val="center"/>
                </w:tcPr>
                <w:p w14:paraId="0C4FC63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污染排放管控</w:t>
                  </w:r>
                </w:p>
              </w:tc>
              <w:tc>
                <w:tcPr>
                  <w:tcW w:w="2004" w:type="pct"/>
                  <w:tcBorders>
                    <w:tl2br w:val="nil"/>
                    <w:tr2bl w:val="nil"/>
                  </w:tcBorders>
                  <w:noWrap w:val="0"/>
                  <w:vAlign w:val="center"/>
                </w:tcPr>
                <w:p w14:paraId="6F70B707">
                  <w:pPr>
                    <w:keepNext w:val="0"/>
                    <w:keepLines w:val="0"/>
                    <w:widowControl/>
                    <w:numPr>
                      <w:ilvl w:val="0"/>
                      <w:numId w:val="0"/>
                    </w:numPr>
                    <w:suppressLineNumbers w:val="0"/>
                    <w:spacing w:line="240" w:lineRule="auto"/>
                    <w:jc w:val="both"/>
                    <w:textAlignment w:val="center"/>
                    <w:rPr>
                      <w:rFonts w:hint="default" w:ascii="Times New Roman" w:hAnsi="Times New Roman" w:eastAsia="宋体" w:cs="Times New Roman"/>
                      <w:b/>
                      <w:bCs/>
                      <w:i w:val="0"/>
                      <w:iCs w:val="0"/>
                      <w:color w:val="000000" w:themeColor="text1"/>
                      <w:sz w:val="21"/>
                      <w:szCs w:val="21"/>
                      <w:u w:val="none"/>
                      <w:lang w:val="en-US" w:eastAsia="zh-CN"/>
                      <w14:textFill>
                        <w14:solidFill>
                          <w14:schemeClr w14:val="tx1"/>
                        </w14:solidFill>
                      </w14:textFill>
                    </w:rPr>
                  </w:pPr>
                  <w:r>
                    <w:rPr>
                      <w:rFonts w:hint="default" w:ascii="Times New Roman" w:hAnsi="Times New Roman" w:eastAsia="宋体" w:cs="Times New Roman"/>
                      <w:b/>
                      <w:bCs/>
                      <w:i w:val="0"/>
                      <w:iCs w:val="0"/>
                      <w:color w:val="000000" w:themeColor="text1"/>
                      <w:sz w:val="21"/>
                      <w:szCs w:val="21"/>
                      <w:u w:val="none"/>
                      <w:lang w:val="en-US" w:eastAsia="zh-CN"/>
                      <w14:textFill>
                        <w14:solidFill>
                          <w14:schemeClr w14:val="tx1"/>
                        </w14:solidFill>
                      </w14:textFill>
                    </w:rPr>
                    <w:t>大气环境布局敏感重点管控区：</w:t>
                  </w:r>
                </w:p>
                <w:p w14:paraId="22B3A871">
                  <w:pPr>
                    <w:keepNext w:val="0"/>
                    <w:keepLines w:val="0"/>
                    <w:widowControl/>
                    <w:numPr>
                      <w:ilvl w:val="0"/>
                      <w:numId w:val="0"/>
                    </w:numPr>
                    <w:suppressLineNumbers w:val="0"/>
                    <w:spacing w:line="240" w:lineRule="auto"/>
                    <w:jc w:val="both"/>
                    <w:textAlignment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r>
                    <w:rPr>
                      <w:rFonts w:hint="default" w:ascii="Times New Roman" w:hAnsi="Times New Roman" w:cs="Times New Roman"/>
                      <w:i w:val="0"/>
                      <w:iCs w:val="0"/>
                      <w:color w:val="000000" w:themeColor="text1"/>
                      <w:sz w:val="21"/>
                      <w:szCs w:val="21"/>
                      <w:u w:val="none"/>
                      <w:lang w:val="en-US" w:eastAsia="zh-CN"/>
                      <w14:textFill>
                        <w14:solidFill>
                          <w14:schemeClr w14:val="tx1"/>
                        </w14:solidFill>
                      </w14:textFill>
                    </w:rPr>
                    <w:t>1.</w:t>
                  </w: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鼓励将老旧车辆和非道路移动机械替换为清洁能源车辆。推进新能源或清洁能源汽车使用。</w:t>
                  </w:r>
                </w:p>
                <w:p w14:paraId="18B33C2B">
                  <w:pPr>
                    <w:keepNext w:val="0"/>
                    <w:keepLines w:val="0"/>
                    <w:widowControl/>
                    <w:numPr>
                      <w:ilvl w:val="0"/>
                      <w:numId w:val="0"/>
                    </w:numPr>
                    <w:suppressLineNumbers w:val="0"/>
                    <w:spacing w:line="240" w:lineRule="auto"/>
                    <w:jc w:val="both"/>
                    <w:textAlignment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r>
                    <w:rPr>
                      <w:rFonts w:hint="default" w:ascii="Times New Roman" w:hAnsi="Times New Roman" w:cs="Times New Roman"/>
                      <w:i w:val="0"/>
                      <w:iCs w:val="0"/>
                      <w:color w:val="000000" w:themeColor="text1"/>
                      <w:sz w:val="21"/>
                      <w:szCs w:val="21"/>
                      <w:u w:val="none"/>
                      <w:lang w:val="en-US" w:eastAsia="zh-CN"/>
                      <w14:textFill>
                        <w14:solidFill>
                          <w14:schemeClr w14:val="tx1"/>
                        </w14:solidFill>
                      </w14:textFill>
                    </w:rPr>
                    <w:t>2.</w:t>
                  </w: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巩固城市建成区、县（区）平原区域散煤动态清理成效。</w:t>
                  </w:r>
                </w:p>
                <w:p w14:paraId="30904481">
                  <w:pPr>
                    <w:keepNext w:val="0"/>
                    <w:keepLines w:val="0"/>
                    <w:widowControl/>
                    <w:numPr>
                      <w:ilvl w:val="0"/>
                      <w:numId w:val="0"/>
                    </w:numPr>
                    <w:suppressLineNumbers w:val="0"/>
                    <w:spacing w:line="240" w:lineRule="auto"/>
                    <w:jc w:val="both"/>
                    <w:textAlignment w:val="center"/>
                    <w:rPr>
                      <w:rFonts w:hint="default" w:ascii="Times New Roman" w:hAnsi="Times New Roman" w:eastAsia="宋体" w:cs="Times New Roman"/>
                      <w:b/>
                      <w:bCs/>
                      <w:i w:val="0"/>
                      <w:iCs w:val="0"/>
                      <w:color w:val="000000" w:themeColor="text1"/>
                      <w:sz w:val="21"/>
                      <w:szCs w:val="21"/>
                      <w:u w:val="none"/>
                      <w:lang w:val="en-US" w:eastAsia="zh-CN"/>
                      <w14:textFill>
                        <w14:solidFill>
                          <w14:schemeClr w14:val="tx1"/>
                        </w14:solidFill>
                      </w14:textFill>
                    </w:rPr>
                  </w:pPr>
                  <w:r>
                    <w:rPr>
                      <w:rFonts w:hint="default" w:ascii="Times New Roman" w:hAnsi="Times New Roman" w:eastAsia="宋体" w:cs="Times New Roman"/>
                      <w:b/>
                      <w:bCs/>
                      <w:i w:val="0"/>
                      <w:iCs w:val="0"/>
                      <w:color w:val="000000" w:themeColor="text1"/>
                      <w:sz w:val="21"/>
                      <w:szCs w:val="21"/>
                      <w:u w:val="none"/>
                      <w:lang w:val="en-US" w:eastAsia="zh-CN"/>
                      <w14:textFill>
                        <w14:solidFill>
                          <w14:schemeClr w14:val="tx1"/>
                        </w14:solidFill>
                      </w14:textFill>
                    </w:rPr>
                    <w:t>水环境工业污染重点管控区：</w:t>
                  </w:r>
                </w:p>
                <w:p w14:paraId="6757B809">
                  <w:pPr>
                    <w:keepNext w:val="0"/>
                    <w:keepLines w:val="0"/>
                    <w:widowControl/>
                    <w:numPr>
                      <w:ilvl w:val="0"/>
                      <w:numId w:val="0"/>
                    </w:numPr>
                    <w:suppressLineNumbers w:val="0"/>
                    <w:spacing w:line="240" w:lineRule="auto"/>
                    <w:jc w:val="both"/>
                    <w:textAlignment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r>
                    <w:rPr>
                      <w:rFonts w:hint="default" w:ascii="Times New Roman" w:hAnsi="Times New Roman" w:cs="Times New Roman"/>
                      <w:i w:val="0"/>
                      <w:iCs w:val="0"/>
                      <w:color w:val="000000" w:themeColor="text1"/>
                      <w:sz w:val="21"/>
                      <w:szCs w:val="21"/>
                      <w:u w:val="none"/>
                      <w:lang w:val="en-US" w:eastAsia="zh-CN"/>
                      <w14:textFill>
                        <w14:solidFill>
                          <w14:schemeClr w14:val="tx1"/>
                        </w14:solidFill>
                      </w14:textFill>
                    </w:rPr>
                    <w:t>1.</w:t>
                  </w: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推进工业园区污水处理设施分类管理、分期升级改造和污水管网排查整治，省级以上工业集聚区污水集中处理设施实现规范运行。</w:t>
                  </w:r>
                </w:p>
                <w:p w14:paraId="1D53BA76">
                  <w:pPr>
                    <w:keepNext w:val="0"/>
                    <w:keepLines w:val="0"/>
                    <w:widowControl/>
                    <w:numPr>
                      <w:ilvl w:val="0"/>
                      <w:numId w:val="0"/>
                    </w:numPr>
                    <w:suppressLineNumbers w:val="0"/>
                    <w:spacing w:line="240" w:lineRule="auto"/>
                    <w:jc w:val="both"/>
                    <w:textAlignment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r>
                    <w:rPr>
                      <w:rFonts w:hint="default" w:ascii="Times New Roman" w:hAnsi="Times New Roman" w:cs="Times New Roman"/>
                      <w:i w:val="0"/>
                      <w:iCs w:val="0"/>
                      <w:color w:val="000000" w:themeColor="text1"/>
                      <w:sz w:val="21"/>
                      <w:szCs w:val="21"/>
                      <w:u w:val="none"/>
                      <w:lang w:val="en-US" w:eastAsia="zh-CN"/>
                      <w14:textFill>
                        <w14:solidFill>
                          <w14:schemeClr w14:val="tx1"/>
                        </w14:solidFill>
                      </w14:textFill>
                    </w:rPr>
                    <w:t>2.</w:t>
                  </w: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鼓励工业企业污水近零排放，降低污染负荷。鼓励有条件的地区，实行工业和生活等不同领域、造纸、印染、化工、电镀等不同行业废水分质分类处理。</w:t>
                  </w:r>
                </w:p>
              </w:tc>
              <w:tc>
                <w:tcPr>
                  <w:tcW w:w="1054" w:type="pct"/>
                  <w:tcBorders>
                    <w:tl2br w:val="nil"/>
                    <w:tr2bl w:val="nil"/>
                  </w:tcBorders>
                  <w:noWrap w:val="0"/>
                  <w:vAlign w:val="center"/>
                </w:tcPr>
                <w:p w14:paraId="388C4905">
                  <w:pPr>
                    <w:keepNext w:val="0"/>
                    <w:keepLines w:val="0"/>
                    <w:widowControl/>
                    <w:numPr>
                      <w:ilvl w:val="0"/>
                      <w:numId w:val="0"/>
                    </w:numPr>
                    <w:suppressLineNumbers w:val="0"/>
                    <w:spacing w:line="240" w:lineRule="auto"/>
                    <w:jc w:val="both"/>
                    <w:textAlignment w:val="center"/>
                    <w:rPr>
                      <w:rFonts w:hint="default" w:ascii="Times New Roman" w:hAnsi="Times New Roman" w:eastAsia="宋体" w:cs="Times New Roman"/>
                      <w:b/>
                      <w:bCs/>
                      <w:i w:val="0"/>
                      <w:iCs w:val="0"/>
                      <w:color w:val="000000" w:themeColor="text1"/>
                      <w:sz w:val="21"/>
                      <w:szCs w:val="21"/>
                      <w:u w:val="none"/>
                      <w:lang w:val="en-US" w:eastAsia="zh-CN"/>
                      <w14:textFill>
                        <w14:solidFill>
                          <w14:schemeClr w14:val="tx1"/>
                        </w14:solidFill>
                      </w14:textFill>
                    </w:rPr>
                  </w:pPr>
                  <w:r>
                    <w:rPr>
                      <w:rFonts w:hint="default" w:ascii="Times New Roman" w:hAnsi="Times New Roman" w:eastAsia="宋体" w:cs="Times New Roman"/>
                      <w:b/>
                      <w:bCs/>
                      <w:i w:val="0"/>
                      <w:iCs w:val="0"/>
                      <w:color w:val="000000" w:themeColor="text1"/>
                      <w:sz w:val="21"/>
                      <w:szCs w:val="21"/>
                      <w:u w:val="none"/>
                      <w:lang w:val="en-US" w:eastAsia="zh-CN"/>
                      <w14:textFill>
                        <w14:solidFill>
                          <w14:schemeClr w14:val="tx1"/>
                        </w14:solidFill>
                      </w14:textFill>
                    </w:rPr>
                    <w:t>大气环境布局敏感重点管控区：</w:t>
                  </w:r>
                </w:p>
                <w:p w14:paraId="561D03E3">
                  <w:pPr>
                    <w:keepNext w:val="0"/>
                    <w:keepLines w:val="0"/>
                    <w:widowControl/>
                    <w:numPr>
                      <w:ilvl w:val="0"/>
                      <w:numId w:val="0"/>
                    </w:numPr>
                    <w:suppressLineNumbers w:val="0"/>
                    <w:spacing w:line="240" w:lineRule="auto"/>
                    <w:jc w:val="both"/>
                    <w:textAlignment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r>
                    <w:rPr>
                      <w:rFonts w:hint="default" w:ascii="Times New Roman" w:hAnsi="Times New Roman" w:cs="Times New Roman"/>
                      <w:i w:val="0"/>
                      <w:iCs w:val="0"/>
                      <w:color w:val="000000" w:themeColor="text1"/>
                      <w:sz w:val="21"/>
                      <w:szCs w:val="21"/>
                      <w:u w:val="none"/>
                      <w:lang w:val="en-US" w:eastAsia="zh-CN"/>
                      <w14:textFill>
                        <w14:solidFill>
                          <w14:schemeClr w14:val="tx1"/>
                        </w14:solidFill>
                      </w14:textFill>
                    </w:rPr>
                    <w:t>1.</w:t>
                  </w: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本项目无运输车辆及非道路移动机械。</w:t>
                  </w:r>
                </w:p>
                <w:p w14:paraId="4D8B2D5A">
                  <w:pPr>
                    <w:keepNext w:val="0"/>
                    <w:keepLines w:val="0"/>
                    <w:widowControl/>
                    <w:numPr>
                      <w:ilvl w:val="0"/>
                      <w:numId w:val="0"/>
                    </w:numPr>
                    <w:suppressLineNumbers w:val="0"/>
                    <w:spacing w:line="240" w:lineRule="auto"/>
                    <w:jc w:val="both"/>
                    <w:textAlignment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r>
                    <w:rPr>
                      <w:rFonts w:hint="default" w:ascii="Times New Roman" w:hAnsi="Times New Roman" w:cs="Times New Roman"/>
                      <w:i w:val="0"/>
                      <w:iCs w:val="0"/>
                      <w:color w:val="000000" w:themeColor="text1"/>
                      <w:sz w:val="21"/>
                      <w:szCs w:val="21"/>
                      <w:u w:val="none"/>
                      <w:lang w:val="en-US" w:eastAsia="zh-CN"/>
                      <w14:textFill>
                        <w14:solidFill>
                          <w14:schemeClr w14:val="tx1"/>
                        </w14:solidFill>
                      </w14:textFill>
                    </w:rPr>
                    <w:t>2.</w:t>
                  </w: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本项目不涉及散煤的生产及使用。</w:t>
                  </w:r>
                </w:p>
                <w:p w14:paraId="080D42B1">
                  <w:pPr>
                    <w:keepNext w:val="0"/>
                    <w:keepLines w:val="0"/>
                    <w:widowControl/>
                    <w:numPr>
                      <w:ilvl w:val="0"/>
                      <w:numId w:val="0"/>
                    </w:numPr>
                    <w:suppressLineNumbers w:val="0"/>
                    <w:spacing w:line="240" w:lineRule="auto"/>
                    <w:jc w:val="both"/>
                    <w:textAlignment w:val="center"/>
                    <w:rPr>
                      <w:rFonts w:hint="default" w:ascii="Times New Roman" w:hAnsi="Times New Roman" w:eastAsia="宋体" w:cs="Times New Roman"/>
                      <w:b/>
                      <w:bCs/>
                      <w:i w:val="0"/>
                      <w:iCs w:val="0"/>
                      <w:color w:val="000000" w:themeColor="text1"/>
                      <w:sz w:val="21"/>
                      <w:szCs w:val="21"/>
                      <w:u w:val="none"/>
                      <w:lang w:val="en-US" w:eastAsia="zh-CN"/>
                      <w14:textFill>
                        <w14:solidFill>
                          <w14:schemeClr w14:val="tx1"/>
                        </w14:solidFill>
                      </w14:textFill>
                    </w:rPr>
                  </w:pPr>
                  <w:r>
                    <w:rPr>
                      <w:rFonts w:hint="default" w:ascii="Times New Roman" w:hAnsi="Times New Roman" w:eastAsia="宋体" w:cs="Times New Roman"/>
                      <w:b/>
                      <w:bCs/>
                      <w:i w:val="0"/>
                      <w:iCs w:val="0"/>
                      <w:color w:val="000000" w:themeColor="text1"/>
                      <w:sz w:val="21"/>
                      <w:szCs w:val="21"/>
                      <w:u w:val="none"/>
                      <w:lang w:val="en-US" w:eastAsia="zh-CN"/>
                      <w14:textFill>
                        <w14:solidFill>
                          <w14:schemeClr w14:val="tx1"/>
                        </w14:solidFill>
                      </w14:textFill>
                    </w:rPr>
                    <w:t>水环境工业污染重点管控区：</w:t>
                  </w:r>
                </w:p>
                <w:p w14:paraId="56C73718">
                  <w:pPr>
                    <w:keepNext w:val="0"/>
                    <w:keepLines w:val="0"/>
                    <w:widowControl/>
                    <w:numPr>
                      <w:ilvl w:val="0"/>
                      <w:numId w:val="0"/>
                    </w:numPr>
                    <w:suppressLineNumbers w:val="0"/>
                    <w:spacing w:line="240" w:lineRule="auto"/>
                    <w:jc w:val="both"/>
                    <w:textAlignment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本项目</w:t>
                  </w:r>
                  <w:r>
                    <w:rPr>
                      <w:rFonts w:hint="eastAsia" w:cs="Times New Roman"/>
                      <w:i w:val="0"/>
                      <w:iCs w:val="0"/>
                      <w:color w:val="000000" w:themeColor="text1"/>
                      <w:sz w:val="21"/>
                      <w:szCs w:val="21"/>
                      <w:u w:val="none"/>
                      <w:lang w:val="en-US" w:eastAsia="zh-CN"/>
                      <w14:textFill>
                        <w14:solidFill>
                          <w14:schemeClr w14:val="tx1"/>
                        </w14:solidFill>
                      </w14:textFill>
                    </w:rPr>
                    <w:t>去离子水制备浓水和膜冲洗废水经水处理设施处理后与其他生活污水一起</w:t>
                  </w: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排至市政污水</w:t>
                  </w:r>
                  <w:r>
                    <w:rPr>
                      <w:rFonts w:hint="default" w:ascii="Times New Roman" w:hAnsi="Times New Roman" w:cs="Times New Roman"/>
                      <w:i w:val="0"/>
                      <w:iCs w:val="0"/>
                      <w:color w:val="000000" w:themeColor="text1"/>
                      <w:sz w:val="21"/>
                      <w:szCs w:val="21"/>
                      <w:u w:val="none"/>
                      <w:lang w:val="en-US" w:eastAsia="zh-CN"/>
                      <w14:textFill>
                        <w14:solidFill>
                          <w14:schemeClr w14:val="tx1"/>
                        </w14:solidFill>
                      </w14:textFill>
                    </w:rPr>
                    <w:t>管网</w:t>
                  </w: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w:t>
                  </w:r>
                </w:p>
              </w:tc>
            </w:tr>
            <w:tr w14:paraId="5EE6060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8" w:hRule="atLeast"/>
                <w:jc w:val="center"/>
              </w:trPr>
              <w:tc>
                <w:tcPr>
                  <w:tcW w:w="332" w:type="pct"/>
                  <w:vMerge w:val="continue"/>
                  <w:tcBorders>
                    <w:tl2br w:val="nil"/>
                    <w:tr2bl w:val="nil"/>
                  </w:tcBorders>
                  <w:noWrap w:val="0"/>
                  <w:vAlign w:val="center"/>
                </w:tcPr>
                <w:p w14:paraId="058A9A2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p>
              </w:tc>
              <w:tc>
                <w:tcPr>
                  <w:tcW w:w="335" w:type="pct"/>
                  <w:vMerge w:val="continue"/>
                  <w:tcBorders>
                    <w:tl2br w:val="nil"/>
                    <w:tr2bl w:val="nil"/>
                  </w:tcBorders>
                  <w:noWrap w:val="0"/>
                  <w:vAlign w:val="center"/>
                </w:tcPr>
                <w:p w14:paraId="780232B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p>
              </w:tc>
              <w:tc>
                <w:tcPr>
                  <w:tcW w:w="335" w:type="pct"/>
                  <w:vMerge w:val="continue"/>
                  <w:tcBorders>
                    <w:tl2br w:val="nil"/>
                    <w:tr2bl w:val="nil"/>
                  </w:tcBorders>
                  <w:noWrap w:val="0"/>
                  <w:vAlign w:val="center"/>
                </w:tcPr>
                <w:p w14:paraId="2098FCD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p>
              </w:tc>
              <w:tc>
                <w:tcPr>
                  <w:tcW w:w="488" w:type="pct"/>
                  <w:vMerge w:val="continue"/>
                  <w:tcBorders>
                    <w:tl2br w:val="nil"/>
                    <w:tr2bl w:val="nil"/>
                  </w:tcBorders>
                  <w:noWrap w:val="0"/>
                  <w:vAlign w:val="center"/>
                </w:tcPr>
                <w:p w14:paraId="1EA71AE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p>
              </w:tc>
              <w:tc>
                <w:tcPr>
                  <w:tcW w:w="449" w:type="pct"/>
                  <w:tcBorders>
                    <w:tl2br w:val="nil"/>
                    <w:tr2bl w:val="nil"/>
                  </w:tcBorders>
                  <w:noWrap w:val="0"/>
                  <w:vAlign w:val="center"/>
                </w:tcPr>
                <w:p w14:paraId="2C45252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环境风险防控</w:t>
                  </w:r>
                </w:p>
              </w:tc>
              <w:tc>
                <w:tcPr>
                  <w:tcW w:w="2004" w:type="pct"/>
                  <w:tcBorders>
                    <w:tl2br w:val="nil"/>
                    <w:tr2bl w:val="nil"/>
                  </w:tcBorders>
                  <w:noWrap w:val="0"/>
                  <w:vAlign w:val="center"/>
                </w:tcPr>
                <w:p w14:paraId="743692E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w:t>
                  </w:r>
                </w:p>
              </w:tc>
              <w:tc>
                <w:tcPr>
                  <w:tcW w:w="1054" w:type="pct"/>
                  <w:tcBorders>
                    <w:tl2br w:val="nil"/>
                    <w:tr2bl w:val="nil"/>
                  </w:tcBorders>
                  <w:noWrap w:val="0"/>
                  <w:vAlign w:val="center"/>
                </w:tcPr>
                <w:p w14:paraId="2A2B68FB">
                  <w:pPr>
                    <w:spacing w:line="240" w:lineRule="auto"/>
                    <w:jc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w:t>
                  </w:r>
                </w:p>
              </w:tc>
            </w:tr>
            <w:tr w14:paraId="73BFF37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8" w:hRule="atLeast"/>
                <w:jc w:val="center"/>
              </w:trPr>
              <w:tc>
                <w:tcPr>
                  <w:tcW w:w="332" w:type="pct"/>
                  <w:vMerge w:val="continue"/>
                  <w:tcBorders>
                    <w:tl2br w:val="nil"/>
                    <w:tr2bl w:val="nil"/>
                  </w:tcBorders>
                  <w:noWrap w:val="0"/>
                  <w:vAlign w:val="center"/>
                </w:tcPr>
                <w:p w14:paraId="15E4577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p>
              </w:tc>
              <w:tc>
                <w:tcPr>
                  <w:tcW w:w="335" w:type="pct"/>
                  <w:vMerge w:val="continue"/>
                  <w:tcBorders>
                    <w:tl2br w:val="nil"/>
                    <w:tr2bl w:val="nil"/>
                  </w:tcBorders>
                  <w:noWrap w:val="0"/>
                  <w:vAlign w:val="center"/>
                </w:tcPr>
                <w:p w14:paraId="3349BA8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p>
              </w:tc>
              <w:tc>
                <w:tcPr>
                  <w:tcW w:w="335" w:type="pct"/>
                  <w:vMerge w:val="continue"/>
                  <w:tcBorders>
                    <w:tl2br w:val="nil"/>
                    <w:tr2bl w:val="nil"/>
                  </w:tcBorders>
                  <w:noWrap w:val="0"/>
                  <w:vAlign w:val="center"/>
                </w:tcPr>
                <w:p w14:paraId="68D4243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p>
              </w:tc>
              <w:tc>
                <w:tcPr>
                  <w:tcW w:w="488" w:type="pct"/>
                  <w:vMerge w:val="continue"/>
                  <w:tcBorders>
                    <w:tl2br w:val="nil"/>
                    <w:tr2bl w:val="nil"/>
                  </w:tcBorders>
                  <w:noWrap w:val="0"/>
                  <w:vAlign w:val="center"/>
                </w:tcPr>
                <w:p w14:paraId="6B66D37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p>
              </w:tc>
              <w:tc>
                <w:tcPr>
                  <w:tcW w:w="449" w:type="pct"/>
                  <w:tcBorders>
                    <w:tl2br w:val="nil"/>
                    <w:tr2bl w:val="nil"/>
                  </w:tcBorders>
                  <w:noWrap w:val="0"/>
                  <w:vAlign w:val="center"/>
                </w:tcPr>
                <w:p w14:paraId="01A243E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资源开发效率要求</w:t>
                  </w:r>
                </w:p>
              </w:tc>
              <w:tc>
                <w:tcPr>
                  <w:tcW w:w="2004" w:type="pct"/>
                  <w:tcBorders>
                    <w:tl2br w:val="nil"/>
                    <w:tr2bl w:val="nil"/>
                  </w:tcBorders>
                  <w:noWrap w:val="0"/>
                  <w:vAlign w:val="center"/>
                </w:tcPr>
                <w:p w14:paraId="07F765D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w:t>
                  </w:r>
                </w:p>
              </w:tc>
              <w:tc>
                <w:tcPr>
                  <w:tcW w:w="1054" w:type="pct"/>
                  <w:tcBorders>
                    <w:tl2br w:val="nil"/>
                    <w:tr2bl w:val="nil"/>
                  </w:tcBorders>
                  <w:noWrap w:val="0"/>
                  <w:vAlign w:val="center"/>
                </w:tcPr>
                <w:p w14:paraId="354E64C0">
                  <w:pPr>
                    <w:spacing w:line="240" w:lineRule="auto"/>
                    <w:jc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w:t>
                  </w:r>
                </w:p>
              </w:tc>
            </w:tr>
          </w:tbl>
          <w:p w14:paraId="2946A227">
            <w:pPr>
              <w:widowControl w:val="0"/>
              <w:numPr>
                <w:ilvl w:val="0"/>
                <w:numId w:val="0"/>
              </w:numPr>
              <w:spacing w:after="0" w:afterLines="0"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（3）</w:t>
            </w:r>
            <w:r>
              <w:rPr>
                <w:rFonts w:hint="default" w:ascii="Times New Roman" w:hAnsi="Times New Roman" w:cs="Times New Roman"/>
                <w:color w:val="000000" w:themeColor="text1"/>
                <w:kern w:val="2"/>
                <w:sz w:val="24"/>
                <w:szCs w:val="24"/>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一说明</w:t>
            </w:r>
            <w:r>
              <w:rPr>
                <w:rFonts w:hint="default" w:ascii="Times New Roman" w:hAnsi="Times New Roman" w:cs="Times New Roman"/>
                <w:color w:val="000000" w:themeColor="text1"/>
                <w:kern w:val="2"/>
                <w:sz w:val="24"/>
                <w:szCs w:val="24"/>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项目与</w:t>
            </w:r>
            <w:r>
              <w:rPr>
                <w:rFonts w:hint="default" w:ascii="Times New Roman" w:hAnsi="Times New Roman" w:cs="Times New Roman"/>
                <w:color w:val="000000" w:themeColor="text1"/>
                <w:kern w:val="2"/>
                <w:sz w:val="24"/>
                <w:szCs w:val="24"/>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三线一单</w:t>
            </w:r>
            <w:r>
              <w:rPr>
                <w:rFonts w:hint="default" w:ascii="Times New Roman" w:hAnsi="Times New Roman" w:cs="Times New Roman"/>
                <w:color w:val="000000" w:themeColor="text1"/>
                <w:kern w:val="2"/>
                <w:sz w:val="24"/>
                <w:szCs w:val="24"/>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符合性说明</w:t>
            </w:r>
          </w:p>
          <w:p w14:paraId="093DFB6A">
            <w:pPr>
              <w:pStyle w:val="22"/>
              <w:numPr>
                <w:ilvl w:val="0"/>
                <w:numId w:val="0"/>
              </w:numPr>
              <w:spacing w:after="0" w:line="360" w:lineRule="auto"/>
              <w:ind w:firstLine="480" w:firstLineChars="200"/>
              <w:rPr>
                <w:rFonts w:hint="default" w:ascii="Times New Roman" w:hAnsi="Times New Roman" w:eastAsia="宋体" w:cs="Times New Roman"/>
                <w:b/>
                <w:bCs/>
                <w:color w:val="000000" w:themeColor="text1"/>
                <w:sz w:val="24"/>
                <w:szCs w:val="24"/>
                <w:lang w:val="en-US"/>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根据上文“一图”“一表”的分析，项目位于陕西省宝鸡市凤翔区重点管控单元8</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项目所在地不涉及生态红线，重点管控单元以提升资源利用效率、加强污染物减排治理和环境风险防控为重点，解决突出生态环境问题。本项目产生的污染物较少，且采取了相应环保措施，符合方案要求。综上，建设项目符合陕西省“三线一单”管控要求。</w:t>
            </w:r>
          </w:p>
          <w:p w14:paraId="45C585C4">
            <w:pPr>
              <w:keepNext/>
              <w:keepLines/>
              <w:widowControl/>
              <w:adjustRightInd w:val="0"/>
              <w:snapToGrid w:val="0"/>
              <w:spacing w:line="360" w:lineRule="auto"/>
              <w:jc w:val="left"/>
              <w:outlineLvl w:val="1"/>
              <w:rPr>
                <w:rFonts w:hint="default" w:ascii="Times New Roman" w:hAnsi="Times New Roman" w:eastAsia="黑体" w:cs="Times New Roman"/>
                <w:bCs/>
                <w:color w:val="000000" w:themeColor="text1"/>
                <w:sz w:val="24"/>
                <w:szCs w:val="28"/>
                <w14:textFill>
                  <w14:solidFill>
                    <w14:schemeClr w14:val="tx1"/>
                  </w14:solidFill>
                </w14:textFill>
              </w:rPr>
            </w:pPr>
            <w:r>
              <w:rPr>
                <w:rFonts w:hint="default" w:ascii="Times New Roman" w:hAnsi="Times New Roman" w:eastAsia="黑体" w:cs="Times New Roman"/>
                <w:bCs/>
                <w:color w:val="000000" w:themeColor="text1"/>
                <w:sz w:val="24"/>
                <w:szCs w:val="28"/>
                <w:lang w:val="en-US" w:eastAsia="zh-CN"/>
                <w14:textFill>
                  <w14:solidFill>
                    <w14:schemeClr w14:val="tx1"/>
                  </w14:solidFill>
                </w14:textFill>
              </w:rPr>
              <w:t>2.</w:t>
            </w:r>
            <w:r>
              <w:rPr>
                <w:rFonts w:hint="default" w:ascii="Times New Roman" w:hAnsi="Times New Roman" w:eastAsia="黑体" w:cs="Times New Roman"/>
                <w:bCs/>
                <w:color w:val="000000" w:themeColor="text1"/>
                <w:sz w:val="24"/>
                <w:szCs w:val="28"/>
                <w14:textFill>
                  <w14:solidFill>
                    <w14:schemeClr w14:val="tx1"/>
                  </w14:solidFill>
                </w14:textFill>
              </w:rPr>
              <w:t>项目与生态环境保护法律法规符合性：</w:t>
            </w:r>
          </w:p>
          <w:p w14:paraId="5DD4592A">
            <w:pPr>
              <w:spacing w:line="440" w:lineRule="exact"/>
              <w:ind w:firstLine="482" w:firstLineChars="200"/>
              <w:jc w:val="center"/>
              <w:rPr>
                <w:rFonts w:hint="default" w:ascii="Times New Roman" w:hAnsi="Times New Roman" w:cs="Times New Roman"/>
                <w:b/>
                <w:color w:val="000000" w:themeColor="text1"/>
                <w:sz w:val="24"/>
                <w14:textFill>
                  <w14:solidFill>
                    <w14:schemeClr w14:val="tx1"/>
                  </w14:solidFill>
                </w14:textFill>
              </w:rPr>
            </w:pPr>
            <w:r>
              <w:rPr>
                <w:rFonts w:hint="default" w:ascii="Times New Roman" w:hAnsi="Times New Roman" w:cs="Times New Roman"/>
                <w:b/>
                <w:color w:val="000000" w:themeColor="text1"/>
                <w:sz w:val="24"/>
                <w14:textFill>
                  <w14:solidFill>
                    <w14:schemeClr w14:val="tx1"/>
                  </w14:solidFill>
                </w14:textFill>
              </w:rPr>
              <w:t>表1-</w:t>
            </w:r>
            <w:r>
              <w:rPr>
                <w:rFonts w:hint="default" w:ascii="Times New Roman" w:hAnsi="Times New Roman" w:cs="Times New Roman"/>
                <w:b/>
                <w:color w:val="000000" w:themeColor="text1"/>
                <w:sz w:val="24"/>
                <w:lang w:val="en-US" w:eastAsia="zh-CN"/>
                <w14:textFill>
                  <w14:solidFill>
                    <w14:schemeClr w14:val="tx1"/>
                  </w14:solidFill>
                </w14:textFill>
              </w:rPr>
              <w:t>2</w:t>
            </w:r>
            <w:r>
              <w:rPr>
                <w:rFonts w:hint="default" w:ascii="Times New Roman" w:hAnsi="Times New Roman" w:cs="Times New Roman"/>
                <w:b/>
                <w:color w:val="000000" w:themeColor="text1"/>
                <w:sz w:val="24"/>
                <w14:textFill>
                  <w14:solidFill>
                    <w14:schemeClr w14:val="tx1"/>
                  </w14:solidFill>
                </w14:textFill>
              </w:rPr>
              <w:t xml:space="preserve">  项目</w:t>
            </w:r>
            <w:r>
              <w:rPr>
                <w:rFonts w:hint="default" w:ascii="Times New Roman" w:hAnsi="Times New Roman" w:cs="Times New Roman"/>
                <w:b/>
                <w:bCs/>
                <w:color w:val="000000" w:themeColor="text1"/>
                <w:sz w:val="24"/>
                <w14:textFill>
                  <w14:solidFill>
                    <w14:schemeClr w14:val="tx1"/>
                  </w14:solidFill>
                </w14:textFill>
              </w:rPr>
              <w:t>与生态环境保护法律法规</w:t>
            </w:r>
            <w:r>
              <w:rPr>
                <w:rFonts w:hint="default" w:ascii="Times New Roman" w:hAnsi="Times New Roman" w:cs="Times New Roman"/>
                <w:b/>
                <w:color w:val="000000" w:themeColor="text1"/>
                <w:sz w:val="24"/>
                <w14:textFill>
                  <w14:solidFill>
                    <w14:schemeClr w14:val="tx1"/>
                  </w14:solidFill>
                </w14:textFill>
              </w:rPr>
              <w:t>相符性分析一览表</w:t>
            </w:r>
          </w:p>
          <w:tbl>
            <w:tblPr>
              <w:tblStyle w:val="36"/>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45"/>
              <w:gridCol w:w="3188"/>
              <w:gridCol w:w="2071"/>
              <w:gridCol w:w="690"/>
            </w:tblGrid>
            <w:tr w14:paraId="206F86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83" w:type="pct"/>
                  <w:noWrap w:val="0"/>
                  <w:vAlign w:val="center"/>
                </w:tcPr>
                <w:p w14:paraId="22D3B442">
                  <w:pPr>
                    <w:adjustRightInd w:val="0"/>
                    <w:snapToGrid w:val="0"/>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文件名称</w:t>
                  </w:r>
                </w:p>
              </w:tc>
              <w:tc>
                <w:tcPr>
                  <w:tcW w:w="2099" w:type="pct"/>
                  <w:noWrap w:val="0"/>
                  <w:vAlign w:val="center"/>
                </w:tcPr>
                <w:p w14:paraId="2EEB33DE">
                  <w:pPr>
                    <w:adjustRightInd w:val="0"/>
                    <w:snapToGrid w:val="0"/>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文件内容</w:t>
                  </w:r>
                </w:p>
              </w:tc>
              <w:tc>
                <w:tcPr>
                  <w:tcW w:w="1363" w:type="pct"/>
                  <w:noWrap w:val="0"/>
                  <w:vAlign w:val="center"/>
                </w:tcPr>
                <w:p w14:paraId="5F4970E9">
                  <w:pPr>
                    <w:adjustRightInd w:val="0"/>
                    <w:snapToGrid w:val="0"/>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本项目</w:t>
                  </w:r>
                </w:p>
              </w:tc>
              <w:tc>
                <w:tcPr>
                  <w:tcW w:w="454" w:type="pct"/>
                  <w:noWrap w:val="0"/>
                  <w:vAlign w:val="center"/>
                </w:tcPr>
                <w:p w14:paraId="542F8423">
                  <w:pPr>
                    <w:adjustRightInd w:val="0"/>
                    <w:snapToGrid w:val="0"/>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符合性</w:t>
                  </w:r>
                </w:p>
              </w:tc>
            </w:tr>
            <w:tr w14:paraId="360A3F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83" w:type="pct"/>
                  <w:noWrap w:val="0"/>
                  <w:vAlign w:val="center"/>
                </w:tcPr>
                <w:p w14:paraId="2AB3253C">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snapToGrid w:val="0"/>
                      <w:color w:val="000000" w:themeColor="text1"/>
                      <w:szCs w:val="21"/>
                      <w14:textFill>
                        <w14:solidFill>
                          <w14:schemeClr w14:val="tx1"/>
                        </w14:solidFill>
                      </w14:textFill>
                    </w:rPr>
                    <w:t>《宝鸡市大气污染防治条例》</w:t>
                  </w:r>
                </w:p>
              </w:tc>
              <w:tc>
                <w:tcPr>
                  <w:tcW w:w="2099" w:type="pct"/>
                  <w:noWrap w:val="0"/>
                  <w:vAlign w:val="center"/>
                </w:tcPr>
                <w:p w14:paraId="61AAE1E2">
                  <w:pPr>
                    <w:adjustRightInd w:val="0"/>
                    <w:snapToGrid w:val="0"/>
                    <w:rPr>
                      <w:rFonts w:hint="default" w:ascii="Times New Roman" w:hAnsi="Times New Roman" w:eastAsia="宋体" w:cs="Times New Roman"/>
                      <w:bCs/>
                      <w:color w:val="000000" w:themeColor="text1"/>
                      <w:szCs w:val="21"/>
                      <w:lang w:eastAsia="zh-CN"/>
                      <w14:textFill>
                        <w14:solidFill>
                          <w14:schemeClr w14:val="tx1"/>
                        </w14:solidFill>
                      </w14:textFill>
                    </w:rPr>
                  </w:pPr>
                  <w:r>
                    <w:rPr>
                      <w:rFonts w:hint="default" w:ascii="Times New Roman" w:hAnsi="Times New Roman" w:cs="Times New Roman"/>
                      <w:color w:val="000000" w:themeColor="text1"/>
                      <w:szCs w:val="21"/>
                      <w:shd w:val="clear" w:color="auto" w:fill="FFFFFF"/>
                      <w14:textFill>
                        <w14:solidFill>
                          <w14:schemeClr w14:val="tx1"/>
                        </w14:solidFill>
                      </w14:textFill>
                    </w:rPr>
                    <w:t>第四十一条：产生含挥发性有机物废气的生产和服务活动，应当在密闭空间或者设备中进行，并按照规定安装、使用污染防治设施；无法密闭的，应当采取措施减少废气排放</w:t>
                  </w:r>
                  <w:r>
                    <w:rPr>
                      <w:rFonts w:hint="default" w:ascii="Times New Roman" w:hAnsi="Times New Roman" w:cs="Times New Roman"/>
                      <w:color w:val="000000" w:themeColor="text1"/>
                      <w:szCs w:val="21"/>
                      <w:shd w:val="clear" w:color="auto" w:fill="FFFFFF"/>
                      <w:lang w:eastAsia="zh-CN"/>
                      <w14:textFill>
                        <w14:solidFill>
                          <w14:schemeClr w14:val="tx1"/>
                        </w14:solidFill>
                      </w14:textFill>
                    </w:rPr>
                    <w:t>。</w:t>
                  </w:r>
                </w:p>
              </w:tc>
              <w:tc>
                <w:tcPr>
                  <w:tcW w:w="1363" w:type="pct"/>
                  <w:noWrap w:val="0"/>
                  <w:vAlign w:val="center"/>
                </w:tcPr>
                <w:p w14:paraId="72716CB3">
                  <w:pPr>
                    <w:adjustRightInd w:val="0"/>
                    <w:snapToGrid w:val="0"/>
                    <w:jc w:val="center"/>
                    <w:rPr>
                      <w:rFonts w:hint="default" w:ascii="Times New Roman" w:hAnsi="Times New Roman" w:eastAsia="宋体" w:cs="Times New Roman"/>
                      <w:bCs/>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本项目</w:t>
                  </w:r>
                  <w:r>
                    <w:rPr>
                      <w:rFonts w:hint="eastAsia" w:cs="Times New Roman"/>
                      <w:color w:val="000000" w:themeColor="text1"/>
                      <w:szCs w:val="21"/>
                      <w:lang w:val="en-US" w:eastAsia="zh-CN"/>
                      <w14:textFill>
                        <w14:solidFill>
                          <w14:schemeClr w14:val="tx1"/>
                        </w14:solidFill>
                      </w14:textFill>
                    </w:rPr>
                    <w:t>生产环节均在密闭生产车间内进行，且造粒、固化等工序设置有独立的生产车间</w:t>
                  </w:r>
                  <w:r>
                    <w:rPr>
                      <w:rFonts w:hint="default" w:ascii="Times New Roman" w:hAnsi="Times New Roman" w:cs="Times New Roman"/>
                      <w:color w:val="000000" w:themeColor="text1"/>
                      <w:szCs w:val="21"/>
                      <w:lang w:val="en-US" w:eastAsia="zh-CN"/>
                      <w14:textFill>
                        <w14:solidFill>
                          <w14:schemeClr w14:val="tx1"/>
                        </w14:solidFill>
                      </w14:textFill>
                    </w:rPr>
                    <w:t>，产生的有机废气经集气罩收集后通过</w:t>
                  </w:r>
                  <w:r>
                    <w:rPr>
                      <w:rFonts w:hint="eastAsia" w:cs="Times New Roman"/>
                      <w:color w:val="000000" w:themeColor="text1"/>
                      <w:szCs w:val="21"/>
                      <w:lang w:val="en-US" w:eastAsia="zh-CN"/>
                      <w14:textFill>
                        <w14:solidFill>
                          <w14:schemeClr w14:val="tx1"/>
                        </w14:solidFill>
                      </w14:textFill>
                    </w:rPr>
                    <w:t>过滤棉+</w:t>
                  </w:r>
                  <w:r>
                    <w:rPr>
                      <w:rFonts w:hint="default" w:ascii="Times New Roman" w:hAnsi="Times New Roman" w:cs="Times New Roman"/>
                      <w:color w:val="000000" w:themeColor="text1"/>
                      <w:szCs w:val="21"/>
                      <w:lang w:val="en-US" w:eastAsia="zh-CN"/>
                      <w14:textFill>
                        <w14:solidFill>
                          <w14:schemeClr w14:val="tx1"/>
                        </w14:solidFill>
                      </w14:textFill>
                    </w:rPr>
                    <w:t>二级</w:t>
                  </w:r>
                  <w:r>
                    <w:rPr>
                      <w:rFonts w:hint="default" w:ascii="Times New Roman" w:hAnsi="Times New Roman" w:cs="Times New Roman"/>
                      <w:color w:val="000000" w:themeColor="text1"/>
                      <w:sz w:val="21"/>
                      <w:szCs w:val="21"/>
                      <w14:textFill>
                        <w14:solidFill>
                          <w14:schemeClr w14:val="tx1"/>
                        </w14:solidFill>
                      </w14:textFill>
                    </w:rPr>
                    <w:t>活性炭（TA00</w:t>
                  </w:r>
                  <w:r>
                    <w:rPr>
                      <w:rFonts w:hint="eastAsia" w:cs="Times New Roman"/>
                      <w:color w:val="000000" w:themeColor="text1"/>
                      <w:sz w:val="21"/>
                      <w:szCs w:val="21"/>
                      <w:lang w:val="en-US" w:eastAsia="zh-CN"/>
                      <w14:textFill>
                        <w14:solidFill>
                          <w14:schemeClr w14:val="tx1"/>
                        </w14:solidFill>
                      </w14:textFill>
                    </w:rPr>
                    <w:t>2</w:t>
                  </w:r>
                  <w:r>
                    <w:rPr>
                      <w:rFonts w:hint="default" w:ascii="Times New Roman" w:hAnsi="Times New Roman" w:cs="Times New Roman"/>
                      <w:color w:val="000000" w:themeColor="text1"/>
                      <w:sz w:val="21"/>
                      <w:szCs w:val="21"/>
                      <w14:textFill>
                        <w14:solidFill>
                          <w14:schemeClr w14:val="tx1"/>
                        </w14:solidFill>
                      </w14:textFill>
                    </w:rPr>
                    <w:t>）</w:t>
                  </w:r>
                  <w:r>
                    <w:rPr>
                      <w:rFonts w:hint="default" w:ascii="Times New Roman" w:hAnsi="Times New Roman" w:cs="Times New Roman"/>
                      <w:color w:val="000000" w:themeColor="text1"/>
                      <w:sz w:val="21"/>
                      <w:szCs w:val="21"/>
                      <w:lang w:val="en-US" w:eastAsia="zh-CN"/>
                      <w14:textFill>
                        <w14:solidFill>
                          <w14:schemeClr w14:val="tx1"/>
                        </w14:solidFill>
                      </w14:textFill>
                    </w:rPr>
                    <w:t>处理后沿</w:t>
                  </w:r>
                  <w:r>
                    <w:rPr>
                      <w:rFonts w:hint="default" w:ascii="Times New Roman" w:hAnsi="Times New Roman" w:cs="Times New Roman"/>
                      <w:color w:val="000000" w:themeColor="text1"/>
                      <w:sz w:val="21"/>
                      <w:szCs w:val="21"/>
                      <w14:textFill>
                        <w14:solidFill>
                          <w14:schemeClr w14:val="tx1"/>
                        </w14:solidFill>
                      </w14:textFill>
                    </w:rPr>
                    <w:t>15m排气筒（DA00</w:t>
                  </w:r>
                  <w:r>
                    <w:rPr>
                      <w:rFonts w:hint="eastAsia" w:cs="Times New Roman"/>
                      <w:color w:val="000000" w:themeColor="text1"/>
                      <w:sz w:val="21"/>
                      <w:szCs w:val="21"/>
                      <w:lang w:val="en-US" w:eastAsia="zh-CN"/>
                      <w14:textFill>
                        <w14:solidFill>
                          <w14:schemeClr w14:val="tx1"/>
                        </w14:solidFill>
                      </w14:textFill>
                    </w:rPr>
                    <w:t>2</w:t>
                  </w:r>
                  <w:r>
                    <w:rPr>
                      <w:rFonts w:hint="default" w:ascii="Times New Roman" w:hAnsi="Times New Roman" w:cs="Times New Roman"/>
                      <w:color w:val="000000" w:themeColor="text1"/>
                      <w:sz w:val="21"/>
                      <w:szCs w:val="21"/>
                      <w14:textFill>
                        <w14:solidFill>
                          <w14:schemeClr w14:val="tx1"/>
                        </w14:solidFill>
                      </w14:textFill>
                    </w:rPr>
                    <w:t>）</w:t>
                  </w:r>
                  <w:r>
                    <w:rPr>
                      <w:rFonts w:hint="default" w:ascii="Times New Roman" w:hAnsi="Times New Roman" w:cs="Times New Roman"/>
                      <w:color w:val="000000" w:themeColor="text1"/>
                      <w:sz w:val="21"/>
                      <w:szCs w:val="21"/>
                      <w:lang w:val="en-US" w:eastAsia="zh-CN"/>
                      <w14:textFill>
                        <w14:solidFill>
                          <w14:schemeClr w14:val="tx1"/>
                        </w14:solidFill>
                      </w14:textFill>
                    </w:rPr>
                    <w:t>排放。</w:t>
                  </w:r>
                </w:p>
              </w:tc>
              <w:tc>
                <w:tcPr>
                  <w:tcW w:w="454" w:type="pct"/>
                  <w:noWrap w:val="0"/>
                  <w:vAlign w:val="center"/>
                </w:tcPr>
                <w:p w14:paraId="227DD035">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符合</w:t>
                  </w:r>
                </w:p>
              </w:tc>
            </w:tr>
            <w:tr w14:paraId="1BE389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83" w:type="pct"/>
                  <w:vMerge w:val="restart"/>
                  <w:noWrap w:val="0"/>
                  <w:vAlign w:val="center"/>
                </w:tcPr>
                <w:p w14:paraId="5300E54A">
                  <w:pPr>
                    <w:jc w:val="center"/>
                    <w:rPr>
                      <w:rFonts w:hint="default" w:ascii="Times New Roman" w:hAnsi="Times New Roman" w:eastAsia="宋体" w:cs="Times New Roman"/>
                      <w:color w:val="000000" w:themeColor="text1"/>
                      <w:kern w:val="2"/>
                      <w:sz w:val="21"/>
                      <w:szCs w:val="21"/>
                      <w:lang w:val="en-US" w:eastAsia="zh-Hans" w:bidi="ar-SA"/>
                      <w14:textFill>
                        <w14:solidFill>
                          <w14:schemeClr w14:val="tx1"/>
                        </w14:solidFill>
                      </w14:textFill>
                    </w:rPr>
                  </w:pPr>
                  <w:r>
                    <w:rPr>
                      <w:rFonts w:hint="default" w:ascii="Times New Roman" w:hAnsi="Times New Roman" w:eastAsia="宋体" w:cs="Times New Roman"/>
                      <w:i w:val="0"/>
                      <w:iCs w:val="0"/>
                      <w:caps w:val="0"/>
                      <w:color w:val="000000" w:themeColor="text1"/>
                      <w:spacing w:val="0"/>
                      <w:sz w:val="21"/>
                      <w:szCs w:val="21"/>
                      <w:shd w:val="clear" w:color="auto" w:fill="FFFFFF"/>
                      <w:lang w:val="en-US" w:eastAsia="zh-CN"/>
                      <w14:textFill>
                        <w14:solidFill>
                          <w14:schemeClr w14:val="tx1"/>
                        </w14:solidFill>
                      </w14:textFill>
                    </w:rPr>
                    <w:t>关于印发《凤翔区大气污染治理专项行动方案（2023—2027年）》的通知</w:t>
                  </w:r>
                </w:p>
              </w:tc>
              <w:tc>
                <w:tcPr>
                  <w:tcW w:w="2099" w:type="pct"/>
                  <w:noWrap w:val="0"/>
                  <w:vAlign w:val="center"/>
                </w:tcPr>
                <w:p w14:paraId="558D6B51">
                  <w:pPr>
                    <w:jc w:val="center"/>
                    <w:rPr>
                      <w:rFonts w:hint="default" w:ascii="Times New Roman" w:hAnsi="Times New Roman" w:eastAsia="宋体" w:cs="Times New Roman"/>
                      <w:color w:val="000000" w:themeColor="text1"/>
                      <w:kern w:val="2"/>
                      <w:sz w:val="21"/>
                      <w:szCs w:val="21"/>
                      <w:lang w:val="en-US" w:eastAsia="zh-Hans" w:bidi="ar-SA"/>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动态更新挥发性有机物治理设施台账，开展简易低效挥发性有机物治理设施清理整治、涉活性炭挥发性有机物处理工艺专项整治行动，强化挥发性有机物无组织排放整治，确保达到相关标准要求。新建挥发性有机物治理设施不再采用单一低温等离子、光氧化、光催化等治理技术，非水溶性挥发性有机物废气不再采用单一喷淋吸收方式处理。</w:t>
                  </w:r>
                </w:p>
              </w:tc>
              <w:tc>
                <w:tcPr>
                  <w:tcW w:w="1363" w:type="pct"/>
                  <w:noWrap w:val="0"/>
                  <w:vAlign w:val="center"/>
                </w:tcPr>
                <w:p w14:paraId="4752DFA9">
                  <w:pPr>
                    <w:adjustRightInd w:val="0"/>
                    <w:snapToGrid w:val="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本项目</w:t>
                  </w:r>
                  <w:r>
                    <w:rPr>
                      <w:rFonts w:hint="default" w:ascii="Times New Roman" w:hAnsi="Times New Roman" w:cs="Times New Roman"/>
                      <w:color w:val="000000" w:themeColor="text1"/>
                      <w:szCs w:val="21"/>
                      <w:lang w:val="en-US" w:eastAsia="zh-CN"/>
                      <w14:textFill>
                        <w14:solidFill>
                          <w14:schemeClr w14:val="tx1"/>
                        </w14:solidFill>
                      </w14:textFill>
                    </w:rPr>
                    <w:t>建成后对挥发性有机物治理设施台账定期进行动态更新，</w:t>
                  </w:r>
                  <w:r>
                    <w:rPr>
                      <w:rFonts w:hint="eastAsia" w:cs="Times New Roman"/>
                      <w:color w:val="000000" w:themeColor="text1"/>
                      <w:szCs w:val="21"/>
                      <w:lang w:val="en-US" w:eastAsia="zh-CN"/>
                      <w14:textFill>
                        <w14:solidFill>
                          <w14:schemeClr w14:val="tx1"/>
                        </w14:solidFill>
                      </w14:textFill>
                    </w:rPr>
                    <w:t>生产过程</w:t>
                  </w:r>
                  <w:r>
                    <w:rPr>
                      <w:rFonts w:hint="default" w:ascii="Times New Roman" w:hAnsi="Times New Roman" w:cs="Times New Roman"/>
                      <w:color w:val="000000" w:themeColor="text1"/>
                      <w:szCs w:val="21"/>
                      <w:lang w:val="en-US" w:eastAsia="zh-CN"/>
                      <w14:textFill>
                        <w14:solidFill>
                          <w14:schemeClr w14:val="tx1"/>
                        </w14:solidFill>
                      </w14:textFill>
                    </w:rPr>
                    <w:t>产生的有机废气经集气罩收集后通过</w:t>
                  </w:r>
                  <w:r>
                    <w:rPr>
                      <w:rFonts w:hint="eastAsia" w:cs="Times New Roman"/>
                      <w:color w:val="000000" w:themeColor="text1"/>
                      <w:szCs w:val="21"/>
                      <w:lang w:val="en-US" w:eastAsia="zh-CN"/>
                      <w14:textFill>
                        <w14:solidFill>
                          <w14:schemeClr w14:val="tx1"/>
                        </w14:solidFill>
                      </w14:textFill>
                    </w:rPr>
                    <w:t>过滤棉+</w:t>
                  </w:r>
                  <w:r>
                    <w:rPr>
                      <w:rFonts w:hint="default" w:ascii="Times New Roman" w:hAnsi="Times New Roman" w:cs="Times New Roman"/>
                      <w:color w:val="000000" w:themeColor="text1"/>
                      <w:szCs w:val="21"/>
                      <w:lang w:val="en-US" w:eastAsia="zh-CN"/>
                      <w14:textFill>
                        <w14:solidFill>
                          <w14:schemeClr w14:val="tx1"/>
                        </w14:solidFill>
                      </w14:textFill>
                    </w:rPr>
                    <w:t>二级</w:t>
                  </w:r>
                  <w:r>
                    <w:rPr>
                      <w:rFonts w:hint="default" w:ascii="Times New Roman" w:hAnsi="Times New Roman" w:cs="Times New Roman"/>
                      <w:color w:val="000000" w:themeColor="text1"/>
                      <w:sz w:val="21"/>
                      <w:szCs w:val="21"/>
                      <w14:textFill>
                        <w14:solidFill>
                          <w14:schemeClr w14:val="tx1"/>
                        </w14:solidFill>
                      </w14:textFill>
                    </w:rPr>
                    <w:t>活性炭（TA00</w:t>
                  </w:r>
                  <w:r>
                    <w:rPr>
                      <w:rFonts w:hint="eastAsia" w:cs="Times New Roman"/>
                      <w:color w:val="000000" w:themeColor="text1"/>
                      <w:sz w:val="21"/>
                      <w:szCs w:val="21"/>
                      <w:lang w:val="en-US" w:eastAsia="zh-CN"/>
                      <w14:textFill>
                        <w14:solidFill>
                          <w14:schemeClr w14:val="tx1"/>
                        </w14:solidFill>
                      </w14:textFill>
                    </w:rPr>
                    <w:t>2</w:t>
                  </w:r>
                  <w:r>
                    <w:rPr>
                      <w:rFonts w:hint="default" w:ascii="Times New Roman" w:hAnsi="Times New Roman" w:cs="Times New Roman"/>
                      <w:color w:val="000000" w:themeColor="text1"/>
                      <w:sz w:val="21"/>
                      <w:szCs w:val="21"/>
                      <w14:textFill>
                        <w14:solidFill>
                          <w14:schemeClr w14:val="tx1"/>
                        </w14:solidFill>
                      </w14:textFill>
                    </w:rPr>
                    <w:t>）</w:t>
                  </w:r>
                  <w:r>
                    <w:rPr>
                      <w:rFonts w:hint="default" w:ascii="Times New Roman" w:hAnsi="Times New Roman" w:cs="Times New Roman"/>
                      <w:color w:val="000000" w:themeColor="text1"/>
                      <w:sz w:val="21"/>
                      <w:szCs w:val="21"/>
                      <w:lang w:val="en-US" w:eastAsia="zh-CN"/>
                      <w14:textFill>
                        <w14:solidFill>
                          <w14:schemeClr w14:val="tx1"/>
                        </w14:solidFill>
                      </w14:textFill>
                    </w:rPr>
                    <w:t>处理后沿</w:t>
                  </w:r>
                  <w:r>
                    <w:rPr>
                      <w:rFonts w:hint="default" w:ascii="Times New Roman" w:hAnsi="Times New Roman" w:cs="Times New Roman"/>
                      <w:color w:val="000000" w:themeColor="text1"/>
                      <w:sz w:val="21"/>
                      <w:szCs w:val="21"/>
                      <w14:textFill>
                        <w14:solidFill>
                          <w14:schemeClr w14:val="tx1"/>
                        </w14:solidFill>
                      </w14:textFill>
                    </w:rPr>
                    <w:t>15m排气筒（DA00</w:t>
                  </w:r>
                  <w:r>
                    <w:rPr>
                      <w:rFonts w:hint="eastAsia" w:cs="Times New Roman"/>
                      <w:color w:val="000000" w:themeColor="text1"/>
                      <w:sz w:val="21"/>
                      <w:szCs w:val="21"/>
                      <w:lang w:val="en-US" w:eastAsia="zh-CN"/>
                      <w14:textFill>
                        <w14:solidFill>
                          <w14:schemeClr w14:val="tx1"/>
                        </w14:solidFill>
                      </w14:textFill>
                    </w:rPr>
                    <w:t>2</w:t>
                  </w:r>
                  <w:r>
                    <w:rPr>
                      <w:rFonts w:hint="default" w:ascii="Times New Roman" w:hAnsi="Times New Roman" w:cs="Times New Roman"/>
                      <w:color w:val="000000" w:themeColor="text1"/>
                      <w:sz w:val="21"/>
                      <w:szCs w:val="21"/>
                      <w14:textFill>
                        <w14:solidFill>
                          <w14:schemeClr w14:val="tx1"/>
                        </w14:solidFill>
                      </w14:textFill>
                    </w:rPr>
                    <w:t>）</w:t>
                  </w:r>
                  <w:r>
                    <w:rPr>
                      <w:rFonts w:hint="default" w:ascii="Times New Roman" w:hAnsi="Times New Roman" w:cs="Times New Roman"/>
                      <w:color w:val="000000" w:themeColor="text1"/>
                      <w:sz w:val="21"/>
                      <w:szCs w:val="21"/>
                      <w:lang w:val="en-US" w:eastAsia="zh-CN"/>
                      <w14:textFill>
                        <w14:solidFill>
                          <w14:schemeClr w14:val="tx1"/>
                        </w14:solidFill>
                      </w14:textFill>
                    </w:rPr>
                    <w:t>达标排放</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tc>
              <w:tc>
                <w:tcPr>
                  <w:tcW w:w="454" w:type="pct"/>
                  <w:noWrap w:val="0"/>
                  <w:vAlign w:val="center"/>
                </w:tcPr>
                <w:p w14:paraId="41C9B076">
                  <w:pPr>
                    <w:adjustRightInd w:val="0"/>
                    <w:snapToGrid w:val="0"/>
                    <w:jc w:val="center"/>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符合</w:t>
                  </w:r>
                </w:p>
              </w:tc>
            </w:tr>
            <w:tr w14:paraId="516A6F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83" w:type="pct"/>
                  <w:vMerge w:val="continue"/>
                  <w:noWrap w:val="0"/>
                  <w:vAlign w:val="center"/>
                </w:tcPr>
                <w:p w14:paraId="49DC1922">
                  <w:pPr>
                    <w:jc w:val="center"/>
                    <w:rPr>
                      <w:rFonts w:hint="default" w:ascii="Times New Roman" w:hAnsi="Times New Roman" w:eastAsia="宋体" w:cs="Times New Roman"/>
                      <w:i w:val="0"/>
                      <w:iCs w:val="0"/>
                      <w:caps w:val="0"/>
                      <w:color w:val="000000" w:themeColor="text1"/>
                      <w:spacing w:val="0"/>
                      <w:sz w:val="21"/>
                      <w:szCs w:val="21"/>
                      <w:shd w:val="clear" w:color="auto" w:fill="FFFFFF"/>
                      <w:lang w:val="en-US" w:eastAsia="zh-CN"/>
                      <w14:textFill>
                        <w14:solidFill>
                          <w14:schemeClr w14:val="tx1"/>
                        </w14:solidFill>
                      </w14:textFill>
                    </w:rPr>
                  </w:pPr>
                </w:p>
              </w:tc>
              <w:tc>
                <w:tcPr>
                  <w:tcW w:w="2099" w:type="pct"/>
                  <w:noWrap w:val="0"/>
                  <w:vAlign w:val="center"/>
                </w:tcPr>
                <w:p w14:paraId="7DF3C905">
                  <w:pPr>
                    <w:jc w:val="center"/>
                    <w:rPr>
                      <w:rFonts w:hint="default" w:ascii="Times New Roman" w:hAnsi="Times New Roman" w:cs="Times New Roman"/>
                      <w:color w:val="000000" w:themeColor="text1"/>
                      <w:szCs w:val="21"/>
                      <w:shd w:val="clear" w:color="auto" w:fill="FFFFFF"/>
                      <w:lang w:val="en-US" w:eastAsia="zh-CN"/>
                      <w14:textFill>
                        <w14:solidFill>
                          <w14:schemeClr w14:val="tx1"/>
                        </w14:solidFill>
                      </w14:textFill>
                    </w:rPr>
                  </w:pPr>
                  <w:r>
                    <w:rPr>
                      <w:rFonts w:hint="default" w:ascii="Times New Roman" w:hAnsi="Times New Roman" w:cs="Times New Roman"/>
                      <w:color w:val="000000" w:themeColor="text1"/>
                      <w:szCs w:val="21"/>
                      <w:shd w:val="clear" w:color="auto" w:fill="FFFFFF"/>
                      <w:lang w:val="en-US" w:eastAsia="zh-CN"/>
                      <w14:textFill>
                        <w14:solidFill>
                          <w14:schemeClr w14:val="tx1"/>
                        </w14:solidFill>
                      </w14:textFill>
                    </w:rPr>
                    <w:t>3.产业发展结构调整。</w:t>
                  </w:r>
                </w:p>
                <w:p w14:paraId="2706FBD5">
                  <w:pPr>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Cs w:val="21"/>
                      <w:shd w:val="clear" w:color="auto" w:fill="FFFFFF"/>
                      <w:lang w:val="en-US" w:eastAsia="zh-CN"/>
                      <w14:textFill>
                        <w14:solidFill>
                          <w14:schemeClr w14:val="tx1"/>
                        </w14:solidFill>
                      </w14:textFill>
                    </w:rPr>
                    <w:t>实施城区工业企业退城搬迁改造，除部分必须依托城市生产或直接服务于城市的工业企业外，原则上在2027年底前达不到能耗标杆和环保绩效A级（含绩效引领）涉气企业搬迁至工业园区。</w:t>
                  </w:r>
                </w:p>
              </w:tc>
              <w:tc>
                <w:tcPr>
                  <w:tcW w:w="1363" w:type="pct"/>
                  <w:noWrap w:val="0"/>
                  <w:vAlign w:val="center"/>
                </w:tcPr>
                <w:p w14:paraId="4577D42B">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shd w:val="clear" w:color="auto" w:fill="FFFFFF"/>
                      <w:lang w:val="en-US" w:eastAsia="zh-CN"/>
                      <w14:textFill>
                        <w14:solidFill>
                          <w14:schemeClr w14:val="tx1"/>
                        </w14:solidFill>
                      </w14:textFill>
                    </w:rPr>
                    <w:t>本项目不属于重点行业，</w:t>
                  </w:r>
                  <w:r>
                    <w:rPr>
                      <w:rFonts w:hint="eastAsia" w:cs="Times New Roman"/>
                      <w:color w:val="000000" w:themeColor="text1"/>
                      <w:szCs w:val="21"/>
                      <w:shd w:val="clear" w:color="auto" w:fill="FFFFFF"/>
                      <w:lang w:val="en-US" w:eastAsia="zh-CN"/>
                      <w14:textFill>
                        <w14:solidFill>
                          <w14:schemeClr w14:val="tx1"/>
                        </w14:solidFill>
                      </w14:textFill>
                    </w:rPr>
                    <w:t>且本项目属于迁建项目，属于退城搬迁改造类企业</w:t>
                  </w:r>
                  <w:r>
                    <w:rPr>
                      <w:rFonts w:hint="default" w:ascii="Times New Roman" w:hAnsi="Times New Roman" w:cs="Times New Roman"/>
                      <w:color w:val="000000" w:themeColor="text1"/>
                      <w:szCs w:val="21"/>
                      <w:shd w:val="clear" w:color="auto" w:fill="FFFFFF"/>
                      <w:lang w:val="en-US" w:eastAsia="zh-CN"/>
                      <w14:textFill>
                        <w14:solidFill>
                          <w14:schemeClr w14:val="tx1"/>
                        </w14:solidFill>
                      </w14:textFill>
                    </w:rPr>
                    <w:t>，符合要求。</w:t>
                  </w:r>
                </w:p>
              </w:tc>
              <w:tc>
                <w:tcPr>
                  <w:tcW w:w="454" w:type="pct"/>
                  <w:noWrap w:val="0"/>
                  <w:vAlign w:val="center"/>
                </w:tcPr>
                <w:p w14:paraId="7834646F">
                  <w:pPr>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符合</w:t>
                  </w:r>
                </w:p>
              </w:tc>
            </w:tr>
            <w:tr w14:paraId="586299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83" w:type="pct"/>
                  <w:noWrap w:val="0"/>
                  <w:vAlign w:val="center"/>
                </w:tcPr>
                <w:p w14:paraId="22CAE563">
                  <w:pPr>
                    <w:jc w:val="center"/>
                    <w:rPr>
                      <w:rFonts w:hint="default" w:ascii="Times New Roman" w:hAnsi="Times New Roman" w:eastAsia="宋体" w:cs="Times New Roman"/>
                      <w:color w:val="000000" w:themeColor="text1"/>
                      <w:kern w:val="2"/>
                      <w:sz w:val="21"/>
                      <w:szCs w:val="21"/>
                      <w:lang w:val="en-US" w:eastAsia="zh-Hans"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eastAsia="zh-Hans"/>
                      <w14:textFill>
                        <w14:solidFill>
                          <w14:schemeClr w14:val="tx1"/>
                        </w14:solidFill>
                      </w14:textFill>
                    </w:rPr>
                    <w:t>《宝鸡市</w:t>
                  </w:r>
                  <w:r>
                    <w:rPr>
                      <w:rFonts w:hint="default" w:ascii="Times New Roman" w:hAnsi="Times New Roman" w:eastAsia="宋体" w:cs="Times New Roman"/>
                      <w:color w:val="000000" w:themeColor="text1"/>
                      <w:kern w:val="0"/>
                      <w:sz w:val="21"/>
                      <w:szCs w:val="21"/>
                      <w:lang w:eastAsia="zh-CN"/>
                      <w14:textFill>
                        <w14:solidFill>
                          <w14:schemeClr w14:val="tx1"/>
                        </w14:solidFill>
                      </w14:textFill>
                    </w:rPr>
                    <w:t>“</w:t>
                  </w:r>
                  <w:r>
                    <w:rPr>
                      <w:rFonts w:hint="default" w:ascii="Times New Roman" w:hAnsi="Times New Roman" w:eastAsia="宋体" w:cs="Times New Roman"/>
                      <w:color w:val="000000" w:themeColor="text1"/>
                      <w:kern w:val="0"/>
                      <w:sz w:val="21"/>
                      <w:szCs w:val="21"/>
                      <w:lang w:eastAsia="zh-Hans"/>
                      <w14:textFill>
                        <w14:solidFill>
                          <w14:schemeClr w14:val="tx1"/>
                        </w14:solidFill>
                      </w14:textFill>
                    </w:rPr>
                    <w:t>十四五</w:t>
                  </w:r>
                  <w:r>
                    <w:rPr>
                      <w:rFonts w:hint="default" w:ascii="Times New Roman" w:hAnsi="Times New Roman" w:eastAsia="宋体" w:cs="Times New Roman"/>
                      <w:color w:val="000000" w:themeColor="text1"/>
                      <w:kern w:val="0"/>
                      <w:sz w:val="21"/>
                      <w:szCs w:val="21"/>
                      <w:lang w:eastAsia="zh-CN"/>
                      <w14:textFill>
                        <w14:solidFill>
                          <w14:schemeClr w14:val="tx1"/>
                        </w14:solidFill>
                      </w14:textFill>
                    </w:rPr>
                    <w:t>”</w:t>
                  </w:r>
                  <w:r>
                    <w:rPr>
                      <w:rFonts w:hint="default" w:ascii="Times New Roman" w:hAnsi="Times New Roman" w:eastAsia="宋体" w:cs="Times New Roman"/>
                      <w:color w:val="000000" w:themeColor="text1"/>
                      <w:kern w:val="0"/>
                      <w:sz w:val="21"/>
                      <w:szCs w:val="21"/>
                      <w:lang w:eastAsia="zh-Hans"/>
                      <w14:textFill>
                        <w14:solidFill>
                          <w14:schemeClr w14:val="tx1"/>
                        </w14:solidFill>
                      </w14:textFill>
                    </w:rPr>
                    <w:t>生态环境保护规划》</w:t>
                  </w:r>
                </w:p>
              </w:tc>
              <w:tc>
                <w:tcPr>
                  <w:tcW w:w="2099" w:type="pct"/>
                  <w:noWrap w:val="0"/>
                  <w:vAlign w:val="center"/>
                </w:tcPr>
                <w:p w14:paraId="0D73CA74">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企业新建和改造治污设施，应选择合理治理技术和设备，提高VOCs治理效率。加强无组织排放控制，深入实施精细化管控，提高VOCs治理的精准性、针对性和有效性。持续开展无组织排放排查整治工作，加强含VOCs物料全方位、全链条、全环节密闭管理</w:t>
                  </w:r>
                  <w:r>
                    <w:rPr>
                      <w:rFonts w:hint="default" w:ascii="Times New Roman" w:hAnsi="Times New Roman" w:cs="Times New Roman"/>
                      <w:color w:val="000000" w:themeColor="text1"/>
                      <w:sz w:val="21"/>
                      <w:szCs w:val="21"/>
                      <w:lang w:eastAsia="zh-CN"/>
                      <w14:textFill>
                        <w14:solidFill>
                          <w14:schemeClr w14:val="tx1"/>
                        </w14:solidFill>
                      </w14:textFill>
                    </w:rPr>
                    <w:t>。</w:t>
                  </w:r>
                </w:p>
              </w:tc>
              <w:tc>
                <w:tcPr>
                  <w:tcW w:w="1363" w:type="pct"/>
                  <w:vMerge w:val="restart"/>
                  <w:noWrap w:val="0"/>
                  <w:vAlign w:val="center"/>
                </w:tcPr>
                <w:p w14:paraId="29C61474">
                  <w:pPr>
                    <w:adjustRightInd w:val="0"/>
                    <w:snapToGrid w:val="0"/>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本项目</w:t>
                  </w:r>
                  <w:r>
                    <w:rPr>
                      <w:rFonts w:hint="eastAsia" w:cs="Times New Roman"/>
                      <w:color w:val="000000" w:themeColor="text1"/>
                      <w:szCs w:val="21"/>
                      <w:lang w:val="en-US" w:eastAsia="zh-CN"/>
                      <w14:textFill>
                        <w14:solidFill>
                          <w14:schemeClr w14:val="tx1"/>
                        </w14:solidFill>
                      </w14:textFill>
                    </w:rPr>
                    <w:t>生产过程</w:t>
                  </w:r>
                  <w:r>
                    <w:rPr>
                      <w:rFonts w:hint="default" w:ascii="Times New Roman" w:hAnsi="Times New Roman" w:eastAsia="宋体" w:cs="Times New Roman"/>
                      <w:color w:val="000000" w:themeColor="text1"/>
                      <w:szCs w:val="21"/>
                      <w:lang w:val="en-US" w:eastAsia="zh-CN"/>
                      <w14:textFill>
                        <w14:solidFill>
                          <w14:schemeClr w14:val="tx1"/>
                        </w14:solidFill>
                      </w14:textFill>
                    </w:rPr>
                    <w:t>产生的有机废气经</w:t>
                  </w:r>
                  <w:r>
                    <w:rPr>
                      <w:rFonts w:hint="default" w:ascii="Times New Roman" w:hAnsi="Times New Roman" w:cs="Times New Roman"/>
                      <w:color w:val="000000" w:themeColor="text1"/>
                      <w:szCs w:val="21"/>
                      <w:lang w:val="en-US" w:eastAsia="zh-CN"/>
                      <w14:textFill>
                        <w14:solidFill>
                          <w14:schemeClr w14:val="tx1"/>
                        </w14:solidFill>
                      </w14:textFill>
                    </w:rPr>
                    <w:t>封闭式集气罩</w:t>
                  </w:r>
                  <w:r>
                    <w:rPr>
                      <w:rFonts w:hint="default" w:ascii="Times New Roman" w:hAnsi="Times New Roman" w:eastAsia="宋体" w:cs="Times New Roman"/>
                      <w:color w:val="000000" w:themeColor="text1"/>
                      <w:szCs w:val="21"/>
                      <w:lang w:val="en-US" w:eastAsia="zh-CN"/>
                      <w14:textFill>
                        <w14:solidFill>
                          <w14:schemeClr w14:val="tx1"/>
                        </w14:solidFill>
                      </w14:textFill>
                    </w:rPr>
                    <w:t>收集后通过</w:t>
                  </w:r>
                  <w:r>
                    <w:rPr>
                      <w:rFonts w:hint="eastAsia" w:cs="Times New Roman"/>
                      <w:color w:val="000000" w:themeColor="text1"/>
                      <w:szCs w:val="21"/>
                      <w:lang w:val="en-US" w:eastAsia="zh-CN"/>
                      <w14:textFill>
                        <w14:solidFill>
                          <w14:schemeClr w14:val="tx1"/>
                        </w14:solidFill>
                      </w14:textFill>
                    </w:rPr>
                    <w:t>过滤棉+</w:t>
                  </w:r>
                  <w:r>
                    <w:rPr>
                      <w:rFonts w:hint="default" w:ascii="Times New Roman" w:hAnsi="Times New Roman" w:cs="Times New Roman"/>
                      <w:color w:val="000000" w:themeColor="text1"/>
                      <w:szCs w:val="21"/>
                      <w:lang w:val="en-US" w:eastAsia="zh-CN"/>
                      <w14:textFill>
                        <w14:solidFill>
                          <w14:schemeClr w14:val="tx1"/>
                        </w14:solidFill>
                      </w14:textFill>
                    </w:rPr>
                    <w:t>二级</w:t>
                  </w:r>
                  <w:r>
                    <w:rPr>
                      <w:rFonts w:hint="default" w:ascii="Times New Roman" w:hAnsi="Times New Roman" w:eastAsia="宋体" w:cs="Times New Roman"/>
                      <w:color w:val="000000" w:themeColor="text1"/>
                      <w:szCs w:val="21"/>
                      <w14:textFill>
                        <w14:solidFill>
                          <w14:schemeClr w14:val="tx1"/>
                        </w14:solidFill>
                      </w14:textFill>
                    </w:rPr>
                    <w:t>活性炭（TA00</w:t>
                  </w:r>
                  <w:r>
                    <w:rPr>
                      <w:rFonts w:hint="eastAsia" w:cs="Times New Roman"/>
                      <w:color w:val="000000" w:themeColor="text1"/>
                      <w:szCs w:val="21"/>
                      <w:lang w:val="en-US" w:eastAsia="zh-CN"/>
                      <w14:textFill>
                        <w14:solidFill>
                          <w14:schemeClr w14:val="tx1"/>
                        </w14:solidFill>
                      </w14:textFill>
                    </w:rPr>
                    <w:t>2</w:t>
                  </w:r>
                  <w:r>
                    <w:rPr>
                      <w:rFonts w:hint="default" w:ascii="Times New Roman" w:hAnsi="Times New Roman" w:eastAsia="宋体" w:cs="Times New Roman"/>
                      <w:color w:val="000000" w:themeColor="text1"/>
                      <w:szCs w:val="21"/>
                      <w14:textFill>
                        <w14:solidFill>
                          <w14:schemeClr w14:val="tx1"/>
                        </w14:solidFill>
                      </w14:textFill>
                    </w:rPr>
                    <w:t>）</w:t>
                  </w:r>
                  <w:r>
                    <w:rPr>
                      <w:rFonts w:hint="default" w:ascii="Times New Roman" w:hAnsi="Times New Roman" w:eastAsia="宋体" w:cs="Times New Roman"/>
                      <w:color w:val="000000" w:themeColor="text1"/>
                      <w:szCs w:val="21"/>
                      <w:lang w:val="en-US" w:eastAsia="zh-CN"/>
                      <w14:textFill>
                        <w14:solidFill>
                          <w14:schemeClr w14:val="tx1"/>
                        </w14:solidFill>
                      </w14:textFill>
                    </w:rPr>
                    <w:t>处理后沿</w:t>
                  </w:r>
                  <w:r>
                    <w:rPr>
                      <w:rFonts w:hint="default" w:ascii="Times New Roman" w:hAnsi="Times New Roman" w:eastAsia="宋体" w:cs="Times New Roman"/>
                      <w:color w:val="000000" w:themeColor="text1"/>
                      <w:szCs w:val="21"/>
                      <w14:textFill>
                        <w14:solidFill>
                          <w14:schemeClr w14:val="tx1"/>
                        </w14:solidFill>
                      </w14:textFill>
                    </w:rPr>
                    <w:t>15m排气筒（DA00</w:t>
                  </w:r>
                  <w:r>
                    <w:rPr>
                      <w:rFonts w:hint="eastAsia" w:cs="Times New Roman"/>
                      <w:color w:val="000000" w:themeColor="text1"/>
                      <w:szCs w:val="21"/>
                      <w:lang w:val="en-US" w:eastAsia="zh-CN"/>
                      <w14:textFill>
                        <w14:solidFill>
                          <w14:schemeClr w14:val="tx1"/>
                        </w14:solidFill>
                      </w14:textFill>
                    </w:rPr>
                    <w:t>2</w:t>
                  </w:r>
                  <w:r>
                    <w:rPr>
                      <w:rFonts w:hint="default" w:ascii="Times New Roman" w:hAnsi="Times New Roman" w:eastAsia="宋体" w:cs="Times New Roman"/>
                      <w:color w:val="000000" w:themeColor="text1"/>
                      <w:szCs w:val="21"/>
                      <w14:textFill>
                        <w14:solidFill>
                          <w14:schemeClr w14:val="tx1"/>
                        </w14:solidFill>
                      </w14:textFill>
                    </w:rPr>
                    <w:t>）</w:t>
                  </w:r>
                  <w:r>
                    <w:rPr>
                      <w:rFonts w:hint="default" w:ascii="Times New Roman" w:hAnsi="Times New Roman" w:eastAsia="宋体" w:cs="Times New Roman"/>
                      <w:color w:val="000000" w:themeColor="text1"/>
                      <w:szCs w:val="21"/>
                      <w:lang w:val="en-US" w:eastAsia="zh-CN"/>
                      <w14:textFill>
                        <w14:solidFill>
                          <w14:schemeClr w14:val="tx1"/>
                        </w14:solidFill>
                      </w14:textFill>
                    </w:rPr>
                    <w:t>排放</w:t>
                  </w:r>
                  <w:r>
                    <w:rPr>
                      <w:rFonts w:hint="default" w:ascii="Times New Roman" w:hAnsi="Times New Roman" w:cs="Times New Roman"/>
                      <w:color w:val="000000" w:themeColor="text1"/>
                      <w:szCs w:val="21"/>
                      <w:lang w:val="en-US" w:eastAsia="zh-CN"/>
                      <w14:textFill>
                        <w14:solidFill>
                          <w14:schemeClr w14:val="tx1"/>
                        </w14:solidFill>
                      </w14:textFill>
                    </w:rPr>
                    <w:t>。</w:t>
                  </w:r>
                </w:p>
              </w:tc>
              <w:tc>
                <w:tcPr>
                  <w:tcW w:w="454" w:type="pct"/>
                  <w:noWrap w:val="0"/>
                  <w:vAlign w:val="center"/>
                </w:tcPr>
                <w:p w14:paraId="37715166">
                  <w:pPr>
                    <w:adjustRightInd w:val="0"/>
                    <w:snapToGrid w:val="0"/>
                    <w:jc w:val="center"/>
                    <w:rPr>
                      <w:rFonts w:hint="default" w:ascii="Times New Roman" w:hAnsi="Times New Roman" w:eastAsia="宋体" w:cs="Times New Roman"/>
                      <w:bCs/>
                      <w:color w:val="000000" w:themeColor="text1"/>
                      <w:szCs w:val="21"/>
                      <w:lang w:val="en-US" w:eastAsia="zh-CN"/>
                      <w14:textFill>
                        <w14:solidFill>
                          <w14:schemeClr w14:val="tx1"/>
                        </w14:solidFill>
                      </w14:textFill>
                    </w:rPr>
                  </w:pPr>
                  <w:r>
                    <w:rPr>
                      <w:rFonts w:hint="default" w:ascii="Times New Roman" w:hAnsi="Times New Roman" w:cs="Times New Roman"/>
                      <w:bCs/>
                      <w:color w:val="000000" w:themeColor="text1"/>
                      <w:szCs w:val="21"/>
                      <w:lang w:val="en-US" w:eastAsia="zh-CN"/>
                      <w14:textFill>
                        <w14:solidFill>
                          <w14:schemeClr w14:val="tx1"/>
                        </w14:solidFill>
                      </w14:textFill>
                    </w:rPr>
                    <w:t>符合</w:t>
                  </w:r>
                </w:p>
              </w:tc>
            </w:tr>
            <w:tr w14:paraId="779AD2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83" w:type="pct"/>
                  <w:vMerge w:val="restart"/>
                  <w:noWrap w:val="0"/>
                  <w:vAlign w:val="center"/>
                </w:tcPr>
                <w:p w14:paraId="5E89A3E2">
                  <w:pPr>
                    <w:jc w:val="center"/>
                    <w:rPr>
                      <w:rFonts w:hint="default" w:ascii="Times New Roman" w:hAnsi="Times New Roman" w:eastAsia="宋体" w:cs="Times New Roman"/>
                      <w:snapToGrid w:val="0"/>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《挥发性有机物（VOCs）污染防治技术政策》</w:t>
                  </w:r>
                </w:p>
              </w:tc>
              <w:tc>
                <w:tcPr>
                  <w:tcW w:w="2099" w:type="pct"/>
                  <w:noWrap w:val="0"/>
                  <w:vAlign w:val="center"/>
                </w:tcPr>
                <w:p w14:paraId="1AD7B70D">
                  <w:pPr>
                    <w:keepNext w:val="0"/>
                    <w:keepLines w:val="0"/>
                    <w:pageBreakBefore w:val="0"/>
                    <w:kinsoku/>
                    <w:wordWrap/>
                    <w:overflowPunct/>
                    <w:topLinePunct w:val="0"/>
                    <w:autoSpaceDE/>
                    <w:autoSpaceDN/>
                    <w:bidi w:val="0"/>
                    <w:adjustRightInd/>
                    <w:snapToGrid/>
                    <w:spacing w:line="240" w:lineRule="auto"/>
                    <w:ind w:left="42" w:leftChars="20" w:right="42" w:rightChars="2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含VOC产品的使用过程中，应采取废气收集措施，提高废气收集效率，减少废气的无组织排放与逸散，并对收集后的废气进行回收或处理后达标排放。</w:t>
                  </w:r>
                </w:p>
              </w:tc>
              <w:tc>
                <w:tcPr>
                  <w:tcW w:w="1363" w:type="pct"/>
                  <w:vMerge w:val="continue"/>
                  <w:noWrap w:val="0"/>
                  <w:vAlign w:val="center"/>
                </w:tcPr>
                <w:p w14:paraId="4DD13CDF">
                  <w:pPr>
                    <w:pStyle w:val="14"/>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454" w:type="pct"/>
                  <w:vMerge w:val="restart"/>
                  <w:noWrap w:val="0"/>
                  <w:vAlign w:val="center"/>
                </w:tcPr>
                <w:p w14:paraId="57906532">
                  <w:pPr>
                    <w:adjustRightInd w:val="0"/>
                    <w:snapToGrid w:val="0"/>
                    <w:jc w:val="center"/>
                    <w:rPr>
                      <w:rFonts w:hint="default" w:ascii="Times New Roman" w:hAnsi="Times New Roman" w:eastAsia="宋体" w:cs="Times New Roman"/>
                      <w:bCs/>
                      <w:color w:val="000000" w:themeColor="text1"/>
                      <w:szCs w:val="21"/>
                      <w:lang w:val="en-US" w:eastAsia="zh-CN"/>
                      <w14:textFill>
                        <w14:solidFill>
                          <w14:schemeClr w14:val="tx1"/>
                        </w14:solidFill>
                      </w14:textFill>
                    </w:rPr>
                  </w:pPr>
                  <w:r>
                    <w:rPr>
                      <w:rFonts w:hint="default" w:ascii="Times New Roman" w:hAnsi="Times New Roman" w:cs="Times New Roman"/>
                      <w:bCs/>
                      <w:color w:val="000000" w:themeColor="text1"/>
                      <w:szCs w:val="21"/>
                      <w:lang w:val="en-US" w:eastAsia="zh-CN"/>
                      <w14:textFill>
                        <w14:solidFill>
                          <w14:schemeClr w14:val="tx1"/>
                        </w14:solidFill>
                      </w14:textFill>
                    </w:rPr>
                    <w:t>符合</w:t>
                  </w:r>
                </w:p>
              </w:tc>
            </w:tr>
            <w:tr w14:paraId="625DE3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83" w:type="pct"/>
                  <w:vMerge w:val="continue"/>
                  <w:noWrap w:val="0"/>
                  <w:vAlign w:val="center"/>
                </w:tcPr>
                <w:p w14:paraId="47B215C9">
                  <w:pPr>
                    <w:jc w:val="center"/>
                    <w:rPr>
                      <w:rFonts w:hint="default" w:ascii="Times New Roman" w:hAnsi="Times New Roman" w:eastAsia="宋体" w:cs="Times New Roman"/>
                      <w:snapToGrid w:val="0"/>
                      <w:color w:val="000000" w:themeColor="text1"/>
                      <w:sz w:val="21"/>
                      <w:szCs w:val="21"/>
                      <w14:textFill>
                        <w14:solidFill>
                          <w14:schemeClr w14:val="tx1"/>
                        </w14:solidFill>
                      </w14:textFill>
                    </w:rPr>
                  </w:pPr>
                </w:p>
              </w:tc>
              <w:tc>
                <w:tcPr>
                  <w:tcW w:w="2099" w:type="pct"/>
                  <w:noWrap w:val="0"/>
                  <w:vAlign w:val="center"/>
                </w:tcPr>
                <w:p w14:paraId="348A1806">
                  <w:pPr>
                    <w:keepNext w:val="0"/>
                    <w:keepLines w:val="0"/>
                    <w:pageBreakBefore w:val="0"/>
                    <w:kinsoku/>
                    <w:wordWrap/>
                    <w:overflowPunct/>
                    <w:topLinePunct w:val="0"/>
                    <w:autoSpaceDE/>
                    <w:autoSpaceDN/>
                    <w:bidi w:val="0"/>
                    <w:adjustRightInd/>
                    <w:snapToGrid/>
                    <w:spacing w:line="240" w:lineRule="auto"/>
                    <w:ind w:left="42" w:leftChars="20" w:right="42" w:rightChars="2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对于含低浓度VOCs的废气，有回收价值时可采用吸附技术、吸收技术对有机溶剂回收后达标排放；不宜回收时，可采用吸附浓缩燃烧技术、生物技术、吸收技术、等离子体技术或紫外光高级氧化技术等净化后达标排放</w:t>
                  </w:r>
                  <w:r>
                    <w:rPr>
                      <w:rFonts w:hint="default" w:ascii="Times New Roman" w:hAnsi="Times New Roman" w:cs="Times New Roman"/>
                      <w:color w:val="000000" w:themeColor="text1"/>
                      <w:spacing w:val="0"/>
                      <w:sz w:val="21"/>
                      <w:szCs w:val="21"/>
                      <w:lang w:eastAsia="zh-CN"/>
                      <w14:textFill>
                        <w14:solidFill>
                          <w14:schemeClr w14:val="tx1"/>
                        </w14:solidFill>
                      </w14:textFill>
                    </w:rPr>
                    <w:t>。</w:t>
                  </w:r>
                </w:p>
              </w:tc>
              <w:tc>
                <w:tcPr>
                  <w:tcW w:w="1363" w:type="pct"/>
                  <w:vMerge w:val="continue"/>
                  <w:noWrap w:val="0"/>
                  <w:vAlign w:val="center"/>
                </w:tcPr>
                <w:p w14:paraId="19173A22">
                  <w:pPr>
                    <w:pStyle w:val="14"/>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454" w:type="pct"/>
                  <w:vMerge w:val="continue"/>
                  <w:noWrap w:val="0"/>
                  <w:vAlign w:val="center"/>
                </w:tcPr>
                <w:p w14:paraId="663AD8AA">
                  <w:pPr>
                    <w:adjustRightInd w:val="0"/>
                    <w:snapToGrid w:val="0"/>
                    <w:jc w:val="center"/>
                    <w:rPr>
                      <w:rFonts w:hint="default" w:ascii="Times New Roman" w:hAnsi="Times New Roman" w:cs="Times New Roman"/>
                      <w:bCs/>
                      <w:color w:val="000000" w:themeColor="text1"/>
                      <w:szCs w:val="21"/>
                      <w14:textFill>
                        <w14:solidFill>
                          <w14:schemeClr w14:val="tx1"/>
                        </w14:solidFill>
                      </w14:textFill>
                    </w:rPr>
                  </w:pPr>
                </w:p>
              </w:tc>
            </w:tr>
            <w:tr w14:paraId="75F9D2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83" w:type="pct"/>
                  <w:vMerge w:val="continue"/>
                  <w:noWrap w:val="0"/>
                  <w:vAlign w:val="center"/>
                </w:tcPr>
                <w:p w14:paraId="1CFF2526">
                  <w:pPr>
                    <w:jc w:val="center"/>
                    <w:rPr>
                      <w:rFonts w:hint="default" w:ascii="Times New Roman" w:hAnsi="Times New Roman" w:eastAsia="宋体" w:cs="Times New Roman"/>
                      <w:snapToGrid w:val="0"/>
                      <w:color w:val="000000" w:themeColor="text1"/>
                      <w:sz w:val="21"/>
                      <w:szCs w:val="21"/>
                      <w14:textFill>
                        <w14:solidFill>
                          <w14:schemeClr w14:val="tx1"/>
                        </w14:solidFill>
                      </w14:textFill>
                    </w:rPr>
                  </w:pPr>
                </w:p>
              </w:tc>
              <w:tc>
                <w:tcPr>
                  <w:tcW w:w="2099" w:type="pct"/>
                  <w:noWrap w:val="0"/>
                  <w:vAlign w:val="center"/>
                </w:tcPr>
                <w:p w14:paraId="113E0F57">
                  <w:pPr>
                    <w:keepNext w:val="0"/>
                    <w:keepLines w:val="0"/>
                    <w:pageBreakBefore w:val="0"/>
                    <w:kinsoku/>
                    <w:wordWrap/>
                    <w:overflowPunct/>
                    <w:topLinePunct w:val="0"/>
                    <w:autoSpaceDE/>
                    <w:autoSpaceDN/>
                    <w:bidi w:val="0"/>
                    <w:adjustRightInd/>
                    <w:snapToGrid/>
                    <w:spacing w:line="240" w:lineRule="auto"/>
                    <w:ind w:left="42" w:leftChars="20" w:right="42" w:rightChars="2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对于不能再生的过滤材料、吸附剂及催化剂等净化材料，应按照国家固体废物管理的相关规定</w:t>
                  </w:r>
                  <w:r>
                    <w:rPr>
                      <w:rFonts w:hint="default" w:ascii="Times New Roman" w:hAnsi="Times New Roman" w:cs="Times New Roman"/>
                      <w:color w:val="000000" w:themeColor="text1"/>
                      <w:spacing w:val="0"/>
                      <w:sz w:val="21"/>
                      <w:szCs w:val="21"/>
                      <w:lang w:eastAsia="zh-CN"/>
                      <w14:textFill>
                        <w14:solidFill>
                          <w14:schemeClr w14:val="tx1"/>
                        </w14:solidFill>
                      </w14:textFill>
                    </w:rPr>
                    <w:t>进行处理</w:t>
                  </w:r>
                  <w:r>
                    <w:rPr>
                      <w:rFonts w:hint="default" w:ascii="Times New Roman" w:hAnsi="Times New Roman" w:eastAsia="宋体" w:cs="Times New Roman"/>
                      <w:color w:val="000000" w:themeColor="text1"/>
                      <w:spacing w:val="0"/>
                      <w:sz w:val="21"/>
                      <w:szCs w:val="21"/>
                      <w14:textFill>
                        <w14:solidFill>
                          <w14:schemeClr w14:val="tx1"/>
                        </w14:solidFill>
                      </w14:textFill>
                    </w:rPr>
                    <w:t>。</w:t>
                  </w:r>
                </w:p>
              </w:tc>
              <w:tc>
                <w:tcPr>
                  <w:tcW w:w="1363" w:type="pct"/>
                  <w:noWrap w:val="0"/>
                  <w:vAlign w:val="center"/>
                </w:tcPr>
                <w:p w14:paraId="192CD08A">
                  <w:pPr>
                    <w:pStyle w:val="14"/>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本项目废活性炭</w:t>
                  </w:r>
                  <w:r>
                    <w:rPr>
                      <w:rFonts w:hint="eastAsia" w:cs="Times New Roman"/>
                      <w:color w:val="000000" w:themeColor="text1"/>
                      <w:sz w:val="21"/>
                      <w:szCs w:val="21"/>
                      <w:lang w:val="en-US" w:eastAsia="zh-CN"/>
                      <w14:textFill>
                        <w14:solidFill>
                          <w14:schemeClr w14:val="tx1"/>
                        </w14:solidFill>
                      </w14:textFill>
                    </w:rPr>
                    <w:t>、废过滤棉</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收集后暂存于危废暂存间，定期交由有资质单位处置。</w:t>
                  </w:r>
                </w:p>
              </w:tc>
              <w:tc>
                <w:tcPr>
                  <w:tcW w:w="454" w:type="pct"/>
                  <w:noWrap w:val="0"/>
                  <w:vAlign w:val="center"/>
                </w:tcPr>
                <w:p w14:paraId="4992284C">
                  <w:pPr>
                    <w:adjustRightInd w:val="0"/>
                    <w:snapToGrid w:val="0"/>
                    <w:jc w:val="center"/>
                    <w:rPr>
                      <w:rFonts w:hint="default" w:ascii="Times New Roman" w:hAnsi="Times New Roman" w:eastAsia="宋体" w:cs="Times New Roman"/>
                      <w:bCs/>
                      <w:color w:val="000000" w:themeColor="text1"/>
                      <w:szCs w:val="21"/>
                      <w:lang w:val="en-US" w:eastAsia="zh-CN"/>
                      <w14:textFill>
                        <w14:solidFill>
                          <w14:schemeClr w14:val="tx1"/>
                        </w14:solidFill>
                      </w14:textFill>
                    </w:rPr>
                  </w:pPr>
                  <w:r>
                    <w:rPr>
                      <w:rFonts w:hint="default" w:ascii="Times New Roman" w:hAnsi="Times New Roman" w:cs="Times New Roman"/>
                      <w:bCs/>
                      <w:color w:val="000000" w:themeColor="text1"/>
                      <w:szCs w:val="21"/>
                      <w:lang w:val="en-US" w:eastAsia="zh-CN"/>
                      <w14:textFill>
                        <w14:solidFill>
                          <w14:schemeClr w14:val="tx1"/>
                        </w14:solidFill>
                      </w14:textFill>
                    </w:rPr>
                    <w:t>符合</w:t>
                  </w:r>
                </w:p>
              </w:tc>
            </w:tr>
            <w:tr w14:paraId="3BDCA6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83" w:type="pct"/>
                  <w:vMerge w:val="restart"/>
                  <w:shd w:val="clear" w:color="auto" w:fill="auto"/>
                  <w:noWrap w:val="0"/>
                  <w:vAlign w:val="center"/>
                </w:tcPr>
                <w:p w14:paraId="7B6287BE">
                  <w:pPr>
                    <w:keepNext w:val="0"/>
                    <w:keepLines w:val="0"/>
                    <w:pageBreakBefore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《陕西省“十四五”生态环境保护规划》</w:t>
                  </w:r>
                </w:p>
              </w:tc>
              <w:tc>
                <w:tcPr>
                  <w:tcW w:w="2099" w:type="pct"/>
                  <w:shd w:val="clear" w:color="auto" w:fill="auto"/>
                  <w:noWrap w:val="0"/>
                  <w:vAlign w:val="center"/>
                </w:tcPr>
                <w:p w14:paraId="4F23344C">
                  <w:pPr>
                    <w:keepNext w:val="0"/>
                    <w:keepLines w:val="0"/>
                    <w:pageBreakBefore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加强重点区域、重点时段、重点领域、重点行业治理，强化分区分时分类差异化精细化协同管控，推动细颗粒物浓度持续下降。</w:t>
                  </w:r>
                </w:p>
              </w:tc>
              <w:tc>
                <w:tcPr>
                  <w:tcW w:w="1363" w:type="pct"/>
                  <w:shd w:val="clear" w:color="auto" w:fill="auto"/>
                  <w:noWrap w:val="0"/>
                  <w:vAlign w:val="center"/>
                </w:tcPr>
                <w:p w14:paraId="48EE0677">
                  <w:pPr>
                    <w:keepNext w:val="0"/>
                    <w:keepLines w:val="0"/>
                    <w:pageBreakBefore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本项目</w:t>
                  </w:r>
                  <w:r>
                    <w:rPr>
                      <w:rFonts w:hint="eastAsia"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t>在</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进料口上方设置集气罩</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和</w:t>
                  </w:r>
                  <w:r>
                    <w:rPr>
                      <w:rFonts w:hint="eastAsia"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t>造粒过程中全密闭，且进料和造粒过程均在密闭车间内进行，进料粉尘和造粒粉尘经布袋除尘器（TA001）处理后经15米高的排气筒排放（DA001）</w:t>
                  </w:r>
                </w:p>
              </w:tc>
              <w:tc>
                <w:tcPr>
                  <w:tcW w:w="454" w:type="pct"/>
                  <w:shd w:val="clear" w:color="auto" w:fill="auto"/>
                  <w:noWrap w:val="0"/>
                  <w:vAlign w:val="center"/>
                </w:tcPr>
                <w:p w14:paraId="40892A82">
                  <w:pPr>
                    <w:keepNext w:val="0"/>
                    <w:keepLines w:val="0"/>
                    <w:pageBreakBefore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相符</w:t>
                  </w:r>
                </w:p>
              </w:tc>
            </w:tr>
            <w:tr w14:paraId="1FC565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83" w:type="pct"/>
                  <w:vMerge w:val="continue"/>
                  <w:noWrap w:val="0"/>
                  <w:vAlign w:val="center"/>
                </w:tcPr>
                <w:p w14:paraId="267706C1">
                  <w:pPr>
                    <w:jc w:val="center"/>
                    <w:rPr>
                      <w:rFonts w:hint="default" w:ascii="Times New Roman" w:hAnsi="Times New Roman" w:eastAsia="宋体" w:cs="Times New Roman"/>
                      <w:snapToGrid w:val="0"/>
                      <w:color w:val="000000" w:themeColor="text1"/>
                      <w:sz w:val="21"/>
                      <w:szCs w:val="21"/>
                      <w14:textFill>
                        <w14:solidFill>
                          <w14:schemeClr w14:val="tx1"/>
                        </w14:solidFill>
                      </w14:textFill>
                    </w:rPr>
                  </w:pPr>
                </w:p>
              </w:tc>
              <w:tc>
                <w:tcPr>
                  <w:tcW w:w="2099" w:type="pct"/>
                  <w:shd w:val="clear" w:color="auto" w:fill="auto"/>
                  <w:noWrap w:val="0"/>
                  <w:vAlign w:val="center"/>
                </w:tcPr>
                <w:p w14:paraId="24B9E0F1">
                  <w:pPr>
                    <w:keepNext w:val="0"/>
                    <w:keepLines w:val="0"/>
                    <w:pageBreakBefore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优化污染天气应对体系。完善重污染天气应急减排清单，实施“一厂一策”清单化管理。</w:t>
                  </w:r>
                </w:p>
              </w:tc>
              <w:tc>
                <w:tcPr>
                  <w:tcW w:w="1363" w:type="pct"/>
                  <w:shd w:val="clear" w:color="auto" w:fill="auto"/>
                  <w:noWrap w:val="0"/>
                  <w:vAlign w:val="center"/>
                </w:tcPr>
                <w:p w14:paraId="0C7303C0">
                  <w:pPr>
                    <w:keepNext w:val="0"/>
                    <w:keepLines w:val="0"/>
                    <w:pageBreakBefore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本项目运营期严格执行应急减排措施，制定完善重污染天气应急预案及错时错峰生产方案，严格落实各项措施，实施“一厂一策”。</w:t>
                  </w:r>
                </w:p>
              </w:tc>
              <w:tc>
                <w:tcPr>
                  <w:tcW w:w="454" w:type="pct"/>
                  <w:noWrap w:val="0"/>
                  <w:vAlign w:val="center"/>
                </w:tcPr>
                <w:p w14:paraId="771DF208">
                  <w:pPr>
                    <w:adjustRightInd w:val="0"/>
                    <w:snapToGrid w:val="0"/>
                    <w:jc w:val="center"/>
                    <w:rPr>
                      <w:rFonts w:hint="default" w:ascii="Times New Roman" w:hAnsi="Times New Roman" w:cs="Times New Roman"/>
                      <w:bCs/>
                      <w:color w:val="000000" w:themeColor="text1"/>
                      <w:szCs w:val="21"/>
                      <w:lang w:val="en-US" w:eastAsia="zh-CN"/>
                      <w14:textFill>
                        <w14:solidFill>
                          <w14:schemeClr w14:val="tx1"/>
                        </w14:solidFill>
                      </w14:textFill>
                    </w:rPr>
                  </w:pPr>
                  <w:r>
                    <w:rPr>
                      <w:rFonts w:hint="eastAsia" w:cs="Times New Roman"/>
                      <w:bCs/>
                      <w:color w:val="000000" w:themeColor="text1"/>
                      <w:szCs w:val="21"/>
                      <w:lang w:val="en-US" w:eastAsia="zh-CN"/>
                      <w14:textFill>
                        <w14:solidFill>
                          <w14:schemeClr w14:val="tx1"/>
                        </w14:solidFill>
                      </w14:textFill>
                    </w:rPr>
                    <w:t>相符</w:t>
                  </w:r>
                </w:p>
              </w:tc>
            </w:tr>
            <w:tr w14:paraId="05786A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83" w:type="pct"/>
                  <w:vMerge w:val="continue"/>
                  <w:noWrap w:val="0"/>
                  <w:vAlign w:val="center"/>
                </w:tcPr>
                <w:p w14:paraId="452D4ACB">
                  <w:pPr>
                    <w:jc w:val="center"/>
                    <w:rPr>
                      <w:rFonts w:hint="default" w:ascii="Times New Roman" w:hAnsi="Times New Roman" w:eastAsia="宋体" w:cs="Times New Roman"/>
                      <w:snapToGrid w:val="0"/>
                      <w:color w:val="000000" w:themeColor="text1"/>
                      <w:sz w:val="21"/>
                      <w:szCs w:val="21"/>
                      <w14:textFill>
                        <w14:solidFill>
                          <w14:schemeClr w14:val="tx1"/>
                        </w14:solidFill>
                      </w14:textFill>
                    </w:rPr>
                  </w:pPr>
                </w:p>
              </w:tc>
              <w:tc>
                <w:tcPr>
                  <w:tcW w:w="2099" w:type="pct"/>
                  <w:shd w:val="clear" w:color="auto" w:fill="auto"/>
                  <w:noWrap w:val="0"/>
                  <w:vAlign w:val="center"/>
                </w:tcPr>
                <w:p w14:paraId="2BAEE885">
                  <w:pPr>
                    <w:keepNext w:val="0"/>
                    <w:keepLines w:val="0"/>
                    <w:pageBreakBefore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color w:val="000000" w:themeColor="text1"/>
                      <w:kern w:val="2"/>
                      <w:sz w:val="21"/>
                      <w:szCs w:val="21"/>
                      <w:shd w:val="clear" w:color="auto" w:fill="FFFFFF"/>
                      <w:lang w:val="en-US" w:eastAsia="zh-CN" w:bidi="ar-SA"/>
                      <w14:textFill>
                        <w14:solidFill>
                          <w14:schemeClr w14:val="tx1"/>
                        </w14:solidFill>
                      </w14:textFill>
                    </w:rPr>
                  </w:pPr>
                  <w:r>
                    <w:rPr>
                      <w:rFonts w:hint="default" w:ascii="Times New Roman" w:hAnsi="Times New Roman" w:cs="Times New Roman"/>
                      <w:color w:val="000000" w:themeColor="text1"/>
                      <w:sz w:val="21"/>
                      <w:szCs w:val="21"/>
                      <w:shd w:val="clear" w:color="auto" w:fill="FFFFFF"/>
                      <w14:textFill>
                        <w14:solidFill>
                          <w14:schemeClr w14:val="tx1"/>
                        </w14:solidFill>
                      </w14:textFill>
                    </w:rPr>
                    <w:t>加强固体废物源头减量和资源化利用，推广固体废物资源化、无害化处置新技术。</w:t>
                  </w:r>
                </w:p>
              </w:tc>
              <w:tc>
                <w:tcPr>
                  <w:tcW w:w="1363" w:type="pct"/>
                  <w:shd w:val="clear" w:color="auto" w:fill="auto"/>
                  <w:noWrap w:val="0"/>
                  <w:vAlign w:val="center"/>
                </w:tcPr>
                <w:p w14:paraId="7B1A9694">
                  <w:pPr>
                    <w:keepNext w:val="0"/>
                    <w:keepLines w:val="0"/>
                    <w:pageBreakBefore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color w:val="000000" w:themeColor="text1"/>
                      <w:kern w:val="2"/>
                      <w:sz w:val="21"/>
                      <w:szCs w:val="21"/>
                      <w:shd w:val="clear" w:color="auto" w:fill="FFFFFF"/>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本项目运营期生活垃圾集中收集定点堆放，定期交由环卫部门处理；一般固体废物中一般材料废包装袋/箱、废边角料、污泥等集中收集于一般固废暂存区，定期外售综合利用；收尘灰、沉渣回收作为原料回用，废反渗透膜每3-5年更换一次，由厂家回收带走。危险废物暂存于危废暂存间，定期交由有资质的单位进行处理。</w:t>
                  </w:r>
                </w:p>
              </w:tc>
              <w:tc>
                <w:tcPr>
                  <w:tcW w:w="454" w:type="pct"/>
                  <w:shd w:val="clear" w:color="auto" w:fill="auto"/>
                  <w:noWrap w:val="0"/>
                  <w:vAlign w:val="center"/>
                </w:tcPr>
                <w:p w14:paraId="589E559D">
                  <w:pPr>
                    <w:keepNext w:val="0"/>
                    <w:keepLines w:val="0"/>
                    <w:pageBreakBefore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color w:val="000000" w:themeColor="text1"/>
                      <w:kern w:val="2"/>
                      <w:sz w:val="21"/>
                      <w:szCs w:val="21"/>
                      <w:shd w:val="clear" w:color="auto" w:fill="FFFFFF"/>
                      <w:lang w:val="en-US" w:eastAsia="zh-CN" w:bidi="ar-SA"/>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相符</w:t>
                  </w:r>
                </w:p>
              </w:tc>
            </w:tr>
            <w:tr w14:paraId="1327BA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83" w:type="pct"/>
                  <w:shd w:val="clear" w:color="auto" w:fill="auto"/>
                  <w:noWrap w:val="0"/>
                  <w:vAlign w:val="center"/>
                </w:tcPr>
                <w:p w14:paraId="2C441239">
                  <w:pPr>
                    <w:pStyle w:val="31"/>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320" w:lineRule="exact"/>
                    <w:ind w:firstLine="0" w:firstLineChars="0"/>
                    <w:jc w:val="center"/>
                    <w:textAlignment w:val="auto"/>
                    <w:rPr>
                      <w:rFonts w:hint="default" w:ascii="Times New Roman" w:hAnsi="Times New Roman" w:eastAsia="宋体" w:cs="Times New Roman"/>
                      <w:color w:val="000000" w:themeColor="text1"/>
                      <w:kern w:val="0"/>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u w:val="none"/>
                      <w:lang w:val="en-US" w:eastAsia="zh-CN"/>
                      <w14:textFill>
                        <w14:solidFill>
                          <w14:schemeClr w14:val="tx1"/>
                        </w14:solidFill>
                      </w14:textFill>
                    </w:rPr>
                    <w:t>《宝鸡市凤翔区大气污染治理专项行动方案（2023—2027年）》</w:t>
                  </w:r>
                </w:p>
              </w:tc>
              <w:tc>
                <w:tcPr>
                  <w:tcW w:w="2099" w:type="pct"/>
                  <w:shd w:val="clear" w:color="auto" w:fill="auto"/>
                  <w:noWrap w:val="0"/>
                  <w:vAlign w:val="center"/>
                </w:tcPr>
                <w:p w14:paraId="6D05C80D">
                  <w:pPr>
                    <w:keepNext w:val="0"/>
                    <w:keepLines w:val="0"/>
                    <w:pageBreakBefore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产业发展结构调整。严禁新增钢铁、焦化、水泥熟料、平板玻璃、电解铝、氧化铝、煤化工产能，合理控制煤制油气产能规模，严控新增炼油产能。</w:t>
                  </w:r>
                </w:p>
              </w:tc>
              <w:tc>
                <w:tcPr>
                  <w:tcW w:w="1363" w:type="pct"/>
                  <w:shd w:val="clear" w:color="auto" w:fill="auto"/>
                  <w:noWrap w:val="0"/>
                  <w:vAlign w:val="center"/>
                </w:tcPr>
                <w:p w14:paraId="7F6146FB">
                  <w:pPr>
                    <w:keepNext w:val="0"/>
                    <w:keepLines w:val="0"/>
                    <w:pageBreakBefore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本项目为电子元件及电子专用材料制造，不属于</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钢铁、焦化、水泥熟料、平板玻璃、电解铝、氧化铝、煤化工等行业。</w:t>
                  </w:r>
                </w:p>
              </w:tc>
              <w:tc>
                <w:tcPr>
                  <w:tcW w:w="454" w:type="pct"/>
                  <w:shd w:val="clear" w:color="auto" w:fill="auto"/>
                  <w:noWrap w:val="0"/>
                  <w:vAlign w:val="center"/>
                </w:tcPr>
                <w:p w14:paraId="7680B93D">
                  <w:pPr>
                    <w:pStyle w:val="98"/>
                    <w:keepNext w:val="0"/>
                    <w:keepLines w:val="0"/>
                    <w:pageBreakBefore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符合</w:t>
                  </w:r>
                </w:p>
              </w:tc>
            </w:tr>
            <w:tr w14:paraId="1EF675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83" w:type="pct"/>
                  <w:shd w:val="clear" w:color="auto" w:fill="auto"/>
                  <w:noWrap w:val="0"/>
                  <w:vAlign w:val="center"/>
                </w:tcPr>
                <w:p w14:paraId="3E0E1FC7">
                  <w:pPr>
                    <w:keepNext w:val="0"/>
                    <w:keepLines w:val="0"/>
                    <w:pageBreakBefore w:val="0"/>
                    <w:widowControl/>
                    <w:kinsoku/>
                    <w:wordWrap/>
                    <w:overflowPunct/>
                    <w:topLinePunct w:val="0"/>
                    <w:autoSpaceDE/>
                    <w:autoSpaceDN/>
                    <w:bidi w:val="0"/>
                    <w:adjustRightInd w:val="0"/>
                    <w:snapToGrid w:val="0"/>
                    <w:spacing w:line="300" w:lineRule="exact"/>
                    <w:ind w:left="0" w:leftChars="0" w:firstLine="0" w:firstLineChars="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《关于印发</w:t>
                  </w:r>
                  <w:r>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14:textFill>
                        <w14:solidFill>
                          <w14:schemeClr w14:val="tx1"/>
                        </w14:solidFill>
                      </w14:textFill>
                    </w:rPr>
                    <w:t>工业炉窑大气污染综合治理方案</w:t>
                  </w:r>
                  <w:r>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14:textFill>
                        <w14:solidFill>
                          <w14:schemeClr w14:val="tx1"/>
                        </w14:solidFill>
                      </w14:textFill>
                    </w:rPr>
                    <w:t>的通知》</w:t>
                  </w:r>
                </w:p>
              </w:tc>
              <w:tc>
                <w:tcPr>
                  <w:tcW w:w="2099" w:type="pct"/>
                  <w:shd w:val="clear" w:color="auto" w:fill="auto"/>
                  <w:noWrap w:val="0"/>
                  <w:vAlign w:val="center"/>
                </w:tcPr>
                <w:p w14:paraId="74601E3D">
                  <w:pPr>
                    <w:keepNext w:val="0"/>
                    <w:keepLines w:val="0"/>
                    <w:pageBreakBefore w:val="0"/>
                    <w:kinsoku/>
                    <w:wordWrap/>
                    <w:overflowPunct/>
                    <w:topLinePunct w:val="0"/>
                    <w:autoSpaceDE/>
                    <w:autoSpaceDN/>
                    <w:bidi w:val="0"/>
                    <w:adjustRightInd w:val="0"/>
                    <w:snapToGrid w:val="0"/>
                    <w:spacing w:line="300" w:lineRule="exact"/>
                    <w:ind w:left="0" w:lef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严格建设项目环境准入。新建涉工业炉窑的建设项目，原则上要入园区，配套建设高效环保治理设施。重点区域严格控制涉工业炉窑建设项目，严禁新增钢铁、焦化、电解铝、铸造、水泥和平板玻璃等产能。</w:t>
                  </w:r>
                </w:p>
              </w:tc>
              <w:tc>
                <w:tcPr>
                  <w:tcW w:w="1363" w:type="pct"/>
                  <w:shd w:val="clear" w:color="auto" w:fill="auto"/>
                  <w:noWrap w:val="0"/>
                  <w:vAlign w:val="center"/>
                </w:tcPr>
                <w:p w14:paraId="1A94D8F9">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本项目</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涉及的烧结炉、烘干炉、固化炉等均使用电作为能源，生产过程中炉窑不产污，且项目不属于该方案中的禁止新建类项目</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w:t>
                  </w:r>
                </w:p>
              </w:tc>
              <w:tc>
                <w:tcPr>
                  <w:tcW w:w="454" w:type="pct"/>
                  <w:shd w:val="clear" w:color="auto" w:fill="auto"/>
                  <w:noWrap w:val="0"/>
                  <w:vAlign w:val="center"/>
                </w:tcPr>
                <w:p w14:paraId="2907E5C6">
                  <w:pPr>
                    <w:keepNext w:val="0"/>
                    <w:keepLines w:val="0"/>
                    <w:pageBreakBefore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相符</w:t>
                  </w:r>
                </w:p>
              </w:tc>
            </w:tr>
            <w:tr w14:paraId="0E97C6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83" w:type="pct"/>
                  <w:vMerge w:val="restart"/>
                  <w:shd w:val="clear" w:color="auto" w:fill="auto"/>
                  <w:noWrap w:val="0"/>
                  <w:vAlign w:val="center"/>
                </w:tcPr>
                <w:p w14:paraId="7E453AAF">
                  <w:pPr>
                    <w:keepNext w:val="0"/>
                    <w:keepLines w:val="0"/>
                    <w:pageBreakBefore w:val="0"/>
                    <w:widowControl/>
                    <w:kinsoku/>
                    <w:wordWrap/>
                    <w:overflowPunct/>
                    <w:topLinePunct w:val="0"/>
                    <w:autoSpaceDE/>
                    <w:autoSpaceDN/>
                    <w:bidi w:val="0"/>
                    <w:adjustRightInd w:val="0"/>
                    <w:snapToGrid w:val="0"/>
                    <w:spacing w:line="300" w:lineRule="exact"/>
                    <w:ind w:left="0" w:leftChars="0" w:firstLine="0" w:firstLineChars="0"/>
                    <w:jc w:val="center"/>
                    <w:textAlignment w:val="auto"/>
                    <w:rPr>
                      <w:rFonts w:hint="default" w:ascii="Times New Roman" w:hAnsi="Times New Roman" w:eastAsia="宋体" w:cs="Times New Roman"/>
                      <w:color w:val="000000" w:themeColor="text1"/>
                      <w:kern w:val="2"/>
                      <w:sz w:val="21"/>
                      <w:szCs w:val="21"/>
                      <w:highlight w:val="none"/>
                      <w:u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关于印发《陕西省工业炉窑大气污染综合治理方案》的通知（陕环函〔2019〕247号）</w:t>
                  </w:r>
                </w:p>
              </w:tc>
              <w:tc>
                <w:tcPr>
                  <w:tcW w:w="2099" w:type="pct"/>
                  <w:shd w:val="clear" w:color="auto" w:fill="auto"/>
                  <w:noWrap w:val="0"/>
                  <w:vAlign w:val="center"/>
                </w:tcPr>
                <w:p w14:paraId="4DB03EF0">
                  <w:pPr>
                    <w:keepNext w:val="0"/>
                    <w:keepLines w:val="0"/>
                    <w:pageBreakBefore w:val="0"/>
                    <w:kinsoku/>
                    <w:wordWrap/>
                    <w:overflowPunct/>
                    <w:topLinePunct w:val="0"/>
                    <w:autoSpaceDE/>
                    <w:autoSpaceDN/>
                    <w:bidi w:val="0"/>
                    <w:adjustRightInd w:val="0"/>
                    <w:snapToGrid w:val="0"/>
                    <w:spacing w:line="300" w:lineRule="exact"/>
                    <w:ind w:left="0" w:lef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加快燃料清洁低碳化替代。对以煤、石油焦、渣油、重油等为燃料的工业炉窑，加快使用清洁低碳能源以及利用工厂余热、电厂热力等进行替代。</w:t>
                  </w:r>
                </w:p>
              </w:tc>
              <w:tc>
                <w:tcPr>
                  <w:tcW w:w="1363" w:type="pct"/>
                  <w:shd w:val="clear" w:color="auto" w:fill="auto"/>
                  <w:noWrap w:val="0"/>
                  <w:vAlign w:val="center"/>
                </w:tcPr>
                <w:p w14:paraId="51D0A1E0">
                  <w:pPr>
                    <w:keepNext w:val="0"/>
                    <w:keepLines w:val="0"/>
                    <w:pageBreakBefore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本项目</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涉及的烧结炉、烘干炉、固化炉等均使用电作为能源，生产过程中炉窑不产污。</w:t>
                  </w:r>
                </w:p>
              </w:tc>
              <w:tc>
                <w:tcPr>
                  <w:tcW w:w="454" w:type="pct"/>
                  <w:shd w:val="clear" w:color="auto" w:fill="auto"/>
                  <w:noWrap w:val="0"/>
                  <w:vAlign w:val="center"/>
                </w:tcPr>
                <w:p w14:paraId="783A86AD">
                  <w:pPr>
                    <w:keepNext w:val="0"/>
                    <w:keepLines w:val="0"/>
                    <w:pageBreakBefore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相符</w:t>
                  </w:r>
                </w:p>
              </w:tc>
            </w:tr>
            <w:tr w14:paraId="576339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83" w:type="pct"/>
                  <w:vMerge w:val="continue"/>
                  <w:noWrap w:val="0"/>
                  <w:vAlign w:val="center"/>
                </w:tcPr>
                <w:p w14:paraId="4AF2D1DA">
                  <w:pPr>
                    <w:jc w:val="center"/>
                    <w:rPr>
                      <w:rFonts w:hint="default" w:ascii="Times New Roman" w:hAnsi="Times New Roman" w:eastAsia="宋体" w:cs="Times New Roman"/>
                      <w:snapToGrid w:val="0"/>
                      <w:color w:val="000000" w:themeColor="text1"/>
                      <w:sz w:val="21"/>
                      <w:szCs w:val="21"/>
                      <w14:textFill>
                        <w14:solidFill>
                          <w14:schemeClr w14:val="tx1"/>
                        </w14:solidFill>
                      </w14:textFill>
                    </w:rPr>
                  </w:pPr>
                </w:p>
              </w:tc>
              <w:tc>
                <w:tcPr>
                  <w:tcW w:w="2099" w:type="pct"/>
                  <w:shd w:val="clear" w:color="auto" w:fill="auto"/>
                  <w:noWrap w:val="0"/>
                  <w:vAlign w:val="center"/>
                </w:tcPr>
                <w:p w14:paraId="6BA28EA2">
                  <w:pPr>
                    <w:keepNext w:val="0"/>
                    <w:keepLines w:val="0"/>
                    <w:pageBreakBefore w:val="0"/>
                    <w:kinsoku/>
                    <w:wordWrap/>
                    <w:overflowPunct/>
                    <w:topLinePunct w:val="0"/>
                    <w:autoSpaceDE/>
                    <w:autoSpaceDN/>
                    <w:bidi w:val="0"/>
                    <w:adjustRightInd w:val="0"/>
                    <w:snapToGrid w:val="0"/>
                    <w:spacing w:line="300" w:lineRule="exact"/>
                    <w:ind w:left="0" w:lef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shd w:val="clear" w:color="auto" w:fill="FFFFFF"/>
                      <w:lang w:val="en-US" w:eastAsia="zh-CN" w:bidi="ar-SA"/>
                      <w14:textFill>
                        <w14:solidFill>
                          <w14:schemeClr w14:val="tx1"/>
                        </w14:solidFill>
                      </w14:textFill>
                    </w:rPr>
                    <w:t>全面加强无组织排放管理。严格控制工业炉窑生产工艺过程及相关物料储存、输送等无组织排放，在保障生产安全的前提下，采取密闭、封闭等有效措施。</w:t>
                  </w:r>
                </w:p>
              </w:tc>
              <w:tc>
                <w:tcPr>
                  <w:tcW w:w="1363" w:type="pct"/>
                  <w:shd w:val="clear" w:color="auto" w:fill="auto"/>
                  <w:noWrap w:val="0"/>
                  <w:vAlign w:val="center"/>
                </w:tcPr>
                <w:p w14:paraId="093E396D">
                  <w:pPr>
                    <w:keepNext w:val="0"/>
                    <w:keepLines w:val="0"/>
                    <w:pageBreakBefore w:val="0"/>
                    <w:kinsoku/>
                    <w:wordWrap/>
                    <w:overflowPunct/>
                    <w:topLinePunct w:val="0"/>
                    <w:bidi w:val="0"/>
                    <w:adjustRightInd w:val="0"/>
                    <w:snapToGrid w:val="0"/>
                    <w:spacing w:line="300" w:lineRule="exact"/>
                    <w:ind w:left="0" w:leftChars="0" w:firstLine="0" w:firstLineChars="0"/>
                    <w:jc w:val="center"/>
                    <w:textAlignment w:val="auto"/>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本项目使</w:t>
                  </w: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炉窑使用电作为能源，无物料的储存和输送。</w:t>
                  </w:r>
                </w:p>
              </w:tc>
              <w:tc>
                <w:tcPr>
                  <w:tcW w:w="454" w:type="pct"/>
                  <w:shd w:val="clear" w:color="auto" w:fill="auto"/>
                  <w:noWrap w:val="0"/>
                  <w:vAlign w:val="center"/>
                </w:tcPr>
                <w:p w14:paraId="4FE32F8A">
                  <w:pPr>
                    <w:keepNext w:val="0"/>
                    <w:keepLines w:val="0"/>
                    <w:pageBreakBefore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相符</w:t>
                  </w:r>
                </w:p>
              </w:tc>
            </w:tr>
          </w:tbl>
          <w:p w14:paraId="32E5EF49">
            <w:pPr>
              <w:pStyle w:val="2"/>
              <w:rPr>
                <w:rFonts w:hint="default"/>
                <w:color w:val="000000" w:themeColor="text1"/>
                <w14:textFill>
                  <w14:solidFill>
                    <w14:schemeClr w14:val="tx1"/>
                  </w14:solidFill>
                </w14:textFill>
              </w:rPr>
            </w:pPr>
          </w:p>
          <w:p w14:paraId="11B49A6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bCs/>
                <w:color w:val="000000" w:themeColor="text1"/>
                <w:sz w:val="24"/>
                <w14:textFill>
                  <w14:solidFill>
                    <w14:schemeClr w14:val="tx1"/>
                  </w14:solidFill>
                </w14:textFill>
              </w:rPr>
            </w:pPr>
            <w:r>
              <w:rPr>
                <w:rFonts w:hint="default" w:ascii="Times New Roman" w:hAnsi="Times New Roman" w:eastAsia="宋体" w:cs="Times New Roman"/>
                <w:bCs/>
                <w:color w:val="000000" w:themeColor="text1"/>
                <w:sz w:val="24"/>
                <w14:textFill>
                  <w14:solidFill>
                    <w14:schemeClr w14:val="tx1"/>
                  </w14:solidFill>
                </w14:textFill>
              </w:rPr>
              <w:t>经</w:t>
            </w:r>
            <w:r>
              <w:rPr>
                <w:rFonts w:hint="default" w:ascii="Times New Roman" w:hAnsi="Times New Roman" w:eastAsia="宋体" w:cs="Times New Roman"/>
                <w:bCs/>
                <w:color w:val="000000" w:themeColor="text1"/>
                <w:sz w:val="24"/>
                <w:lang w:val="en-US" w:eastAsia="zh-CN"/>
                <w14:textFill>
                  <w14:solidFill>
                    <w14:schemeClr w14:val="tx1"/>
                  </w14:solidFill>
                </w14:textFill>
              </w:rPr>
              <w:t>对</w:t>
            </w:r>
            <w:r>
              <w:rPr>
                <w:rFonts w:hint="default" w:ascii="Times New Roman" w:hAnsi="Times New Roman" w:eastAsia="宋体" w:cs="Times New Roman"/>
                <w:bCs/>
                <w:color w:val="000000" w:themeColor="text1"/>
                <w:sz w:val="24"/>
                <w:lang w:val="zh-CN"/>
                <w14:textFill>
                  <w14:solidFill>
                    <w14:schemeClr w14:val="tx1"/>
                  </w14:solidFill>
                </w14:textFill>
              </w:rPr>
              <w:t>《宝鸡市大气污染防治条例》</w:t>
            </w:r>
            <w:r>
              <w:rPr>
                <w:rFonts w:hint="default" w:ascii="Times New Roman" w:hAnsi="Times New Roman" w:eastAsia="宋体" w:cs="Times New Roman"/>
                <w:bCs/>
                <w:color w:val="000000" w:themeColor="text1"/>
                <w:sz w:val="24"/>
                <w14:textFill>
                  <w14:solidFill>
                    <w14:schemeClr w14:val="tx1"/>
                  </w14:solidFill>
                </w14:textFill>
              </w:rPr>
              <w:t>《宝鸡市大气污染治理专项行动方案</w:t>
            </w:r>
            <w:r>
              <w:rPr>
                <w:rFonts w:hint="default" w:ascii="Times New Roman" w:hAnsi="Times New Roman" w:eastAsia="宋体" w:cs="Times New Roman"/>
                <w:bCs/>
                <w:color w:val="000000" w:themeColor="text1"/>
                <w:sz w:val="24"/>
                <w:lang w:eastAsia="zh-CN"/>
                <w14:textFill>
                  <w14:solidFill>
                    <w14:schemeClr w14:val="tx1"/>
                  </w14:solidFill>
                </w14:textFill>
              </w:rPr>
              <w:t>（</w:t>
            </w:r>
            <w:r>
              <w:rPr>
                <w:rFonts w:hint="default" w:ascii="Times New Roman" w:hAnsi="Times New Roman" w:eastAsia="宋体" w:cs="Times New Roman"/>
                <w:bCs/>
                <w:color w:val="000000" w:themeColor="text1"/>
                <w:sz w:val="24"/>
                <w14:textFill>
                  <w14:solidFill>
                    <w14:schemeClr w14:val="tx1"/>
                  </w14:solidFill>
                </w14:textFill>
              </w:rPr>
              <w:t>2023</w:t>
            </w:r>
            <w:r>
              <w:rPr>
                <w:rFonts w:hint="default" w:ascii="Times New Roman" w:hAnsi="Times New Roman" w:cs="Times New Roman"/>
                <w:bCs/>
                <w:color w:val="000000" w:themeColor="text1"/>
                <w:sz w:val="24"/>
                <w:lang w:eastAsia="zh-CN"/>
                <w14:textFill>
                  <w14:solidFill>
                    <w14:schemeClr w14:val="tx1"/>
                  </w14:solidFill>
                </w14:textFill>
              </w:rPr>
              <w:t>—</w:t>
            </w:r>
            <w:r>
              <w:rPr>
                <w:rFonts w:hint="default" w:ascii="Times New Roman" w:hAnsi="Times New Roman" w:eastAsia="宋体" w:cs="Times New Roman"/>
                <w:bCs/>
                <w:color w:val="000000" w:themeColor="text1"/>
                <w:sz w:val="24"/>
                <w14:textFill>
                  <w14:solidFill>
                    <w14:schemeClr w14:val="tx1"/>
                  </w14:solidFill>
                </w14:textFill>
              </w:rPr>
              <w:t>2027年</w:t>
            </w:r>
            <w:r>
              <w:rPr>
                <w:rFonts w:hint="default" w:ascii="Times New Roman" w:hAnsi="Times New Roman" w:eastAsia="宋体" w:cs="Times New Roman"/>
                <w:bCs/>
                <w:color w:val="000000" w:themeColor="text1"/>
                <w:sz w:val="24"/>
                <w:lang w:eastAsia="zh-CN"/>
                <w14:textFill>
                  <w14:solidFill>
                    <w14:schemeClr w14:val="tx1"/>
                  </w14:solidFill>
                </w14:textFill>
              </w:rPr>
              <w:t>）</w:t>
            </w:r>
            <w:r>
              <w:rPr>
                <w:rFonts w:hint="default" w:ascii="Times New Roman" w:hAnsi="Times New Roman" w:eastAsia="宋体" w:cs="Times New Roman"/>
                <w:bCs/>
                <w:color w:val="000000" w:themeColor="text1"/>
                <w:sz w:val="24"/>
                <w14:textFill>
                  <w14:solidFill>
                    <w14:schemeClr w14:val="tx1"/>
                  </w14:solidFill>
                </w14:textFill>
              </w:rPr>
              <w:t>》</w:t>
            </w:r>
            <w:r>
              <w:rPr>
                <w:rFonts w:hint="default" w:ascii="Times New Roman" w:hAnsi="Times New Roman" w:eastAsia="宋体" w:cs="Times New Roman"/>
                <w:bCs/>
                <w:color w:val="000000" w:themeColor="text1"/>
                <w:sz w:val="24"/>
                <w:lang w:eastAsia="zh-CN"/>
                <w14:textFill>
                  <w14:solidFill>
                    <w14:schemeClr w14:val="tx1"/>
                  </w14:solidFill>
                </w14:textFill>
              </w:rPr>
              <w:t>（宝发〔2023〕8号）</w:t>
            </w:r>
            <w:r>
              <w:rPr>
                <w:rFonts w:hint="default" w:ascii="Times New Roman" w:hAnsi="Times New Roman" w:eastAsia="宋体" w:cs="Times New Roman"/>
                <w:bCs/>
                <w:color w:val="000000" w:themeColor="text1"/>
                <w:sz w:val="24"/>
                <w14:textFill>
                  <w14:solidFill>
                    <w14:schemeClr w14:val="tx1"/>
                  </w14:solidFill>
                </w14:textFill>
              </w:rPr>
              <w:t>、</w:t>
            </w:r>
            <w:r>
              <w:rPr>
                <w:rFonts w:hint="default" w:ascii="Times New Roman" w:hAnsi="Times New Roman" w:eastAsia="宋体" w:cs="Times New Roman"/>
                <w:bCs/>
                <w:color w:val="000000" w:themeColor="text1"/>
                <w:sz w:val="24"/>
                <w:lang w:eastAsia="zh-Hans"/>
                <w14:textFill>
                  <w14:solidFill>
                    <w14:schemeClr w14:val="tx1"/>
                  </w14:solidFill>
                </w14:textFill>
              </w:rPr>
              <w:t>《陕西省</w:t>
            </w:r>
            <w:r>
              <w:rPr>
                <w:rFonts w:hint="default" w:ascii="Times New Roman" w:hAnsi="Times New Roman" w:cs="Times New Roman"/>
                <w:bCs/>
                <w:color w:val="000000" w:themeColor="text1"/>
                <w:sz w:val="24"/>
                <w:lang w:eastAsia="zh-CN"/>
                <w14:textFill>
                  <w14:solidFill>
                    <w14:schemeClr w14:val="tx1"/>
                  </w14:solidFill>
                </w14:textFill>
              </w:rPr>
              <w:t>“</w:t>
            </w:r>
            <w:r>
              <w:rPr>
                <w:rFonts w:hint="default" w:ascii="Times New Roman" w:hAnsi="Times New Roman" w:eastAsia="宋体" w:cs="Times New Roman"/>
                <w:bCs/>
                <w:color w:val="000000" w:themeColor="text1"/>
                <w:sz w:val="24"/>
                <w:lang w:eastAsia="zh-Hans"/>
                <w14:textFill>
                  <w14:solidFill>
                    <w14:schemeClr w14:val="tx1"/>
                  </w14:solidFill>
                </w14:textFill>
              </w:rPr>
              <w:t>十四五</w:t>
            </w:r>
            <w:r>
              <w:rPr>
                <w:rFonts w:hint="default" w:ascii="Times New Roman" w:hAnsi="Times New Roman" w:cs="Times New Roman"/>
                <w:bCs/>
                <w:color w:val="000000" w:themeColor="text1"/>
                <w:sz w:val="24"/>
                <w:lang w:eastAsia="zh-CN"/>
                <w14:textFill>
                  <w14:solidFill>
                    <w14:schemeClr w14:val="tx1"/>
                  </w14:solidFill>
                </w14:textFill>
              </w:rPr>
              <w:t>”</w:t>
            </w:r>
            <w:r>
              <w:rPr>
                <w:rFonts w:hint="default" w:ascii="Times New Roman" w:hAnsi="Times New Roman" w:eastAsia="宋体" w:cs="Times New Roman"/>
                <w:bCs/>
                <w:color w:val="000000" w:themeColor="text1"/>
                <w:sz w:val="24"/>
                <w:lang w:eastAsia="zh-Hans"/>
                <w14:textFill>
                  <w14:solidFill>
                    <w14:schemeClr w14:val="tx1"/>
                  </w14:solidFill>
                </w14:textFill>
              </w:rPr>
              <w:t>生态环境保护规划》《宝鸡市</w:t>
            </w:r>
            <w:r>
              <w:rPr>
                <w:rFonts w:hint="default" w:ascii="Times New Roman" w:hAnsi="Times New Roman" w:cs="Times New Roman"/>
                <w:bCs/>
                <w:color w:val="000000" w:themeColor="text1"/>
                <w:sz w:val="24"/>
                <w:lang w:eastAsia="zh-CN"/>
                <w14:textFill>
                  <w14:solidFill>
                    <w14:schemeClr w14:val="tx1"/>
                  </w14:solidFill>
                </w14:textFill>
              </w:rPr>
              <w:t>“</w:t>
            </w:r>
            <w:r>
              <w:rPr>
                <w:rFonts w:hint="default" w:ascii="Times New Roman" w:hAnsi="Times New Roman" w:eastAsia="宋体" w:cs="Times New Roman"/>
                <w:bCs/>
                <w:color w:val="000000" w:themeColor="text1"/>
                <w:sz w:val="24"/>
                <w:lang w:eastAsia="zh-Hans"/>
                <w14:textFill>
                  <w14:solidFill>
                    <w14:schemeClr w14:val="tx1"/>
                  </w14:solidFill>
                </w14:textFill>
              </w:rPr>
              <w:t>十四五</w:t>
            </w:r>
            <w:r>
              <w:rPr>
                <w:rFonts w:hint="default" w:ascii="Times New Roman" w:hAnsi="Times New Roman" w:cs="Times New Roman"/>
                <w:bCs/>
                <w:color w:val="000000" w:themeColor="text1"/>
                <w:sz w:val="24"/>
                <w:lang w:eastAsia="zh-CN"/>
                <w14:textFill>
                  <w14:solidFill>
                    <w14:schemeClr w14:val="tx1"/>
                  </w14:solidFill>
                </w14:textFill>
              </w:rPr>
              <w:t>”</w:t>
            </w:r>
            <w:r>
              <w:rPr>
                <w:rFonts w:hint="default" w:ascii="Times New Roman" w:hAnsi="Times New Roman" w:eastAsia="宋体" w:cs="Times New Roman"/>
                <w:bCs/>
                <w:color w:val="000000" w:themeColor="text1"/>
                <w:sz w:val="24"/>
                <w:lang w:eastAsia="zh-Hans"/>
                <w14:textFill>
                  <w14:solidFill>
                    <w14:schemeClr w14:val="tx1"/>
                  </w14:solidFill>
                </w14:textFill>
              </w:rPr>
              <w:t>生态环境保护规划》</w:t>
            </w:r>
            <w:r>
              <w:rPr>
                <w:rFonts w:hint="default" w:ascii="Times New Roman" w:hAnsi="Times New Roman" w:eastAsia="宋体" w:cs="Times New Roman"/>
                <w:bCs/>
                <w:color w:val="000000" w:themeColor="text1"/>
                <w:sz w:val="24"/>
                <w14:textFill>
                  <w14:solidFill>
                    <w14:schemeClr w14:val="tx1"/>
                  </w14:solidFill>
                </w14:textFill>
              </w:rPr>
              <w:t>《挥发性有机物（VOCs）污染防治技术政策》</w:t>
            </w:r>
            <w:r>
              <w:rPr>
                <w:rFonts w:hint="default" w:ascii="Times New Roman" w:hAnsi="Times New Roman" w:eastAsia="宋体" w:cs="Times New Roman"/>
                <w:bCs/>
                <w:color w:val="000000" w:themeColor="text1"/>
                <w:sz w:val="24"/>
                <w:lang w:val="en-US" w:eastAsia="zh-CN"/>
                <w14:textFill>
                  <w14:solidFill>
                    <w14:schemeClr w14:val="tx1"/>
                  </w14:solidFill>
                </w14:textFill>
              </w:rPr>
              <w:t>《宝鸡市凤翔区大气污染治理专项行动方案（2023—2027年）》</w:t>
            </w:r>
            <w:r>
              <w:rPr>
                <w:rFonts w:hint="default" w:ascii="Times New Roman" w:hAnsi="Times New Roman" w:eastAsia="宋体" w:cs="Times New Roman"/>
                <w:bCs/>
                <w:color w:val="000000" w:themeColor="text1"/>
                <w:sz w:val="24"/>
                <w:lang w:eastAsia="zh-CN"/>
                <w14:textFill>
                  <w14:solidFill>
                    <w14:schemeClr w14:val="tx1"/>
                  </w14:solidFill>
                </w14:textFill>
              </w:rPr>
              <w:t>等相关生态环境保护法律法</w:t>
            </w:r>
            <w:r>
              <w:rPr>
                <w:rFonts w:hint="default" w:ascii="Times New Roman" w:hAnsi="Times New Roman" w:cs="Times New Roman"/>
                <w:bCs/>
                <w:color w:val="000000" w:themeColor="text1"/>
                <w:sz w:val="24"/>
                <w:lang w:eastAsia="zh-CN"/>
                <w14:textFill>
                  <w14:solidFill>
                    <w14:schemeClr w14:val="tx1"/>
                  </w14:solidFill>
                </w14:textFill>
              </w:rPr>
              <w:t>规</w:t>
            </w:r>
            <w:r>
              <w:rPr>
                <w:rFonts w:hint="default" w:ascii="Times New Roman" w:hAnsi="Times New Roman" w:eastAsia="宋体" w:cs="Times New Roman"/>
                <w:bCs/>
                <w:color w:val="000000" w:themeColor="text1"/>
                <w:sz w:val="24"/>
                <w14:textFill>
                  <w14:solidFill>
                    <w14:schemeClr w14:val="tx1"/>
                  </w14:solidFill>
                </w14:textFill>
              </w:rPr>
              <w:t>进行符合性分析，项目建设内容和污染防治措施与以上规划、相关政策相符。</w:t>
            </w:r>
          </w:p>
          <w:p w14:paraId="589EC73D">
            <w:pPr>
              <w:keepNext/>
              <w:keepLines/>
              <w:widowControl/>
              <w:adjustRightInd w:val="0"/>
              <w:snapToGrid w:val="0"/>
              <w:spacing w:line="360" w:lineRule="auto"/>
              <w:jc w:val="left"/>
              <w:outlineLvl w:val="1"/>
              <w:rPr>
                <w:rFonts w:hint="default" w:ascii="Times New Roman" w:hAnsi="Times New Roman" w:eastAsia="黑体" w:cs="Times New Roman"/>
                <w:bCs/>
                <w:color w:val="000000" w:themeColor="text1"/>
                <w:sz w:val="24"/>
                <w:szCs w:val="28"/>
                <w14:textFill>
                  <w14:solidFill>
                    <w14:schemeClr w14:val="tx1"/>
                  </w14:solidFill>
                </w14:textFill>
              </w:rPr>
            </w:pPr>
            <w:r>
              <w:rPr>
                <w:rFonts w:hint="default" w:ascii="Times New Roman" w:hAnsi="Times New Roman" w:eastAsia="黑体" w:cs="Times New Roman"/>
                <w:bCs/>
                <w:color w:val="000000" w:themeColor="text1"/>
                <w:sz w:val="24"/>
                <w:szCs w:val="28"/>
                <w:lang w:val="en-US" w:eastAsia="zh-CN"/>
                <w14:textFill>
                  <w14:solidFill>
                    <w14:schemeClr w14:val="tx1"/>
                  </w14:solidFill>
                </w14:textFill>
              </w:rPr>
              <w:t>3.</w:t>
            </w:r>
            <w:r>
              <w:rPr>
                <w:rFonts w:hint="default" w:ascii="Times New Roman" w:hAnsi="Times New Roman" w:eastAsia="黑体" w:cs="Times New Roman"/>
                <w:bCs/>
                <w:color w:val="000000" w:themeColor="text1"/>
                <w:sz w:val="24"/>
                <w:szCs w:val="28"/>
                <w14:textFill>
                  <w14:solidFill>
                    <w14:schemeClr w14:val="tx1"/>
                  </w14:solidFill>
                </w14:textFill>
              </w:rPr>
              <w:t>项目选址合理性分析：</w:t>
            </w:r>
          </w:p>
          <w:p w14:paraId="61D14AF6">
            <w:pPr>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bCs/>
                <w:color w:val="000000" w:themeColor="text1"/>
                <w:sz w:val="24"/>
                <w14:textFill>
                  <w14:solidFill>
                    <w14:schemeClr w14:val="tx1"/>
                  </w14:solidFill>
                </w14:textFill>
              </w:rPr>
              <w:t>本项目位于</w:t>
            </w:r>
            <w:r>
              <w:rPr>
                <w:rFonts w:hint="default" w:ascii="Times New Roman" w:hAnsi="Times New Roman" w:cs="Times New Roman"/>
                <w:bCs/>
                <w:color w:val="000000" w:themeColor="text1"/>
                <w:sz w:val="24"/>
                <w:lang w:eastAsia="zh-CN"/>
                <w14:textFill>
                  <w14:solidFill>
                    <w14:schemeClr w14:val="tx1"/>
                  </w14:solidFill>
                </w14:textFill>
              </w:rPr>
              <w:t>宝鸡市凤翔</w:t>
            </w:r>
            <w:r>
              <w:rPr>
                <w:rFonts w:hint="default" w:ascii="Times New Roman" w:hAnsi="Times New Roman" w:cs="Times New Roman"/>
                <w:bCs/>
                <w:color w:val="000000" w:themeColor="text1"/>
                <w:sz w:val="24"/>
                <w:lang w:val="en-US" w:eastAsia="zh-CN"/>
                <w14:textFill>
                  <w14:solidFill>
                    <w14:schemeClr w14:val="tx1"/>
                  </w14:solidFill>
                </w14:textFill>
              </w:rPr>
              <w:t>高新</w:t>
            </w:r>
            <w:r>
              <w:rPr>
                <w:rFonts w:hint="default" w:ascii="Times New Roman" w:hAnsi="Times New Roman" w:cs="Times New Roman"/>
                <w:bCs/>
                <w:color w:val="000000" w:themeColor="text1"/>
                <w:sz w:val="24"/>
                <w:lang w:eastAsia="zh-CN"/>
                <w14:textFill>
                  <w14:solidFill>
                    <w14:schemeClr w14:val="tx1"/>
                  </w14:solidFill>
                </w14:textFill>
              </w:rPr>
              <w:t>区</w:t>
            </w:r>
            <w:r>
              <w:rPr>
                <w:rFonts w:hint="default" w:ascii="Times New Roman" w:hAnsi="Times New Roman" w:cs="Times New Roman"/>
                <w:bCs/>
                <w:color w:val="000000" w:themeColor="text1"/>
                <w:sz w:val="24"/>
                <w:lang w:val="en-US" w:eastAsia="zh-CN"/>
                <w14:textFill>
                  <w14:solidFill>
                    <w14:schemeClr w14:val="tx1"/>
                  </w14:solidFill>
                </w14:textFill>
              </w:rPr>
              <w:t>科创生态新城</w:t>
            </w:r>
            <w:r>
              <w:rPr>
                <w:rFonts w:hint="default" w:ascii="Times New Roman" w:hAnsi="Times New Roman" w:eastAsia="宋体" w:cs="Times New Roman"/>
                <w:color w:val="000000" w:themeColor="text1"/>
                <w:sz w:val="24"/>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本项目用地属于</w:t>
            </w:r>
            <w:r>
              <w:rPr>
                <w:rFonts w:hint="default" w:ascii="Times New Roman" w:hAnsi="Times New Roman" w:cs="Times New Roman"/>
                <w:color w:val="000000" w:themeColor="text1"/>
                <w:sz w:val="24"/>
                <w:lang w:val="en-US" w:eastAsia="zh-CN"/>
                <w14:textFill>
                  <w14:solidFill>
                    <w14:schemeClr w14:val="tx1"/>
                  </w14:solidFill>
                </w14:textFill>
              </w:rPr>
              <w:t>工业</w:t>
            </w:r>
            <w:r>
              <w:rPr>
                <w:rFonts w:hint="default" w:ascii="Times New Roman" w:hAnsi="Times New Roman" w:cs="Times New Roman"/>
                <w:color w:val="000000" w:themeColor="text1"/>
                <w:sz w:val="24"/>
                <w14:textFill>
                  <w14:solidFill>
                    <w14:schemeClr w14:val="tx1"/>
                  </w14:solidFill>
                </w14:textFill>
              </w:rPr>
              <w:t>用地。</w:t>
            </w:r>
            <w:r>
              <w:rPr>
                <w:rFonts w:hint="default" w:ascii="Times New Roman" w:hAnsi="Times New Roman" w:cs="Times New Roman"/>
                <w:color w:val="000000" w:themeColor="text1"/>
                <w:sz w:val="24"/>
                <w:lang w:eastAsia="zh-CN"/>
                <w14:textFill>
                  <w14:solidFill>
                    <w14:schemeClr w14:val="tx1"/>
                  </w14:solidFill>
                </w14:textFill>
              </w:rPr>
              <w:t>项目</w:t>
            </w:r>
            <w:r>
              <w:rPr>
                <w:rFonts w:hint="eastAsia" w:cs="Times New Roman"/>
                <w:color w:val="000000" w:themeColor="text1"/>
                <w:sz w:val="24"/>
                <w:lang w:val="en-US" w:eastAsia="zh-CN"/>
                <w14:textFill>
                  <w14:solidFill>
                    <w14:schemeClr w14:val="tx1"/>
                  </w14:solidFill>
                </w14:textFill>
              </w:rPr>
              <w:t>北侧计划为园区办公楼，西侧计划为晨汐泰鑫广电科技，南侧计划为雍州电子商务有限公司</w:t>
            </w:r>
            <w:r>
              <w:rPr>
                <w:rFonts w:hint="default" w:ascii="Times New Roman" w:hAnsi="Times New Roman" w:cs="Times New Roman"/>
                <w:color w:val="000000" w:themeColor="text1"/>
                <w:sz w:val="24"/>
                <w14:textFill>
                  <w14:solidFill>
                    <w14:schemeClr w14:val="tx1"/>
                  </w14:solidFill>
                </w14:textFill>
              </w:rPr>
              <w:t>，</w:t>
            </w:r>
            <w:r>
              <w:rPr>
                <w:rFonts w:hint="eastAsia" w:cs="Times New Roman"/>
                <w:color w:val="000000" w:themeColor="text1"/>
                <w:sz w:val="24"/>
                <w:lang w:val="en-US" w:eastAsia="zh-CN"/>
                <w14:textFill>
                  <w14:solidFill>
                    <w14:schemeClr w14:val="tx1"/>
                  </w14:solidFill>
                </w14:textFill>
              </w:rPr>
              <w:t>东侧为园区厂界。</w:t>
            </w:r>
            <w:r>
              <w:rPr>
                <w:rFonts w:hint="default" w:ascii="Times New Roman" w:hAnsi="Times New Roman" w:cs="Times New Roman"/>
                <w:color w:val="000000" w:themeColor="text1"/>
                <w:sz w:val="24"/>
                <w14:textFill>
                  <w14:solidFill>
                    <w14:schemeClr w14:val="tx1"/>
                  </w14:solidFill>
                </w14:textFill>
              </w:rPr>
              <w:t>项目区交通便利，</w:t>
            </w:r>
            <w:r>
              <w:rPr>
                <w:rFonts w:hint="default" w:ascii="Times New Roman" w:hAnsi="Times New Roman" w:cs="Times New Roman"/>
                <w:color w:val="000000" w:themeColor="text1"/>
                <w:sz w:val="24"/>
                <w:lang w:val="en-US" w:eastAsia="zh-CN"/>
                <w14:textFill>
                  <w14:solidFill>
                    <w14:schemeClr w14:val="tx1"/>
                  </w14:solidFill>
                </w14:textFill>
              </w:rPr>
              <w:t>通信</w:t>
            </w:r>
            <w:r>
              <w:rPr>
                <w:rFonts w:hint="default" w:ascii="Times New Roman" w:hAnsi="Times New Roman" w:cs="Times New Roman"/>
                <w:color w:val="000000" w:themeColor="text1"/>
                <w:sz w:val="24"/>
                <w14:textFill>
                  <w14:solidFill>
                    <w14:schemeClr w14:val="tx1"/>
                  </w14:solidFill>
                </w14:textFill>
              </w:rPr>
              <w:t>方便，给排水、供电等</w:t>
            </w:r>
            <w:r>
              <w:rPr>
                <w:rFonts w:hint="default" w:ascii="Times New Roman" w:hAnsi="Times New Roman" w:cs="Times New Roman"/>
                <w:color w:val="000000" w:themeColor="text1"/>
                <w:sz w:val="24"/>
                <w:lang w:eastAsia="zh-CN"/>
                <w14:textFill>
                  <w14:solidFill>
                    <w14:schemeClr w14:val="tx1"/>
                  </w14:solidFill>
                </w14:textFill>
              </w:rPr>
              <w:t>公共基础设施</w:t>
            </w:r>
            <w:r>
              <w:rPr>
                <w:rFonts w:hint="default" w:ascii="Times New Roman" w:hAnsi="Times New Roman" w:cs="Times New Roman"/>
                <w:color w:val="000000" w:themeColor="text1"/>
                <w:sz w:val="24"/>
                <w14:textFill>
                  <w14:solidFill>
                    <w14:schemeClr w14:val="tx1"/>
                  </w14:solidFill>
                </w14:textFill>
              </w:rPr>
              <w:t>齐全。</w:t>
            </w:r>
          </w:p>
          <w:p w14:paraId="0E0B056D">
            <w:pPr>
              <w:spacing w:line="360" w:lineRule="auto"/>
              <w:ind w:firstLine="480" w:firstLineChars="200"/>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bCs/>
                <w:color w:val="000000" w:themeColor="text1"/>
                <w:sz w:val="24"/>
                <w14:textFill>
                  <w14:solidFill>
                    <w14:schemeClr w14:val="tx1"/>
                  </w14:solidFill>
                </w14:textFill>
              </w:rPr>
              <w:t>该厂周围无自然保护区、风景名胜区、饮用水水源保护区和</w:t>
            </w:r>
            <w:r>
              <w:rPr>
                <w:rFonts w:hint="default" w:ascii="Times New Roman" w:hAnsi="Times New Roman" w:cs="Times New Roman"/>
                <w:bCs/>
                <w:color w:val="000000" w:themeColor="text1"/>
                <w:sz w:val="24"/>
                <w:lang w:eastAsia="zh-CN"/>
                <w14:textFill>
                  <w14:solidFill>
                    <w14:schemeClr w14:val="tx1"/>
                  </w14:solidFill>
                </w14:textFill>
              </w:rPr>
              <w:t>其他特别</w:t>
            </w:r>
            <w:r>
              <w:rPr>
                <w:rFonts w:hint="default" w:ascii="Times New Roman" w:hAnsi="Times New Roman" w:cs="Times New Roman"/>
                <w:bCs/>
                <w:color w:val="000000" w:themeColor="text1"/>
                <w:sz w:val="24"/>
                <w14:textFill>
                  <w14:solidFill>
                    <w14:schemeClr w14:val="tx1"/>
                  </w14:solidFill>
                </w14:textFill>
              </w:rPr>
              <w:t>需要保护的敏感目标，不会对周围环境产生影响。与项目地最近的大气环境敏感点为项目地</w:t>
            </w:r>
            <w:r>
              <w:rPr>
                <w:rFonts w:hint="eastAsia" w:cs="Times New Roman"/>
                <w:bCs/>
                <w:color w:val="000000" w:themeColor="text1"/>
                <w:sz w:val="24"/>
                <w:lang w:val="en-US" w:eastAsia="zh-CN"/>
                <w14:textFill>
                  <w14:solidFill>
                    <w14:schemeClr w14:val="tx1"/>
                  </w14:solidFill>
                </w14:textFill>
              </w:rPr>
              <w:t>北</w:t>
            </w:r>
            <w:r>
              <w:rPr>
                <w:rFonts w:hint="default" w:ascii="Times New Roman" w:hAnsi="Times New Roman" w:cs="Times New Roman"/>
                <w:bCs/>
                <w:color w:val="000000" w:themeColor="text1"/>
                <w:sz w:val="24"/>
                <w14:textFill>
                  <w14:solidFill>
                    <w14:schemeClr w14:val="tx1"/>
                  </w14:solidFill>
                </w14:textFill>
              </w:rPr>
              <w:t>侧</w:t>
            </w:r>
            <w:r>
              <w:rPr>
                <w:rFonts w:hint="eastAsia" w:cs="Times New Roman"/>
                <w:bCs/>
                <w:color w:val="000000" w:themeColor="text1"/>
                <w:sz w:val="24"/>
                <w:lang w:val="en-US" w:eastAsia="zh-CN"/>
                <w14:textFill>
                  <w14:solidFill>
                    <w14:schemeClr w14:val="tx1"/>
                  </w14:solidFill>
                </w14:textFill>
              </w:rPr>
              <w:t>272</w:t>
            </w:r>
            <w:r>
              <w:rPr>
                <w:rFonts w:hint="default" w:ascii="Times New Roman" w:hAnsi="Times New Roman" w:cs="Times New Roman"/>
                <w:bCs/>
                <w:color w:val="000000" w:themeColor="text1"/>
                <w:sz w:val="24"/>
                <w14:textFill>
                  <w14:solidFill>
                    <w14:schemeClr w14:val="tx1"/>
                  </w14:solidFill>
                </w14:textFill>
              </w:rPr>
              <w:t>m处的</w:t>
            </w:r>
            <w:r>
              <w:rPr>
                <w:rFonts w:hint="eastAsia" w:cs="Times New Roman"/>
                <w:bCs/>
                <w:color w:val="000000" w:themeColor="text1"/>
                <w:sz w:val="24"/>
                <w:lang w:val="en-US" w:eastAsia="zh-CN"/>
                <w14:textFill>
                  <w14:solidFill>
                    <w14:schemeClr w14:val="tx1"/>
                  </w14:solidFill>
                </w14:textFill>
              </w:rPr>
              <w:t>刘家村</w:t>
            </w:r>
            <w:r>
              <w:rPr>
                <w:rFonts w:hint="default" w:ascii="Times New Roman" w:hAnsi="Times New Roman" w:cs="Times New Roman"/>
                <w:bCs/>
                <w:color w:val="000000" w:themeColor="text1"/>
                <w:sz w:val="24"/>
                <w14:textFill>
                  <w14:solidFill>
                    <w14:schemeClr w14:val="tx1"/>
                  </w14:solidFill>
                </w14:textFill>
              </w:rPr>
              <w:t>，项目环境保护目标详见附图3，在切实配套落实项目各项</w:t>
            </w:r>
            <w:r>
              <w:rPr>
                <w:rFonts w:hint="default" w:ascii="Times New Roman" w:hAnsi="Times New Roman" w:cs="Times New Roman"/>
                <w:bCs/>
                <w:color w:val="000000" w:themeColor="text1"/>
                <w:sz w:val="24"/>
                <w:lang w:eastAsia="zh-CN"/>
                <w14:textFill>
                  <w14:solidFill>
                    <w14:schemeClr w14:val="tx1"/>
                  </w14:solidFill>
                </w14:textFill>
              </w:rPr>
              <w:t>环境治理</w:t>
            </w:r>
            <w:r>
              <w:rPr>
                <w:rFonts w:hint="default" w:ascii="Times New Roman" w:hAnsi="Times New Roman" w:cs="Times New Roman"/>
                <w:bCs/>
                <w:color w:val="000000" w:themeColor="text1"/>
                <w:sz w:val="24"/>
                <w14:textFill>
                  <w14:solidFill>
                    <w14:schemeClr w14:val="tx1"/>
                  </w14:solidFill>
                </w14:textFill>
              </w:rPr>
              <w:t>设施，并确保环保治理设施正常稳定运行的前提下，</w:t>
            </w:r>
            <w:r>
              <w:rPr>
                <w:rFonts w:hint="default" w:ascii="Times New Roman" w:hAnsi="Times New Roman" w:cs="Times New Roman"/>
                <w:color w:val="000000" w:themeColor="text1"/>
                <w:sz w:val="24"/>
                <w14:textFill>
                  <w14:solidFill>
                    <w14:schemeClr w14:val="tx1"/>
                  </w14:solidFill>
                </w14:textFill>
              </w:rPr>
              <w:t>项目各项污染物排放量均能达标排放</w:t>
            </w:r>
            <w:r>
              <w:rPr>
                <w:rFonts w:hint="default" w:ascii="Times New Roman" w:hAnsi="Times New Roman" w:cs="Times New Roman"/>
                <w:bCs/>
                <w:color w:val="000000" w:themeColor="text1"/>
                <w:sz w:val="24"/>
                <w14:textFill>
                  <w14:solidFill>
                    <w14:schemeClr w14:val="tx1"/>
                  </w14:solidFill>
                </w14:textFill>
              </w:rPr>
              <w:t>，且排放量较小，对评价区域环境质量不会产生明显不良影响。</w:t>
            </w:r>
            <w:r>
              <w:rPr>
                <w:rFonts w:hint="default" w:ascii="Times New Roman" w:hAnsi="Times New Roman" w:cs="Times New Roman"/>
                <w:color w:val="000000" w:themeColor="text1"/>
                <w:sz w:val="24"/>
                <w14:textFill>
                  <w14:solidFill>
                    <w14:schemeClr w14:val="tx1"/>
                  </w14:solidFill>
                </w14:textFill>
              </w:rPr>
              <w:t>因此，项目选址基本合理。</w:t>
            </w:r>
          </w:p>
        </w:tc>
      </w:tr>
    </w:tbl>
    <w:p w14:paraId="5636BE57">
      <w:pPr>
        <w:spacing w:line="360" w:lineRule="auto"/>
        <w:outlineLvl w:val="0"/>
        <w:rPr>
          <w:rFonts w:hint="default" w:ascii="Times New Roman" w:hAnsi="Times New Roman" w:eastAsia="黑体" w:cs="Times New Roman"/>
          <w:color w:val="000000" w:themeColor="text1"/>
          <w:sz w:val="30"/>
          <w14:textFill>
            <w14:solidFill>
              <w14:schemeClr w14:val="tx1"/>
            </w14:solidFill>
          </w14:textFill>
        </w:rPr>
        <w:sectPr>
          <w:footerReference r:id="rId5" w:type="default"/>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p>
    <w:p w14:paraId="2D0B9354">
      <w:pPr>
        <w:pStyle w:val="31"/>
        <w:jc w:val="center"/>
        <w:outlineLvl w:val="0"/>
        <w:rPr>
          <w:rFonts w:hint="default" w:ascii="Times New Roman" w:hAnsi="Times New Roman" w:eastAsia="黑体" w:cs="Times New Roman"/>
          <w:snapToGrid w:val="0"/>
          <w:color w:val="000000" w:themeColor="text1"/>
          <w:sz w:val="30"/>
          <w:szCs w:val="30"/>
          <w14:textFill>
            <w14:solidFill>
              <w14:schemeClr w14:val="tx1"/>
            </w14:solidFill>
          </w14:textFill>
        </w:rPr>
      </w:pPr>
      <w:r>
        <w:rPr>
          <w:rFonts w:hint="default" w:ascii="Times New Roman" w:hAnsi="Times New Roman" w:eastAsia="黑体" w:cs="Times New Roman"/>
          <w:snapToGrid w:val="0"/>
          <w:color w:val="000000" w:themeColor="text1"/>
          <w:sz w:val="30"/>
          <w:szCs w:val="30"/>
          <w14:textFill>
            <w14:solidFill>
              <w14:schemeClr w14:val="tx1"/>
            </w14:solidFill>
          </w14:textFill>
        </w:rPr>
        <w:t>二、建设项目工程分析</w:t>
      </w:r>
    </w:p>
    <w:tbl>
      <w:tblPr>
        <w:tblStyle w:val="36"/>
        <w:tblW w:w="925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34"/>
        <w:gridCol w:w="8825"/>
      </w:tblGrid>
      <w:tr w14:paraId="2FE732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434" w:type="dxa"/>
            <w:noWrap w:val="0"/>
            <w:vAlign w:val="center"/>
          </w:tcPr>
          <w:p w14:paraId="62EE32CE">
            <w:pPr>
              <w:pStyle w:val="31"/>
              <w:adjustRightInd w:val="0"/>
              <w:snapToGrid w:val="0"/>
              <w:spacing w:before="0" w:beforeAutospacing="0" w:after="0" w:afterAutospacing="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建设内容</w:t>
            </w:r>
          </w:p>
        </w:tc>
        <w:tc>
          <w:tcPr>
            <w:tcW w:w="8825" w:type="dxa"/>
            <w:noWrap w:val="0"/>
            <w:vAlign w:val="top"/>
          </w:tcPr>
          <w:p w14:paraId="35A511E4">
            <w:pPr>
              <w:widowControl/>
              <w:adjustRightInd w:val="0"/>
              <w:snapToGrid w:val="0"/>
              <w:spacing w:line="360" w:lineRule="auto"/>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lang w:eastAsia="zh-CN"/>
                <w14:textFill>
                  <w14:solidFill>
                    <w14:schemeClr w14:val="tx1"/>
                  </w14:solidFill>
                </w14:textFill>
              </w:rPr>
              <w:t>1.</w:t>
            </w:r>
            <w:r>
              <w:rPr>
                <w:rFonts w:hint="default" w:ascii="Times New Roman" w:hAnsi="Times New Roman" w:cs="Times New Roman"/>
                <w:color w:val="000000" w:themeColor="text1"/>
                <w:sz w:val="24"/>
                <w14:textFill>
                  <w14:solidFill>
                    <w14:schemeClr w14:val="tx1"/>
                  </w14:solidFill>
                </w14:textFill>
              </w:rPr>
              <w:t>项目由来</w:t>
            </w:r>
          </w:p>
          <w:p w14:paraId="68775C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lang w:eastAsia="zh-CN"/>
                <w14:textFill>
                  <w14:solidFill>
                    <w14:schemeClr w14:val="tx1"/>
                  </w14:solidFill>
                </w14:textFill>
              </w:rPr>
            </w:pPr>
            <w:r>
              <w:rPr>
                <w:rFonts w:hint="default" w:ascii="Times New Roman" w:hAnsi="Times New Roman" w:cs="Times New Roman"/>
                <w:color w:val="000000" w:themeColor="text1"/>
                <w:sz w:val="24"/>
                <w:lang w:eastAsia="zh-CN"/>
                <w14:textFill>
                  <w14:solidFill>
                    <w14:schemeClr w14:val="tx1"/>
                  </w14:solidFill>
                </w14:textFill>
              </w:rPr>
              <w:t>陕西富宸田鑫电子有限公司</w:t>
            </w:r>
            <w:r>
              <w:rPr>
                <w:rFonts w:hint="default" w:ascii="Times New Roman" w:hAnsi="Times New Roman" w:cs="Times New Roman"/>
                <w:color w:val="000000" w:themeColor="text1"/>
                <w:sz w:val="24"/>
                <w:lang w:val="en-US" w:eastAsia="zh-CN"/>
                <w14:textFill>
                  <w14:solidFill>
                    <w14:schemeClr w14:val="tx1"/>
                  </w14:solidFill>
                </w14:textFill>
              </w:rPr>
              <w:t>成立于2021年2月，是一家从事电子元器件制造,电子元器件批发、电子元器件零售等业务的公司，2022年7月在陕西省宝鸡市凤翔区城关镇陕西胜利物流有限公司院内，建设“</w:t>
            </w:r>
            <w:r>
              <w:rPr>
                <w:rFonts w:hint="default" w:ascii="Times New Roman" w:hAnsi="Times New Roman" w:cs="Times New Roman"/>
                <w:color w:val="000000" w:themeColor="text1"/>
                <w:sz w:val="24"/>
                <w:lang w:eastAsia="zh-CN"/>
                <w14:textFill>
                  <w14:solidFill>
                    <w14:schemeClr w14:val="tx1"/>
                  </w14:solidFill>
                </w14:textFill>
              </w:rPr>
              <w:t>年产2亿只智能化电子元器件生产线</w:t>
            </w:r>
            <w:r>
              <w:rPr>
                <w:rFonts w:hint="default" w:ascii="Times New Roman" w:hAnsi="Times New Roman" w:cs="Times New Roman"/>
                <w:color w:val="000000" w:themeColor="text1"/>
                <w:sz w:val="24"/>
                <w:lang w:val="en-US" w:eastAsia="zh-CN"/>
                <w14:textFill>
                  <w14:solidFill>
                    <w14:schemeClr w14:val="tx1"/>
                  </w14:solidFill>
                </w14:textFill>
              </w:rPr>
              <w:t>建设项目”（以下简称“原有项目”），并于2022年7月26日取得宝鸡市生态环境局凤翔分局对该项目的批复（宝环凤函【2022】38号），2022年11月完成原有项目的验收工作。现由于高新区的整体规划及原有项目场地租期已到，故计划将原有项目搬迁至宝鸡市凤翔高新区科创生态新城，</w:t>
            </w:r>
            <w:r>
              <w:rPr>
                <w:rFonts w:hint="default" w:ascii="Times New Roman" w:hAnsi="Times New Roman" w:eastAsia="宋体" w:cs="Times New Roman"/>
                <w:color w:val="000000" w:themeColor="text1"/>
                <w:sz w:val="24"/>
                <w14:textFill>
                  <w14:solidFill>
                    <w14:schemeClr w14:val="tx1"/>
                  </w14:solidFill>
                </w14:textFill>
              </w:rPr>
              <w:t>拟投资</w:t>
            </w:r>
            <w:r>
              <w:rPr>
                <w:rFonts w:hint="eastAsia" w:cs="Times New Roman"/>
                <w:color w:val="000000" w:themeColor="text1"/>
                <w:sz w:val="24"/>
                <w:lang w:val="en-US" w:eastAsia="zh-CN"/>
                <w14:textFill>
                  <w14:solidFill>
                    <w14:schemeClr w14:val="tx1"/>
                  </w14:solidFill>
                </w14:textFill>
              </w:rPr>
              <w:t>10</w:t>
            </w:r>
            <w:r>
              <w:rPr>
                <w:rFonts w:hint="default" w:ascii="Times New Roman" w:hAnsi="Times New Roman" w:cs="Times New Roman"/>
                <w:color w:val="000000" w:themeColor="text1"/>
                <w:sz w:val="24"/>
                <w:lang w:val="en-US" w:eastAsia="zh-CN"/>
                <w14:textFill>
                  <w14:solidFill>
                    <w14:schemeClr w14:val="tx1"/>
                  </w14:solidFill>
                </w14:textFill>
              </w:rPr>
              <w:t>00</w:t>
            </w:r>
            <w:r>
              <w:rPr>
                <w:rFonts w:hint="default" w:ascii="Times New Roman" w:hAnsi="Times New Roman" w:eastAsia="宋体" w:cs="Times New Roman"/>
                <w:color w:val="000000" w:themeColor="text1"/>
                <w:sz w:val="24"/>
                <w14:textFill>
                  <w14:solidFill>
                    <w14:schemeClr w14:val="tx1"/>
                  </w14:solidFill>
                </w14:textFill>
              </w:rPr>
              <w:t>万元</w:t>
            </w:r>
            <w:r>
              <w:rPr>
                <w:rFonts w:hint="default" w:ascii="Times New Roman" w:hAnsi="Times New Roman" w:eastAsia="宋体" w:cs="Times New Roman"/>
                <w:color w:val="000000" w:themeColor="text1"/>
                <w:sz w:val="24"/>
                <w:lang w:val="en-US" w:eastAsia="zh-CN"/>
                <w14:textFill>
                  <w14:solidFill>
                    <w14:schemeClr w14:val="tx1"/>
                  </w14:solidFill>
                </w14:textFill>
              </w:rPr>
              <w:t>在租赁厂房内</w:t>
            </w:r>
            <w:r>
              <w:rPr>
                <w:rFonts w:hint="default" w:ascii="Times New Roman" w:hAnsi="Times New Roman" w:eastAsia="宋体" w:cs="Times New Roman"/>
                <w:color w:val="000000" w:themeColor="text1"/>
                <w:sz w:val="24"/>
                <w14:textFill>
                  <w14:solidFill>
                    <w14:schemeClr w14:val="tx1"/>
                  </w14:solidFill>
                </w14:textFill>
              </w:rPr>
              <w:t>建设</w:t>
            </w:r>
            <w:r>
              <w:rPr>
                <w:rFonts w:hint="default" w:ascii="Times New Roman" w:hAnsi="Times New Roman" w:cs="Times New Roman"/>
                <w:color w:val="000000" w:themeColor="text1"/>
                <w:sz w:val="24"/>
                <w:lang w:eastAsia="zh-CN"/>
                <w14:textFill>
                  <w14:solidFill>
                    <w14:schemeClr w14:val="tx1"/>
                  </w14:solidFill>
                </w14:textFill>
              </w:rPr>
              <w:t>“年产2亿只智能化电子元器件生产线迁建项目”</w:t>
            </w:r>
            <w:r>
              <w:rPr>
                <w:rFonts w:hint="default" w:ascii="Times New Roman" w:hAnsi="Times New Roman" w:eastAsia="宋体" w:cs="Times New Roman"/>
                <w:color w:val="000000" w:themeColor="text1"/>
                <w:sz w:val="24"/>
                <w14:textFill>
                  <w14:solidFill>
                    <w14:schemeClr w14:val="tx1"/>
                  </w14:solidFill>
                </w14:textFill>
              </w:rPr>
              <w:t>，以下简称</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eastAsia="宋体" w:cs="Times New Roman"/>
                <w:color w:val="000000" w:themeColor="text1"/>
                <w:sz w:val="24"/>
                <w14:textFill>
                  <w14:solidFill>
                    <w14:schemeClr w14:val="tx1"/>
                  </w14:solidFill>
                </w14:textFill>
              </w:rPr>
              <w:t>本项目</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eastAsia="宋体" w:cs="Times New Roman"/>
                <w:color w:val="000000" w:themeColor="text1"/>
                <w:sz w:val="24"/>
                <w14:textFill>
                  <w14:solidFill>
                    <w14:schemeClr w14:val="tx1"/>
                  </w14:solidFill>
                </w14:textFill>
              </w:rPr>
              <w:t>。</w:t>
            </w:r>
          </w:p>
          <w:p w14:paraId="7B699B7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根据《中华人民共和国环境影响评价法》、国务院第682号令《建设项目环境保护管理条例》规定，该项目应进行环境影响评价工作。根据《建设项目环境影响评价分类管理目录》（2021年版）的类别划分，本项目属于“</w:t>
            </w:r>
            <w:r>
              <w:rPr>
                <w:rFonts w:hint="default" w:ascii="Times New Roman" w:hAnsi="Times New Roman" w:cs="Times New Roman"/>
                <w:color w:val="000000" w:themeColor="text1"/>
                <w:sz w:val="24"/>
                <w:lang w:val="en-US" w:eastAsia="zh-CN"/>
                <w14:textFill>
                  <w14:solidFill>
                    <w14:schemeClr w14:val="tx1"/>
                  </w14:solidFill>
                </w14:textFill>
              </w:rPr>
              <w:t>三十六</w:t>
            </w:r>
            <w:r>
              <w:rPr>
                <w:rFonts w:hint="default" w:ascii="Times New Roman" w:hAnsi="Times New Roman" w:cs="Times New Roman"/>
                <w:color w:val="000000" w:themeColor="text1"/>
                <w:sz w:val="24"/>
                <w14:textFill>
                  <w14:solidFill>
                    <w14:schemeClr w14:val="tx1"/>
                  </w14:solidFill>
                </w14:textFill>
              </w:rPr>
              <w:t>、</w:t>
            </w:r>
            <w:r>
              <w:rPr>
                <w:rFonts w:hint="default" w:ascii="Times New Roman" w:hAnsi="Times New Roman" w:cs="Times New Roman"/>
                <w:color w:val="000000" w:themeColor="text1"/>
                <w:sz w:val="24"/>
                <w:lang w:val="en-US" w:eastAsia="zh-CN"/>
                <w14:textFill>
                  <w14:solidFill>
                    <w14:schemeClr w14:val="tx1"/>
                  </w14:solidFill>
                </w14:textFill>
              </w:rPr>
              <w:t>计算机、通信和其他电子设备制造业</w:t>
            </w:r>
            <w:r>
              <w:rPr>
                <w:rFonts w:hint="default" w:ascii="Times New Roman" w:hAnsi="Times New Roman" w:cs="Times New Roman"/>
                <w:color w:val="000000" w:themeColor="text1"/>
                <w:sz w:val="24"/>
                <w14:textFill>
                  <w14:solidFill>
                    <w14:schemeClr w14:val="tx1"/>
                  </w14:solidFill>
                </w14:textFill>
              </w:rPr>
              <w:t>——</w:t>
            </w:r>
            <w:r>
              <w:rPr>
                <w:rFonts w:hint="default" w:ascii="Times New Roman" w:hAnsi="Times New Roman" w:cs="Times New Roman"/>
                <w:color w:val="000000" w:themeColor="text1"/>
                <w:sz w:val="24"/>
                <w:lang w:val="en-US" w:eastAsia="zh-CN"/>
                <w14:textFill>
                  <w14:solidFill>
                    <w14:schemeClr w14:val="tx1"/>
                  </w14:solidFill>
                </w14:textFill>
              </w:rPr>
              <w:t>81.电子元件及电子专用材料制造</w:t>
            </w:r>
            <w:r>
              <w:rPr>
                <w:rFonts w:hint="default" w:ascii="Times New Roman" w:hAnsi="Times New Roman" w:cs="Times New Roman"/>
                <w:color w:val="000000" w:themeColor="text1"/>
                <w:sz w:val="24"/>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印刷电路板制造；电子专用材料制造（电子化工材料制造除外）；使用有机溶剂的；有酸洗的以上均不含仅分割、焊接、组装的</w:t>
            </w:r>
            <w:r>
              <w:rPr>
                <w:rFonts w:hint="default" w:ascii="Times New Roman" w:hAnsi="Times New Roman" w:cs="Times New Roman"/>
                <w:color w:val="000000" w:themeColor="text1"/>
                <w:sz w:val="24"/>
                <w14:textFill>
                  <w14:solidFill>
                    <w14:schemeClr w14:val="tx1"/>
                  </w14:solidFill>
                </w14:textFill>
              </w:rPr>
              <w:t>”，故</w:t>
            </w:r>
            <w:r>
              <w:rPr>
                <w:rFonts w:hint="default" w:ascii="Times New Roman" w:hAnsi="Times New Roman" w:cs="Times New Roman"/>
                <w:color w:val="000000" w:themeColor="text1"/>
                <w:sz w:val="24"/>
                <w:lang w:val="en-US" w:eastAsia="zh-CN"/>
                <w14:textFill>
                  <w14:solidFill>
                    <w14:schemeClr w14:val="tx1"/>
                  </w14:solidFill>
                </w14:textFill>
              </w:rPr>
              <w:t>本项目</w:t>
            </w:r>
            <w:r>
              <w:rPr>
                <w:rFonts w:hint="default" w:ascii="Times New Roman" w:hAnsi="Times New Roman" w:cs="Times New Roman"/>
                <w:color w:val="000000" w:themeColor="text1"/>
                <w:sz w:val="24"/>
                <w14:textFill>
                  <w14:solidFill>
                    <w14:schemeClr w14:val="tx1"/>
                  </w14:solidFill>
                </w14:textFill>
              </w:rPr>
              <w:t>应编制环境影响报告表。</w:t>
            </w:r>
          </w:p>
          <w:p w14:paraId="55844DF6">
            <w:pPr>
              <w:widowControl/>
              <w:adjustRightInd w:val="0"/>
              <w:snapToGrid w:val="0"/>
              <w:spacing w:line="360" w:lineRule="auto"/>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lang w:eastAsia="zh-CN"/>
                <w14:textFill>
                  <w14:solidFill>
                    <w14:schemeClr w14:val="tx1"/>
                  </w14:solidFill>
                </w14:textFill>
              </w:rPr>
              <w:t>2.</w:t>
            </w:r>
            <w:r>
              <w:rPr>
                <w:rFonts w:hint="default" w:ascii="Times New Roman" w:hAnsi="Times New Roman" w:cs="Times New Roman"/>
                <w:color w:val="000000" w:themeColor="text1"/>
                <w:sz w:val="24"/>
                <w14:textFill>
                  <w14:solidFill>
                    <w14:schemeClr w14:val="tx1"/>
                  </w14:solidFill>
                </w14:textFill>
              </w:rPr>
              <w:t>项目概况</w:t>
            </w:r>
          </w:p>
          <w:p w14:paraId="74649B22">
            <w:pPr>
              <w:spacing w:line="360" w:lineRule="auto"/>
              <w:ind w:firstLine="480" w:firstLineChars="200"/>
              <w:rPr>
                <w:rFonts w:hint="default" w:ascii="Times New Roman" w:hAnsi="Times New Roman" w:eastAsia="宋体" w:cs="Times New Roman"/>
                <w:color w:val="000000" w:themeColor="text1"/>
                <w:sz w:val="24"/>
                <w:lang w:eastAsia="zh-CN"/>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项目名称：</w:t>
            </w:r>
            <w:r>
              <w:rPr>
                <w:rFonts w:hint="default" w:ascii="Times New Roman" w:hAnsi="Times New Roman" w:cs="Times New Roman"/>
                <w:color w:val="000000" w:themeColor="text1"/>
                <w:sz w:val="24"/>
                <w:lang w:eastAsia="zh-CN"/>
                <w14:textFill>
                  <w14:solidFill>
                    <w14:schemeClr w14:val="tx1"/>
                  </w14:solidFill>
                </w14:textFill>
              </w:rPr>
              <w:t>年产2亿只智能化电子元器件生产线迁建项目</w:t>
            </w:r>
          </w:p>
          <w:p w14:paraId="5B39D107">
            <w:pPr>
              <w:spacing w:line="360" w:lineRule="auto"/>
              <w:ind w:firstLine="480" w:firstLineChars="200"/>
              <w:rPr>
                <w:rFonts w:hint="default" w:ascii="Times New Roman" w:hAnsi="Times New Roman" w:eastAsia="宋体" w:cs="Times New Roman"/>
                <w:color w:val="000000" w:themeColor="text1"/>
                <w:sz w:val="24"/>
                <w:lang w:eastAsia="zh-CN"/>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建设单位：</w:t>
            </w:r>
            <w:r>
              <w:rPr>
                <w:rFonts w:hint="default" w:ascii="Times New Roman" w:hAnsi="Times New Roman" w:cs="Times New Roman"/>
                <w:color w:val="000000" w:themeColor="text1"/>
                <w:sz w:val="24"/>
                <w:lang w:eastAsia="zh-CN"/>
                <w14:textFill>
                  <w14:solidFill>
                    <w14:schemeClr w14:val="tx1"/>
                  </w14:solidFill>
                </w14:textFill>
              </w:rPr>
              <w:t>陕西富宸田鑫电子有限公司</w:t>
            </w:r>
          </w:p>
          <w:p w14:paraId="288B56B7">
            <w:pPr>
              <w:spacing w:line="360" w:lineRule="auto"/>
              <w:ind w:firstLine="480" w:firstLineChars="200"/>
              <w:rPr>
                <w:rFonts w:hint="default" w:ascii="Times New Roman" w:hAnsi="Times New Roman" w:eastAsia="宋体" w:cs="Times New Roman"/>
                <w:color w:val="000000" w:themeColor="text1"/>
                <w:sz w:val="24"/>
                <w:lang w:eastAsia="zh-CN"/>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建设性质：</w:t>
            </w:r>
            <w:r>
              <w:rPr>
                <w:rFonts w:hint="default" w:ascii="Times New Roman" w:hAnsi="Times New Roman" w:cs="Times New Roman"/>
                <w:color w:val="000000" w:themeColor="text1"/>
                <w:sz w:val="24"/>
                <w:lang w:val="en-US" w:eastAsia="zh-CN"/>
                <w14:textFill>
                  <w14:solidFill>
                    <w14:schemeClr w14:val="tx1"/>
                  </w14:solidFill>
                </w14:textFill>
              </w:rPr>
              <w:t>新建（迁建）</w:t>
            </w:r>
          </w:p>
          <w:p w14:paraId="2047A06F">
            <w:pPr>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建设地点：本项目位</w:t>
            </w:r>
            <w:r>
              <w:rPr>
                <w:rFonts w:hint="default" w:ascii="Times New Roman" w:hAnsi="Times New Roman" w:eastAsia="宋体" w:cs="Times New Roman"/>
                <w:color w:val="000000" w:themeColor="text1"/>
                <w:sz w:val="24"/>
                <w14:textFill>
                  <w14:solidFill>
                    <w14:schemeClr w14:val="tx1"/>
                  </w14:solidFill>
                </w14:textFill>
              </w:rPr>
              <w:t>于</w:t>
            </w:r>
            <w:r>
              <w:rPr>
                <w:rFonts w:hint="default" w:ascii="Times New Roman" w:hAnsi="Times New Roman" w:eastAsia="宋体" w:cs="Times New Roman"/>
                <w:color w:val="000000" w:themeColor="text1"/>
                <w:sz w:val="24"/>
                <w:lang w:eastAsia="zh-CN"/>
                <w14:textFill>
                  <w14:solidFill>
                    <w14:schemeClr w14:val="tx1"/>
                  </w14:solidFill>
                </w14:textFill>
              </w:rPr>
              <w:t>宝鸡市凤翔</w:t>
            </w:r>
            <w:r>
              <w:rPr>
                <w:rFonts w:hint="default" w:ascii="Times New Roman" w:hAnsi="Times New Roman" w:cs="Times New Roman"/>
                <w:color w:val="000000" w:themeColor="text1"/>
                <w:sz w:val="24"/>
                <w:lang w:val="en-US" w:eastAsia="zh-CN"/>
                <w14:textFill>
                  <w14:solidFill>
                    <w14:schemeClr w14:val="tx1"/>
                  </w14:solidFill>
                </w14:textFill>
              </w:rPr>
              <w:t>高新区科创生态新城</w:t>
            </w:r>
            <w:r>
              <w:rPr>
                <w:rFonts w:hint="default" w:ascii="Times New Roman" w:hAnsi="Times New Roman" w:eastAsia="宋体" w:cs="Times New Roman"/>
                <w:color w:val="000000" w:themeColor="text1"/>
                <w:sz w:val="24"/>
                <w14:textFill>
                  <w14:solidFill>
                    <w14:schemeClr w14:val="tx1"/>
                  </w14:solidFill>
                </w14:textFill>
              </w:rPr>
              <w:t>，项目</w:t>
            </w:r>
            <w:r>
              <w:rPr>
                <w:rFonts w:hint="default" w:ascii="Times New Roman" w:hAnsi="Times New Roman" w:cs="Times New Roman"/>
                <w:color w:val="000000" w:themeColor="text1"/>
                <w:sz w:val="24"/>
                <w14:textFill>
                  <w14:solidFill>
                    <w14:schemeClr w14:val="tx1"/>
                  </w14:solidFill>
                </w14:textFill>
              </w:rPr>
              <w:t>中心地理坐标为东经107°2</w:t>
            </w:r>
            <w:r>
              <w:rPr>
                <w:rFonts w:hint="default" w:ascii="Times New Roman" w:hAnsi="Times New Roman" w:cs="Times New Roman"/>
                <w:color w:val="000000" w:themeColor="text1"/>
                <w:sz w:val="24"/>
                <w:lang w:val="en-US" w:eastAsia="zh-CN"/>
                <w14:textFill>
                  <w14:solidFill>
                    <w14:schemeClr w14:val="tx1"/>
                  </w14:solidFill>
                </w14:textFill>
              </w:rPr>
              <w:t>0</w:t>
            </w:r>
            <w:r>
              <w:rPr>
                <w:rFonts w:hint="default" w:ascii="Times New Roman" w:hAnsi="Times New Roman" w:cs="Times New Roman"/>
                <w:color w:val="000000" w:themeColor="text1"/>
                <w:sz w:val="24"/>
                <w14:textFill>
                  <w14:solidFill>
                    <w14:schemeClr w14:val="tx1"/>
                  </w14:solidFill>
                </w14:textFill>
              </w:rPr>
              <w:t>′</w:t>
            </w:r>
            <w:r>
              <w:rPr>
                <w:rFonts w:hint="default" w:ascii="Times New Roman" w:hAnsi="Times New Roman" w:cs="Times New Roman"/>
                <w:color w:val="000000" w:themeColor="text1"/>
                <w:sz w:val="24"/>
                <w:lang w:val="en-US" w:eastAsia="zh-CN"/>
                <w14:textFill>
                  <w14:solidFill>
                    <w14:schemeClr w14:val="tx1"/>
                  </w14:solidFill>
                </w14:textFill>
              </w:rPr>
              <w:t>48.019</w:t>
            </w:r>
            <w:r>
              <w:rPr>
                <w:rFonts w:hint="default" w:ascii="Times New Roman" w:hAnsi="Times New Roman" w:cs="Times New Roman"/>
                <w:color w:val="000000" w:themeColor="text1"/>
                <w:sz w:val="24"/>
                <w14:textFill>
                  <w14:solidFill>
                    <w14:schemeClr w14:val="tx1"/>
                  </w14:solidFill>
                </w14:textFill>
              </w:rPr>
              <w:t>″，北纬34°3</w:t>
            </w:r>
            <w:r>
              <w:rPr>
                <w:rFonts w:hint="default" w:ascii="Times New Roman" w:hAnsi="Times New Roman" w:cs="Times New Roman"/>
                <w:color w:val="000000" w:themeColor="text1"/>
                <w:sz w:val="24"/>
                <w:lang w:val="en-US" w:eastAsia="zh-CN"/>
                <w14:textFill>
                  <w14:solidFill>
                    <w14:schemeClr w14:val="tx1"/>
                  </w14:solidFill>
                </w14:textFill>
              </w:rPr>
              <w:t>1</w:t>
            </w:r>
            <w:r>
              <w:rPr>
                <w:rFonts w:hint="default" w:ascii="Times New Roman" w:hAnsi="Times New Roman" w:cs="Times New Roman"/>
                <w:color w:val="000000" w:themeColor="text1"/>
                <w:sz w:val="24"/>
                <w14:textFill>
                  <w14:solidFill>
                    <w14:schemeClr w14:val="tx1"/>
                  </w14:solidFill>
                </w14:textFill>
              </w:rPr>
              <w:t>′</w:t>
            </w:r>
            <w:r>
              <w:rPr>
                <w:rFonts w:hint="default" w:ascii="Times New Roman" w:hAnsi="Times New Roman" w:cs="Times New Roman"/>
                <w:color w:val="000000" w:themeColor="text1"/>
                <w:sz w:val="24"/>
                <w:lang w:val="en-US" w:eastAsia="zh-CN"/>
                <w14:textFill>
                  <w14:solidFill>
                    <w14:schemeClr w14:val="tx1"/>
                  </w14:solidFill>
                </w14:textFill>
              </w:rPr>
              <w:t>8.033</w:t>
            </w:r>
            <w:r>
              <w:rPr>
                <w:rFonts w:hint="default" w:ascii="Times New Roman" w:hAnsi="Times New Roman" w:cs="Times New Roman"/>
                <w:color w:val="000000" w:themeColor="text1"/>
                <w:sz w:val="24"/>
                <w14:textFill>
                  <w14:solidFill>
                    <w14:schemeClr w14:val="tx1"/>
                  </w14:solidFill>
                </w14:textFill>
              </w:rPr>
              <w:t>″</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具体建设地理位置如附图1所示。</w:t>
            </w:r>
          </w:p>
          <w:p w14:paraId="7DC372BD">
            <w:pPr>
              <w:widowControl/>
              <w:adjustRightInd w:val="0"/>
              <w:snapToGrid w:val="0"/>
              <w:spacing w:line="360" w:lineRule="auto"/>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lang w:eastAsia="zh-CN"/>
                <w14:textFill>
                  <w14:solidFill>
                    <w14:schemeClr w14:val="tx1"/>
                  </w14:solidFill>
                </w14:textFill>
              </w:rPr>
              <w:t>3.</w:t>
            </w:r>
            <w:r>
              <w:rPr>
                <w:rFonts w:hint="default" w:ascii="Times New Roman" w:hAnsi="Times New Roman" w:cs="Times New Roman"/>
                <w:color w:val="000000" w:themeColor="text1"/>
                <w:sz w:val="24"/>
                <w14:textFill>
                  <w14:solidFill>
                    <w14:schemeClr w14:val="tx1"/>
                  </w14:solidFill>
                </w14:textFill>
              </w:rPr>
              <w:t>建设工程内容及规模</w:t>
            </w:r>
          </w:p>
          <w:p w14:paraId="69FFE3FA">
            <w:pPr>
              <w:wordWrap w:val="0"/>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本项目</w:t>
            </w:r>
            <w:r>
              <w:rPr>
                <w:rFonts w:hint="default" w:ascii="Times New Roman" w:hAnsi="Times New Roman" w:cs="Times New Roman"/>
                <w:color w:val="000000" w:themeColor="text1"/>
                <w:sz w:val="24"/>
                <w:lang w:val="en-US" w:eastAsia="zh-CN"/>
                <w14:textFill>
                  <w14:solidFill>
                    <w14:schemeClr w14:val="tx1"/>
                  </w14:solidFill>
                </w14:textFill>
              </w:rPr>
              <w:t>计划投资</w:t>
            </w:r>
            <w:r>
              <w:rPr>
                <w:rFonts w:hint="eastAsia" w:cs="Times New Roman"/>
                <w:color w:val="000000" w:themeColor="text1"/>
                <w:sz w:val="24"/>
                <w:lang w:val="en-US" w:eastAsia="zh-CN"/>
                <w14:textFill>
                  <w14:solidFill>
                    <w14:schemeClr w14:val="tx1"/>
                  </w14:solidFill>
                </w14:textFill>
              </w:rPr>
              <w:t>1000</w:t>
            </w:r>
            <w:r>
              <w:rPr>
                <w:rFonts w:hint="default" w:ascii="Times New Roman" w:hAnsi="Times New Roman" w:cs="Times New Roman"/>
                <w:color w:val="000000" w:themeColor="text1"/>
                <w:sz w:val="24"/>
                <w:lang w:val="en-US" w:eastAsia="zh-CN"/>
                <w14:textFill>
                  <w14:solidFill>
                    <w14:schemeClr w14:val="tx1"/>
                  </w14:solidFill>
                </w14:textFill>
              </w:rPr>
              <w:t>万元</w:t>
            </w:r>
            <w:r>
              <w:rPr>
                <w:rFonts w:hint="default" w:ascii="Times New Roman" w:hAnsi="Times New Roman" w:eastAsia="宋体" w:cs="Times New Roman"/>
                <w:color w:val="000000" w:themeColor="text1"/>
                <w:sz w:val="24"/>
                <w:lang w:val="en-US" w:eastAsia="zh-CN"/>
                <w14:textFill>
                  <w14:solidFill>
                    <w14:schemeClr w14:val="tx1"/>
                  </w14:solidFill>
                </w14:textFill>
              </w:rPr>
              <w:t>，</w:t>
            </w:r>
            <w:r>
              <w:rPr>
                <w:rFonts w:hint="default" w:ascii="Times New Roman" w:hAnsi="Times New Roman" w:cs="Times New Roman"/>
                <w:color w:val="000000" w:themeColor="text1"/>
                <w:sz w:val="24"/>
                <w:lang w:val="en-US" w:eastAsia="zh-CN"/>
                <w14:textFill>
                  <w14:solidFill>
                    <w14:schemeClr w14:val="tx1"/>
                  </w14:solidFill>
                </w14:textFill>
              </w:rPr>
              <w:t>租赁陕西凤翔投资发展集团有限公司建设的机械装备产业园标准化厂房，占地面积约1976.4m</w:t>
            </w:r>
            <w:r>
              <w:rPr>
                <w:rFonts w:hint="default" w:ascii="Times New Roman" w:hAnsi="Times New Roman" w:cs="Times New Roman"/>
                <w:color w:val="000000" w:themeColor="text1"/>
                <w:sz w:val="24"/>
                <w:vertAlign w:val="superscript"/>
                <w:lang w:val="en-US" w:eastAsia="zh-CN"/>
                <w14:textFill>
                  <w14:solidFill>
                    <w14:schemeClr w14:val="tx1"/>
                  </w14:solidFill>
                </w14:textFill>
              </w:rPr>
              <w:t>2</w:t>
            </w:r>
            <w:r>
              <w:rPr>
                <w:rFonts w:hint="default" w:ascii="Times New Roman" w:hAnsi="Times New Roman" w:cs="Times New Roman"/>
                <w:color w:val="000000" w:themeColor="text1"/>
                <w:sz w:val="24"/>
                <w:lang w:val="en-US" w:eastAsia="zh-CN"/>
                <w14:textFill>
                  <w14:solidFill>
                    <w14:schemeClr w14:val="tx1"/>
                  </w14:solidFill>
                </w14:textFill>
              </w:rPr>
              <w:t>，迁建年产2亿只电子元器件全智能化生产线，</w:t>
            </w:r>
            <w:r>
              <w:rPr>
                <w:rFonts w:hint="eastAsia" w:cs="Times New Roman"/>
                <w:color w:val="000000" w:themeColor="text1"/>
                <w:sz w:val="24"/>
                <w:lang w:val="en-US" w:eastAsia="zh-CN"/>
                <w14:textFill>
                  <w14:solidFill>
                    <w14:schemeClr w14:val="tx1"/>
                  </w14:solidFill>
                </w14:textFill>
              </w:rPr>
              <w:t>包括烧结炉、刷浆机、烘干炉和</w:t>
            </w:r>
            <w:r>
              <w:rPr>
                <w:rFonts w:hint="default" w:ascii="Times New Roman" w:hAnsi="Times New Roman" w:cs="Times New Roman"/>
                <w:color w:val="000000" w:themeColor="text1"/>
                <w:sz w:val="24"/>
                <w:lang w:val="en-US" w:eastAsia="zh-CN"/>
                <w14:textFill>
                  <w14:solidFill>
                    <w14:schemeClr w14:val="tx1"/>
                  </w14:solidFill>
                </w14:textFill>
              </w:rPr>
              <w:t>还原炉</w:t>
            </w:r>
            <w:r>
              <w:rPr>
                <w:rFonts w:hint="eastAsia" w:cs="Times New Roman"/>
                <w:color w:val="000000" w:themeColor="text1"/>
                <w:sz w:val="24"/>
                <w:lang w:val="en-US" w:eastAsia="zh-CN"/>
                <w14:textFill>
                  <w14:solidFill>
                    <w14:schemeClr w14:val="tx1"/>
                  </w14:solidFill>
                </w14:textFill>
              </w:rPr>
              <w:t>等</w:t>
            </w:r>
            <w:r>
              <w:rPr>
                <w:rFonts w:hint="default" w:ascii="Times New Roman" w:hAnsi="Times New Roman" w:cs="Times New Roman"/>
                <w:color w:val="000000" w:themeColor="text1"/>
                <w:sz w:val="24"/>
                <w:lang w:val="en-US" w:eastAsia="zh-CN"/>
                <w14:textFill>
                  <w14:solidFill>
                    <w14:schemeClr w14:val="tx1"/>
                  </w14:solidFill>
                </w14:textFill>
              </w:rPr>
              <w:t>，</w:t>
            </w:r>
            <w:r>
              <w:rPr>
                <w:rFonts w:hint="eastAsia" w:cs="Times New Roman"/>
                <w:color w:val="000000" w:themeColor="text1"/>
                <w:sz w:val="24"/>
                <w:lang w:val="en-US" w:eastAsia="zh-CN"/>
                <w14:textFill>
                  <w14:solidFill>
                    <w14:schemeClr w14:val="tx1"/>
                  </w14:solidFill>
                </w14:textFill>
              </w:rPr>
              <w:t>新购喷雾干燥塔2台</w:t>
            </w:r>
            <w:r>
              <w:rPr>
                <w:rFonts w:hint="default" w:ascii="Times New Roman" w:hAnsi="Times New Roman" w:cs="Times New Roman"/>
                <w:color w:val="000000" w:themeColor="text1"/>
                <w:sz w:val="24"/>
                <w:lang w:val="en-US" w:eastAsia="zh-CN"/>
                <w14:textFill>
                  <w14:solidFill>
                    <w14:schemeClr w14:val="tx1"/>
                  </w14:solidFill>
                </w14:textFill>
              </w:rPr>
              <w:t>；</w:t>
            </w:r>
            <w:r>
              <w:rPr>
                <w:rFonts w:hint="eastAsia" w:cs="Times New Roman"/>
                <w:color w:val="000000" w:themeColor="text1"/>
                <w:sz w:val="24"/>
                <w:lang w:val="en-US" w:eastAsia="zh-CN"/>
                <w14:textFill>
                  <w14:solidFill>
                    <w14:schemeClr w14:val="tx1"/>
                  </w14:solidFill>
                </w14:textFill>
              </w:rPr>
              <w:t>自动一体机5台</w:t>
            </w:r>
            <w:r>
              <w:rPr>
                <w:rFonts w:hint="default" w:ascii="Times New Roman" w:hAnsi="Times New Roman" w:cs="Times New Roman"/>
                <w:color w:val="000000" w:themeColor="text1"/>
                <w:sz w:val="24"/>
                <w:lang w:val="en-US" w:eastAsia="zh-CN"/>
                <w14:textFill>
                  <w14:solidFill>
                    <w14:schemeClr w14:val="tx1"/>
                  </w14:solidFill>
                </w14:textFill>
              </w:rPr>
              <w:t>、</w:t>
            </w:r>
            <w:r>
              <w:rPr>
                <w:rFonts w:hint="eastAsia" w:cs="Times New Roman"/>
                <w:color w:val="000000" w:themeColor="text1"/>
                <w:sz w:val="24"/>
                <w:lang w:val="en-US" w:eastAsia="zh-CN"/>
                <w14:textFill>
                  <w14:solidFill>
                    <w14:schemeClr w14:val="tx1"/>
                  </w14:solidFill>
                </w14:textFill>
              </w:rPr>
              <w:t>切脚机、编带机、包装机、封口机</w:t>
            </w:r>
            <w:r>
              <w:rPr>
                <w:rFonts w:hint="default" w:ascii="Times New Roman" w:hAnsi="Times New Roman" w:cs="Times New Roman"/>
                <w:color w:val="000000" w:themeColor="text1"/>
                <w:sz w:val="24"/>
                <w:lang w:val="en-US" w:eastAsia="zh-CN"/>
                <w14:textFill>
                  <w14:solidFill>
                    <w14:schemeClr w14:val="tx1"/>
                  </w14:solidFill>
                </w14:textFill>
              </w:rPr>
              <w:t>等先进生产设备</w:t>
            </w:r>
            <w:r>
              <w:rPr>
                <w:rFonts w:hint="eastAsia" w:cs="Times New Roman"/>
                <w:color w:val="000000" w:themeColor="text1"/>
                <w:sz w:val="24"/>
                <w:lang w:val="en-US" w:eastAsia="zh-CN"/>
                <w14:textFill>
                  <w14:solidFill>
                    <w14:schemeClr w14:val="tx1"/>
                  </w14:solidFill>
                </w14:textFill>
              </w:rPr>
              <w:t>，</w:t>
            </w:r>
            <w:r>
              <w:rPr>
                <w:rFonts w:hint="default" w:ascii="Times New Roman" w:hAnsi="Times New Roman" w:cs="Times New Roman"/>
                <w:color w:val="000000" w:themeColor="text1"/>
                <w:sz w:val="24"/>
                <w:lang w:val="en-US" w:eastAsia="zh-CN"/>
                <w14:textFill>
                  <w14:solidFill>
                    <w14:schemeClr w14:val="tx1"/>
                  </w14:solidFill>
                </w14:textFill>
              </w:rPr>
              <w:t>同时配套其他辅助设施</w:t>
            </w:r>
            <w:r>
              <w:rPr>
                <w:rFonts w:hint="eastAsia" w:cs="Times New Roman"/>
                <w:color w:val="000000" w:themeColor="text1"/>
                <w:sz w:val="24"/>
                <w:lang w:val="en-US" w:eastAsia="zh-CN"/>
                <w14:textFill>
                  <w14:solidFill>
                    <w14:schemeClr w14:val="tx1"/>
                  </w14:solidFill>
                </w14:textFill>
              </w:rPr>
              <w:t>，项目建成后年产压敏电阻芯片1.5亿只，压敏电阻器0.5亿只</w:t>
            </w:r>
            <w:r>
              <w:rPr>
                <w:rFonts w:hint="default" w:ascii="Times New Roman" w:hAnsi="Times New Roman" w:cs="Times New Roman"/>
                <w:color w:val="000000" w:themeColor="text1"/>
                <w:sz w:val="24"/>
                <w:lang w:val="en-US"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本项目组成详见表2-1。</w:t>
            </w:r>
          </w:p>
          <w:p w14:paraId="1B645CA3">
            <w:pPr>
              <w:spacing w:line="440" w:lineRule="exact"/>
              <w:ind w:firstLine="482" w:firstLineChars="200"/>
              <w:jc w:val="center"/>
              <w:rPr>
                <w:rFonts w:hint="default" w:ascii="Times New Roman" w:hAnsi="Times New Roman" w:cs="Times New Roman"/>
                <w:b/>
                <w:color w:val="000000" w:themeColor="text1"/>
                <w:sz w:val="24"/>
                <w14:textFill>
                  <w14:solidFill>
                    <w14:schemeClr w14:val="tx1"/>
                  </w14:solidFill>
                </w14:textFill>
              </w:rPr>
            </w:pPr>
            <w:r>
              <w:rPr>
                <w:rFonts w:hint="default" w:ascii="Times New Roman" w:hAnsi="Times New Roman" w:cs="Times New Roman"/>
                <w:b/>
                <w:color w:val="000000" w:themeColor="text1"/>
                <w:sz w:val="24"/>
                <w14:textFill>
                  <w14:solidFill>
                    <w14:schemeClr w14:val="tx1"/>
                  </w14:solidFill>
                </w14:textFill>
              </w:rPr>
              <w:t>表2-1  项目组成一览表</w:t>
            </w:r>
          </w:p>
          <w:tbl>
            <w:tblPr>
              <w:tblStyle w:val="36"/>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41"/>
              <w:gridCol w:w="597"/>
              <w:gridCol w:w="750"/>
              <w:gridCol w:w="5195"/>
              <w:gridCol w:w="1293"/>
            </w:tblGrid>
            <w:tr w14:paraId="67F0F2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432" w:type="pct"/>
                  <w:noWrap w:val="0"/>
                  <w:vAlign w:val="center"/>
                </w:tcPr>
                <w:p w14:paraId="06D0686D">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类别</w:t>
                  </w:r>
                </w:p>
              </w:tc>
              <w:tc>
                <w:tcPr>
                  <w:tcW w:w="785" w:type="pct"/>
                  <w:gridSpan w:val="2"/>
                  <w:noWrap w:val="0"/>
                  <w:vAlign w:val="center"/>
                </w:tcPr>
                <w:p w14:paraId="2476983B">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项目名称</w:t>
                  </w:r>
                </w:p>
              </w:tc>
              <w:tc>
                <w:tcPr>
                  <w:tcW w:w="3028" w:type="pct"/>
                  <w:noWrap w:val="0"/>
                  <w:vAlign w:val="center"/>
                </w:tcPr>
                <w:p w14:paraId="65EB6589">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项目组成</w:t>
                  </w:r>
                </w:p>
              </w:tc>
              <w:tc>
                <w:tcPr>
                  <w:tcW w:w="753" w:type="pct"/>
                  <w:noWrap w:val="0"/>
                  <w:vAlign w:val="center"/>
                </w:tcPr>
                <w:p w14:paraId="7301BD70">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备注</w:t>
                  </w:r>
                </w:p>
              </w:tc>
            </w:tr>
            <w:tr w14:paraId="0D9312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32" w:type="pct"/>
                  <w:vMerge w:val="restart"/>
                  <w:noWrap w:val="0"/>
                  <w:vAlign w:val="center"/>
                </w:tcPr>
                <w:p w14:paraId="209C4E11">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主体工程</w:t>
                  </w:r>
                </w:p>
              </w:tc>
              <w:tc>
                <w:tcPr>
                  <w:tcW w:w="785" w:type="pct"/>
                  <w:gridSpan w:val="2"/>
                  <w:noWrap w:val="0"/>
                  <w:vAlign w:val="center"/>
                </w:tcPr>
                <w:p w14:paraId="112013DE">
                  <w:pPr>
                    <w:adjustRightInd w:val="0"/>
                    <w:snapToGrid w:val="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造粒间</w:t>
                  </w:r>
                </w:p>
              </w:tc>
              <w:tc>
                <w:tcPr>
                  <w:tcW w:w="3028" w:type="pct"/>
                  <w:noWrap w:val="0"/>
                  <w:vAlign w:val="center"/>
                </w:tcPr>
                <w:p w14:paraId="1D95EE7F">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占地面积约</w:t>
                  </w:r>
                  <w:r>
                    <w:rPr>
                      <w:rFonts w:hint="default" w:ascii="Times New Roman" w:hAnsi="Times New Roman" w:cs="Times New Roman"/>
                      <w:color w:val="000000" w:themeColor="text1"/>
                      <w:szCs w:val="21"/>
                      <w:lang w:val="en-US" w:eastAsia="zh-CN"/>
                      <w14:textFill>
                        <w14:solidFill>
                          <w14:schemeClr w14:val="tx1"/>
                        </w14:solidFill>
                      </w14:textFill>
                    </w:rPr>
                    <w:t>226</w:t>
                  </w:r>
                  <w:r>
                    <w:rPr>
                      <w:rFonts w:hint="default" w:ascii="Times New Roman" w:hAnsi="Times New Roman" w:cs="Times New Roman"/>
                      <w:color w:val="000000" w:themeColor="text1"/>
                      <w:szCs w:val="21"/>
                      <w14:textFill>
                        <w14:solidFill>
                          <w14:schemeClr w14:val="tx1"/>
                        </w14:solidFill>
                      </w14:textFill>
                    </w:rPr>
                    <w:t>m</w:t>
                  </w:r>
                  <w:r>
                    <w:rPr>
                      <w:rFonts w:hint="default" w:ascii="Times New Roman" w:hAnsi="Times New Roman" w:cs="Times New Roman"/>
                      <w:color w:val="000000" w:themeColor="text1"/>
                      <w:szCs w:val="21"/>
                      <w:vertAlign w:val="superscript"/>
                      <w14:textFill>
                        <w14:solidFill>
                          <w14:schemeClr w14:val="tx1"/>
                        </w14:solidFill>
                      </w14:textFill>
                    </w:rPr>
                    <w:t>2</w:t>
                  </w:r>
                  <w:r>
                    <w:rPr>
                      <w:rFonts w:hint="default" w:ascii="Times New Roman" w:hAnsi="Times New Roman" w:cs="Times New Roman"/>
                      <w:color w:val="000000" w:themeColor="text1"/>
                      <w:szCs w:val="21"/>
                      <w14:textFill>
                        <w14:solidFill>
                          <w14:schemeClr w14:val="tx1"/>
                        </w14:solidFill>
                      </w14:textFill>
                    </w:rPr>
                    <w:t>，钢结构，</w:t>
                  </w:r>
                  <w:r>
                    <w:rPr>
                      <w:rFonts w:hint="default" w:ascii="Times New Roman" w:hAnsi="Times New Roman" w:cs="Times New Roman"/>
                      <w:color w:val="000000" w:themeColor="text1"/>
                      <w:szCs w:val="21"/>
                      <w:lang w:val="en-US" w:eastAsia="zh-CN"/>
                      <w14:textFill>
                        <w14:solidFill>
                          <w14:schemeClr w14:val="tx1"/>
                        </w14:solidFill>
                      </w14:textFill>
                    </w:rPr>
                    <w:t>位于厂房西北部，内设原料堆放区及砂磨机、球磨机、搅拌桶、喷雾干燥塔等设备</w:t>
                  </w:r>
                  <w:r>
                    <w:rPr>
                      <w:rFonts w:hint="default" w:ascii="Times New Roman" w:hAnsi="Times New Roman" w:cs="Times New Roman"/>
                      <w:color w:val="000000" w:themeColor="text1"/>
                      <w:szCs w:val="21"/>
                      <w14:textFill>
                        <w14:solidFill>
                          <w14:schemeClr w14:val="tx1"/>
                        </w14:solidFill>
                      </w14:textFill>
                    </w:rPr>
                    <w:t>。</w:t>
                  </w:r>
                </w:p>
              </w:tc>
              <w:tc>
                <w:tcPr>
                  <w:tcW w:w="753" w:type="pct"/>
                  <w:vMerge w:val="restart"/>
                  <w:noWrap w:val="0"/>
                  <w:vAlign w:val="center"/>
                </w:tcPr>
                <w:p w14:paraId="1688CF93">
                  <w:pPr>
                    <w:adjustRightInd w:val="0"/>
                    <w:snapToGrid w:val="0"/>
                    <w:jc w:val="center"/>
                    <w:rPr>
                      <w:rFonts w:hint="default" w:ascii="Times New Roman" w:hAnsi="Times New Roman" w:cs="Times New Roman"/>
                      <w:color w:val="000000" w:themeColor="text1"/>
                      <w:szCs w:val="21"/>
                      <w:lang w:val="en-US"/>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租赁车间内新增设备</w:t>
                  </w:r>
                </w:p>
              </w:tc>
            </w:tr>
            <w:tr w14:paraId="5942C5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32" w:type="pct"/>
                  <w:vMerge w:val="continue"/>
                  <w:noWrap w:val="0"/>
                  <w:vAlign w:val="center"/>
                </w:tcPr>
                <w:p w14:paraId="0913F0C1">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p>
              </w:tc>
              <w:tc>
                <w:tcPr>
                  <w:tcW w:w="348" w:type="pct"/>
                  <w:vMerge w:val="restart"/>
                  <w:noWrap w:val="0"/>
                  <w:vAlign w:val="center"/>
                </w:tcPr>
                <w:p w14:paraId="01EA11EF">
                  <w:pPr>
                    <w:adjustRightInd w:val="0"/>
                    <w:snapToGrid w:val="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烧结车间</w:t>
                  </w:r>
                </w:p>
              </w:tc>
              <w:tc>
                <w:tcPr>
                  <w:tcW w:w="437" w:type="pct"/>
                  <w:noWrap w:val="0"/>
                  <w:vAlign w:val="center"/>
                </w:tcPr>
                <w:p w14:paraId="5416DD33">
                  <w:pPr>
                    <w:adjustRightInd w:val="0"/>
                    <w:snapToGrid w:val="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压片区</w:t>
                  </w:r>
                </w:p>
              </w:tc>
              <w:tc>
                <w:tcPr>
                  <w:tcW w:w="3028" w:type="pct"/>
                  <w:noWrap w:val="0"/>
                  <w:vAlign w:val="center"/>
                </w:tcPr>
                <w:p w14:paraId="6844EC04">
                  <w:pPr>
                    <w:adjustRightInd w:val="0"/>
                    <w:snapToGrid w:val="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占地面积约115</w:t>
                  </w:r>
                  <w:r>
                    <w:rPr>
                      <w:rFonts w:hint="default" w:ascii="Times New Roman" w:hAnsi="Times New Roman" w:cs="Times New Roman"/>
                      <w:color w:val="000000" w:themeColor="text1"/>
                      <w:szCs w:val="21"/>
                      <w14:textFill>
                        <w14:solidFill>
                          <w14:schemeClr w14:val="tx1"/>
                        </w14:solidFill>
                      </w14:textFill>
                    </w:rPr>
                    <w:t>m</w:t>
                  </w:r>
                  <w:r>
                    <w:rPr>
                      <w:rFonts w:hint="default" w:ascii="Times New Roman" w:hAnsi="Times New Roman" w:cs="Times New Roman"/>
                      <w:color w:val="000000" w:themeColor="text1"/>
                      <w:szCs w:val="21"/>
                      <w:vertAlign w:val="superscript"/>
                      <w14:textFill>
                        <w14:solidFill>
                          <w14:schemeClr w14:val="tx1"/>
                        </w14:solidFill>
                      </w14:textFill>
                    </w:rPr>
                    <w:t>2</w:t>
                  </w:r>
                  <w:r>
                    <w:rPr>
                      <w:rFonts w:hint="default" w:ascii="Times New Roman" w:hAnsi="Times New Roman" w:cs="Times New Roman"/>
                      <w:color w:val="000000" w:themeColor="text1"/>
                      <w:szCs w:val="21"/>
                      <w14:textFill>
                        <w14:solidFill>
                          <w14:schemeClr w14:val="tx1"/>
                        </w14:solidFill>
                      </w14:textFill>
                    </w:rPr>
                    <w:t>，钢结构，</w:t>
                  </w:r>
                  <w:r>
                    <w:rPr>
                      <w:rFonts w:hint="default" w:ascii="Times New Roman" w:hAnsi="Times New Roman" w:cs="Times New Roman"/>
                      <w:color w:val="000000" w:themeColor="text1"/>
                      <w:szCs w:val="21"/>
                      <w:lang w:val="en-US" w:eastAsia="zh-CN"/>
                      <w14:textFill>
                        <w14:solidFill>
                          <w14:schemeClr w14:val="tx1"/>
                        </w14:solidFill>
                      </w14:textFill>
                    </w:rPr>
                    <w:t>位于厂房北部，内设压机等设备</w:t>
                  </w:r>
                  <w:r>
                    <w:rPr>
                      <w:rFonts w:hint="eastAsia" w:cs="Times New Roman"/>
                      <w:color w:val="000000" w:themeColor="text1"/>
                      <w:szCs w:val="21"/>
                      <w:lang w:val="en-US" w:eastAsia="zh-CN"/>
                      <w14:textFill>
                        <w14:solidFill>
                          <w14:schemeClr w14:val="tx1"/>
                        </w14:solidFill>
                      </w14:textFill>
                    </w:rPr>
                    <w:t>。</w:t>
                  </w:r>
                </w:p>
              </w:tc>
              <w:tc>
                <w:tcPr>
                  <w:tcW w:w="753" w:type="pct"/>
                  <w:vMerge w:val="continue"/>
                  <w:noWrap w:val="0"/>
                  <w:vAlign w:val="center"/>
                </w:tcPr>
                <w:p w14:paraId="65AE6DBC">
                  <w:pPr>
                    <w:adjustRightInd w:val="0"/>
                    <w:snapToGrid w:val="0"/>
                    <w:jc w:val="center"/>
                    <w:rPr>
                      <w:rFonts w:hint="default" w:ascii="Times New Roman" w:hAnsi="Times New Roman" w:cs="Times New Roman"/>
                      <w:color w:val="000000" w:themeColor="text1"/>
                      <w:szCs w:val="21"/>
                      <w:lang w:val="en-US" w:eastAsia="zh-CN"/>
                      <w14:textFill>
                        <w14:solidFill>
                          <w14:schemeClr w14:val="tx1"/>
                        </w14:solidFill>
                      </w14:textFill>
                    </w:rPr>
                  </w:pPr>
                </w:p>
              </w:tc>
            </w:tr>
            <w:tr w14:paraId="3D88AD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32" w:type="pct"/>
                  <w:vMerge w:val="continue"/>
                  <w:noWrap w:val="0"/>
                  <w:vAlign w:val="center"/>
                </w:tcPr>
                <w:p w14:paraId="5A3F9755">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p>
              </w:tc>
              <w:tc>
                <w:tcPr>
                  <w:tcW w:w="348" w:type="pct"/>
                  <w:vMerge w:val="continue"/>
                  <w:noWrap w:val="0"/>
                  <w:vAlign w:val="center"/>
                </w:tcPr>
                <w:p w14:paraId="028882F7">
                  <w:pPr>
                    <w:adjustRightInd w:val="0"/>
                    <w:snapToGrid w:val="0"/>
                    <w:jc w:val="center"/>
                    <w:rPr>
                      <w:rFonts w:hint="default" w:ascii="Times New Roman" w:hAnsi="Times New Roman" w:cs="Times New Roman"/>
                      <w:color w:val="000000" w:themeColor="text1"/>
                      <w:szCs w:val="21"/>
                      <w:lang w:val="en-US" w:eastAsia="zh-CN"/>
                      <w14:textFill>
                        <w14:solidFill>
                          <w14:schemeClr w14:val="tx1"/>
                        </w14:solidFill>
                      </w14:textFill>
                    </w:rPr>
                  </w:pPr>
                </w:p>
              </w:tc>
              <w:tc>
                <w:tcPr>
                  <w:tcW w:w="437" w:type="pct"/>
                  <w:shd w:val="clear" w:color="auto" w:fill="auto"/>
                  <w:noWrap w:val="0"/>
                  <w:vAlign w:val="center"/>
                </w:tcPr>
                <w:p w14:paraId="7D349395">
                  <w:pPr>
                    <w:adjustRightInd w:val="0"/>
                    <w:snapToGrid w:val="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烧结</w:t>
                  </w:r>
                  <w:r>
                    <w:rPr>
                      <w:rFonts w:hint="eastAsia" w:ascii="Times New Roman" w:hAnsi="Times New Roman" w:cs="Times New Roman"/>
                      <w:color w:val="000000" w:themeColor="text1"/>
                      <w:szCs w:val="21"/>
                      <w:lang w:val="en-US" w:eastAsia="zh-CN"/>
                      <w14:textFill>
                        <w14:solidFill>
                          <w14:schemeClr w14:val="tx1"/>
                        </w14:solidFill>
                      </w14:textFill>
                    </w:rPr>
                    <w:t>区</w:t>
                  </w:r>
                </w:p>
              </w:tc>
              <w:tc>
                <w:tcPr>
                  <w:tcW w:w="3028" w:type="pct"/>
                  <w:shd w:val="clear" w:color="auto" w:fill="auto"/>
                  <w:noWrap w:val="0"/>
                  <w:vAlign w:val="center"/>
                </w:tcPr>
                <w:p w14:paraId="7EB464CE">
                  <w:pPr>
                    <w:adjustRightInd w:val="0"/>
                    <w:snapToGrid w:val="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b w:val="0"/>
                      <w:bCs/>
                      <w:color w:val="000000" w:themeColor="text1"/>
                      <w:sz w:val="20"/>
                      <w:szCs w:val="20"/>
                      <w:lang w:val="en-US" w:eastAsia="zh-CN"/>
                      <w14:textFill>
                        <w14:solidFill>
                          <w14:schemeClr w14:val="tx1"/>
                        </w14:solidFill>
                      </w14:textFill>
                    </w:rPr>
                    <w:t>占地面积约</w:t>
                  </w:r>
                  <w:r>
                    <w:rPr>
                      <w:rFonts w:hint="eastAsia" w:cs="Times New Roman"/>
                      <w:b w:val="0"/>
                      <w:bCs/>
                      <w:color w:val="000000" w:themeColor="text1"/>
                      <w:sz w:val="20"/>
                      <w:szCs w:val="20"/>
                      <w:lang w:val="en-US" w:eastAsia="zh-CN"/>
                      <w14:textFill>
                        <w14:solidFill>
                          <w14:schemeClr w14:val="tx1"/>
                        </w14:solidFill>
                      </w14:textFill>
                    </w:rPr>
                    <w:t>250</w:t>
                  </w:r>
                  <w:r>
                    <w:rPr>
                      <w:rFonts w:hint="default" w:ascii="Times New Roman" w:hAnsi="Times New Roman" w:cs="Times New Roman"/>
                      <w:b w:val="0"/>
                      <w:bCs/>
                      <w:color w:val="000000" w:themeColor="text1"/>
                      <w:sz w:val="20"/>
                      <w:szCs w:val="20"/>
                      <w:lang w:val="en-US" w:eastAsia="zh-CN"/>
                      <w14:textFill>
                        <w14:solidFill>
                          <w14:schemeClr w14:val="tx1"/>
                        </w14:solidFill>
                      </w14:textFill>
                    </w:rPr>
                    <w:t>m</w:t>
                  </w:r>
                  <w:r>
                    <w:rPr>
                      <w:rFonts w:hint="default" w:ascii="Times New Roman" w:hAnsi="Times New Roman" w:cs="Times New Roman"/>
                      <w:b w:val="0"/>
                      <w:bCs/>
                      <w:color w:val="000000" w:themeColor="text1"/>
                      <w:sz w:val="20"/>
                      <w:szCs w:val="20"/>
                      <w:vertAlign w:val="superscript"/>
                      <w:lang w:val="en-US" w:eastAsia="zh-CN"/>
                      <w14:textFill>
                        <w14:solidFill>
                          <w14:schemeClr w14:val="tx1"/>
                        </w14:solidFill>
                      </w14:textFill>
                    </w:rPr>
                    <w:t>2</w:t>
                  </w:r>
                  <w:r>
                    <w:rPr>
                      <w:rFonts w:hint="default" w:ascii="Times New Roman" w:hAnsi="Times New Roman" w:eastAsia="宋体" w:cs="Times New Roman"/>
                      <w:b w:val="0"/>
                      <w:bCs/>
                      <w:color w:val="000000" w:themeColor="text1"/>
                      <w:sz w:val="20"/>
                      <w:szCs w:val="20"/>
                      <w:lang w:val="en-US" w:eastAsia="zh-CN"/>
                      <w14:textFill>
                        <w14:solidFill>
                          <w14:schemeClr w14:val="tx1"/>
                        </w14:solidFill>
                      </w14:textFill>
                    </w:rPr>
                    <w:t>，</w:t>
                  </w:r>
                  <w:r>
                    <w:rPr>
                      <w:rFonts w:hint="default" w:ascii="Times New Roman" w:hAnsi="Times New Roman" w:cs="Times New Roman"/>
                      <w:b w:val="0"/>
                      <w:bCs/>
                      <w:color w:val="000000" w:themeColor="text1"/>
                      <w:sz w:val="20"/>
                      <w:szCs w:val="20"/>
                      <w:lang w:val="en-US" w:eastAsia="zh-CN"/>
                      <w14:textFill>
                        <w14:solidFill>
                          <w14:schemeClr w14:val="tx1"/>
                        </w14:solidFill>
                      </w14:textFill>
                    </w:rPr>
                    <w:t>位于</w:t>
                  </w:r>
                  <w:r>
                    <w:rPr>
                      <w:rFonts w:hint="eastAsia" w:ascii="Times New Roman" w:hAnsi="Times New Roman" w:cs="Times New Roman"/>
                      <w:b w:val="0"/>
                      <w:bCs/>
                      <w:color w:val="000000" w:themeColor="text1"/>
                      <w:sz w:val="20"/>
                      <w:szCs w:val="20"/>
                      <w:lang w:val="en-US" w:eastAsia="zh-CN"/>
                      <w14:textFill>
                        <w14:solidFill>
                          <w14:schemeClr w14:val="tx1"/>
                        </w14:solidFill>
                      </w14:textFill>
                    </w:rPr>
                    <w:t>压片</w:t>
                  </w:r>
                  <w:r>
                    <w:rPr>
                      <w:rFonts w:hint="default" w:ascii="Times New Roman" w:hAnsi="Times New Roman" w:cs="Times New Roman"/>
                      <w:b w:val="0"/>
                      <w:bCs/>
                      <w:color w:val="000000" w:themeColor="text1"/>
                      <w:sz w:val="20"/>
                      <w:szCs w:val="20"/>
                      <w:lang w:val="en-US" w:eastAsia="zh-CN"/>
                      <w14:textFill>
                        <w14:solidFill>
                          <w14:schemeClr w14:val="tx1"/>
                        </w14:solidFill>
                      </w14:textFill>
                    </w:rPr>
                    <w:t>区</w:t>
                  </w:r>
                  <w:r>
                    <w:rPr>
                      <w:rFonts w:hint="eastAsia" w:ascii="Times New Roman" w:hAnsi="Times New Roman" w:cs="Times New Roman"/>
                      <w:b w:val="0"/>
                      <w:bCs/>
                      <w:color w:val="000000" w:themeColor="text1"/>
                      <w:sz w:val="20"/>
                      <w:szCs w:val="20"/>
                      <w:lang w:val="en-US" w:eastAsia="zh-CN"/>
                      <w14:textFill>
                        <w14:solidFill>
                          <w14:schemeClr w14:val="tx1"/>
                        </w14:solidFill>
                      </w14:textFill>
                    </w:rPr>
                    <w:t>东</w:t>
                  </w:r>
                  <w:r>
                    <w:rPr>
                      <w:rFonts w:hint="default" w:ascii="Times New Roman" w:hAnsi="Times New Roman" w:cs="Times New Roman"/>
                      <w:b w:val="0"/>
                      <w:bCs/>
                      <w:color w:val="000000" w:themeColor="text1"/>
                      <w:sz w:val="20"/>
                      <w:szCs w:val="20"/>
                      <w:lang w:val="en-US" w:eastAsia="zh-CN"/>
                      <w14:textFill>
                        <w14:solidFill>
                          <w14:schemeClr w14:val="tx1"/>
                        </w14:solidFill>
                      </w14:textFill>
                    </w:rPr>
                    <w:t>侧</w:t>
                  </w:r>
                  <w:r>
                    <w:rPr>
                      <w:rFonts w:hint="default" w:ascii="Times New Roman" w:hAnsi="Times New Roman" w:eastAsia="宋体" w:cs="Times New Roman"/>
                      <w:b w:val="0"/>
                      <w:bCs/>
                      <w:color w:val="000000" w:themeColor="text1"/>
                      <w:sz w:val="20"/>
                      <w:szCs w:val="20"/>
                      <w:lang w:val="en-US" w:eastAsia="zh-CN"/>
                      <w14:textFill>
                        <w14:solidFill>
                          <w14:schemeClr w14:val="tx1"/>
                        </w14:solidFill>
                      </w14:textFill>
                    </w:rPr>
                    <w:t>，内设隧道炉等设备</w:t>
                  </w:r>
                  <w:r>
                    <w:rPr>
                      <w:rFonts w:hint="eastAsia" w:ascii="Times New Roman" w:hAnsi="Times New Roman" w:eastAsia="宋体" w:cs="Times New Roman"/>
                      <w:b w:val="0"/>
                      <w:bCs/>
                      <w:color w:val="000000" w:themeColor="text1"/>
                      <w:sz w:val="20"/>
                      <w:szCs w:val="20"/>
                      <w:lang w:val="en-US" w:eastAsia="zh-CN"/>
                      <w14:textFill>
                        <w14:solidFill>
                          <w14:schemeClr w14:val="tx1"/>
                        </w14:solidFill>
                      </w14:textFill>
                    </w:rPr>
                    <w:t>。</w:t>
                  </w:r>
                </w:p>
              </w:tc>
              <w:tc>
                <w:tcPr>
                  <w:tcW w:w="753" w:type="pct"/>
                  <w:vMerge w:val="continue"/>
                  <w:noWrap w:val="0"/>
                  <w:vAlign w:val="center"/>
                </w:tcPr>
                <w:p w14:paraId="708C7E8A">
                  <w:pPr>
                    <w:adjustRightInd w:val="0"/>
                    <w:snapToGrid w:val="0"/>
                    <w:jc w:val="center"/>
                    <w:rPr>
                      <w:rFonts w:hint="default" w:ascii="Times New Roman" w:hAnsi="Times New Roman" w:cs="Times New Roman"/>
                      <w:color w:val="000000" w:themeColor="text1"/>
                      <w:szCs w:val="21"/>
                      <w:lang w:val="en-US" w:eastAsia="zh-CN"/>
                      <w14:textFill>
                        <w14:solidFill>
                          <w14:schemeClr w14:val="tx1"/>
                        </w14:solidFill>
                      </w14:textFill>
                    </w:rPr>
                  </w:pPr>
                </w:p>
              </w:tc>
            </w:tr>
            <w:tr w14:paraId="6FF8EE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32" w:type="pct"/>
                  <w:vMerge w:val="continue"/>
                  <w:noWrap w:val="0"/>
                  <w:vAlign w:val="center"/>
                </w:tcPr>
                <w:p w14:paraId="56AF3510">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p>
              </w:tc>
              <w:tc>
                <w:tcPr>
                  <w:tcW w:w="785" w:type="pct"/>
                  <w:gridSpan w:val="2"/>
                  <w:shd w:val="clear" w:color="auto" w:fill="auto"/>
                  <w:noWrap w:val="0"/>
                  <w:vAlign w:val="center"/>
                </w:tcPr>
                <w:p w14:paraId="46FABC9B">
                  <w:pPr>
                    <w:adjustRightInd w:val="0"/>
                    <w:snapToGrid w:val="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刷银</w:t>
                  </w:r>
                  <w:r>
                    <w:rPr>
                      <w:rFonts w:hint="eastAsia" w:cs="Times New Roman"/>
                      <w:color w:val="000000" w:themeColor="text1"/>
                      <w:szCs w:val="21"/>
                      <w:lang w:val="en-US" w:eastAsia="zh-CN"/>
                      <w14:textFill>
                        <w14:solidFill>
                          <w14:schemeClr w14:val="tx1"/>
                        </w14:solidFill>
                      </w14:textFill>
                    </w:rPr>
                    <w:t>车间</w:t>
                  </w:r>
                </w:p>
              </w:tc>
              <w:tc>
                <w:tcPr>
                  <w:tcW w:w="3028" w:type="pct"/>
                  <w:shd w:val="clear" w:color="auto" w:fill="auto"/>
                  <w:noWrap w:val="0"/>
                  <w:vAlign w:val="center"/>
                </w:tcPr>
                <w:p w14:paraId="592081C5">
                  <w:pPr>
                    <w:adjustRightInd w:val="0"/>
                    <w:snapToGrid w:val="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b w:val="0"/>
                      <w:bCs/>
                      <w:color w:val="000000" w:themeColor="text1"/>
                      <w:sz w:val="20"/>
                      <w:szCs w:val="20"/>
                      <w:lang w:val="en-US" w:eastAsia="zh-CN"/>
                      <w14:textFill>
                        <w14:solidFill>
                          <w14:schemeClr w14:val="tx1"/>
                        </w14:solidFill>
                      </w14:textFill>
                    </w:rPr>
                    <w:t>占地</w:t>
                  </w:r>
                  <w:r>
                    <w:rPr>
                      <w:rFonts w:hint="default" w:ascii="Times New Roman" w:hAnsi="Times New Roman" w:eastAsia="宋体" w:cs="Times New Roman"/>
                      <w:b w:val="0"/>
                      <w:bCs/>
                      <w:color w:val="000000" w:themeColor="text1"/>
                      <w:sz w:val="20"/>
                      <w:szCs w:val="20"/>
                      <w:lang w:val="en-US" w:eastAsia="zh-CN"/>
                      <w14:textFill>
                        <w14:solidFill>
                          <w14:schemeClr w14:val="tx1"/>
                        </w14:solidFill>
                      </w14:textFill>
                    </w:rPr>
                    <w:t>面积约</w:t>
                  </w:r>
                  <w:r>
                    <w:rPr>
                      <w:rFonts w:hint="eastAsia" w:ascii="Times New Roman" w:hAnsi="Times New Roman" w:cs="Times New Roman"/>
                      <w:b w:val="0"/>
                      <w:bCs/>
                      <w:color w:val="000000" w:themeColor="text1"/>
                      <w:sz w:val="20"/>
                      <w:szCs w:val="20"/>
                      <w:lang w:val="en-US" w:eastAsia="zh-CN"/>
                      <w14:textFill>
                        <w14:solidFill>
                          <w14:schemeClr w14:val="tx1"/>
                        </w14:solidFill>
                      </w14:textFill>
                    </w:rPr>
                    <w:t>350</w:t>
                  </w:r>
                  <w:r>
                    <w:rPr>
                      <w:rFonts w:hint="default" w:ascii="Times New Roman" w:hAnsi="Times New Roman" w:cs="Times New Roman"/>
                      <w:b w:val="0"/>
                      <w:bCs/>
                      <w:color w:val="000000" w:themeColor="text1"/>
                      <w:sz w:val="20"/>
                      <w:szCs w:val="20"/>
                      <w:lang w:val="en-US" w:eastAsia="zh-CN"/>
                      <w14:textFill>
                        <w14:solidFill>
                          <w14:schemeClr w14:val="tx1"/>
                        </w14:solidFill>
                      </w14:textFill>
                    </w:rPr>
                    <w:t>m</w:t>
                  </w:r>
                  <w:r>
                    <w:rPr>
                      <w:rFonts w:hint="default" w:ascii="Times New Roman" w:hAnsi="Times New Roman" w:cs="Times New Roman"/>
                      <w:b w:val="0"/>
                      <w:bCs/>
                      <w:color w:val="000000" w:themeColor="text1"/>
                      <w:sz w:val="20"/>
                      <w:szCs w:val="20"/>
                      <w:vertAlign w:val="superscript"/>
                      <w:lang w:val="en-US" w:eastAsia="zh-CN"/>
                      <w14:textFill>
                        <w14:solidFill>
                          <w14:schemeClr w14:val="tx1"/>
                        </w14:solidFill>
                      </w14:textFill>
                    </w:rPr>
                    <w:t>2</w:t>
                  </w:r>
                  <w:r>
                    <w:rPr>
                      <w:rFonts w:hint="default" w:ascii="Times New Roman" w:hAnsi="Times New Roman" w:eastAsia="宋体" w:cs="Times New Roman"/>
                      <w:b w:val="0"/>
                      <w:bCs/>
                      <w:color w:val="000000" w:themeColor="text1"/>
                      <w:sz w:val="20"/>
                      <w:szCs w:val="20"/>
                      <w:lang w:val="en-US" w:eastAsia="zh-CN"/>
                      <w14:textFill>
                        <w14:solidFill>
                          <w14:schemeClr w14:val="tx1"/>
                        </w14:solidFill>
                      </w14:textFill>
                    </w:rPr>
                    <w:t>，</w:t>
                  </w:r>
                  <w:r>
                    <w:rPr>
                      <w:rFonts w:hint="default" w:ascii="Times New Roman" w:hAnsi="Times New Roman" w:cs="Times New Roman"/>
                      <w:b w:val="0"/>
                      <w:bCs/>
                      <w:color w:val="000000" w:themeColor="text1"/>
                      <w:sz w:val="20"/>
                      <w:szCs w:val="20"/>
                      <w:lang w:val="en-US" w:eastAsia="zh-CN"/>
                      <w14:textFill>
                        <w14:solidFill>
                          <w14:schemeClr w14:val="tx1"/>
                        </w14:solidFill>
                      </w14:textFill>
                    </w:rPr>
                    <w:t>位于烧结区南侧</w:t>
                  </w:r>
                  <w:r>
                    <w:rPr>
                      <w:rFonts w:hint="default" w:ascii="Times New Roman" w:hAnsi="Times New Roman" w:eastAsia="宋体" w:cs="Times New Roman"/>
                      <w:b w:val="0"/>
                      <w:bCs/>
                      <w:color w:val="000000" w:themeColor="text1"/>
                      <w:sz w:val="20"/>
                      <w:szCs w:val="20"/>
                      <w:lang w:val="en-US" w:eastAsia="zh-CN"/>
                      <w14:textFill>
                        <w14:solidFill>
                          <w14:schemeClr w14:val="tx1"/>
                        </w14:solidFill>
                      </w14:textFill>
                    </w:rPr>
                    <w:t>，内设自动刷</w:t>
                  </w:r>
                  <w:r>
                    <w:rPr>
                      <w:rFonts w:hint="eastAsia" w:cs="Times New Roman"/>
                      <w:b w:val="0"/>
                      <w:bCs/>
                      <w:color w:val="000000" w:themeColor="text1"/>
                      <w:sz w:val="20"/>
                      <w:szCs w:val="20"/>
                      <w:lang w:val="en-US" w:eastAsia="zh-CN"/>
                      <w14:textFill>
                        <w14:solidFill>
                          <w14:schemeClr w14:val="tx1"/>
                        </w14:solidFill>
                      </w14:textFill>
                    </w:rPr>
                    <w:t>浆</w:t>
                  </w:r>
                  <w:r>
                    <w:rPr>
                      <w:rFonts w:hint="default" w:ascii="Times New Roman" w:hAnsi="Times New Roman" w:eastAsia="宋体" w:cs="Times New Roman"/>
                      <w:b w:val="0"/>
                      <w:bCs/>
                      <w:color w:val="000000" w:themeColor="text1"/>
                      <w:sz w:val="20"/>
                      <w:szCs w:val="20"/>
                      <w:lang w:val="en-US" w:eastAsia="zh-CN"/>
                      <w14:textFill>
                        <w14:solidFill>
                          <w14:schemeClr w14:val="tx1"/>
                        </w14:solidFill>
                      </w14:textFill>
                    </w:rPr>
                    <w:t>机、</w:t>
                  </w:r>
                  <w:r>
                    <w:rPr>
                      <w:rFonts w:hint="eastAsia" w:ascii="Times New Roman" w:hAnsi="Times New Roman" w:eastAsia="宋体" w:cs="Times New Roman"/>
                      <w:b w:val="0"/>
                      <w:bCs/>
                      <w:color w:val="000000" w:themeColor="text1"/>
                      <w:sz w:val="20"/>
                      <w:szCs w:val="20"/>
                      <w:lang w:val="en-US" w:eastAsia="zh-CN"/>
                      <w14:textFill>
                        <w14:solidFill>
                          <w14:schemeClr w14:val="tx1"/>
                        </w14:solidFill>
                      </w14:textFill>
                    </w:rPr>
                    <w:t>烘干炉</w:t>
                  </w:r>
                  <w:r>
                    <w:rPr>
                      <w:rFonts w:hint="default" w:ascii="Times New Roman" w:hAnsi="Times New Roman" w:eastAsia="宋体" w:cs="Times New Roman"/>
                      <w:b w:val="0"/>
                      <w:bCs/>
                      <w:color w:val="000000" w:themeColor="text1"/>
                      <w:sz w:val="20"/>
                      <w:szCs w:val="20"/>
                      <w:lang w:val="en-US" w:eastAsia="zh-CN"/>
                      <w14:textFill>
                        <w14:solidFill>
                          <w14:schemeClr w14:val="tx1"/>
                        </w14:solidFill>
                      </w14:textFill>
                    </w:rPr>
                    <w:t>、</w:t>
                  </w:r>
                  <w:r>
                    <w:rPr>
                      <w:rFonts w:hint="eastAsia" w:ascii="Times New Roman" w:hAnsi="Times New Roman" w:eastAsia="宋体" w:cs="Times New Roman"/>
                      <w:b w:val="0"/>
                      <w:bCs/>
                      <w:color w:val="000000" w:themeColor="text1"/>
                      <w:sz w:val="20"/>
                      <w:szCs w:val="20"/>
                      <w:lang w:val="en-US" w:eastAsia="zh-CN"/>
                      <w14:textFill>
                        <w14:solidFill>
                          <w14:schemeClr w14:val="tx1"/>
                        </w14:solidFill>
                      </w14:textFill>
                    </w:rPr>
                    <w:t>还原炉、烧渗炉、分选机</w:t>
                  </w:r>
                  <w:r>
                    <w:rPr>
                      <w:rFonts w:hint="default" w:ascii="Times New Roman" w:hAnsi="Times New Roman" w:eastAsia="宋体" w:cs="Times New Roman"/>
                      <w:b w:val="0"/>
                      <w:bCs/>
                      <w:color w:val="000000" w:themeColor="text1"/>
                      <w:sz w:val="20"/>
                      <w:szCs w:val="20"/>
                      <w:lang w:val="en-US" w:eastAsia="zh-CN"/>
                      <w14:textFill>
                        <w14:solidFill>
                          <w14:schemeClr w14:val="tx1"/>
                        </w14:solidFill>
                      </w14:textFill>
                    </w:rPr>
                    <w:t>等设备</w:t>
                  </w:r>
                  <w:r>
                    <w:rPr>
                      <w:rFonts w:hint="eastAsia" w:ascii="Times New Roman" w:hAnsi="Times New Roman" w:eastAsia="宋体" w:cs="Times New Roman"/>
                      <w:b w:val="0"/>
                      <w:bCs/>
                      <w:color w:val="000000" w:themeColor="text1"/>
                      <w:sz w:val="20"/>
                      <w:szCs w:val="20"/>
                      <w:lang w:val="en-US" w:eastAsia="zh-CN"/>
                      <w14:textFill>
                        <w14:solidFill>
                          <w14:schemeClr w14:val="tx1"/>
                        </w14:solidFill>
                      </w14:textFill>
                    </w:rPr>
                    <w:t>。</w:t>
                  </w:r>
                </w:p>
              </w:tc>
              <w:tc>
                <w:tcPr>
                  <w:tcW w:w="753" w:type="pct"/>
                  <w:vMerge w:val="continue"/>
                  <w:noWrap w:val="0"/>
                  <w:vAlign w:val="center"/>
                </w:tcPr>
                <w:p w14:paraId="00880332">
                  <w:pPr>
                    <w:adjustRightInd w:val="0"/>
                    <w:snapToGrid w:val="0"/>
                    <w:jc w:val="center"/>
                    <w:rPr>
                      <w:rFonts w:hint="default" w:ascii="Times New Roman" w:hAnsi="Times New Roman" w:cs="Times New Roman"/>
                      <w:color w:val="000000" w:themeColor="text1"/>
                      <w:szCs w:val="21"/>
                      <w:lang w:val="en-US" w:eastAsia="zh-CN"/>
                      <w14:textFill>
                        <w14:solidFill>
                          <w14:schemeClr w14:val="tx1"/>
                        </w14:solidFill>
                      </w14:textFill>
                    </w:rPr>
                  </w:pPr>
                </w:p>
              </w:tc>
            </w:tr>
            <w:tr w14:paraId="1AD75A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32" w:type="pct"/>
                  <w:vMerge w:val="continue"/>
                  <w:noWrap w:val="0"/>
                  <w:vAlign w:val="center"/>
                </w:tcPr>
                <w:p w14:paraId="5187B849">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p>
              </w:tc>
              <w:tc>
                <w:tcPr>
                  <w:tcW w:w="785" w:type="pct"/>
                  <w:gridSpan w:val="2"/>
                  <w:shd w:val="clear" w:color="auto" w:fill="auto"/>
                  <w:noWrap w:val="0"/>
                  <w:vAlign w:val="center"/>
                </w:tcPr>
                <w:p w14:paraId="7344385E">
                  <w:pPr>
                    <w:pStyle w:val="186"/>
                    <w:keepNext w:val="0"/>
                    <w:keepLines w:val="0"/>
                    <w:suppressLineNumbers w:val="0"/>
                    <w:bidi w:val="0"/>
                    <w:spacing w:before="0" w:beforeAutospacing="0" w:after="0" w:afterAutospacing="0"/>
                    <w:ind w:left="0" w:leftChars="0" w:right="0" w:rightChars="0" w:firstLine="0" w:firstLineChars="0"/>
                    <w:jc w:val="center"/>
                    <w:rPr>
                      <w:rFonts w:hint="default" w:ascii="Times New Roman" w:hAnsi="Times New Roman" w:eastAsia="宋体" w:cs="Times New Roman"/>
                      <w:b w:val="0"/>
                      <w:bCs/>
                      <w:color w:val="000000" w:themeColor="text1"/>
                      <w:kern w:val="0"/>
                      <w:sz w:val="20"/>
                      <w:szCs w:val="20"/>
                      <w:lang w:val="en-US" w:eastAsia="zh-CN" w:bidi="ar-SA"/>
                      <w14:textFill>
                        <w14:solidFill>
                          <w14:schemeClr w14:val="tx1"/>
                        </w14:solidFill>
                      </w14:textFill>
                    </w:rPr>
                  </w:pPr>
                  <w:r>
                    <w:rPr>
                      <w:rFonts w:hint="default" w:ascii="Times New Roman" w:hAnsi="Times New Roman" w:cs="Times New Roman"/>
                      <w:b w:val="0"/>
                      <w:bCs/>
                      <w:color w:val="000000" w:themeColor="text1"/>
                      <w:sz w:val="20"/>
                      <w:szCs w:val="20"/>
                      <w:lang w:val="en-US" w:eastAsia="zh-CN"/>
                      <w14:textFill>
                        <w14:solidFill>
                          <w14:schemeClr w14:val="tx1"/>
                        </w14:solidFill>
                      </w14:textFill>
                    </w:rPr>
                    <w:t>压敏焊接车间</w:t>
                  </w:r>
                </w:p>
              </w:tc>
              <w:tc>
                <w:tcPr>
                  <w:tcW w:w="3028" w:type="pct"/>
                  <w:shd w:val="clear" w:color="auto" w:fill="auto"/>
                  <w:noWrap w:val="0"/>
                  <w:vAlign w:val="center"/>
                </w:tcPr>
                <w:p w14:paraId="001B4EF0">
                  <w:pPr>
                    <w:pStyle w:val="186"/>
                    <w:keepNext w:val="0"/>
                    <w:keepLines w:val="0"/>
                    <w:suppressLineNumbers w:val="0"/>
                    <w:bidi w:val="0"/>
                    <w:spacing w:before="0" w:beforeAutospacing="0" w:after="0" w:afterAutospacing="0"/>
                    <w:ind w:left="0" w:leftChars="0" w:right="0" w:rightChars="0" w:firstLine="0" w:firstLineChars="0"/>
                    <w:jc w:val="center"/>
                    <w:rPr>
                      <w:rFonts w:hint="default" w:ascii="Times New Roman" w:hAnsi="Times New Roman" w:eastAsia="宋体" w:cs="Times New Roman"/>
                      <w:b w:val="0"/>
                      <w:bCs/>
                      <w:color w:val="000000" w:themeColor="text1"/>
                      <w:kern w:val="0"/>
                      <w:sz w:val="20"/>
                      <w:szCs w:val="20"/>
                      <w:lang w:val="en-US" w:eastAsia="zh-CN" w:bidi="ar-SA"/>
                      <w14:textFill>
                        <w14:solidFill>
                          <w14:schemeClr w14:val="tx1"/>
                        </w14:solidFill>
                      </w14:textFill>
                    </w:rPr>
                  </w:pPr>
                  <w:r>
                    <w:rPr>
                      <w:rFonts w:hint="default" w:ascii="Times New Roman" w:hAnsi="Times New Roman" w:cs="Times New Roman"/>
                      <w:b w:val="0"/>
                      <w:bCs/>
                      <w:color w:val="000000" w:themeColor="text1"/>
                      <w:sz w:val="20"/>
                      <w:szCs w:val="20"/>
                      <w:lang w:val="en-US" w:eastAsia="zh-CN"/>
                      <w14:textFill>
                        <w14:solidFill>
                          <w14:schemeClr w14:val="tx1"/>
                        </w14:solidFill>
                      </w14:textFill>
                    </w:rPr>
                    <w:t>占地</w:t>
                  </w:r>
                  <w:r>
                    <w:rPr>
                      <w:rFonts w:hint="default" w:ascii="Times New Roman" w:hAnsi="Times New Roman" w:eastAsia="宋体" w:cs="Times New Roman"/>
                      <w:b w:val="0"/>
                      <w:bCs/>
                      <w:color w:val="000000" w:themeColor="text1"/>
                      <w:sz w:val="20"/>
                      <w:szCs w:val="20"/>
                      <w:lang w:val="en-US" w:eastAsia="zh-CN"/>
                      <w14:textFill>
                        <w14:solidFill>
                          <w14:schemeClr w14:val="tx1"/>
                        </w14:solidFill>
                      </w14:textFill>
                    </w:rPr>
                    <w:t>面积约</w:t>
                  </w:r>
                  <w:r>
                    <w:rPr>
                      <w:rFonts w:hint="default" w:ascii="Times New Roman" w:hAnsi="Times New Roman" w:cs="Times New Roman"/>
                      <w:b w:val="0"/>
                      <w:bCs/>
                      <w:color w:val="000000" w:themeColor="text1"/>
                      <w:sz w:val="20"/>
                      <w:szCs w:val="20"/>
                      <w:lang w:val="en-US" w:eastAsia="zh-CN"/>
                      <w14:textFill>
                        <w14:solidFill>
                          <w14:schemeClr w14:val="tx1"/>
                        </w14:solidFill>
                      </w14:textFill>
                    </w:rPr>
                    <w:t>400m</w:t>
                  </w:r>
                  <w:r>
                    <w:rPr>
                      <w:rFonts w:hint="default" w:ascii="Times New Roman" w:hAnsi="Times New Roman" w:cs="Times New Roman"/>
                      <w:b w:val="0"/>
                      <w:bCs/>
                      <w:color w:val="000000" w:themeColor="text1"/>
                      <w:sz w:val="20"/>
                      <w:szCs w:val="20"/>
                      <w:vertAlign w:val="superscript"/>
                      <w:lang w:val="en-US" w:eastAsia="zh-CN"/>
                      <w14:textFill>
                        <w14:solidFill>
                          <w14:schemeClr w14:val="tx1"/>
                        </w14:solidFill>
                      </w14:textFill>
                    </w:rPr>
                    <w:t>2</w:t>
                  </w:r>
                  <w:r>
                    <w:rPr>
                      <w:rFonts w:hint="default" w:ascii="Times New Roman" w:hAnsi="Times New Roman" w:eastAsia="宋体" w:cs="Times New Roman"/>
                      <w:b w:val="0"/>
                      <w:bCs/>
                      <w:color w:val="000000" w:themeColor="text1"/>
                      <w:sz w:val="20"/>
                      <w:szCs w:val="20"/>
                      <w:lang w:val="en-US" w:eastAsia="zh-CN"/>
                      <w14:textFill>
                        <w14:solidFill>
                          <w14:schemeClr w14:val="tx1"/>
                        </w14:solidFill>
                      </w14:textFill>
                    </w:rPr>
                    <w:t>，</w:t>
                  </w:r>
                  <w:r>
                    <w:rPr>
                      <w:rFonts w:hint="default" w:ascii="Times New Roman" w:hAnsi="Times New Roman" w:cs="Times New Roman"/>
                      <w:b w:val="0"/>
                      <w:bCs/>
                      <w:color w:val="000000" w:themeColor="text1"/>
                      <w:szCs w:val="21"/>
                      <w14:textFill>
                        <w14:solidFill>
                          <w14:schemeClr w14:val="tx1"/>
                        </w14:solidFill>
                      </w14:textFill>
                    </w:rPr>
                    <w:t>钢结构，</w:t>
                  </w:r>
                  <w:r>
                    <w:rPr>
                      <w:rFonts w:hint="default" w:ascii="Times New Roman" w:hAnsi="Times New Roman" w:cs="Times New Roman"/>
                      <w:b w:val="0"/>
                      <w:bCs/>
                      <w:color w:val="000000" w:themeColor="text1"/>
                      <w:sz w:val="20"/>
                      <w:szCs w:val="20"/>
                      <w:lang w:val="en-US" w:eastAsia="zh-CN"/>
                      <w14:textFill>
                        <w14:solidFill>
                          <w14:schemeClr w14:val="tx1"/>
                        </w14:solidFill>
                      </w14:textFill>
                    </w:rPr>
                    <w:t>位于</w:t>
                  </w:r>
                  <w:r>
                    <w:rPr>
                      <w:rFonts w:hint="eastAsia" w:ascii="Times New Roman" w:hAnsi="Times New Roman" w:cs="Times New Roman"/>
                      <w:b w:val="0"/>
                      <w:bCs/>
                      <w:color w:val="000000" w:themeColor="text1"/>
                      <w:sz w:val="20"/>
                      <w:szCs w:val="20"/>
                      <w:lang w:val="en-US" w:eastAsia="zh-CN"/>
                      <w14:textFill>
                        <w14:solidFill>
                          <w14:schemeClr w14:val="tx1"/>
                        </w14:solidFill>
                      </w14:textFill>
                    </w:rPr>
                    <w:t>刷银</w:t>
                  </w:r>
                  <w:r>
                    <w:rPr>
                      <w:rFonts w:hint="default" w:ascii="Times New Roman" w:hAnsi="Times New Roman" w:cs="Times New Roman"/>
                      <w:b w:val="0"/>
                      <w:bCs/>
                      <w:color w:val="000000" w:themeColor="text1"/>
                      <w:sz w:val="20"/>
                      <w:szCs w:val="20"/>
                      <w:lang w:val="en-US" w:eastAsia="zh-CN"/>
                      <w14:textFill>
                        <w14:solidFill>
                          <w14:schemeClr w14:val="tx1"/>
                        </w14:solidFill>
                      </w14:textFill>
                    </w:rPr>
                    <w:t>车间西侧</w:t>
                  </w:r>
                  <w:r>
                    <w:rPr>
                      <w:rFonts w:hint="default" w:ascii="Times New Roman" w:hAnsi="Times New Roman" w:eastAsia="宋体" w:cs="Times New Roman"/>
                      <w:b w:val="0"/>
                      <w:bCs/>
                      <w:color w:val="000000" w:themeColor="text1"/>
                      <w:sz w:val="20"/>
                      <w:szCs w:val="20"/>
                      <w:lang w:val="en-US" w:eastAsia="zh-CN"/>
                      <w14:textFill>
                        <w14:solidFill>
                          <w14:schemeClr w14:val="tx1"/>
                        </w14:solidFill>
                      </w14:textFill>
                    </w:rPr>
                    <w:t>，内</w:t>
                  </w:r>
                  <w:r>
                    <w:rPr>
                      <w:rFonts w:hint="default" w:ascii="Times New Roman" w:hAnsi="Times New Roman" w:cs="Times New Roman"/>
                      <w:b w:val="0"/>
                      <w:bCs/>
                      <w:color w:val="000000" w:themeColor="text1"/>
                      <w:sz w:val="20"/>
                      <w:szCs w:val="20"/>
                      <w:lang w:val="en-US" w:eastAsia="zh-CN"/>
                      <w14:textFill>
                        <w14:solidFill>
                          <w14:schemeClr w14:val="tx1"/>
                        </w14:solidFill>
                      </w14:textFill>
                    </w:rPr>
                    <w:t>设</w:t>
                  </w:r>
                  <w:r>
                    <w:rPr>
                      <w:rFonts w:hint="default" w:ascii="Times New Roman" w:hAnsi="Times New Roman" w:eastAsia="宋体" w:cs="Times New Roman"/>
                      <w:b w:val="0"/>
                      <w:bCs/>
                      <w:color w:val="000000" w:themeColor="text1"/>
                      <w:sz w:val="20"/>
                      <w:szCs w:val="20"/>
                      <w:lang w:val="en-US" w:eastAsia="zh-CN"/>
                      <w14:textFill>
                        <w14:solidFill>
                          <w14:schemeClr w14:val="tx1"/>
                        </w14:solidFill>
                      </w14:textFill>
                    </w:rPr>
                    <w:t>自动一体机</w:t>
                  </w:r>
                  <w:r>
                    <w:rPr>
                      <w:rFonts w:hint="eastAsia" w:ascii="Times New Roman" w:hAnsi="Times New Roman" w:eastAsia="宋体" w:cs="Times New Roman"/>
                      <w:b w:val="0"/>
                      <w:bCs/>
                      <w:color w:val="000000" w:themeColor="text1"/>
                      <w:sz w:val="20"/>
                      <w:szCs w:val="20"/>
                      <w:lang w:val="en-US" w:eastAsia="zh-CN"/>
                      <w14:textFill>
                        <w14:solidFill>
                          <w14:schemeClr w14:val="tx1"/>
                        </w14:solidFill>
                      </w14:textFill>
                    </w:rPr>
                    <w:t>。</w:t>
                  </w:r>
                </w:p>
              </w:tc>
              <w:tc>
                <w:tcPr>
                  <w:tcW w:w="753" w:type="pct"/>
                  <w:vMerge w:val="continue"/>
                  <w:noWrap w:val="0"/>
                  <w:vAlign w:val="center"/>
                </w:tcPr>
                <w:p w14:paraId="60885F8B">
                  <w:pPr>
                    <w:adjustRightInd w:val="0"/>
                    <w:snapToGrid w:val="0"/>
                    <w:jc w:val="center"/>
                    <w:rPr>
                      <w:rFonts w:hint="default" w:ascii="Times New Roman" w:hAnsi="Times New Roman" w:cs="Times New Roman"/>
                      <w:color w:val="000000" w:themeColor="text1"/>
                      <w:szCs w:val="21"/>
                      <w:lang w:val="en-US" w:eastAsia="zh-CN"/>
                      <w14:textFill>
                        <w14:solidFill>
                          <w14:schemeClr w14:val="tx1"/>
                        </w14:solidFill>
                      </w14:textFill>
                    </w:rPr>
                  </w:pPr>
                </w:p>
              </w:tc>
            </w:tr>
            <w:tr w14:paraId="1804A9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32" w:type="pct"/>
                  <w:vMerge w:val="continue"/>
                  <w:noWrap w:val="0"/>
                  <w:vAlign w:val="center"/>
                </w:tcPr>
                <w:p w14:paraId="4358FA59">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p>
              </w:tc>
              <w:tc>
                <w:tcPr>
                  <w:tcW w:w="348" w:type="pct"/>
                  <w:vMerge w:val="restart"/>
                  <w:shd w:val="clear" w:color="auto" w:fill="auto"/>
                  <w:noWrap w:val="0"/>
                  <w:vAlign w:val="center"/>
                </w:tcPr>
                <w:p w14:paraId="39C47DCD">
                  <w:pPr>
                    <w:adjustRightInd w:val="0"/>
                    <w:snapToGrid w:val="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涂装车间</w:t>
                  </w:r>
                </w:p>
              </w:tc>
              <w:tc>
                <w:tcPr>
                  <w:tcW w:w="437" w:type="pct"/>
                  <w:shd w:val="clear" w:color="auto" w:fill="auto"/>
                  <w:noWrap w:val="0"/>
                  <w:vAlign w:val="center"/>
                </w:tcPr>
                <w:p w14:paraId="573D38A3">
                  <w:pPr>
                    <w:adjustRightInd w:val="0"/>
                    <w:snapToGrid w:val="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涂装区</w:t>
                  </w:r>
                </w:p>
              </w:tc>
              <w:tc>
                <w:tcPr>
                  <w:tcW w:w="3028" w:type="pct"/>
                  <w:shd w:val="clear" w:color="auto" w:fill="auto"/>
                  <w:noWrap w:val="0"/>
                  <w:vAlign w:val="center"/>
                </w:tcPr>
                <w:p w14:paraId="7E6761CB">
                  <w:pPr>
                    <w:adjustRightInd w:val="0"/>
                    <w:snapToGrid w:val="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b w:val="0"/>
                      <w:bCs/>
                      <w:color w:val="000000" w:themeColor="text1"/>
                      <w:sz w:val="20"/>
                      <w:szCs w:val="20"/>
                      <w:lang w:val="en-US" w:eastAsia="zh-CN"/>
                      <w14:textFill>
                        <w14:solidFill>
                          <w14:schemeClr w14:val="tx1"/>
                        </w14:solidFill>
                      </w14:textFill>
                    </w:rPr>
                    <w:t>占地</w:t>
                  </w:r>
                  <w:r>
                    <w:rPr>
                      <w:rFonts w:hint="default" w:ascii="Times New Roman" w:hAnsi="Times New Roman" w:eastAsia="宋体" w:cs="Times New Roman"/>
                      <w:b w:val="0"/>
                      <w:bCs/>
                      <w:color w:val="000000" w:themeColor="text1"/>
                      <w:sz w:val="20"/>
                      <w:szCs w:val="20"/>
                      <w:lang w:val="en-US" w:eastAsia="zh-CN"/>
                      <w14:textFill>
                        <w14:solidFill>
                          <w14:schemeClr w14:val="tx1"/>
                        </w14:solidFill>
                      </w14:textFill>
                    </w:rPr>
                    <w:t>面积约</w:t>
                  </w:r>
                  <w:r>
                    <w:rPr>
                      <w:rFonts w:hint="eastAsia" w:ascii="Times New Roman" w:hAnsi="Times New Roman" w:eastAsia="宋体" w:cs="Times New Roman"/>
                      <w:b w:val="0"/>
                      <w:bCs/>
                      <w:color w:val="000000" w:themeColor="text1"/>
                      <w:sz w:val="20"/>
                      <w:szCs w:val="20"/>
                      <w:lang w:val="en-US" w:eastAsia="zh-CN"/>
                      <w14:textFill>
                        <w14:solidFill>
                          <w14:schemeClr w14:val="tx1"/>
                        </w14:solidFill>
                      </w14:textFill>
                    </w:rPr>
                    <w:t>8</w:t>
                  </w:r>
                  <w:r>
                    <w:rPr>
                      <w:rFonts w:hint="default" w:ascii="Times New Roman" w:hAnsi="Times New Roman" w:cs="Times New Roman"/>
                      <w:b w:val="0"/>
                      <w:bCs/>
                      <w:color w:val="000000" w:themeColor="text1"/>
                      <w:sz w:val="20"/>
                      <w:szCs w:val="20"/>
                      <w:lang w:val="en-US" w:eastAsia="zh-CN"/>
                      <w14:textFill>
                        <w14:solidFill>
                          <w14:schemeClr w14:val="tx1"/>
                        </w14:solidFill>
                      </w14:textFill>
                    </w:rPr>
                    <w:t>0m</w:t>
                  </w:r>
                  <w:r>
                    <w:rPr>
                      <w:rFonts w:hint="default" w:ascii="Times New Roman" w:hAnsi="Times New Roman" w:cs="Times New Roman"/>
                      <w:b w:val="0"/>
                      <w:bCs/>
                      <w:color w:val="000000" w:themeColor="text1"/>
                      <w:sz w:val="20"/>
                      <w:szCs w:val="20"/>
                      <w:vertAlign w:val="superscript"/>
                      <w:lang w:val="en-US" w:eastAsia="zh-CN"/>
                      <w14:textFill>
                        <w14:solidFill>
                          <w14:schemeClr w14:val="tx1"/>
                        </w14:solidFill>
                      </w14:textFill>
                    </w:rPr>
                    <w:t>2</w:t>
                  </w:r>
                  <w:r>
                    <w:rPr>
                      <w:rFonts w:hint="default" w:ascii="Times New Roman" w:hAnsi="Times New Roman" w:eastAsia="宋体" w:cs="Times New Roman"/>
                      <w:b w:val="0"/>
                      <w:bCs/>
                      <w:color w:val="000000" w:themeColor="text1"/>
                      <w:sz w:val="20"/>
                      <w:szCs w:val="20"/>
                      <w:lang w:val="en-US" w:eastAsia="zh-CN"/>
                      <w14:textFill>
                        <w14:solidFill>
                          <w14:schemeClr w14:val="tx1"/>
                        </w14:solidFill>
                      </w14:textFill>
                    </w:rPr>
                    <w:t>，</w:t>
                  </w:r>
                  <w:r>
                    <w:rPr>
                      <w:rFonts w:hint="default" w:ascii="Times New Roman" w:hAnsi="Times New Roman" w:cs="Times New Roman"/>
                      <w:b w:val="0"/>
                      <w:bCs/>
                      <w:color w:val="000000" w:themeColor="text1"/>
                      <w:szCs w:val="21"/>
                      <w14:textFill>
                        <w14:solidFill>
                          <w14:schemeClr w14:val="tx1"/>
                        </w14:solidFill>
                      </w14:textFill>
                    </w:rPr>
                    <w:t>钢结构，</w:t>
                  </w:r>
                  <w:r>
                    <w:rPr>
                      <w:rFonts w:hint="eastAsia" w:ascii="Times New Roman" w:hAnsi="Times New Roman" w:eastAsia="宋体" w:cs="Times New Roman"/>
                      <w:b w:val="0"/>
                      <w:bCs/>
                      <w:color w:val="000000" w:themeColor="text1"/>
                      <w:sz w:val="20"/>
                      <w:szCs w:val="20"/>
                      <w:lang w:val="en-US" w:eastAsia="zh-CN"/>
                      <w14:textFill>
                        <w14:solidFill>
                          <w14:schemeClr w14:val="tx1"/>
                        </w14:solidFill>
                      </w14:textFill>
                    </w:rPr>
                    <w:t>位于压敏焊接车间西侧，内设</w:t>
                  </w:r>
                  <w:r>
                    <w:rPr>
                      <w:rFonts w:hint="default" w:ascii="Times New Roman" w:hAnsi="Times New Roman" w:eastAsia="宋体" w:cs="Times New Roman"/>
                      <w:b w:val="0"/>
                      <w:bCs/>
                      <w:color w:val="000000" w:themeColor="text1"/>
                      <w:sz w:val="20"/>
                      <w:szCs w:val="20"/>
                      <w:lang w:val="en-US" w:eastAsia="zh-CN"/>
                      <w14:textFill>
                        <w14:solidFill>
                          <w14:schemeClr w14:val="tx1"/>
                        </w14:solidFill>
                      </w14:textFill>
                    </w:rPr>
                    <w:t>涂装机</w:t>
                  </w:r>
                  <w:r>
                    <w:rPr>
                      <w:rFonts w:hint="eastAsia" w:ascii="Times New Roman" w:hAnsi="Times New Roman" w:eastAsia="宋体" w:cs="Times New Roman"/>
                      <w:b w:val="0"/>
                      <w:bCs/>
                      <w:color w:val="000000" w:themeColor="text1"/>
                      <w:sz w:val="20"/>
                      <w:szCs w:val="20"/>
                      <w:lang w:val="en-US" w:eastAsia="zh-CN"/>
                      <w14:textFill>
                        <w14:solidFill>
                          <w14:schemeClr w14:val="tx1"/>
                        </w14:solidFill>
                      </w14:textFill>
                    </w:rPr>
                    <w:t>。</w:t>
                  </w:r>
                </w:p>
              </w:tc>
              <w:tc>
                <w:tcPr>
                  <w:tcW w:w="753" w:type="pct"/>
                  <w:vMerge w:val="continue"/>
                  <w:noWrap w:val="0"/>
                  <w:vAlign w:val="center"/>
                </w:tcPr>
                <w:p w14:paraId="2889A467">
                  <w:pPr>
                    <w:adjustRightInd w:val="0"/>
                    <w:snapToGrid w:val="0"/>
                    <w:jc w:val="center"/>
                    <w:rPr>
                      <w:rFonts w:hint="default" w:ascii="Times New Roman" w:hAnsi="Times New Roman" w:cs="Times New Roman"/>
                      <w:color w:val="000000" w:themeColor="text1"/>
                      <w:szCs w:val="21"/>
                      <w:lang w:val="en-US" w:eastAsia="zh-CN"/>
                      <w14:textFill>
                        <w14:solidFill>
                          <w14:schemeClr w14:val="tx1"/>
                        </w14:solidFill>
                      </w14:textFill>
                    </w:rPr>
                  </w:pPr>
                </w:p>
              </w:tc>
            </w:tr>
            <w:tr w14:paraId="15B70B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32" w:type="pct"/>
                  <w:vMerge w:val="continue"/>
                  <w:noWrap w:val="0"/>
                  <w:vAlign w:val="center"/>
                </w:tcPr>
                <w:p w14:paraId="7CC293A2">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p>
              </w:tc>
              <w:tc>
                <w:tcPr>
                  <w:tcW w:w="348" w:type="pct"/>
                  <w:vMerge w:val="continue"/>
                  <w:shd w:val="clear" w:color="auto" w:fill="auto"/>
                  <w:noWrap w:val="0"/>
                  <w:vAlign w:val="center"/>
                </w:tcPr>
                <w:p w14:paraId="38D5C3DD">
                  <w:pPr>
                    <w:pStyle w:val="186"/>
                    <w:keepNext w:val="0"/>
                    <w:keepLines w:val="0"/>
                    <w:suppressLineNumbers w:val="0"/>
                    <w:bidi w:val="0"/>
                    <w:spacing w:before="0" w:beforeAutospacing="0" w:after="0" w:afterAutospacing="0"/>
                    <w:ind w:left="0" w:leftChars="0" w:right="0" w:rightChars="0" w:firstLine="0" w:firstLineChars="0"/>
                    <w:jc w:val="center"/>
                    <w:rPr>
                      <w:rFonts w:hint="default" w:ascii="Times New Roman" w:hAnsi="Times New Roman" w:eastAsia="宋体" w:cs="Times New Roman"/>
                      <w:b w:val="0"/>
                      <w:bCs/>
                      <w:color w:val="000000" w:themeColor="text1"/>
                      <w:kern w:val="0"/>
                      <w:sz w:val="20"/>
                      <w:szCs w:val="20"/>
                      <w:lang w:val="en-US" w:eastAsia="zh-CN" w:bidi="ar-SA"/>
                      <w14:textFill>
                        <w14:solidFill>
                          <w14:schemeClr w14:val="tx1"/>
                        </w14:solidFill>
                      </w14:textFill>
                    </w:rPr>
                  </w:pPr>
                </w:p>
              </w:tc>
              <w:tc>
                <w:tcPr>
                  <w:tcW w:w="437" w:type="pct"/>
                  <w:shd w:val="clear" w:color="auto" w:fill="auto"/>
                  <w:noWrap w:val="0"/>
                  <w:vAlign w:val="center"/>
                </w:tcPr>
                <w:p w14:paraId="21BD1469">
                  <w:pPr>
                    <w:pStyle w:val="186"/>
                    <w:keepNext w:val="0"/>
                    <w:keepLines w:val="0"/>
                    <w:suppressLineNumbers w:val="0"/>
                    <w:bidi w:val="0"/>
                    <w:spacing w:before="0" w:beforeAutospacing="0" w:after="0" w:afterAutospacing="0"/>
                    <w:ind w:left="0" w:leftChars="0" w:right="0" w:rightChars="0" w:firstLine="0" w:firstLineChars="0"/>
                    <w:jc w:val="center"/>
                    <w:rPr>
                      <w:rFonts w:hint="default" w:ascii="Times New Roman" w:hAnsi="Times New Roman" w:eastAsia="宋体" w:cs="Times New Roman"/>
                      <w:b w:val="0"/>
                      <w:bCs/>
                      <w:color w:val="000000" w:themeColor="text1"/>
                      <w:kern w:val="0"/>
                      <w:sz w:val="20"/>
                      <w:szCs w:val="20"/>
                      <w:lang w:val="en-US" w:eastAsia="zh-CN" w:bidi="ar-SA"/>
                      <w14:textFill>
                        <w14:solidFill>
                          <w14:schemeClr w14:val="tx1"/>
                        </w14:solidFill>
                      </w14:textFill>
                    </w:rPr>
                  </w:pPr>
                  <w:r>
                    <w:rPr>
                      <w:rFonts w:hint="eastAsia" w:cs="Times New Roman"/>
                      <w:b w:val="0"/>
                      <w:bCs/>
                      <w:color w:val="000000" w:themeColor="text1"/>
                      <w:sz w:val="20"/>
                      <w:szCs w:val="20"/>
                      <w:lang w:val="en-US" w:eastAsia="zh-CN"/>
                      <w14:textFill>
                        <w14:solidFill>
                          <w14:schemeClr w14:val="tx1"/>
                        </w14:solidFill>
                      </w14:textFill>
                    </w:rPr>
                    <w:t>固化间</w:t>
                  </w:r>
                </w:p>
              </w:tc>
              <w:tc>
                <w:tcPr>
                  <w:tcW w:w="3028" w:type="pct"/>
                  <w:shd w:val="clear" w:color="auto" w:fill="auto"/>
                  <w:noWrap w:val="0"/>
                  <w:vAlign w:val="center"/>
                </w:tcPr>
                <w:p w14:paraId="1AAA4532">
                  <w:pPr>
                    <w:pStyle w:val="186"/>
                    <w:keepNext w:val="0"/>
                    <w:keepLines w:val="0"/>
                    <w:suppressLineNumbers w:val="0"/>
                    <w:bidi w:val="0"/>
                    <w:spacing w:before="0" w:beforeAutospacing="0" w:after="0" w:afterAutospacing="0"/>
                    <w:ind w:left="0" w:leftChars="0" w:right="0" w:rightChars="0" w:firstLine="0" w:firstLineChars="0"/>
                    <w:jc w:val="center"/>
                    <w:rPr>
                      <w:rFonts w:hint="default" w:ascii="Times New Roman" w:hAnsi="Times New Roman" w:eastAsia="宋体" w:cs="Times New Roman"/>
                      <w:b w:val="0"/>
                      <w:bCs/>
                      <w:color w:val="000000" w:themeColor="text1"/>
                      <w:kern w:val="0"/>
                      <w:sz w:val="20"/>
                      <w:szCs w:val="20"/>
                      <w:lang w:val="en-US" w:eastAsia="zh-CN" w:bidi="ar-SA"/>
                      <w14:textFill>
                        <w14:solidFill>
                          <w14:schemeClr w14:val="tx1"/>
                        </w14:solidFill>
                      </w14:textFill>
                    </w:rPr>
                  </w:pPr>
                  <w:r>
                    <w:rPr>
                      <w:rFonts w:hint="default" w:ascii="Times New Roman" w:hAnsi="Times New Roman" w:cs="Times New Roman"/>
                      <w:b w:val="0"/>
                      <w:bCs/>
                      <w:color w:val="000000" w:themeColor="text1"/>
                      <w:sz w:val="20"/>
                      <w:szCs w:val="20"/>
                      <w:lang w:val="en-US" w:eastAsia="zh-CN"/>
                      <w14:textFill>
                        <w14:solidFill>
                          <w14:schemeClr w14:val="tx1"/>
                        </w14:solidFill>
                      </w14:textFill>
                    </w:rPr>
                    <w:t>建筑面积约50m</w:t>
                  </w:r>
                  <w:r>
                    <w:rPr>
                      <w:rFonts w:hint="default" w:ascii="Times New Roman" w:hAnsi="Times New Roman" w:cs="Times New Roman"/>
                      <w:b w:val="0"/>
                      <w:bCs/>
                      <w:color w:val="000000" w:themeColor="text1"/>
                      <w:sz w:val="20"/>
                      <w:szCs w:val="20"/>
                      <w:vertAlign w:val="superscript"/>
                      <w:lang w:val="en-US" w:eastAsia="zh-CN"/>
                      <w14:textFill>
                        <w14:solidFill>
                          <w14:schemeClr w14:val="tx1"/>
                        </w14:solidFill>
                      </w14:textFill>
                    </w:rPr>
                    <w:t>2</w:t>
                  </w:r>
                  <w:r>
                    <w:rPr>
                      <w:rFonts w:hint="default" w:ascii="Times New Roman" w:hAnsi="Times New Roman" w:eastAsia="宋体" w:cs="Times New Roman"/>
                      <w:b w:val="0"/>
                      <w:bCs/>
                      <w:color w:val="000000" w:themeColor="text1"/>
                      <w:sz w:val="20"/>
                      <w:szCs w:val="20"/>
                      <w:lang w:val="en-US" w:eastAsia="zh-CN"/>
                      <w14:textFill>
                        <w14:solidFill>
                          <w14:schemeClr w14:val="tx1"/>
                        </w14:solidFill>
                      </w14:textFill>
                    </w:rPr>
                    <w:t>，</w:t>
                  </w:r>
                  <w:r>
                    <w:rPr>
                      <w:rFonts w:hint="eastAsia" w:cs="Times New Roman"/>
                      <w:b w:val="0"/>
                      <w:bCs/>
                      <w:color w:val="000000" w:themeColor="text1"/>
                      <w:sz w:val="20"/>
                      <w:szCs w:val="20"/>
                      <w:lang w:val="en-US" w:eastAsia="zh-CN"/>
                      <w14:textFill>
                        <w14:solidFill>
                          <w14:schemeClr w14:val="tx1"/>
                        </w14:solidFill>
                      </w14:textFill>
                    </w:rPr>
                    <w:t>钢结构</w:t>
                  </w:r>
                  <w:r>
                    <w:rPr>
                      <w:rFonts w:hint="default" w:ascii="Times New Roman" w:hAnsi="Times New Roman" w:eastAsia="宋体" w:cs="Times New Roman"/>
                      <w:b w:val="0"/>
                      <w:bCs/>
                      <w:color w:val="000000" w:themeColor="text1"/>
                      <w:sz w:val="20"/>
                      <w:szCs w:val="20"/>
                      <w:lang w:val="en-US" w:eastAsia="zh-CN"/>
                      <w14:textFill>
                        <w14:solidFill>
                          <w14:schemeClr w14:val="tx1"/>
                        </w14:solidFill>
                      </w14:textFill>
                    </w:rPr>
                    <w:t>，</w:t>
                  </w:r>
                  <w:r>
                    <w:rPr>
                      <w:rFonts w:hint="default" w:ascii="Times New Roman" w:hAnsi="Times New Roman" w:cs="Times New Roman"/>
                      <w:b w:val="0"/>
                      <w:bCs/>
                      <w:color w:val="000000" w:themeColor="text1"/>
                      <w:sz w:val="20"/>
                      <w:szCs w:val="20"/>
                      <w:lang w:val="en-US" w:eastAsia="zh-CN"/>
                      <w14:textFill>
                        <w14:solidFill>
                          <w14:schemeClr w14:val="tx1"/>
                        </w14:solidFill>
                      </w14:textFill>
                    </w:rPr>
                    <w:t>位于</w:t>
                  </w:r>
                  <w:r>
                    <w:rPr>
                      <w:rFonts w:hint="eastAsia" w:cs="Times New Roman"/>
                      <w:b w:val="0"/>
                      <w:bCs/>
                      <w:color w:val="000000" w:themeColor="text1"/>
                      <w:sz w:val="20"/>
                      <w:szCs w:val="20"/>
                      <w:lang w:val="en-US" w:eastAsia="zh-CN"/>
                      <w14:textFill>
                        <w14:solidFill>
                          <w14:schemeClr w14:val="tx1"/>
                        </w14:solidFill>
                      </w14:textFill>
                    </w:rPr>
                    <w:t>涂装区南侧</w:t>
                  </w:r>
                  <w:r>
                    <w:rPr>
                      <w:rFonts w:hint="default" w:ascii="Times New Roman" w:hAnsi="Times New Roman" w:cs="Times New Roman"/>
                      <w:b w:val="0"/>
                      <w:bCs/>
                      <w:color w:val="000000" w:themeColor="text1"/>
                      <w:sz w:val="20"/>
                      <w:szCs w:val="20"/>
                      <w:lang w:val="en-US" w:eastAsia="zh-CN"/>
                      <w14:textFill>
                        <w14:solidFill>
                          <w14:schemeClr w14:val="tx1"/>
                        </w14:solidFill>
                      </w14:textFill>
                    </w:rPr>
                    <w:t>，</w:t>
                  </w:r>
                  <w:r>
                    <w:rPr>
                      <w:rFonts w:hint="default" w:ascii="Times New Roman" w:hAnsi="Times New Roman" w:eastAsia="宋体" w:cs="Times New Roman"/>
                      <w:b w:val="0"/>
                      <w:bCs/>
                      <w:color w:val="000000" w:themeColor="text1"/>
                      <w:sz w:val="20"/>
                      <w:szCs w:val="20"/>
                      <w:lang w:val="en-US" w:eastAsia="zh-CN"/>
                      <w14:textFill>
                        <w14:solidFill>
                          <w14:schemeClr w14:val="tx1"/>
                        </w14:solidFill>
                      </w14:textFill>
                    </w:rPr>
                    <w:t>内设</w:t>
                  </w:r>
                  <w:r>
                    <w:rPr>
                      <w:rFonts w:hint="eastAsia" w:cs="Times New Roman"/>
                      <w:b w:val="0"/>
                      <w:bCs/>
                      <w:color w:val="000000" w:themeColor="text1"/>
                      <w:sz w:val="20"/>
                      <w:szCs w:val="20"/>
                      <w:lang w:val="en-US" w:eastAsia="zh-CN"/>
                      <w14:textFill>
                        <w14:solidFill>
                          <w14:schemeClr w14:val="tx1"/>
                        </w14:solidFill>
                      </w14:textFill>
                    </w:rPr>
                    <w:t>固化炉。</w:t>
                  </w:r>
                </w:p>
              </w:tc>
              <w:tc>
                <w:tcPr>
                  <w:tcW w:w="753" w:type="pct"/>
                  <w:vMerge w:val="continue"/>
                  <w:noWrap w:val="0"/>
                  <w:vAlign w:val="center"/>
                </w:tcPr>
                <w:p w14:paraId="64904AC4">
                  <w:pPr>
                    <w:adjustRightInd w:val="0"/>
                    <w:snapToGrid w:val="0"/>
                    <w:jc w:val="center"/>
                    <w:rPr>
                      <w:rFonts w:hint="default" w:ascii="Times New Roman" w:hAnsi="Times New Roman" w:cs="Times New Roman"/>
                      <w:color w:val="000000" w:themeColor="text1"/>
                      <w:szCs w:val="21"/>
                      <w:lang w:val="en-US" w:eastAsia="zh-CN"/>
                      <w14:textFill>
                        <w14:solidFill>
                          <w14:schemeClr w14:val="tx1"/>
                        </w14:solidFill>
                      </w14:textFill>
                    </w:rPr>
                  </w:pPr>
                </w:p>
              </w:tc>
            </w:tr>
            <w:tr w14:paraId="0F9F34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32" w:type="pct"/>
                  <w:vMerge w:val="continue"/>
                  <w:noWrap w:val="0"/>
                  <w:vAlign w:val="center"/>
                </w:tcPr>
                <w:p w14:paraId="6C751CD2">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p>
              </w:tc>
              <w:tc>
                <w:tcPr>
                  <w:tcW w:w="785" w:type="pct"/>
                  <w:gridSpan w:val="2"/>
                  <w:shd w:val="clear" w:color="auto" w:fill="auto"/>
                  <w:noWrap w:val="0"/>
                  <w:vAlign w:val="center"/>
                </w:tcPr>
                <w:p w14:paraId="14FEF4CF">
                  <w:pPr>
                    <w:pStyle w:val="186"/>
                    <w:keepNext w:val="0"/>
                    <w:keepLines w:val="0"/>
                    <w:suppressLineNumbers w:val="0"/>
                    <w:bidi w:val="0"/>
                    <w:spacing w:before="0" w:beforeAutospacing="0" w:after="0" w:afterAutospacing="0"/>
                    <w:ind w:left="0" w:leftChars="0" w:right="0" w:rightChars="0" w:firstLine="0" w:firstLineChars="0"/>
                    <w:jc w:val="center"/>
                    <w:rPr>
                      <w:rFonts w:hint="default" w:cs="Times New Roman"/>
                      <w:b w:val="0"/>
                      <w:bCs/>
                      <w:color w:val="000000" w:themeColor="text1"/>
                      <w:sz w:val="20"/>
                      <w:szCs w:val="20"/>
                      <w:lang w:val="en-US" w:eastAsia="zh-CN"/>
                      <w14:textFill>
                        <w14:solidFill>
                          <w14:schemeClr w14:val="tx1"/>
                        </w14:solidFill>
                      </w14:textFill>
                    </w:rPr>
                  </w:pPr>
                  <w:r>
                    <w:rPr>
                      <w:rFonts w:hint="eastAsia" w:cs="Times New Roman"/>
                      <w:b w:val="0"/>
                      <w:bCs/>
                      <w:color w:val="000000" w:themeColor="text1"/>
                      <w:sz w:val="20"/>
                      <w:szCs w:val="20"/>
                      <w:lang w:val="en-US" w:eastAsia="zh-CN"/>
                      <w14:textFill>
                        <w14:solidFill>
                          <w14:schemeClr w14:val="tx1"/>
                        </w14:solidFill>
                      </w14:textFill>
                    </w:rPr>
                    <w:t>编带车间</w:t>
                  </w:r>
                </w:p>
              </w:tc>
              <w:tc>
                <w:tcPr>
                  <w:tcW w:w="3028" w:type="pct"/>
                  <w:shd w:val="clear" w:color="auto" w:fill="auto"/>
                  <w:noWrap w:val="0"/>
                  <w:vAlign w:val="center"/>
                </w:tcPr>
                <w:p w14:paraId="728B899E">
                  <w:pPr>
                    <w:pStyle w:val="186"/>
                    <w:keepNext w:val="0"/>
                    <w:keepLines w:val="0"/>
                    <w:suppressLineNumbers w:val="0"/>
                    <w:bidi w:val="0"/>
                    <w:spacing w:before="0" w:beforeAutospacing="0" w:after="0" w:afterAutospacing="0"/>
                    <w:ind w:left="0" w:leftChars="0" w:right="0" w:rightChars="0" w:firstLine="0" w:firstLineChars="0"/>
                    <w:jc w:val="center"/>
                    <w:rPr>
                      <w:rFonts w:hint="default" w:ascii="Times New Roman" w:hAnsi="Times New Roman" w:cs="Times New Roman"/>
                      <w:b w:val="0"/>
                      <w:bCs/>
                      <w:color w:val="000000" w:themeColor="text1"/>
                      <w:sz w:val="20"/>
                      <w:szCs w:val="20"/>
                      <w:lang w:val="en-US" w:eastAsia="zh-CN"/>
                      <w14:textFill>
                        <w14:solidFill>
                          <w14:schemeClr w14:val="tx1"/>
                        </w14:solidFill>
                      </w14:textFill>
                    </w:rPr>
                  </w:pPr>
                  <w:r>
                    <w:rPr>
                      <w:rFonts w:hint="default" w:ascii="Times New Roman" w:hAnsi="Times New Roman" w:cs="Times New Roman"/>
                      <w:b w:val="0"/>
                      <w:bCs/>
                      <w:color w:val="000000" w:themeColor="text1"/>
                      <w:sz w:val="20"/>
                      <w:szCs w:val="20"/>
                      <w:lang w:val="en-US" w:eastAsia="zh-CN"/>
                      <w14:textFill>
                        <w14:solidFill>
                          <w14:schemeClr w14:val="tx1"/>
                        </w14:solidFill>
                      </w14:textFill>
                    </w:rPr>
                    <w:t>占地</w:t>
                  </w:r>
                  <w:r>
                    <w:rPr>
                      <w:rFonts w:hint="default" w:ascii="Times New Roman" w:hAnsi="Times New Roman" w:eastAsia="宋体" w:cs="Times New Roman"/>
                      <w:b w:val="0"/>
                      <w:bCs/>
                      <w:color w:val="000000" w:themeColor="text1"/>
                      <w:sz w:val="20"/>
                      <w:szCs w:val="20"/>
                      <w:lang w:val="en-US" w:eastAsia="zh-CN"/>
                      <w14:textFill>
                        <w14:solidFill>
                          <w14:schemeClr w14:val="tx1"/>
                        </w14:solidFill>
                      </w14:textFill>
                    </w:rPr>
                    <w:t>面积约</w:t>
                  </w:r>
                  <w:r>
                    <w:rPr>
                      <w:rFonts w:hint="eastAsia" w:ascii="Times New Roman" w:hAnsi="Times New Roman" w:cs="Times New Roman"/>
                      <w:b w:val="0"/>
                      <w:bCs/>
                      <w:color w:val="000000" w:themeColor="text1"/>
                      <w:sz w:val="20"/>
                      <w:szCs w:val="20"/>
                      <w:lang w:val="en-US" w:eastAsia="zh-CN"/>
                      <w14:textFill>
                        <w14:solidFill>
                          <w14:schemeClr w14:val="tx1"/>
                        </w14:solidFill>
                      </w14:textFill>
                    </w:rPr>
                    <w:t>160</w:t>
                  </w:r>
                  <w:r>
                    <w:rPr>
                      <w:rFonts w:hint="default" w:ascii="Times New Roman" w:hAnsi="Times New Roman" w:cs="Times New Roman"/>
                      <w:b w:val="0"/>
                      <w:bCs/>
                      <w:color w:val="000000" w:themeColor="text1"/>
                      <w:sz w:val="20"/>
                      <w:szCs w:val="20"/>
                      <w:lang w:val="en-US" w:eastAsia="zh-CN"/>
                      <w14:textFill>
                        <w14:solidFill>
                          <w14:schemeClr w14:val="tx1"/>
                        </w14:solidFill>
                      </w14:textFill>
                    </w:rPr>
                    <w:t>m</w:t>
                  </w:r>
                  <w:r>
                    <w:rPr>
                      <w:rFonts w:hint="default" w:ascii="Times New Roman" w:hAnsi="Times New Roman" w:cs="Times New Roman"/>
                      <w:b w:val="0"/>
                      <w:bCs/>
                      <w:color w:val="000000" w:themeColor="text1"/>
                      <w:sz w:val="20"/>
                      <w:szCs w:val="20"/>
                      <w:vertAlign w:val="superscript"/>
                      <w:lang w:val="en-US" w:eastAsia="zh-CN"/>
                      <w14:textFill>
                        <w14:solidFill>
                          <w14:schemeClr w14:val="tx1"/>
                        </w14:solidFill>
                      </w14:textFill>
                    </w:rPr>
                    <w:t>2</w:t>
                  </w:r>
                  <w:r>
                    <w:rPr>
                      <w:rFonts w:hint="default" w:ascii="Times New Roman" w:hAnsi="Times New Roman" w:eastAsia="宋体" w:cs="Times New Roman"/>
                      <w:b w:val="0"/>
                      <w:bCs/>
                      <w:color w:val="000000" w:themeColor="text1"/>
                      <w:sz w:val="20"/>
                      <w:szCs w:val="20"/>
                      <w:lang w:val="en-US" w:eastAsia="zh-CN"/>
                      <w14:textFill>
                        <w14:solidFill>
                          <w14:schemeClr w14:val="tx1"/>
                        </w14:solidFill>
                      </w14:textFill>
                    </w:rPr>
                    <w:t>，</w:t>
                  </w:r>
                  <w:r>
                    <w:rPr>
                      <w:rFonts w:hint="default" w:ascii="Times New Roman" w:hAnsi="Times New Roman" w:cs="Times New Roman"/>
                      <w:b w:val="0"/>
                      <w:bCs/>
                      <w:color w:val="000000" w:themeColor="text1"/>
                      <w:szCs w:val="21"/>
                      <w14:textFill>
                        <w14:solidFill>
                          <w14:schemeClr w14:val="tx1"/>
                        </w14:solidFill>
                      </w14:textFill>
                    </w:rPr>
                    <w:t>钢结构，</w:t>
                  </w:r>
                  <w:r>
                    <w:rPr>
                      <w:rFonts w:hint="default" w:ascii="Times New Roman" w:hAnsi="Times New Roman" w:cs="Times New Roman"/>
                      <w:b w:val="0"/>
                      <w:bCs/>
                      <w:color w:val="000000" w:themeColor="text1"/>
                      <w:sz w:val="20"/>
                      <w:szCs w:val="20"/>
                      <w:lang w:val="en-US" w:eastAsia="zh-CN"/>
                      <w14:textFill>
                        <w14:solidFill>
                          <w14:schemeClr w14:val="tx1"/>
                        </w14:solidFill>
                      </w14:textFill>
                    </w:rPr>
                    <w:t>位于</w:t>
                  </w:r>
                  <w:r>
                    <w:rPr>
                      <w:rFonts w:hint="eastAsia" w:ascii="Times New Roman" w:hAnsi="Times New Roman" w:cs="Times New Roman"/>
                      <w:b w:val="0"/>
                      <w:bCs/>
                      <w:color w:val="000000" w:themeColor="text1"/>
                      <w:sz w:val="20"/>
                      <w:szCs w:val="20"/>
                      <w:lang w:val="en-US" w:eastAsia="zh-CN"/>
                      <w14:textFill>
                        <w14:solidFill>
                          <w14:schemeClr w14:val="tx1"/>
                        </w14:solidFill>
                      </w14:textFill>
                    </w:rPr>
                    <w:t>刷银</w:t>
                  </w:r>
                  <w:r>
                    <w:rPr>
                      <w:rFonts w:hint="default" w:ascii="Times New Roman" w:hAnsi="Times New Roman" w:cs="Times New Roman"/>
                      <w:b w:val="0"/>
                      <w:bCs/>
                      <w:color w:val="000000" w:themeColor="text1"/>
                      <w:sz w:val="20"/>
                      <w:szCs w:val="20"/>
                      <w:lang w:val="en-US" w:eastAsia="zh-CN"/>
                      <w14:textFill>
                        <w14:solidFill>
                          <w14:schemeClr w14:val="tx1"/>
                        </w14:solidFill>
                      </w14:textFill>
                    </w:rPr>
                    <w:t>车间</w:t>
                  </w:r>
                  <w:r>
                    <w:rPr>
                      <w:rFonts w:hint="eastAsia" w:ascii="Times New Roman" w:hAnsi="Times New Roman" w:cs="Times New Roman"/>
                      <w:b w:val="0"/>
                      <w:bCs/>
                      <w:color w:val="000000" w:themeColor="text1"/>
                      <w:sz w:val="20"/>
                      <w:szCs w:val="20"/>
                      <w:lang w:val="en-US" w:eastAsia="zh-CN"/>
                      <w14:textFill>
                        <w14:solidFill>
                          <w14:schemeClr w14:val="tx1"/>
                        </w14:solidFill>
                      </w14:textFill>
                    </w:rPr>
                    <w:t>南</w:t>
                  </w:r>
                  <w:r>
                    <w:rPr>
                      <w:rFonts w:hint="default" w:ascii="Times New Roman" w:hAnsi="Times New Roman" w:cs="Times New Roman"/>
                      <w:b w:val="0"/>
                      <w:bCs/>
                      <w:color w:val="000000" w:themeColor="text1"/>
                      <w:sz w:val="20"/>
                      <w:szCs w:val="20"/>
                      <w:lang w:val="en-US" w:eastAsia="zh-CN"/>
                      <w14:textFill>
                        <w14:solidFill>
                          <w14:schemeClr w14:val="tx1"/>
                        </w14:solidFill>
                      </w14:textFill>
                    </w:rPr>
                    <w:t>侧</w:t>
                  </w:r>
                  <w:r>
                    <w:rPr>
                      <w:rFonts w:hint="eastAsia" w:ascii="Times New Roman" w:hAnsi="Times New Roman" w:eastAsia="宋体" w:cs="Times New Roman"/>
                      <w:b w:val="0"/>
                      <w:bCs/>
                      <w:color w:val="000000" w:themeColor="text1"/>
                      <w:sz w:val="20"/>
                      <w:szCs w:val="20"/>
                      <w:lang w:val="en-US" w:eastAsia="zh-CN"/>
                      <w14:textFill>
                        <w14:solidFill>
                          <w14:schemeClr w14:val="tx1"/>
                        </w14:solidFill>
                      </w14:textFill>
                    </w:rPr>
                    <w:t>，内设</w:t>
                  </w:r>
                  <w:r>
                    <w:rPr>
                      <w:rFonts w:hint="default" w:ascii="Times New Roman" w:hAnsi="Times New Roman" w:eastAsia="宋体" w:cs="Times New Roman"/>
                      <w:b w:val="0"/>
                      <w:bCs/>
                      <w:color w:val="000000" w:themeColor="text1"/>
                      <w:sz w:val="20"/>
                      <w:szCs w:val="20"/>
                      <w:lang w:val="en-US" w:eastAsia="zh-CN"/>
                      <w14:textFill>
                        <w14:solidFill>
                          <w14:schemeClr w14:val="tx1"/>
                        </w14:solidFill>
                      </w14:textFill>
                    </w:rPr>
                    <w:t>自动拉脚机、自动编带机等</w:t>
                  </w:r>
                  <w:r>
                    <w:rPr>
                      <w:rFonts w:hint="eastAsia" w:ascii="Times New Roman" w:hAnsi="Times New Roman" w:eastAsia="宋体" w:cs="Times New Roman"/>
                      <w:b w:val="0"/>
                      <w:bCs/>
                      <w:color w:val="000000" w:themeColor="text1"/>
                      <w:sz w:val="20"/>
                      <w:szCs w:val="20"/>
                      <w:lang w:val="en-US" w:eastAsia="zh-CN"/>
                      <w14:textFill>
                        <w14:solidFill>
                          <w14:schemeClr w14:val="tx1"/>
                        </w14:solidFill>
                      </w14:textFill>
                    </w:rPr>
                    <w:t>设备。</w:t>
                  </w:r>
                </w:p>
              </w:tc>
              <w:tc>
                <w:tcPr>
                  <w:tcW w:w="753" w:type="pct"/>
                  <w:vMerge w:val="continue"/>
                  <w:noWrap w:val="0"/>
                  <w:vAlign w:val="center"/>
                </w:tcPr>
                <w:p w14:paraId="07F4ACEF">
                  <w:pPr>
                    <w:adjustRightInd w:val="0"/>
                    <w:snapToGrid w:val="0"/>
                    <w:jc w:val="center"/>
                    <w:rPr>
                      <w:rFonts w:hint="default" w:ascii="Times New Roman" w:hAnsi="Times New Roman" w:cs="Times New Roman"/>
                      <w:color w:val="000000" w:themeColor="text1"/>
                      <w:szCs w:val="21"/>
                      <w:lang w:val="en-US" w:eastAsia="zh-CN"/>
                      <w14:textFill>
                        <w14:solidFill>
                          <w14:schemeClr w14:val="tx1"/>
                        </w14:solidFill>
                      </w14:textFill>
                    </w:rPr>
                  </w:pPr>
                </w:p>
              </w:tc>
            </w:tr>
            <w:tr w14:paraId="621F7D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32" w:type="pct"/>
                  <w:vMerge w:val="continue"/>
                  <w:noWrap w:val="0"/>
                  <w:vAlign w:val="center"/>
                </w:tcPr>
                <w:p w14:paraId="2E7112F8">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p>
              </w:tc>
              <w:tc>
                <w:tcPr>
                  <w:tcW w:w="785" w:type="pct"/>
                  <w:gridSpan w:val="2"/>
                  <w:shd w:val="clear" w:color="auto" w:fill="auto"/>
                  <w:noWrap w:val="0"/>
                  <w:vAlign w:val="center"/>
                </w:tcPr>
                <w:p w14:paraId="5071DA42">
                  <w:pPr>
                    <w:pStyle w:val="186"/>
                    <w:keepNext w:val="0"/>
                    <w:keepLines w:val="0"/>
                    <w:suppressLineNumbers w:val="0"/>
                    <w:bidi w:val="0"/>
                    <w:spacing w:before="0" w:beforeAutospacing="0" w:after="0" w:afterAutospacing="0"/>
                    <w:ind w:left="0" w:leftChars="0" w:right="0" w:rightChars="0" w:firstLine="0" w:firstLineChars="0"/>
                    <w:jc w:val="center"/>
                    <w:rPr>
                      <w:rFonts w:hint="default" w:ascii="Times New Roman" w:hAnsi="Times New Roman" w:cs="Times New Roman"/>
                      <w:b w:val="0"/>
                      <w:bCs/>
                      <w:color w:val="000000" w:themeColor="text1"/>
                      <w:sz w:val="20"/>
                      <w:szCs w:val="20"/>
                      <w:lang w:val="en-US" w:eastAsia="zh-CN"/>
                      <w14:textFill>
                        <w14:solidFill>
                          <w14:schemeClr w14:val="tx1"/>
                        </w14:solidFill>
                      </w14:textFill>
                    </w:rPr>
                  </w:pPr>
                  <w:r>
                    <w:rPr>
                      <w:rFonts w:hint="default" w:ascii="Times New Roman" w:hAnsi="Times New Roman" w:cs="Times New Roman"/>
                      <w:b w:val="0"/>
                      <w:bCs/>
                      <w:color w:val="000000" w:themeColor="text1"/>
                      <w:sz w:val="20"/>
                      <w:szCs w:val="20"/>
                      <w:lang w:eastAsia="zh-CN"/>
                      <w14:textFill>
                        <w14:solidFill>
                          <w14:schemeClr w14:val="tx1"/>
                        </w14:solidFill>
                      </w14:textFill>
                    </w:rPr>
                    <w:t>检验中心</w:t>
                  </w:r>
                </w:p>
              </w:tc>
              <w:tc>
                <w:tcPr>
                  <w:tcW w:w="3028" w:type="pct"/>
                  <w:shd w:val="clear" w:color="auto" w:fill="auto"/>
                  <w:noWrap w:val="0"/>
                  <w:vAlign w:val="center"/>
                </w:tcPr>
                <w:p w14:paraId="2D60CFDA">
                  <w:pPr>
                    <w:pStyle w:val="186"/>
                    <w:keepNext w:val="0"/>
                    <w:keepLines w:val="0"/>
                    <w:suppressLineNumbers w:val="0"/>
                    <w:bidi w:val="0"/>
                    <w:spacing w:before="0" w:beforeAutospacing="0" w:after="0" w:afterAutospacing="0"/>
                    <w:ind w:left="0" w:leftChars="0" w:right="0" w:rightChars="0" w:firstLine="0" w:firstLineChars="0"/>
                    <w:jc w:val="center"/>
                    <w:rPr>
                      <w:rFonts w:hint="default" w:ascii="Times New Roman" w:hAnsi="Times New Roman" w:cs="Times New Roman"/>
                      <w:b w:val="0"/>
                      <w:bCs/>
                      <w:color w:val="000000" w:themeColor="text1"/>
                      <w:sz w:val="20"/>
                      <w:szCs w:val="20"/>
                      <w:lang w:val="en-US" w:eastAsia="zh-CN"/>
                      <w14:textFill>
                        <w14:solidFill>
                          <w14:schemeClr w14:val="tx1"/>
                        </w14:solidFill>
                      </w14:textFill>
                    </w:rPr>
                  </w:pPr>
                  <w:r>
                    <w:rPr>
                      <w:rFonts w:hint="eastAsia" w:cs="Times New Roman"/>
                      <w:b w:val="0"/>
                      <w:bCs/>
                      <w:color w:val="000000" w:themeColor="text1"/>
                      <w:sz w:val="20"/>
                      <w:szCs w:val="20"/>
                      <w:lang w:val="en-US" w:eastAsia="zh-CN"/>
                      <w14:textFill>
                        <w14:solidFill>
                          <w14:schemeClr w14:val="tx1"/>
                        </w14:solidFill>
                      </w14:textFill>
                    </w:rPr>
                    <w:t>占地面积约80</w:t>
                  </w:r>
                  <w:r>
                    <w:rPr>
                      <w:rFonts w:hint="default" w:ascii="Times New Roman" w:hAnsi="Times New Roman" w:cs="Times New Roman"/>
                      <w:b w:val="0"/>
                      <w:bCs/>
                      <w:color w:val="000000" w:themeColor="text1"/>
                      <w:sz w:val="20"/>
                      <w:szCs w:val="20"/>
                      <w:lang w:val="en-US" w:eastAsia="zh-CN"/>
                      <w14:textFill>
                        <w14:solidFill>
                          <w14:schemeClr w14:val="tx1"/>
                        </w14:solidFill>
                      </w14:textFill>
                    </w:rPr>
                    <w:t>m</w:t>
                  </w:r>
                  <w:r>
                    <w:rPr>
                      <w:rFonts w:hint="default" w:ascii="Times New Roman" w:hAnsi="Times New Roman" w:cs="Times New Roman"/>
                      <w:b w:val="0"/>
                      <w:bCs/>
                      <w:color w:val="000000" w:themeColor="text1"/>
                      <w:sz w:val="20"/>
                      <w:szCs w:val="20"/>
                      <w:vertAlign w:val="superscript"/>
                      <w:lang w:val="en-US" w:eastAsia="zh-CN"/>
                      <w14:textFill>
                        <w14:solidFill>
                          <w14:schemeClr w14:val="tx1"/>
                        </w14:solidFill>
                      </w14:textFill>
                    </w:rPr>
                    <w:t>2</w:t>
                  </w:r>
                  <w:r>
                    <w:rPr>
                      <w:rFonts w:hint="default" w:ascii="Times New Roman" w:hAnsi="Times New Roman" w:eastAsia="宋体" w:cs="Times New Roman"/>
                      <w:b w:val="0"/>
                      <w:bCs/>
                      <w:color w:val="000000" w:themeColor="text1"/>
                      <w:sz w:val="20"/>
                      <w:szCs w:val="20"/>
                      <w:lang w:val="en-US" w:eastAsia="zh-CN"/>
                      <w14:textFill>
                        <w14:solidFill>
                          <w14:schemeClr w14:val="tx1"/>
                        </w14:solidFill>
                      </w14:textFill>
                    </w:rPr>
                    <w:t>，</w:t>
                  </w:r>
                  <w:r>
                    <w:rPr>
                      <w:rFonts w:hint="eastAsia" w:cs="Times New Roman"/>
                      <w:b w:val="0"/>
                      <w:bCs/>
                      <w:color w:val="000000" w:themeColor="text1"/>
                      <w:sz w:val="20"/>
                      <w:szCs w:val="20"/>
                      <w:lang w:val="en-US" w:eastAsia="zh-CN"/>
                      <w14:textFill>
                        <w14:solidFill>
                          <w14:schemeClr w14:val="tx1"/>
                        </w14:solidFill>
                      </w14:textFill>
                    </w:rPr>
                    <w:t>钢结构</w:t>
                  </w:r>
                  <w:r>
                    <w:rPr>
                      <w:rFonts w:hint="default" w:ascii="Times New Roman" w:hAnsi="Times New Roman" w:eastAsia="宋体" w:cs="Times New Roman"/>
                      <w:b w:val="0"/>
                      <w:bCs/>
                      <w:color w:val="000000" w:themeColor="text1"/>
                      <w:sz w:val="20"/>
                      <w:szCs w:val="20"/>
                      <w:lang w:val="en-US" w:eastAsia="zh-CN"/>
                      <w14:textFill>
                        <w14:solidFill>
                          <w14:schemeClr w14:val="tx1"/>
                        </w14:solidFill>
                      </w14:textFill>
                    </w:rPr>
                    <w:t>，</w:t>
                  </w:r>
                  <w:r>
                    <w:rPr>
                      <w:rFonts w:hint="default" w:ascii="Times New Roman" w:hAnsi="Times New Roman" w:cs="Times New Roman"/>
                      <w:b w:val="0"/>
                      <w:bCs/>
                      <w:color w:val="000000" w:themeColor="text1"/>
                      <w:sz w:val="20"/>
                      <w:szCs w:val="20"/>
                      <w:lang w:val="en-US" w:eastAsia="zh-CN"/>
                      <w14:textFill>
                        <w14:solidFill>
                          <w14:schemeClr w14:val="tx1"/>
                        </w14:solidFill>
                      </w14:textFill>
                    </w:rPr>
                    <w:t>位于</w:t>
                  </w:r>
                  <w:r>
                    <w:rPr>
                      <w:rFonts w:hint="eastAsia" w:ascii="Times New Roman" w:hAnsi="Times New Roman" w:cs="Times New Roman"/>
                      <w:b w:val="0"/>
                      <w:bCs/>
                      <w:color w:val="000000" w:themeColor="text1"/>
                      <w:sz w:val="20"/>
                      <w:szCs w:val="20"/>
                      <w:lang w:val="en-US" w:eastAsia="zh-CN"/>
                      <w14:textFill>
                        <w14:solidFill>
                          <w14:schemeClr w14:val="tx1"/>
                        </w14:solidFill>
                      </w14:textFill>
                    </w:rPr>
                    <w:t>车间南侧中部，主要放置包装机、分选机、打包机及各类测试仪等。</w:t>
                  </w:r>
                </w:p>
              </w:tc>
              <w:tc>
                <w:tcPr>
                  <w:tcW w:w="753" w:type="pct"/>
                  <w:vMerge w:val="continue"/>
                  <w:noWrap w:val="0"/>
                  <w:vAlign w:val="center"/>
                </w:tcPr>
                <w:p w14:paraId="7A6604B7">
                  <w:pPr>
                    <w:adjustRightInd w:val="0"/>
                    <w:snapToGrid w:val="0"/>
                    <w:jc w:val="center"/>
                    <w:rPr>
                      <w:rFonts w:hint="default" w:ascii="Times New Roman" w:hAnsi="Times New Roman" w:cs="Times New Roman"/>
                      <w:color w:val="000000" w:themeColor="text1"/>
                      <w:szCs w:val="21"/>
                      <w:lang w:val="en-US" w:eastAsia="zh-CN"/>
                      <w14:textFill>
                        <w14:solidFill>
                          <w14:schemeClr w14:val="tx1"/>
                        </w14:solidFill>
                      </w14:textFill>
                    </w:rPr>
                  </w:pPr>
                </w:p>
              </w:tc>
            </w:tr>
            <w:tr w14:paraId="79515A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432" w:type="pct"/>
                  <w:vMerge w:val="restart"/>
                  <w:noWrap w:val="0"/>
                  <w:vAlign w:val="center"/>
                </w:tcPr>
                <w:p w14:paraId="4DD08E44">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储运工程</w:t>
                  </w:r>
                </w:p>
              </w:tc>
              <w:tc>
                <w:tcPr>
                  <w:tcW w:w="785" w:type="pct"/>
                  <w:gridSpan w:val="2"/>
                  <w:noWrap w:val="0"/>
                  <w:vAlign w:val="center"/>
                </w:tcPr>
                <w:p w14:paraId="120ABECB">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原料库</w:t>
                  </w:r>
                </w:p>
              </w:tc>
              <w:tc>
                <w:tcPr>
                  <w:tcW w:w="3028" w:type="pct"/>
                  <w:noWrap w:val="0"/>
                  <w:vAlign w:val="center"/>
                </w:tcPr>
                <w:p w14:paraId="470841B6">
                  <w:pPr>
                    <w:adjustRightInd w:val="0"/>
                    <w:snapToGrid w:val="0"/>
                    <w:jc w:val="center"/>
                    <w:rPr>
                      <w:rFonts w:hint="default" w:ascii="Times New Roman" w:hAnsi="Times New Roman" w:cs="Times New Roman"/>
                      <w:color w:val="000000" w:themeColor="text1"/>
                      <w:szCs w:val="21"/>
                      <w:lang w:val="en-US"/>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本项目设置两个原料存放区，一个是位于车间西北部的氧化锌存放区（约</w:t>
                  </w:r>
                  <w:r>
                    <w:rPr>
                      <w:rFonts w:hint="eastAsia" w:cs="Times New Roman"/>
                      <w:color w:val="000000" w:themeColor="text1"/>
                      <w:szCs w:val="21"/>
                      <w:lang w:val="en-US" w:eastAsia="zh-CN"/>
                      <w14:textFill>
                        <w14:solidFill>
                          <w14:schemeClr w14:val="tx1"/>
                        </w14:solidFill>
                      </w14:textFill>
                    </w:rPr>
                    <w:t>2</w:t>
                  </w:r>
                  <w:r>
                    <w:rPr>
                      <w:rFonts w:hint="default" w:ascii="Times New Roman" w:hAnsi="Times New Roman" w:cs="Times New Roman"/>
                      <w:color w:val="000000" w:themeColor="text1"/>
                      <w:szCs w:val="21"/>
                      <w:lang w:val="en-US" w:eastAsia="zh-CN"/>
                      <w14:textFill>
                        <w14:solidFill>
                          <w14:schemeClr w14:val="tx1"/>
                        </w14:solidFill>
                      </w14:textFill>
                    </w:rPr>
                    <w:t>0m</w:t>
                  </w:r>
                  <w:r>
                    <w:rPr>
                      <w:rFonts w:hint="default" w:ascii="Times New Roman" w:hAnsi="Times New Roman" w:cs="Times New Roman"/>
                      <w:color w:val="000000" w:themeColor="text1"/>
                      <w:szCs w:val="21"/>
                      <w:vertAlign w:val="superscript"/>
                      <w:lang w:val="en-US" w:eastAsia="zh-CN"/>
                      <w14:textFill>
                        <w14:solidFill>
                          <w14:schemeClr w14:val="tx1"/>
                        </w14:solidFill>
                      </w14:textFill>
                    </w:rPr>
                    <w:t>2</w:t>
                  </w:r>
                  <w:r>
                    <w:rPr>
                      <w:rFonts w:hint="default" w:ascii="Times New Roman" w:hAnsi="Times New Roman" w:cs="Times New Roman"/>
                      <w:color w:val="000000" w:themeColor="text1"/>
                      <w:szCs w:val="21"/>
                      <w:lang w:val="en-US" w:eastAsia="zh-CN"/>
                      <w14:textFill>
                        <w14:solidFill>
                          <w14:schemeClr w14:val="tx1"/>
                        </w14:solidFill>
                      </w14:textFill>
                    </w:rPr>
                    <w:t>），另一个位于车间东南角的原料库</w:t>
                  </w:r>
                  <w:r>
                    <w:rPr>
                      <w:rFonts w:hint="eastAsia" w:ascii="Times New Roman" w:hAnsi="Times New Roman" w:cs="Times New Roman"/>
                      <w:color w:val="000000" w:themeColor="text1"/>
                      <w:szCs w:val="21"/>
                      <w:lang w:val="en-US" w:eastAsia="zh-CN"/>
                      <w14:textFill>
                        <w14:solidFill>
                          <w14:schemeClr w14:val="tx1"/>
                        </w14:solidFill>
                      </w14:textFill>
                    </w:rPr>
                    <w:t>（约80</w:t>
                  </w:r>
                  <w:r>
                    <w:rPr>
                      <w:rFonts w:hint="default" w:ascii="Times New Roman" w:hAnsi="Times New Roman" w:cs="Times New Roman"/>
                      <w:color w:val="000000" w:themeColor="text1"/>
                      <w:szCs w:val="21"/>
                      <w:lang w:val="en-US" w:eastAsia="zh-CN"/>
                      <w14:textFill>
                        <w14:solidFill>
                          <w14:schemeClr w14:val="tx1"/>
                        </w14:solidFill>
                      </w14:textFill>
                    </w:rPr>
                    <w:t>m</w:t>
                  </w:r>
                  <w:r>
                    <w:rPr>
                      <w:rFonts w:hint="default" w:ascii="Times New Roman" w:hAnsi="Times New Roman" w:cs="Times New Roman"/>
                      <w:color w:val="000000" w:themeColor="text1"/>
                      <w:szCs w:val="21"/>
                      <w:vertAlign w:val="superscript"/>
                      <w:lang w:val="en-US" w:eastAsia="zh-CN"/>
                      <w14:textFill>
                        <w14:solidFill>
                          <w14:schemeClr w14:val="tx1"/>
                        </w14:solidFill>
                      </w14:textFill>
                    </w:rPr>
                    <w:t>2</w:t>
                  </w:r>
                  <w:r>
                    <w:rPr>
                      <w:rFonts w:hint="eastAsia" w:ascii="Times New Roman" w:hAnsi="Times New Roman" w:cs="Times New Roman"/>
                      <w:color w:val="000000" w:themeColor="text1"/>
                      <w:szCs w:val="21"/>
                      <w:lang w:val="en-US" w:eastAsia="zh-CN"/>
                      <w14:textFill>
                        <w14:solidFill>
                          <w14:schemeClr w14:val="tx1"/>
                        </w14:solidFill>
                      </w14:textFill>
                    </w:rPr>
                    <w:t>）</w:t>
                  </w:r>
                  <w:r>
                    <w:rPr>
                      <w:rFonts w:hint="default" w:ascii="Times New Roman" w:hAnsi="Times New Roman" w:cs="Times New Roman"/>
                      <w:color w:val="000000" w:themeColor="text1"/>
                      <w:szCs w:val="21"/>
                      <w:lang w:val="en-US" w:eastAsia="zh-CN"/>
                      <w14:textFill>
                        <w14:solidFill>
                          <w14:schemeClr w14:val="tx1"/>
                        </w14:solidFill>
                      </w14:textFill>
                    </w:rPr>
                    <w:t>，主要用于存放</w:t>
                  </w:r>
                  <w:r>
                    <w:rPr>
                      <w:rFonts w:hint="eastAsia" w:cs="Times New Roman"/>
                      <w:color w:val="000000" w:themeColor="text1"/>
                      <w:szCs w:val="21"/>
                      <w:lang w:val="en-US" w:eastAsia="zh-CN"/>
                      <w14:textFill>
                        <w14:solidFill>
                          <w14:schemeClr w14:val="tx1"/>
                        </w14:solidFill>
                      </w14:textFill>
                    </w:rPr>
                    <w:t>其他各类原料</w:t>
                  </w:r>
                  <w:r>
                    <w:rPr>
                      <w:rFonts w:hint="default" w:ascii="Times New Roman" w:hAnsi="Times New Roman" w:cs="Times New Roman"/>
                      <w:color w:val="000000" w:themeColor="text1"/>
                      <w:szCs w:val="21"/>
                      <w:lang w:val="en-US" w:eastAsia="zh-CN"/>
                      <w14:textFill>
                        <w14:solidFill>
                          <w14:schemeClr w14:val="tx1"/>
                        </w14:solidFill>
                      </w14:textFill>
                    </w:rPr>
                    <w:t>等。</w:t>
                  </w:r>
                </w:p>
              </w:tc>
              <w:tc>
                <w:tcPr>
                  <w:tcW w:w="753" w:type="pct"/>
                  <w:noWrap w:val="0"/>
                  <w:vAlign w:val="center"/>
                </w:tcPr>
                <w:p w14:paraId="011A78AF">
                  <w:pPr>
                    <w:adjustRightInd w:val="0"/>
                    <w:snapToGrid w:val="0"/>
                    <w:jc w:val="center"/>
                    <w:rPr>
                      <w:rFonts w:hint="default" w:ascii="Times New Roman" w:hAnsi="Times New Roman" w:eastAsia="宋体" w:cs="Times New Roman"/>
                      <w:color w:val="000000" w:themeColor="text1"/>
                      <w:szCs w:val="21"/>
                      <w:lang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租赁</w:t>
                  </w:r>
                </w:p>
              </w:tc>
            </w:tr>
            <w:tr w14:paraId="16F51C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432" w:type="pct"/>
                  <w:vMerge w:val="continue"/>
                  <w:noWrap w:val="0"/>
                  <w:vAlign w:val="center"/>
                </w:tcPr>
                <w:p w14:paraId="4F332191">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p>
              </w:tc>
              <w:tc>
                <w:tcPr>
                  <w:tcW w:w="785" w:type="pct"/>
                  <w:gridSpan w:val="2"/>
                  <w:noWrap w:val="0"/>
                  <w:vAlign w:val="center"/>
                </w:tcPr>
                <w:p w14:paraId="7B041534">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成品库</w:t>
                  </w:r>
                </w:p>
              </w:tc>
              <w:tc>
                <w:tcPr>
                  <w:tcW w:w="3028" w:type="pct"/>
                  <w:noWrap w:val="0"/>
                  <w:vAlign w:val="center"/>
                </w:tcPr>
                <w:p w14:paraId="2A8F48B0">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位于</w:t>
                  </w:r>
                  <w:r>
                    <w:rPr>
                      <w:rFonts w:hint="default" w:ascii="Times New Roman" w:hAnsi="Times New Roman" w:cs="Times New Roman"/>
                      <w:color w:val="000000" w:themeColor="text1"/>
                      <w:szCs w:val="21"/>
                      <w:lang w:val="en-US" w:eastAsia="zh-CN"/>
                      <w14:textFill>
                        <w14:solidFill>
                          <w14:schemeClr w14:val="tx1"/>
                        </w14:solidFill>
                      </w14:textFill>
                    </w:rPr>
                    <w:t>生产车间内南侧</w:t>
                  </w:r>
                  <w:r>
                    <w:rPr>
                      <w:rFonts w:hint="default" w:ascii="Times New Roman" w:hAnsi="Times New Roman" w:cs="Times New Roman"/>
                      <w:color w:val="000000" w:themeColor="text1"/>
                      <w:szCs w:val="21"/>
                      <w14:textFill>
                        <w14:solidFill>
                          <w14:schemeClr w14:val="tx1"/>
                        </w14:solidFill>
                      </w14:textFill>
                    </w:rPr>
                    <w:t>，面积约</w:t>
                  </w:r>
                  <w:r>
                    <w:rPr>
                      <w:rFonts w:hint="default" w:ascii="Times New Roman" w:hAnsi="Times New Roman" w:cs="Times New Roman"/>
                      <w:color w:val="000000" w:themeColor="text1"/>
                      <w:szCs w:val="21"/>
                      <w:lang w:val="en-US" w:eastAsia="zh-CN"/>
                      <w14:textFill>
                        <w14:solidFill>
                          <w14:schemeClr w14:val="tx1"/>
                        </w14:solidFill>
                      </w14:textFill>
                    </w:rPr>
                    <w:t>50</w:t>
                  </w:r>
                  <w:r>
                    <w:rPr>
                      <w:rFonts w:hint="default" w:ascii="Times New Roman" w:hAnsi="Times New Roman" w:cs="Times New Roman"/>
                      <w:color w:val="000000" w:themeColor="text1"/>
                      <w:szCs w:val="21"/>
                      <w14:textFill>
                        <w14:solidFill>
                          <w14:schemeClr w14:val="tx1"/>
                        </w14:solidFill>
                      </w14:textFill>
                    </w:rPr>
                    <w:t>m</w:t>
                  </w:r>
                  <w:r>
                    <w:rPr>
                      <w:rFonts w:hint="default" w:ascii="Times New Roman" w:hAnsi="Times New Roman" w:cs="Times New Roman"/>
                      <w:color w:val="000000" w:themeColor="text1"/>
                      <w:szCs w:val="21"/>
                      <w:vertAlign w:val="superscript"/>
                      <w14:textFill>
                        <w14:solidFill>
                          <w14:schemeClr w14:val="tx1"/>
                        </w14:solidFill>
                      </w14:textFill>
                    </w:rPr>
                    <w:t>2</w:t>
                  </w:r>
                  <w:r>
                    <w:rPr>
                      <w:rFonts w:hint="default" w:ascii="Times New Roman" w:hAnsi="Times New Roman" w:cs="Times New Roman"/>
                      <w:color w:val="000000" w:themeColor="text1"/>
                      <w:szCs w:val="21"/>
                      <w14:textFill>
                        <w14:solidFill>
                          <w14:schemeClr w14:val="tx1"/>
                        </w14:solidFill>
                      </w14:textFill>
                    </w:rPr>
                    <w:t>，1层钢结构，主要进行成品的</w:t>
                  </w:r>
                  <w:r>
                    <w:rPr>
                      <w:rFonts w:hint="default" w:ascii="Times New Roman" w:hAnsi="Times New Roman" w:cs="Times New Roman"/>
                      <w:color w:val="000000" w:themeColor="text1"/>
                      <w:szCs w:val="21"/>
                      <w:lang w:val="en-US" w:eastAsia="zh-CN"/>
                      <w14:textFill>
                        <w14:solidFill>
                          <w14:schemeClr w14:val="tx1"/>
                        </w14:solidFill>
                      </w14:textFill>
                    </w:rPr>
                    <w:t>临时存放</w:t>
                  </w:r>
                  <w:r>
                    <w:rPr>
                      <w:rFonts w:hint="default" w:ascii="Times New Roman" w:hAnsi="Times New Roman" w:cs="Times New Roman"/>
                      <w:color w:val="000000" w:themeColor="text1"/>
                      <w:szCs w:val="21"/>
                      <w14:textFill>
                        <w14:solidFill>
                          <w14:schemeClr w14:val="tx1"/>
                        </w14:solidFill>
                      </w14:textFill>
                    </w:rPr>
                    <w:t>。</w:t>
                  </w:r>
                </w:p>
              </w:tc>
              <w:tc>
                <w:tcPr>
                  <w:tcW w:w="753" w:type="pct"/>
                  <w:noWrap w:val="0"/>
                  <w:vAlign w:val="center"/>
                </w:tcPr>
                <w:p w14:paraId="08465964">
                  <w:pPr>
                    <w:adjustRightInd w:val="0"/>
                    <w:snapToGrid w:val="0"/>
                    <w:jc w:val="center"/>
                    <w:rPr>
                      <w:rFonts w:hint="default" w:ascii="Times New Roman" w:hAnsi="Times New Roman" w:eastAsia="宋体" w:cs="Times New Roman"/>
                      <w:color w:val="000000" w:themeColor="text1"/>
                      <w:szCs w:val="21"/>
                      <w:lang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租赁</w:t>
                  </w:r>
                </w:p>
              </w:tc>
            </w:tr>
            <w:tr w14:paraId="479651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432" w:type="pct"/>
                  <w:noWrap w:val="0"/>
                  <w:vAlign w:val="center"/>
                </w:tcPr>
                <w:p w14:paraId="205292C6">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辅助工程</w:t>
                  </w:r>
                </w:p>
              </w:tc>
              <w:tc>
                <w:tcPr>
                  <w:tcW w:w="785" w:type="pct"/>
                  <w:gridSpan w:val="2"/>
                  <w:tcBorders>
                    <w:top w:val="single" w:color="auto" w:sz="4" w:space="0"/>
                  </w:tcBorders>
                  <w:noWrap w:val="0"/>
                  <w:vAlign w:val="center"/>
                </w:tcPr>
                <w:p w14:paraId="0D25C3C3">
                  <w:pPr>
                    <w:adjustRightInd w:val="0"/>
                    <w:snapToGrid w:val="0"/>
                    <w:jc w:val="center"/>
                    <w:rPr>
                      <w:rFonts w:hint="default" w:ascii="Times New Roman" w:hAnsi="Times New Roman" w:eastAsia="宋体" w:cs="Times New Roman"/>
                      <w:color w:val="000000" w:themeColor="text1"/>
                      <w:szCs w:val="21"/>
                      <w:lang w:eastAsia="zh-CN"/>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办公</w:t>
                  </w:r>
                  <w:r>
                    <w:rPr>
                      <w:rFonts w:hint="default" w:ascii="Times New Roman" w:hAnsi="Times New Roman" w:cs="Times New Roman"/>
                      <w:color w:val="000000" w:themeColor="text1"/>
                      <w:szCs w:val="21"/>
                      <w:lang w:val="en-US" w:eastAsia="zh-CN"/>
                      <w14:textFill>
                        <w14:solidFill>
                          <w14:schemeClr w14:val="tx1"/>
                        </w14:solidFill>
                      </w14:textFill>
                    </w:rPr>
                    <w:t>室</w:t>
                  </w:r>
                </w:p>
              </w:tc>
              <w:tc>
                <w:tcPr>
                  <w:tcW w:w="3028" w:type="pct"/>
                  <w:noWrap w:val="0"/>
                  <w:vAlign w:val="center"/>
                </w:tcPr>
                <w:p w14:paraId="07D4E92E">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位于车间内搭建的2楼，面积约500m</w:t>
                  </w:r>
                  <w:r>
                    <w:rPr>
                      <w:rFonts w:hint="default" w:ascii="Times New Roman" w:hAnsi="Times New Roman" w:cs="Times New Roman"/>
                      <w:color w:val="000000" w:themeColor="text1"/>
                      <w:szCs w:val="21"/>
                      <w:vertAlign w:val="superscript"/>
                      <w:lang w:val="en-US" w:eastAsia="zh-CN"/>
                      <w14:textFill>
                        <w14:solidFill>
                          <w14:schemeClr w14:val="tx1"/>
                        </w14:solidFill>
                      </w14:textFill>
                    </w:rPr>
                    <w:t>2</w:t>
                  </w:r>
                  <w:r>
                    <w:rPr>
                      <w:rFonts w:hint="default" w:ascii="Times New Roman" w:hAnsi="Times New Roman" w:cs="Times New Roman"/>
                      <w:color w:val="000000" w:themeColor="text1"/>
                      <w:szCs w:val="21"/>
                      <w14:textFill>
                        <w14:solidFill>
                          <w14:schemeClr w14:val="tx1"/>
                        </w14:solidFill>
                      </w14:textFill>
                    </w:rPr>
                    <w:t>。</w:t>
                  </w:r>
                </w:p>
              </w:tc>
              <w:tc>
                <w:tcPr>
                  <w:tcW w:w="753" w:type="pct"/>
                  <w:noWrap w:val="0"/>
                  <w:vAlign w:val="center"/>
                </w:tcPr>
                <w:p w14:paraId="4E626885">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自建</w:t>
                  </w:r>
                </w:p>
              </w:tc>
            </w:tr>
            <w:tr w14:paraId="401588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432" w:type="pct"/>
                  <w:vMerge w:val="restart"/>
                  <w:noWrap w:val="0"/>
                  <w:vAlign w:val="center"/>
                </w:tcPr>
                <w:p w14:paraId="372B7085">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公用工程</w:t>
                  </w:r>
                </w:p>
              </w:tc>
              <w:tc>
                <w:tcPr>
                  <w:tcW w:w="785" w:type="pct"/>
                  <w:gridSpan w:val="2"/>
                  <w:noWrap w:val="0"/>
                  <w:vAlign w:val="center"/>
                </w:tcPr>
                <w:p w14:paraId="31CF1D39">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供电</w:t>
                  </w:r>
                </w:p>
              </w:tc>
              <w:tc>
                <w:tcPr>
                  <w:tcW w:w="3028" w:type="pct"/>
                  <w:noWrap w:val="0"/>
                  <w:vAlign w:val="center"/>
                </w:tcPr>
                <w:p w14:paraId="06842D03">
                  <w:pPr>
                    <w:adjustRightInd w:val="0"/>
                    <w:snapToGrid w:val="0"/>
                    <w:jc w:val="center"/>
                    <w:rPr>
                      <w:rFonts w:hint="default" w:ascii="Times New Roman" w:hAnsi="Times New Roman" w:eastAsia="宋体" w:cs="Times New Roman"/>
                      <w:color w:val="000000" w:themeColor="text1"/>
                      <w:szCs w:val="21"/>
                      <w:lang w:eastAsia="zh-CN"/>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由</w:t>
                  </w:r>
                  <w:r>
                    <w:rPr>
                      <w:rFonts w:hint="default" w:ascii="Times New Roman" w:hAnsi="Times New Roman" w:cs="Times New Roman"/>
                      <w:color w:val="000000" w:themeColor="text1"/>
                      <w:szCs w:val="21"/>
                      <w:lang w:val="en-US" w:eastAsia="zh-CN"/>
                      <w14:textFill>
                        <w14:solidFill>
                          <w14:schemeClr w14:val="tx1"/>
                        </w14:solidFill>
                      </w14:textFill>
                    </w:rPr>
                    <w:t>市政供电管网</w:t>
                  </w:r>
                  <w:r>
                    <w:rPr>
                      <w:rFonts w:hint="default" w:ascii="Times New Roman" w:hAnsi="Times New Roman" w:cs="Times New Roman"/>
                      <w:color w:val="000000" w:themeColor="text1"/>
                      <w:szCs w:val="21"/>
                      <w14:textFill>
                        <w14:solidFill>
                          <w14:schemeClr w14:val="tx1"/>
                        </w14:solidFill>
                      </w14:textFill>
                    </w:rPr>
                    <w:t>供给</w:t>
                  </w:r>
                  <w:r>
                    <w:rPr>
                      <w:rFonts w:hint="default" w:ascii="Times New Roman" w:hAnsi="Times New Roman" w:cs="Times New Roman"/>
                      <w:color w:val="000000" w:themeColor="text1"/>
                      <w:szCs w:val="21"/>
                      <w:lang w:eastAsia="zh-CN"/>
                      <w14:textFill>
                        <w14:solidFill>
                          <w14:schemeClr w14:val="tx1"/>
                        </w14:solidFill>
                      </w14:textFill>
                    </w:rPr>
                    <w:t>。</w:t>
                  </w:r>
                </w:p>
              </w:tc>
              <w:tc>
                <w:tcPr>
                  <w:tcW w:w="753" w:type="pct"/>
                  <w:noWrap w:val="0"/>
                  <w:vAlign w:val="center"/>
                </w:tcPr>
                <w:p w14:paraId="028EAA78">
                  <w:pPr>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依托</w:t>
                  </w:r>
                  <w:r>
                    <w:rPr>
                      <w:rFonts w:hint="default" w:ascii="Times New Roman" w:hAnsi="Times New Roman" w:cs="Times New Roman"/>
                      <w:color w:val="000000" w:themeColor="text1"/>
                      <w:szCs w:val="21"/>
                      <w:lang w:val="en-US" w:eastAsia="zh-CN"/>
                      <w14:textFill>
                        <w14:solidFill>
                          <w14:schemeClr w14:val="tx1"/>
                        </w14:solidFill>
                      </w14:textFill>
                    </w:rPr>
                    <w:t>园区</w:t>
                  </w:r>
                </w:p>
              </w:tc>
            </w:tr>
            <w:tr w14:paraId="45673B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432" w:type="pct"/>
                  <w:vMerge w:val="continue"/>
                  <w:noWrap w:val="0"/>
                  <w:vAlign w:val="center"/>
                </w:tcPr>
                <w:p w14:paraId="2C4E87F6">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p>
              </w:tc>
              <w:tc>
                <w:tcPr>
                  <w:tcW w:w="785" w:type="pct"/>
                  <w:gridSpan w:val="2"/>
                  <w:noWrap w:val="0"/>
                  <w:vAlign w:val="center"/>
                </w:tcPr>
                <w:p w14:paraId="62FC50B0">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供水</w:t>
                  </w:r>
                </w:p>
              </w:tc>
              <w:tc>
                <w:tcPr>
                  <w:tcW w:w="3028" w:type="pct"/>
                  <w:noWrap w:val="0"/>
                  <w:vAlign w:val="center"/>
                </w:tcPr>
                <w:p w14:paraId="37608785">
                  <w:pPr>
                    <w:adjustRightInd w:val="0"/>
                    <w:snapToGrid w:val="0"/>
                    <w:jc w:val="center"/>
                    <w:rPr>
                      <w:rFonts w:hint="default" w:ascii="Times New Roman" w:hAnsi="Times New Roman" w:eastAsia="宋体" w:cs="Times New Roman"/>
                      <w:color w:val="000000" w:themeColor="text1"/>
                      <w:szCs w:val="21"/>
                      <w:lang w:eastAsia="zh-CN"/>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由</w:t>
                  </w:r>
                  <w:r>
                    <w:rPr>
                      <w:rFonts w:hint="default" w:ascii="Times New Roman" w:hAnsi="Times New Roman" w:cs="Times New Roman"/>
                      <w:color w:val="000000" w:themeColor="text1"/>
                      <w:szCs w:val="21"/>
                      <w:lang w:val="en-US" w:eastAsia="zh-CN"/>
                      <w14:textFill>
                        <w14:solidFill>
                          <w14:schemeClr w14:val="tx1"/>
                        </w14:solidFill>
                      </w14:textFill>
                    </w:rPr>
                    <w:t>市政供水管网</w:t>
                  </w:r>
                  <w:r>
                    <w:rPr>
                      <w:rFonts w:hint="default" w:ascii="Times New Roman" w:hAnsi="Times New Roman" w:cs="Times New Roman"/>
                      <w:color w:val="000000" w:themeColor="text1"/>
                      <w:szCs w:val="21"/>
                      <w14:textFill>
                        <w14:solidFill>
                          <w14:schemeClr w14:val="tx1"/>
                        </w14:solidFill>
                      </w14:textFill>
                    </w:rPr>
                    <w:t>提供</w:t>
                  </w:r>
                  <w:r>
                    <w:rPr>
                      <w:rFonts w:hint="default" w:ascii="Times New Roman" w:hAnsi="Times New Roman" w:cs="Times New Roman"/>
                      <w:color w:val="000000" w:themeColor="text1"/>
                      <w:szCs w:val="21"/>
                      <w:lang w:eastAsia="zh-CN"/>
                      <w14:textFill>
                        <w14:solidFill>
                          <w14:schemeClr w14:val="tx1"/>
                        </w14:solidFill>
                      </w14:textFill>
                    </w:rPr>
                    <w:t>。</w:t>
                  </w:r>
                </w:p>
              </w:tc>
              <w:tc>
                <w:tcPr>
                  <w:tcW w:w="753" w:type="pct"/>
                  <w:noWrap w:val="0"/>
                  <w:vAlign w:val="center"/>
                </w:tcPr>
                <w:p w14:paraId="3230E1C2">
                  <w:pPr>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依托</w:t>
                  </w:r>
                  <w:r>
                    <w:rPr>
                      <w:rFonts w:hint="default" w:ascii="Times New Roman" w:hAnsi="Times New Roman" w:cs="Times New Roman"/>
                      <w:color w:val="000000" w:themeColor="text1"/>
                      <w:szCs w:val="21"/>
                      <w:lang w:val="en-US" w:eastAsia="zh-CN"/>
                      <w14:textFill>
                        <w14:solidFill>
                          <w14:schemeClr w14:val="tx1"/>
                        </w14:solidFill>
                      </w14:textFill>
                    </w:rPr>
                    <w:t>园区</w:t>
                  </w:r>
                </w:p>
              </w:tc>
            </w:tr>
            <w:tr w14:paraId="4CC0FA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432" w:type="pct"/>
                  <w:vMerge w:val="restart"/>
                  <w:noWrap w:val="0"/>
                  <w:vAlign w:val="center"/>
                </w:tcPr>
                <w:p w14:paraId="346BDF9E">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环保工程</w:t>
                  </w:r>
                </w:p>
              </w:tc>
              <w:tc>
                <w:tcPr>
                  <w:tcW w:w="785" w:type="pct"/>
                  <w:gridSpan w:val="2"/>
                  <w:vMerge w:val="restart"/>
                  <w:noWrap w:val="0"/>
                  <w:vAlign w:val="center"/>
                </w:tcPr>
                <w:p w14:paraId="5CCE2679">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废气处理系统</w:t>
                  </w:r>
                </w:p>
              </w:tc>
              <w:tc>
                <w:tcPr>
                  <w:tcW w:w="3028" w:type="pct"/>
                  <w:noWrap w:val="0"/>
                  <w:vAlign w:val="center"/>
                </w:tcPr>
                <w:p w14:paraId="55B2DE4D">
                  <w:pPr>
                    <w:adjustRightInd w:val="0"/>
                    <w:snapToGrid w:val="0"/>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本项目</w:t>
                  </w:r>
                  <w:r>
                    <w:rPr>
                      <w:rFonts w:hint="eastAsia" w:cs="Times New Roman"/>
                      <w:color w:val="000000" w:themeColor="text1"/>
                      <w:szCs w:val="21"/>
                      <w:lang w:val="en-US" w:eastAsia="zh-CN"/>
                      <w14:textFill>
                        <w14:solidFill>
                          <w14:schemeClr w14:val="tx1"/>
                        </w14:solidFill>
                      </w14:textFill>
                    </w:rPr>
                    <w:t>进料和造粒</w:t>
                  </w:r>
                  <w:r>
                    <w:rPr>
                      <w:rFonts w:hint="default" w:ascii="Times New Roman" w:hAnsi="Times New Roman" w:cs="Times New Roman"/>
                      <w:color w:val="000000" w:themeColor="text1"/>
                      <w:szCs w:val="21"/>
                      <w:lang w:val="en-US" w:eastAsia="zh-CN"/>
                      <w14:textFill>
                        <w14:solidFill>
                          <w14:schemeClr w14:val="tx1"/>
                        </w14:solidFill>
                      </w14:textFill>
                    </w:rPr>
                    <w:t>过程产生的</w:t>
                  </w:r>
                  <w:r>
                    <w:rPr>
                      <w:rFonts w:hint="eastAsia" w:cs="Times New Roman"/>
                      <w:color w:val="000000" w:themeColor="text1"/>
                      <w:szCs w:val="21"/>
                      <w:lang w:val="en-US" w:eastAsia="zh-CN"/>
                      <w14:textFill>
                        <w14:solidFill>
                          <w14:schemeClr w14:val="tx1"/>
                        </w14:solidFill>
                      </w14:textFill>
                    </w:rPr>
                    <w:t>颗粒物</w:t>
                  </w:r>
                  <w:r>
                    <w:rPr>
                      <w:rFonts w:hint="default" w:ascii="Times New Roman" w:hAnsi="Times New Roman" w:cs="Times New Roman"/>
                      <w:color w:val="000000" w:themeColor="text1"/>
                      <w:szCs w:val="21"/>
                      <w:lang w:val="en-US" w:eastAsia="zh-CN"/>
                      <w14:textFill>
                        <w14:solidFill>
                          <w14:schemeClr w14:val="tx1"/>
                        </w14:solidFill>
                      </w14:textFill>
                    </w:rPr>
                    <w:t>经集气罩收集后</w:t>
                  </w:r>
                  <w:r>
                    <w:rPr>
                      <w:rFonts w:hint="default" w:ascii="Times New Roman" w:hAnsi="Times New Roman" w:cs="Times New Roman"/>
                      <w:color w:val="000000" w:themeColor="text1"/>
                      <w:szCs w:val="21"/>
                      <w:lang w:eastAsia="zh-CN"/>
                      <w14:textFill>
                        <w14:solidFill>
                          <w14:schemeClr w14:val="tx1"/>
                        </w14:solidFill>
                      </w14:textFill>
                    </w:rPr>
                    <w:t>，通过</w:t>
                  </w:r>
                  <w:r>
                    <w:rPr>
                      <w:rFonts w:hint="eastAsia" w:cs="Times New Roman"/>
                      <w:color w:val="000000" w:themeColor="text1"/>
                      <w:szCs w:val="21"/>
                      <w:lang w:val="en-US" w:eastAsia="zh-CN"/>
                      <w14:textFill>
                        <w14:solidFill>
                          <w14:schemeClr w14:val="tx1"/>
                        </w14:solidFill>
                      </w14:textFill>
                    </w:rPr>
                    <w:t>布袋除尘器</w:t>
                  </w:r>
                  <w:r>
                    <w:rPr>
                      <w:rFonts w:hint="default" w:ascii="Times New Roman" w:hAnsi="Times New Roman" w:cs="Times New Roman"/>
                      <w:color w:val="000000" w:themeColor="text1"/>
                      <w:szCs w:val="21"/>
                      <w14:textFill>
                        <w14:solidFill>
                          <w14:schemeClr w14:val="tx1"/>
                        </w14:solidFill>
                      </w14:textFill>
                    </w:rPr>
                    <w:t>（TA001）处理</w:t>
                  </w:r>
                  <w:r>
                    <w:rPr>
                      <w:rFonts w:hint="default" w:ascii="Times New Roman" w:hAnsi="Times New Roman" w:cs="Times New Roman"/>
                      <w:color w:val="000000" w:themeColor="text1"/>
                      <w:szCs w:val="21"/>
                      <w:lang w:eastAsia="zh-CN"/>
                      <w14:textFill>
                        <w14:solidFill>
                          <w14:schemeClr w14:val="tx1"/>
                        </w14:solidFill>
                      </w14:textFill>
                    </w:rPr>
                    <w:t>，经</w:t>
                  </w:r>
                  <w:r>
                    <w:rPr>
                      <w:rFonts w:hint="default" w:ascii="Times New Roman" w:hAnsi="Times New Roman" w:cs="Times New Roman"/>
                      <w:color w:val="000000" w:themeColor="text1"/>
                      <w:szCs w:val="21"/>
                      <w14:textFill>
                        <w14:solidFill>
                          <w14:schemeClr w14:val="tx1"/>
                        </w14:solidFill>
                      </w14:textFill>
                    </w:rPr>
                    <w:t>一根15m高排气筒（DA001）</w:t>
                  </w:r>
                  <w:r>
                    <w:rPr>
                      <w:rFonts w:hint="default" w:ascii="Times New Roman" w:hAnsi="Times New Roman" w:cs="Times New Roman"/>
                      <w:color w:val="000000" w:themeColor="text1"/>
                      <w:szCs w:val="21"/>
                      <w:lang w:eastAsia="zh-CN"/>
                      <w14:textFill>
                        <w14:solidFill>
                          <w14:schemeClr w14:val="tx1"/>
                        </w14:solidFill>
                      </w14:textFill>
                    </w:rPr>
                    <w:t>排放。</w:t>
                  </w:r>
                </w:p>
              </w:tc>
              <w:tc>
                <w:tcPr>
                  <w:tcW w:w="753" w:type="pct"/>
                  <w:noWrap w:val="0"/>
                  <w:vAlign w:val="center"/>
                </w:tcPr>
                <w:p w14:paraId="7485252B">
                  <w:pPr>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新建</w:t>
                  </w:r>
                </w:p>
              </w:tc>
            </w:tr>
            <w:tr w14:paraId="6FF61B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432" w:type="pct"/>
                  <w:vMerge w:val="continue"/>
                  <w:noWrap w:val="0"/>
                  <w:vAlign w:val="center"/>
                </w:tcPr>
                <w:p w14:paraId="59DAF16C">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p>
              </w:tc>
              <w:tc>
                <w:tcPr>
                  <w:tcW w:w="785" w:type="pct"/>
                  <w:gridSpan w:val="2"/>
                  <w:vMerge w:val="continue"/>
                  <w:noWrap w:val="0"/>
                  <w:vAlign w:val="center"/>
                </w:tcPr>
                <w:p w14:paraId="5A85385B">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p>
              </w:tc>
              <w:tc>
                <w:tcPr>
                  <w:tcW w:w="3028" w:type="pct"/>
                  <w:noWrap w:val="0"/>
                  <w:vAlign w:val="center"/>
                </w:tcPr>
                <w:p w14:paraId="19E06A14">
                  <w:pPr>
                    <w:adjustRightInd w:val="0"/>
                    <w:snapToGrid w:val="0"/>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本项目</w:t>
                  </w:r>
                  <w:r>
                    <w:rPr>
                      <w:rFonts w:hint="eastAsia" w:cs="Times New Roman"/>
                      <w:color w:val="000000" w:themeColor="text1"/>
                      <w:szCs w:val="21"/>
                      <w:lang w:val="en-US" w:eastAsia="zh-CN"/>
                      <w14:textFill>
                        <w14:solidFill>
                          <w14:schemeClr w14:val="tx1"/>
                        </w14:solidFill>
                      </w14:textFill>
                    </w:rPr>
                    <w:t>烧结、烘干、固化</w:t>
                  </w:r>
                  <w:r>
                    <w:rPr>
                      <w:rFonts w:hint="default" w:ascii="Times New Roman" w:hAnsi="Times New Roman" w:cs="Times New Roman"/>
                      <w:color w:val="000000" w:themeColor="text1"/>
                      <w:szCs w:val="21"/>
                      <w:lang w:val="en-US" w:eastAsia="zh-CN"/>
                      <w14:textFill>
                        <w14:solidFill>
                          <w14:schemeClr w14:val="tx1"/>
                        </w14:solidFill>
                      </w14:textFill>
                    </w:rPr>
                    <w:t>过程产生的</w:t>
                  </w:r>
                  <w:r>
                    <w:rPr>
                      <w:rFonts w:hint="default" w:ascii="Times New Roman" w:hAnsi="Times New Roman" w:cs="Times New Roman"/>
                      <w:color w:val="000000" w:themeColor="text1"/>
                      <w:szCs w:val="21"/>
                      <w14:textFill>
                        <w14:solidFill>
                          <w14:schemeClr w14:val="tx1"/>
                        </w14:solidFill>
                      </w14:textFill>
                    </w:rPr>
                    <w:t>有机废气</w:t>
                  </w:r>
                  <w:r>
                    <w:rPr>
                      <w:rFonts w:hint="eastAsia" w:cs="Times New Roman"/>
                      <w:color w:val="000000" w:themeColor="text1"/>
                      <w:szCs w:val="21"/>
                      <w:lang w:val="en-US" w:eastAsia="zh-CN"/>
                      <w14:textFill>
                        <w14:solidFill>
                          <w14:schemeClr w14:val="tx1"/>
                        </w14:solidFill>
                      </w14:textFill>
                    </w:rPr>
                    <w:t>及焊接过程产生的锡及其化合物</w:t>
                  </w:r>
                  <w:r>
                    <w:rPr>
                      <w:rFonts w:hint="default" w:ascii="Times New Roman" w:hAnsi="Times New Roman" w:cs="Times New Roman"/>
                      <w:color w:val="000000" w:themeColor="text1"/>
                      <w:szCs w:val="21"/>
                      <w:lang w:val="en-US" w:eastAsia="zh-CN"/>
                      <w14:textFill>
                        <w14:solidFill>
                          <w14:schemeClr w14:val="tx1"/>
                        </w14:solidFill>
                      </w14:textFill>
                    </w:rPr>
                    <w:t>经集气罩收集后</w:t>
                  </w:r>
                  <w:r>
                    <w:rPr>
                      <w:rFonts w:hint="default" w:ascii="Times New Roman" w:hAnsi="Times New Roman" w:cs="Times New Roman"/>
                      <w:color w:val="000000" w:themeColor="text1"/>
                      <w:szCs w:val="21"/>
                      <w:lang w:eastAsia="zh-CN"/>
                      <w14:textFill>
                        <w14:solidFill>
                          <w14:schemeClr w14:val="tx1"/>
                        </w14:solidFill>
                      </w14:textFill>
                    </w:rPr>
                    <w:t>，通过</w:t>
                  </w:r>
                  <w:r>
                    <w:rPr>
                      <w:rFonts w:hint="default" w:ascii="Times New Roman" w:hAnsi="Times New Roman" w:cs="Times New Roman"/>
                      <w:color w:val="000000" w:themeColor="text1"/>
                      <w:szCs w:val="21"/>
                      <w:lang w:val="en-US" w:eastAsia="zh-CN"/>
                      <w14:textFill>
                        <w14:solidFill>
                          <w14:schemeClr w14:val="tx1"/>
                        </w14:solidFill>
                      </w14:textFill>
                    </w:rPr>
                    <w:t>过滤棉+二级</w:t>
                  </w:r>
                  <w:r>
                    <w:rPr>
                      <w:rFonts w:hint="default" w:ascii="Times New Roman" w:hAnsi="Times New Roman" w:cs="Times New Roman"/>
                      <w:color w:val="000000" w:themeColor="text1"/>
                      <w:szCs w:val="21"/>
                      <w14:textFill>
                        <w14:solidFill>
                          <w14:schemeClr w14:val="tx1"/>
                        </w14:solidFill>
                      </w14:textFill>
                    </w:rPr>
                    <w:t>活性炭（TA00</w:t>
                  </w:r>
                  <w:r>
                    <w:rPr>
                      <w:rFonts w:hint="eastAsia" w:cs="Times New Roman"/>
                      <w:color w:val="000000" w:themeColor="text1"/>
                      <w:szCs w:val="21"/>
                      <w:lang w:val="en-US" w:eastAsia="zh-CN"/>
                      <w14:textFill>
                        <w14:solidFill>
                          <w14:schemeClr w14:val="tx1"/>
                        </w14:solidFill>
                      </w14:textFill>
                    </w:rPr>
                    <w:t>2</w:t>
                  </w:r>
                  <w:r>
                    <w:rPr>
                      <w:rFonts w:hint="default" w:ascii="Times New Roman" w:hAnsi="Times New Roman" w:cs="Times New Roman"/>
                      <w:color w:val="000000" w:themeColor="text1"/>
                      <w:szCs w:val="21"/>
                      <w14:textFill>
                        <w14:solidFill>
                          <w14:schemeClr w14:val="tx1"/>
                        </w14:solidFill>
                      </w14:textFill>
                    </w:rPr>
                    <w:t>）处理</w:t>
                  </w:r>
                  <w:r>
                    <w:rPr>
                      <w:rFonts w:hint="default" w:ascii="Times New Roman" w:hAnsi="Times New Roman" w:cs="Times New Roman"/>
                      <w:color w:val="000000" w:themeColor="text1"/>
                      <w:szCs w:val="21"/>
                      <w:lang w:eastAsia="zh-CN"/>
                      <w14:textFill>
                        <w14:solidFill>
                          <w14:schemeClr w14:val="tx1"/>
                        </w14:solidFill>
                      </w14:textFill>
                    </w:rPr>
                    <w:t>，经</w:t>
                  </w:r>
                  <w:r>
                    <w:rPr>
                      <w:rFonts w:hint="default" w:ascii="Times New Roman" w:hAnsi="Times New Roman" w:cs="Times New Roman"/>
                      <w:color w:val="000000" w:themeColor="text1"/>
                      <w:szCs w:val="21"/>
                      <w14:textFill>
                        <w14:solidFill>
                          <w14:schemeClr w14:val="tx1"/>
                        </w14:solidFill>
                      </w14:textFill>
                    </w:rPr>
                    <w:t>一根15m高排气筒（DA00</w:t>
                  </w:r>
                  <w:r>
                    <w:rPr>
                      <w:rFonts w:hint="eastAsia" w:cs="Times New Roman"/>
                      <w:color w:val="000000" w:themeColor="text1"/>
                      <w:szCs w:val="21"/>
                      <w:lang w:val="en-US" w:eastAsia="zh-CN"/>
                      <w14:textFill>
                        <w14:solidFill>
                          <w14:schemeClr w14:val="tx1"/>
                        </w14:solidFill>
                      </w14:textFill>
                    </w:rPr>
                    <w:t>2</w:t>
                  </w:r>
                  <w:r>
                    <w:rPr>
                      <w:rFonts w:hint="default" w:ascii="Times New Roman" w:hAnsi="Times New Roman" w:cs="Times New Roman"/>
                      <w:color w:val="000000" w:themeColor="text1"/>
                      <w:szCs w:val="21"/>
                      <w14:textFill>
                        <w14:solidFill>
                          <w14:schemeClr w14:val="tx1"/>
                        </w14:solidFill>
                      </w14:textFill>
                    </w:rPr>
                    <w:t>）</w:t>
                  </w:r>
                  <w:r>
                    <w:rPr>
                      <w:rFonts w:hint="default" w:ascii="Times New Roman" w:hAnsi="Times New Roman" w:cs="Times New Roman"/>
                      <w:color w:val="000000" w:themeColor="text1"/>
                      <w:szCs w:val="21"/>
                      <w:lang w:eastAsia="zh-CN"/>
                      <w14:textFill>
                        <w14:solidFill>
                          <w14:schemeClr w14:val="tx1"/>
                        </w14:solidFill>
                      </w14:textFill>
                    </w:rPr>
                    <w:t>排放。</w:t>
                  </w:r>
                </w:p>
              </w:tc>
              <w:tc>
                <w:tcPr>
                  <w:tcW w:w="753" w:type="pct"/>
                  <w:noWrap w:val="0"/>
                  <w:vAlign w:val="center"/>
                </w:tcPr>
                <w:p w14:paraId="52DA3D92">
                  <w:pPr>
                    <w:adjustRightInd w:val="0"/>
                    <w:snapToGrid w:val="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新建</w:t>
                  </w:r>
                </w:p>
              </w:tc>
            </w:tr>
            <w:tr w14:paraId="52189F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432" w:type="pct"/>
                  <w:vMerge w:val="continue"/>
                  <w:noWrap w:val="0"/>
                  <w:vAlign w:val="center"/>
                </w:tcPr>
                <w:p w14:paraId="698B2A1E">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p>
              </w:tc>
              <w:tc>
                <w:tcPr>
                  <w:tcW w:w="785" w:type="pct"/>
                  <w:gridSpan w:val="2"/>
                  <w:noWrap w:val="0"/>
                  <w:vAlign w:val="center"/>
                </w:tcPr>
                <w:p w14:paraId="5A1EA6EC">
                  <w:pPr>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废水处理系统</w:t>
                  </w:r>
                </w:p>
              </w:tc>
              <w:tc>
                <w:tcPr>
                  <w:tcW w:w="3028" w:type="pct"/>
                  <w:noWrap w:val="0"/>
                  <w:vAlign w:val="center"/>
                </w:tcPr>
                <w:p w14:paraId="4E71C0B4">
                  <w:pPr>
                    <w:adjustRightInd w:val="0"/>
                    <w:snapToGrid w:val="0"/>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本项目设备清洗用水沉淀后综合利用，</w:t>
                  </w:r>
                  <w:r>
                    <w:rPr>
                      <w:rFonts w:hint="eastAsia" w:cs="Times New Roman"/>
                      <w:color w:val="000000" w:themeColor="text1"/>
                      <w:szCs w:val="21"/>
                      <w:lang w:val="en-US" w:eastAsia="zh-CN"/>
                      <w14:textFill>
                        <w14:solidFill>
                          <w14:schemeClr w14:val="tx1"/>
                        </w14:solidFill>
                      </w14:textFill>
                    </w:rPr>
                    <w:t>去离子水制备</w:t>
                  </w:r>
                  <w:r>
                    <w:rPr>
                      <w:rFonts w:hint="default" w:ascii="Times New Roman" w:hAnsi="Times New Roman" w:cs="Times New Roman"/>
                      <w:color w:val="000000" w:themeColor="text1"/>
                      <w:szCs w:val="21"/>
                      <w:lang w:val="en-US" w:eastAsia="zh-CN"/>
                      <w14:textFill>
                        <w14:solidFill>
                          <w14:schemeClr w14:val="tx1"/>
                        </w14:solidFill>
                      </w14:textFill>
                    </w:rPr>
                    <w:t>浓水和膜冲洗废水经处理后与其他生活污水经园区公用化粪池处理后沿市政污水管网排入凤翔区第二污水处理厂处理。</w:t>
                  </w:r>
                </w:p>
              </w:tc>
              <w:tc>
                <w:tcPr>
                  <w:tcW w:w="753" w:type="pct"/>
                  <w:noWrap w:val="0"/>
                  <w:vAlign w:val="center"/>
                </w:tcPr>
                <w:p w14:paraId="6A702893">
                  <w:pPr>
                    <w:adjustRightInd w:val="0"/>
                    <w:snapToGrid w:val="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依托</w:t>
                  </w:r>
                  <w:r>
                    <w:rPr>
                      <w:rFonts w:hint="default" w:ascii="Times New Roman" w:hAnsi="Times New Roman" w:cs="Times New Roman"/>
                      <w:color w:val="000000" w:themeColor="text1"/>
                      <w:szCs w:val="21"/>
                      <w:lang w:val="en-US" w:eastAsia="zh-CN"/>
                      <w14:textFill>
                        <w14:solidFill>
                          <w14:schemeClr w14:val="tx1"/>
                        </w14:solidFill>
                      </w14:textFill>
                    </w:rPr>
                    <w:t>园区</w:t>
                  </w:r>
                </w:p>
              </w:tc>
            </w:tr>
            <w:tr w14:paraId="16EEF8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432" w:type="pct"/>
                  <w:vMerge w:val="continue"/>
                  <w:noWrap w:val="0"/>
                  <w:vAlign w:val="center"/>
                </w:tcPr>
                <w:p w14:paraId="38965D32">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p>
              </w:tc>
              <w:tc>
                <w:tcPr>
                  <w:tcW w:w="785" w:type="pct"/>
                  <w:gridSpan w:val="2"/>
                  <w:noWrap w:val="0"/>
                  <w:vAlign w:val="center"/>
                </w:tcPr>
                <w:p w14:paraId="142398F7">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噪声处理系统</w:t>
                  </w:r>
                </w:p>
              </w:tc>
              <w:tc>
                <w:tcPr>
                  <w:tcW w:w="3028" w:type="pct"/>
                  <w:noWrap w:val="0"/>
                  <w:vAlign w:val="center"/>
                </w:tcPr>
                <w:p w14:paraId="173B5672">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snapToGrid w:val="0"/>
                      <w:color w:val="000000" w:themeColor="text1"/>
                      <w:szCs w:val="21"/>
                      <w:lang w:eastAsia="zh-CN"/>
                      <w14:textFill>
                        <w14:solidFill>
                          <w14:schemeClr w14:val="tx1"/>
                        </w14:solidFill>
                      </w14:textFill>
                    </w:rPr>
                    <w:t>通过基础</w:t>
                  </w:r>
                  <w:r>
                    <w:rPr>
                      <w:rFonts w:hint="default" w:ascii="Times New Roman" w:hAnsi="Times New Roman" w:cs="Times New Roman"/>
                      <w:snapToGrid w:val="0"/>
                      <w:color w:val="000000" w:themeColor="text1"/>
                      <w:szCs w:val="21"/>
                      <w14:textFill>
                        <w14:solidFill>
                          <w14:schemeClr w14:val="tx1"/>
                        </w14:solidFill>
                      </w14:textFill>
                    </w:rPr>
                    <w:t>减振、厂房隔声、距离衰减</w:t>
                  </w:r>
                  <w:r>
                    <w:rPr>
                      <w:rFonts w:hint="default" w:ascii="Times New Roman" w:hAnsi="Times New Roman" w:cs="Times New Roman"/>
                      <w:snapToGrid w:val="0"/>
                      <w:color w:val="000000" w:themeColor="text1"/>
                      <w:szCs w:val="21"/>
                      <w:lang w:eastAsia="zh-CN"/>
                      <w14:textFill>
                        <w14:solidFill>
                          <w14:schemeClr w14:val="tx1"/>
                        </w14:solidFill>
                      </w14:textFill>
                    </w:rPr>
                    <w:t>等方式，对空压机</w:t>
                  </w:r>
                  <w:r>
                    <w:rPr>
                      <w:rFonts w:hint="eastAsia" w:cs="Times New Roman"/>
                      <w:snapToGrid w:val="0"/>
                      <w:color w:val="000000" w:themeColor="text1"/>
                      <w:szCs w:val="21"/>
                      <w:lang w:val="en-US" w:eastAsia="zh-CN"/>
                      <w14:textFill>
                        <w14:solidFill>
                          <w14:schemeClr w14:val="tx1"/>
                        </w14:solidFill>
                      </w14:textFill>
                    </w:rPr>
                    <w:t>、</w:t>
                  </w:r>
                  <w:r>
                    <w:rPr>
                      <w:rFonts w:hint="default" w:ascii="Times New Roman" w:hAnsi="Times New Roman" w:cs="Times New Roman"/>
                      <w:snapToGrid w:val="0"/>
                      <w:color w:val="000000" w:themeColor="text1"/>
                      <w:szCs w:val="21"/>
                      <w:lang w:val="en-US" w:eastAsia="zh-CN"/>
                      <w14:textFill>
                        <w14:solidFill>
                          <w14:schemeClr w14:val="tx1"/>
                        </w14:solidFill>
                      </w14:textFill>
                    </w:rPr>
                    <w:t>风机</w:t>
                  </w:r>
                  <w:r>
                    <w:rPr>
                      <w:rFonts w:hint="eastAsia" w:cs="Times New Roman"/>
                      <w:snapToGrid w:val="0"/>
                      <w:color w:val="000000" w:themeColor="text1"/>
                      <w:szCs w:val="21"/>
                      <w:lang w:val="en-US" w:eastAsia="zh-CN"/>
                      <w14:textFill>
                        <w14:solidFill>
                          <w14:schemeClr w14:val="tx1"/>
                        </w14:solidFill>
                      </w14:textFill>
                    </w:rPr>
                    <w:t>等设备均设置在车间内</w:t>
                  </w:r>
                  <w:r>
                    <w:rPr>
                      <w:rFonts w:hint="default" w:ascii="Times New Roman" w:hAnsi="Times New Roman" w:cs="Times New Roman"/>
                      <w:snapToGrid w:val="0"/>
                      <w:color w:val="000000" w:themeColor="text1"/>
                      <w:szCs w:val="21"/>
                      <w:lang w:val="en-US" w:eastAsia="zh-CN"/>
                      <w14:textFill>
                        <w14:solidFill>
                          <w14:schemeClr w14:val="tx1"/>
                        </w14:solidFill>
                      </w14:textFill>
                    </w:rPr>
                    <w:t>等。</w:t>
                  </w:r>
                </w:p>
              </w:tc>
              <w:tc>
                <w:tcPr>
                  <w:tcW w:w="753" w:type="pct"/>
                  <w:noWrap w:val="0"/>
                  <w:vAlign w:val="center"/>
                </w:tcPr>
                <w:p w14:paraId="174EE9C4">
                  <w:pPr>
                    <w:adjustRightInd w:val="0"/>
                    <w:snapToGrid w:val="0"/>
                    <w:jc w:val="center"/>
                    <w:rPr>
                      <w:rFonts w:hint="eastAsia" w:ascii="Times New Roman" w:hAnsi="Times New Roman" w:eastAsia="宋体" w:cs="Times New Roman"/>
                      <w:snapToGrid w:val="0"/>
                      <w:color w:val="000000" w:themeColor="text1"/>
                      <w:szCs w:val="21"/>
                      <w:lang w:val="en-US" w:eastAsia="zh-CN"/>
                      <w14:textFill>
                        <w14:solidFill>
                          <w14:schemeClr w14:val="tx1"/>
                        </w14:solidFill>
                      </w14:textFill>
                    </w:rPr>
                  </w:pPr>
                  <w:r>
                    <w:rPr>
                      <w:rFonts w:hint="eastAsia" w:cs="Times New Roman"/>
                      <w:snapToGrid w:val="0"/>
                      <w:color w:val="000000" w:themeColor="text1"/>
                      <w:szCs w:val="21"/>
                      <w:lang w:val="en-US" w:eastAsia="zh-CN"/>
                      <w14:textFill>
                        <w14:solidFill>
                          <w14:schemeClr w14:val="tx1"/>
                        </w14:solidFill>
                      </w14:textFill>
                    </w:rPr>
                    <w:t>新建</w:t>
                  </w:r>
                </w:p>
              </w:tc>
            </w:tr>
            <w:tr w14:paraId="7BE94B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432" w:type="pct"/>
                  <w:vMerge w:val="continue"/>
                  <w:noWrap w:val="0"/>
                  <w:vAlign w:val="center"/>
                </w:tcPr>
                <w:p w14:paraId="1488875A">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p>
              </w:tc>
              <w:tc>
                <w:tcPr>
                  <w:tcW w:w="785" w:type="pct"/>
                  <w:gridSpan w:val="2"/>
                  <w:noWrap w:val="0"/>
                  <w:vAlign w:val="center"/>
                </w:tcPr>
                <w:p w14:paraId="4C76795F">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固体废物收集设施</w:t>
                  </w:r>
                </w:p>
              </w:tc>
              <w:tc>
                <w:tcPr>
                  <w:tcW w:w="3028" w:type="pct"/>
                  <w:noWrap w:val="0"/>
                  <w:vAlign w:val="center"/>
                </w:tcPr>
                <w:p w14:paraId="19696A44">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生活垃圾集中收集定点堆放，定期交由环卫部门处理；一般固体废物中一般材料废包装袋/箱、</w:t>
                  </w:r>
                  <w:r>
                    <w:rPr>
                      <w:rFonts w:hint="eastAsia" w:cs="Times New Roman"/>
                      <w:color w:val="000000" w:themeColor="text1"/>
                      <w:szCs w:val="21"/>
                      <w:lang w:val="en-US" w:eastAsia="zh-CN"/>
                      <w14:textFill>
                        <w14:solidFill>
                          <w14:schemeClr w14:val="tx1"/>
                        </w14:solidFill>
                      </w14:textFill>
                    </w:rPr>
                    <w:t>不合格产品、</w:t>
                  </w:r>
                  <w:r>
                    <w:rPr>
                      <w:rFonts w:hint="default" w:ascii="Times New Roman" w:hAnsi="Times New Roman" w:cs="Times New Roman"/>
                      <w:color w:val="000000" w:themeColor="text1"/>
                      <w:szCs w:val="21"/>
                      <w:lang w:val="en-US" w:eastAsia="zh-CN"/>
                      <w14:textFill>
                        <w14:solidFill>
                          <w14:schemeClr w14:val="tx1"/>
                        </w14:solidFill>
                      </w14:textFill>
                    </w:rPr>
                    <w:t>废边角料、污泥等集中收集于一般固废暂存区，定期外售综合利用；收尘灰、沉渣回收作为原料回用，废反渗透膜每3-5年更换一次，由厂家回收带走。危险废物暂存于危废暂存间，定期交由有资质的单位进行处理。</w:t>
                  </w:r>
                </w:p>
              </w:tc>
              <w:tc>
                <w:tcPr>
                  <w:tcW w:w="753" w:type="pct"/>
                  <w:noWrap w:val="0"/>
                  <w:vAlign w:val="center"/>
                </w:tcPr>
                <w:p w14:paraId="4566E758">
                  <w:pPr>
                    <w:adjustRightInd w:val="0"/>
                    <w:snapToGrid w:val="0"/>
                    <w:jc w:val="center"/>
                    <w:rPr>
                      <w:rFonts w:hint="default" w:ascii="Times New Roman" w:hAnsi="Times New Roman" w:eastAsia="宋体" w:cs="Times New Roman"/>
                      <w:color w:val="000000" w:themeColor="text1"/>
                      <w:szCs w:val="21"/>
                      <w:lang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新建</w:t>
                  </w:r>
                </w:p>
              </w:tc>
            </w:tr>
          </w:tbl>
          <w:p w14:paraId="2D4F7AF7">
            <w:pPr>
              <w:widowControl/>
              <w:spacing w:line="360" w:lineRule="auto"/>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lang w:eastAsia="zh-CN"/>
                <w14:textFill>
                  <w14:solidFill>
                    <w14:schemeClr w14:val="tx1"/>
                  </w14:solidFill>
                </w14:textFill>
              </w:rPr>
              <w:t>4.</w:t>
            </w:r>
            <w:r>
              <w:rPr>
                <w:rFonts w:hint="default" w:ascii="Times New Roman" w:hAnsi="Times New Roman" w:cs="Times New Roman"/>
                <w:color w:val="000000" w:themeColor="text1"/>
                <w:sz w:val="24"/>
                <w14:textFill>
                  <w14:solidFill>
                    <w14:schemeClr w14:val="tx1"/>
                  </w14:solidFill>
                </w14:textFill>
              </w:rPr>
              <w:t>项目主要生产设施</w:t>
            </w:r>
          </w:p>
          <w:p w14:paraId="47AE1789">
            <w:pPr>
              <w:widowControl/>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项目主要生产设施见表2-2。</w:t>
            </w:r>
          </w:p>
          <w:p w14:paraId="1BAC33AD">
            <w:pPr>
              <w:widowControl/>
              <w:spacing w:line="360" w:lineRule="auto"/>
              <w:ind w:firstLine="482" w:firstLineChars="200"/>
              <w:jc w:val="center"/>
              <w:rPr>
                <w:rFonts w:hint="default" w:ascii="Times New Roman" w:hAnsi="Times New Roman" w:cs="Times New Roman"/>
                <w:b/>
                <w:color w:val="000000" w:themeColor="text1"/>
                <w:sz w:val="24"/>
                <w14:textFill>
                  <w14:solidFill>
                    <w14:schemeClr w14:val="tx1"/>
                  </w14:solidFill>
                </w14:textFill>
              </w:rPr>
            </w:pPr>
            <w:r>
              <w:rPr>
                <w:rFonts w:hint="default" w:ascii="Times New Roman" w:hAnsi="Times New Roman" w:cs="Times New Roman"/>
                <w:b/>
                <w:color w:val="000000" w:themeColor="text1"/>
                <w:sz w:val="24"/>
                <w14:textFill>
                  <w14:solidFill>
                    <w14:schemeClr w14:val="tx1"/>
                  </w14:solidFill>
                </w14:textFill>
              </w:rPr>
              <w:t>表2-2  主要生产设施一览表</w:t>
            </w:r>
          </w:p>
          <w:tbl>
            <w:tblPr>
              <w:tblStyle w:val="36"/>
              <w:tblW w:w="4998" w:type="pct"/>
              <w:jc w:val="center"/>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696"/>
              <w:gridCol w:w="1979"/>
              <w:gridCol w:w="1079"/>
              <w:gridCol w:w="653"/>
              <w:gridCol w:w="1533"/>
              <w:gridCol w:w="1393"/>
              <w:gridCol w:w="1228"/>
            </w:tblGrid>
            <w:tr w14:paraId="388FEB0C">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0" w:hRule="atLeast"/>
                <w:jc w:val="center"/>
              </w:trPr>
              <w:tc>
                <w:tcPr>
                  <w:tcW w:w="406" w:type="pct"/>
                  <w:vMerge w:val="restart"/>
                  <w:tcBorders>
                    <w:tl2br w:val="nil"/>
                    <w:tr2bl w:val="nil"/>
                  </w:tcBorders>
                  <w:shd w:val="clear" w:color="auto" w:fill="auto"/>
                  <w:vAlign w:val="center"/>
                </w:tcPr>
                <w:p w14:paraId="6AC6B10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0"/>
                      <w:szCs w:val="20"/>
                      <w:u w:val="none"/>
                      <w:lang w:val="en-US" w:eastAsia="zh-CN" w:bidi="ar"/>
                      <w14:textFill>
                        <w14:solidFill>
                          <w14:schemeClr w14:val="tx1"/>
                        </w14:solidFill>
                      </w14:textFill>
                    </w:rPr>
                    <w:t>序号</w:t>
                  </w:r>
                </w:p>
              </w:tc>
              <w:tc>
                <w:tcPr>
                  <w:tcW w:w="1155" w:type="pct"/>
                  <w:vMerge w:val="restart"/>
                  <w:tcBorders>
                    <w:tl2br w:val="nil"/>
                    <w:tr2bl w:val="nil"/>
                  </w:tcBorders>
                  <w:shd w:val="clear" w:color="auto" w:fill="auto"/>
                  <w:vAlign w:val="center"/>
                </w:tcPr>
                <w:p w14:paraId="52EA709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0"/>
                      <w:szCs w:val="20"/>
                      <w:u w:val="none"/>
                      <w:lang w:val="en-US" w:eastAsia="zh-CN" w:bidi="ar"/>
                      <w14:textFill>
                        <w14:solidFill>
                          <w14:schemeClr w14:val="tx1"/>
                        </w14:solidFill>
                      </w14:textFill>
                    </w:rPr>
                    <w:t>设备名称</w:t>
                  </w:r>
                </w:p>
              </w:tc>
              <w:tc>
                <w:tcPr>
                  <w:tcW w:w="630" w:type="pct"/>
                  <w:vMerge w:val="restart"/>
                  <w:tcBorders>
                    <w:tl2br w:val="nil"/>
                    <w:tr2bl w:val="nil"/>
                  </w:tcBorders>
                  <w:shd w:val="clear" w:color="auto" w:fill="auto"/>
                  <w:vAlign w:val="center"/>
                </w:tcPr>
                <w:p w14:paraId="33CD910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0"/>
                      <w:szCs w:val="20"/>
                      <w:u w:val="none"/>
                      <w:lang w:val="en-US" w:eastAsia="zh-CN" w:bidi="ar"/>
                      <w14:textFill>
                        <w14:solidFill>
                          <w14:schemeClr w14:val="tx1"/>
                        </w14:solidFill>
                      </w14:textFill>
                    </w:rPr>
                    <w:t>数量</w:t>
                  </w:r>
                </w:p>
              </w:tc>
              <w:tc>
                <w:tcPr>
                  <w:tcW w:w="381" w:type="pct"/>
                  <w:vMerge w:val="restart"/>
                  <w:tcBorders>
                    <w:tl2br w:val="nil"/>
                    <w:tr2bl w:val="nil"/>
                  </w:tcBorders>
                  <w:shd w:val="clear" w:color="auto" w:fill="auto"/>
                  <w:vAlign w:val="center"/>
                </w:tcPr>
                <w:p w14:paraId="1E8573C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0"/>
                      <w:szCs w:val="20"/>
                      <w:u w:val="none"/>
                      <w:lang w:val="en-US" w:eastAsia="zh-CN" w:bidi="ar"/>
                      <w14:textFill>
                        <w14:solidFill>
                          <w14:schemeClr w14:val="tx1"/>
                        </w14:solidFill>
                      </w14:textFill>
                    </w:rPr>
                    <w:t>单位</w:t>
                  </w:r>
                </w:p>
              </w:tc>
              <w:tc>
                <w:tcPr>
                  <w:tcW w:w="895" w:type="pct"/>
                  <w:vMerge w:val="restart"/>
                  <w:tcBorders>
                    <w:tl2br w:val="nil"/>
                    <w:tr2bl w:val="nil"/>
                  </w:tcBorders>
                  <w:shd w:val="clear" w:color="auto" w:fill="auto"/>
                  <w:vAlign w:val="center"/>
                </w:tcPr>
                <w:p w14:paraId="40D4762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0"/>
                      <w:szCs w:val="20"/>
                      <w:u w:val="none"/>
                      <w:lang w:val="en-US" w:eastAsia="zh-CN" w:bidi="ar"/>
                      <w14:textFill>
                        <w14:solidFill>
                          <w14:schemeClr w14:val="tx1"/>
                        </w14:solidFill>
                      </w14:textFill>
                    </w:rPr>
                    <w:t>型号/参数</w:t>
                  </w:r>
                </w:p>
              </w:tc>
              <w:tc>
                <w:tcPr>
                  <w:tcW w:w="813" w:type="pct"/>
                  <w:vMerge w:val="restart"/>
                  <w:tcBorders>
                    <w:tl2br w:val="nil"/>
                    <w:tr2bl w:val="nil"/>
                  </w:tcBorders>
                  <w:shd w:val="clear" w:color="auto" w:fill="auto"/>
                  <w:vAlign w:val="center"/>
                </w:tcPr>
                <w:p w14:paraId="0FD00B3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eastAsia" w:cs="Times New Roman"/>
                      <w:b/>
                      <w:bCs/>
                      <w:i w:val="0"/>
                      <w:iCs w:val="0"/>
                      <w:color w:val="000000" w:themeColor="text1"/>
                      <w:kern w:val="0"/>
                      <w:sz w:val="20"/>
                      <w:szCs w:val="20"/>
                      <w:u w:val="none"/>
                      <w:lang w:val="en-US" w:eastAsia="zh-CN" w:bidi="ar"/>
                      <w14:textFill>
                        <w14:solidFill>
                          <w14:schemeClr w14:val="tx1"/>
                        </w14:solidFill>
                      </w14:textFill>
                    </w:rPr>
                    <w:t>备注</w:t>
                  </w:r>
                </w:p>
              </w:tc>
              <w:tc>
                <w:tcPr>
                  <w:tcW w:w="717" w:type="pct"/>
                  <w:vMerge w:val="restart"/>
                  <w:tcBorders>
                    <w:tl2br w:val="nil"/>
                    <w:tr2bl w:val="nil"/>
                  </w:tcBorders>
                  <w:shd w:val="clear" w:color="auto" w:fill="auto"/>
                  <w:vAlign w:val="center"/>
                </w:tcPr>
                <w:p w14:paraId="2E24566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0"/>
                      <w:szCs w:val="20"/>
                      <w:u w:val="none"/>
                      <w:lang w:val="en-US" w:eastAsia="zh-CN" w:bidi="ar"/>
                      <w14:textFill>
                        <w14:solidFill>
                          <w14:schemeClr w14:val="tx1"/>
                        </w14:solidFill>
                      </w14:textFill>
                    </w:rPr>
                    <w:t>所在车间</w:t>
                  </w:r>
                </w:p>
              </w:tc>
            </w:tr>
            <w:tr w14:paraId="53055A0F">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0" w:hRule="atLeast"/>
                <w:jc w:val="center"/>
              </w:trPr>
              <w:tc>
                <w:tcPr>
                  <w:tcW w:w="406" w:type="pct"/>
                  <w:vMerge w:val="continue"/>
                  <w:tcBorders>
                    <w:tl2br w:val="nil"/>
                    <w:tr2bl w:val="nil"/>
                  </w:tcBorders>
                  <w:shd w:val="clear" w:color="auto" w:fill="auto"/>
                  <w:vAlign w:val="center"/>
                </w:tcPr>
                <w:p w14:paraId="0749C63E">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p>
              </w:tc>
              <w:tc>
                <w:tcPr>
                  <w:tcW w:w="1155" w:type="pct"/>
                  <w:vMerge w:val="continue"/>
                  <w:tcBorders>
                    <w:tl2br w:val="nil"/>
                    <w:tr2bl w:val="nil"/>
                  </w:tcBorders>
                  <w:shd w:val="clear" w:color="auto" w:fill="auto"/>
                  <w:vAlign w:val="center"/>
                </w:tcPr>
                <w:p w14:paraId="1E58D43E">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p>
              </w:tc>
              <w:tc>
                <w:tcPr>
                  <w:tcW w:w="630" w:type="pct"/>
                  <w:vMerge w:val="continue"/>
                  <w:tcBorders>
                    <w:tl2br w:val="nil"/>
                    <w:tr2bl w:val="nil"/>
                  </w:tcBorders>
                  <w:shd w:val="clear" w:color="auto" w:fill="auto"/>
                  <w:vAlign w:val="center"/>
                </w:tcPr>
                <w:p w14:paraId="3935B556">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p>
              </w:tc>
              <w:tc>
                <w:tcPr>
                  <w:tcW w:w="381" w:type="pct"/>
                  <w:vMerge w:val="continue"/>
                  <w:tcBorders>
                    <w:tl2br w:val="nil"/>
                    <w:tr2bl w:val="nil"/>
                  </w:tcBorders>
                  <w:shd w:val="clear" w:color="auto" w:fill="auto"/>
                  <w:vAlign w:val="center"/>
                </w:tcPr>
                <w:p w14:paraId="62896B92">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p>
              </w:tc>
              <w:tc>
                <w:tcPr>
                  <w:tcW w:w="895" w:type="pct"/>
                  <w:vMerge w:val="continue"/>
                  <w:tcBorders>
                    <w:tl2br w:val="nil"/>
                    <w:tr2bl w:val="nil"/>
                  </w:tcBorders>
                  <w:shd w:val="clear" w:color="auto" w:fill="auto"/>
                  <w:vAlign w:val="center"/>
                </w:tcPr>
                <w:p w14:paraId="139516A0">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p>
              </w:tc>
              <w:tc>
                <w:tcPr>
                  <w:tcW w:w="813" w:type="pct"/>
                  <w:vMerge w:val="continue"/>
                  <w:tcBorders>
                    <w:tl2br w:val="nil"/>
                    <w:tr2bl w:val="nil"/>
                  </w:tcBorders>
                  <w:shd w:val="clear" w:color="auto" w:fill="auto"/>
                  <w:vAlign w:val="center"/>
                </w:tcPr>
                <w:p w14:paraId="5B074CDB">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p>
              </w:tc>
              <w:tc>
                <w:tcPr>
                  <w:tcW w:w="717" w:type="pct"/>
                  <w:vMerge w:val="continue"/>
                  <w:tcBorders>
                    <w:tl2br w:val="nil"/>
                    <w:tr2bl w:val="nil"/>
                  </w:tcBorders>
                  <w:shd w:val="clear" w:color="auto" w:fill="auto"/>
                  <w:vAlign w:val="center"/>
                </w:tcPr>
                <w:p w14:paraId="3592084E">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p>
              </w:tc>
            </w:tr>
            <w:tr w14:paraId="60C3A002">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06" w:type="pct"/>
                  <w:tcBorders>
                    <w:tl2br w:val="nil"/>
                    <w:tr2bl w:val="nil"/>
                  </w:tcBorders>
                  <w:shd w:val="clear" w:color="auto" w:fill="auto"/>
                  <w:vAlign w:val="center"/>
                </w:tcPr>
                <w:p w14:paraId="09D0F87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1</w:t>
                  </w:r>
                </w:p>
              </w:tc>
              <w:tc>
                <w:tcPr>
                  <w:tcW w:w="1155" w:type="pct"/>
                  <w:tcBorders>
                    <w:tl2br w:val="nil"/>
                    <w:tr2bl w:val="nil"/>
                  </w:tcBorders>
                  <w:shd w:val="clear" w:color="auto" w:fill="auto"/>
                  <w:vAlign w:val="center"/>
                </w:tcPr>
                <w:p w14:paraId="6E30C26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砂磨机</w:t>
                  </w:r>
                </w:p>
              </w:tc>
              <w:tc>
                <w:tcPr>
                  <w:tcW w:w="630" w:type="pct"/>
                  <w:tcBorders>
                    <w:tl2br w:val="nil"/>
                    <w:tr2bl w:val="nil"/>
                  </w:tcBorders>
                  <w:shd w:val="clear" w:color="auto" w:fill="auto"/>
                  <w:vAlign w:val="center"/>
                </w:tcPr>
                <w:p w14:paraId="3D868A0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6</w:t>
                  </w:r>
                </w:p>
              </w:tc>
              <w:tc>
                <w:tcPr>
                  <w:tcW w:w="381" w:type="pct"/>
                  <w:tcBorders>
                    <w:tl2br w:val="nil"/>
                    <w:tr2bl w:val="nil"/>
                  </w:tcBorders>
                  <w:shd w:val="clear" w:color="auto" w:fill="auto"/>
                  <w:vAlign w:val="center"/>
                </w:tcPr>
                <w:p w14:paraId="47A2D2B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台</w:t>
                  </w:r>
                </w:p>
              </w:tc>
              <w:tc>
                <w:tcPr>
                  <w:tcW w:w="895" w:type="pct"/>
                  <w:tcBorders>
                    <w:tl2br w:val="nil"/>
                    <w:tr2bl w:val="nil"/>
                  </w:tcBorders>
                  <w:shd w:val="clear" w:color="auto" w:fill="auto"/>
                  <w:vAlign w:val="center"/>
                </w:tcPr>
                <w:p w14:paraId="7DB09C7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10KW</w:t>
                  </w:r>
                </w:p>
              </w:tc>
              <w:tc>
                <w:tcPr>
                  <w:tcW w:w="813" w:type="pct"/>
                  <w:tcBorders>
                    <w:tl2br w:val="nil"/>
                    <w:tr2bl w:val="nil"/>
                  </w:tcBorders>
                  <w:shd w:val="clear" w:color="auto" w:fill="auto"/>
                  <w:vAlign w:val="center"/>
                </w:tcPr>
                <w:p w14:paraId="41CC123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新购</w:t>
                  </w:r>
                </w:p>
              </w:tc>
              <w:tc>
                <w:tcPr>
                  <w:tcW w:w="717" w:type="pct"/>
                  <w:vMerge w:val="restart"/>
                  <w:tcBorders>
                    <w:tl2br w:val="nil"/>
                    <w:tr2bl w:val="nil"/>
                  </w:tcBorders>
                  <w:shd w:val="clear" w:color="auto" w:fill="auto"/>
                  <w:vAlign w:val="center"/>
                </w:tcPr>
                <w:p w14:paraId="63A3C08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eastAsia"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造粒</w:t>
                  </w: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车间</w:t>
                  </w:r>
                </w:p>
              </w:tc>
            </w:tr>
            <w:tr w14:paraId="447B0B9B">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0" w:hRule="atLeast"/>
                <w:jc w:val="center"/>
              </w:trPr>
              <w:tc>
                <w:tcPr>
                  <w:tcW w:w="406" w:type="pct"/>
                  <w:tcBorders>
                    <w:tl2br w:val="nil"/>
                    <w:tr2bl w:val="nil"/>
                  </w:tcBorders>
                  <w:shd w:val="clear" w:color="auto" w:fill="auto"/>
                  <w:vAlign w:val="center"/>
                </w:tcPr>
                <w:p w14:paraId="5ACC679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2</w:t>
                  </w:r>
                </w:p>
              </w:tc>
              <w:tc>
                <w:tcPr>
                  <w:tcW w:w="1155" w:type="pct"/>
                  <w:tcBorders>
                    <w:tl2br w:val="nil"/>
                    <w:tr2bl w:val="nil"/>
                  </w:tcBorders>
                  <w:shd w:val="clear" w:color="auto" w:fill="auto"/>
                  <w:vAlign w:val="center"/>
                </w:tcPr>
                <w:p w14:paraId="729A943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球磨机</w:t>
                  </w:r>
                </w:p>
              </w:tc>
              <w:tc>
                <w:tcPr>
                  <w:tcW w:w="630" w:type="pct"/>
                  <w:tcBorders>
                    <w:tl2br w:val="nil"/>
                    <w:tr2bl w:val="nil"/>
                  </w:tcBorders>
                  <w:shd w:val="clear" w:color="auto" w:fill="auto"/>
                  <w:vAlign w:val="center"/>
                </w:tcPr>
                <w:p w14:paraId="2ACB687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eastAsia" w:cs="Times New Roman"/>
                      <w:i w:val="0"/>
                      <w:iCs w:val="0"/>
                      <w:color w:val="000000" w:themeColor="text1"/>
                      <w:kern w:val="0"/>
                      <w:sz w:val="20"/>
                      <w:szCs w:val="20"/>
                      <w:u w:val="none"/>
                      <w:lang w:val="en-US" w:eastAsia="zh-CN" w:bidi="ar"/>
                      <w14:textFill>
                        <w14:solidFill>
                          <w14:schemeClr w14:val="tx1"/>
                        </w14:solidFill>
                      </w14:textFill>
                    </w:rPr>
                    <w:t>1</w:t>
                  </w:r>
                </w:p>
              </w:tc>
              <w:tc>
                <w:tcPr>
                  <w:tcW w:w="381" w:type="pct"/>
                  <w:tcBorders>
                    <w:tl2br w:val="nil"/>
                    <w:tr2bl w:val="nil"/>
                  </w:tcBorders>
                  <w:shd w:val="clear" w:color="auto" w:fill="auto"/>
                  <w:vAlign w:val="center"/>
                </w:tcPr>
                <w:p w14:paraId="3AFC87C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台</w:t>
                  </w:r>
                </w:p>
              </w:tc>
              <w:tc>
                <w:tcPr>
                  <w:tcW w:w="895" w:type="pct"/>
                  <w:tcBorders>
                    <w:tl2br w:val="nil"/>
                    <w:tr2bl w:val="nil"/>
                  </w:tcBorders>
                  <w:shd w:val="clear" w:color="auto" w:fill="auto"/>
                  <w:vAlign w:val="center"/>
                </w:tcPr>
                <w:p w14:paraId="456DBE5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1</w:t>
                  </w:r>
                  <w: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5</w:t>
                  </w: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KW</w:t>
                  </w:r>
                </w:p>
              </w:tc>
              <w:tc>
                <w:tcPr>
                  <w:tcW w:w="813" w:type="pct"/>
                  <w:tcBorders>
                    <w:tl2br w:val="nil"/>
                    <w:tr2bl w:val="nil"/>
                  </w:tcBorders>
                  <w:shd w:val="clear" w:color="auto" w:fill="auto"/>
                  <w:vAlign w:val="center"/>
                </w:tcPr>
                <w:p w14:paraId="0AFCBBD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新购</w:t>
                  </w:r>
                </w:p>
              </w:tc>
              <w:tc>
                <w:tcPr>
                  <w:tcW w:w="717" w:type="pct"/>
                  <w:vMerge w:val="continue"/>
                  <w:tcBorders>
                    <w:tl2br w:val="nil"/>
                    <w:tr2bl w:val="nil"/>
                  </w:tcBorders>
                  <w:shd w:val="clear" w:color="auto" w:fill="auto"/>
                  <w:vAlign w:val="center"/>
                </w:tcPr>
                <w:p w14:paraId="6990E8D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p>
              </w:tc>
            </w:tr>
            <w:tr w14:paraId="0DE50F7F">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0" w:hRule="atLeast"/>
                <w:jc w:val="center"/>
              </w:trPr>
              <w:tc>
                <w:tcPr>
                  <w:tcW w:w="406" w:type="pct"/>
                  <w:tcBorders>
                    <w:tl2br w:val="nil"/>
                    <w:tr2bl w:val="nil"/>
                  </w:tcBorders>
                  <w:shd w:val="clear" w:color="auto" w:fill="auto"/>
                  <w:vAlign w:val="center"/>
                </w:tcPr>
                <w:p w14:paraId="4921453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3</w:t>
                  </w:r>
                </w:p>
              </w:tc>
              <w:tc>
                <w:tcPr>
                  <w:tcW w:w="1155" w:type="pct"/>
                  <w:tcBorders>
                    <w:tl2br w:val="nil"/>
                    <w:tr2bl w:val="nil"/>
                  </w:tcBorders>
                  <w:shd w:val="clear" w:color="auto" w:fill="auto"/>
                  <w:vAlign w:val="center"/>
                </w:tcPr>
                <w:p w14:paraId="6C7B736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lang w:val="en-US"/>
                      <w14:textFill>
                        <w14:solidFill>
                          <w14:schemeClr w14:val="tx1"/>
                        </w14:solidFill>
                      </w14:textFill>
                    </w:rPr>
                  </w:pPr>
                  <w:r>
                    <w:rPr>
                      <w:rFonts w:hint="eastAsia" w:cs="Times New Roman"/>
                      <w:i w:val="0"/>
                      <w:iCs w:val="0"/>
                      <w:color w:val="000000" w:themeColor="text1"/>
                      <w:kern w:val="0"/>
                      <w:sz w:val="20"/>
                      <w:szCs w:val="20"/>
                      <w:u w:val="none"/>
                      <w:lang w:val="en-US" w:eastAsia="zh-CN" w:bidi="ar"/>
                      <w14:textFill>
                        <w14:solidFill>
                          <w14:schemeClr w14:val="tx1"/>
                        </w14:solidFill>
                      </w14:textFill>
                    </w:rPr>
                    <w:t>高速搅拌机</w:t>
                  </w:r>
                </w:p>
              </w:tc>
              <w:tc>
                <w:tcPr>
                  <w:tcW w:w="630" w:type="pct"/>
                  <w:tcBorders>
                    <w:tl2br w:val="nil"/>
                    <w:tr2bl w:val="nil"/>
                  </w:tcBorders>
                  <w:shd w:val="clear" w:color="auto" w:fill="auto"/>
                  <w:vAlign w:val="center"/>
                </w:tcPr>
                <w:p w14:paraId="4DDFAFC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1</w:t>
                  </w:r>
                </w:p>
              </w:tc>
              <w:tc>
                <w:tcPr>
                  <w:tcW w:w="381" w:type="pct"/>
                  <w:tcBorders>
                    <w:tl2br w:val="nil"/>
                    <w:tr2bl w:val="nil"/>
                  </w:tcBorders>
                  <w:shd w:val="clear" w:color="auto" w:fill="auto"/>
                  <w:vAlign w:val="center"/>
                </w:tcPr>
                <w:p w14:paraId="7CC40A9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台</w:t>
                  </w:r>
                </w:p>
              </w:tc>
              <w:tc>
                <w:tcPr>
                  <w:tcW w:w="895" w:type="pct"/>
                  <w:tcBorders>
                    <w:tl2br w:val="nil"/>
                    <w:tr2bl w:val="nil"/>
                  </w:tcBorders>
                  <w:shd w:val="clear" w:color="auto" w:fill="auto"/>
                  <w:vAlign w:val="center"/>
                </w:tcPr>
                <w:p w14:paraId="3629C7B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3KW</w:t>
                  </w:r>
                </w:p>
              </w:tc>
              <w:tc>
                <w:tcPr>
                  <w:tcW w:w="813" w:type="pct"/>
                  <w:tcBorders>
                    <w:tl2br w:val="nil"/>
                    <w:tr2bl w:val="nil"/>
                  </w:tcBorders>
                  <w:shd w:val="clear" w:color="auto" w:fill="auto"/>
                  <w:vAlign w:val="center"/>
                </w:tcPr>
                <w:p w14:paraId="29AD18D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新购</w:t>
                  </w:r>
                </w:p>
              </w:tc>
              <w:tc>
                <w:tcPr>
                  <w:tcW w:w="717" w:type="pct"/>
                  <w:vMerge w:val="continue"/>
                  <w:tcBorders>
                    <w:tl2br w:val="nil"/>
                    <w:tr2bl w:val="nil"/>
                  </w:tcBorders>
                  <w:shd w:val="clear" w:color="auto" w:fill="auto"/>
                  <w:vAlign w:val="center"/>
                </w:tcPr>
                <w:p w14:paraId="117AD2E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p>
              </w:tc>
            </w:tr>
            <w:tr w14:paraId="7B5EE65A">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0" w:hRule="atLeast"/>
                <w:jc w:val="center"/>
              </w:trPr>
              <w:tc>
                <w:tcPr>
                  <w:tcW w:w="406" w:type="pct"/>
                  <w:tcBorders>
                    <w:tl2br w:val="nil"/>
                    <w:tr2bl w:val="nil"/>
                  </w:tcBorders>
                  <w:shd w:val="clear" w:color="auto" w:fill="auto"/>
                  <w:vAlign w:val="center"/>
                </w:tcPr>
                <w:p w14:paraId="4D066BE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4</w:t>
                  </w:r>
                </w:p>
              </w:tc>
              <w:tc>
                <w:tcPr>
                  <w:tcW w:w="1155" w:type="pct"/>
                  <w:tcBorders>
                    <w:tl2br w:val="nil"/>
                    <w:tr2bl w:val="nil"/>
                  </w:tcBorders>
                  <w:shd w:val="clear" w:color="auto" w:fill="auto"/>
                  <w:vAlign w:val="center"/>
                </w:tcPr>
                <w:p w14:paraId="511843A9">
                  <w:pPr>
                    <w:keepNext w:val="0"/>
                    <w:keepLines w:val="0"/>
                    <w:widowControl/>
                    <w:suppressLineNumbers w:val="0"/>
                    <w:spacing w:before="0" w:beforeAutospacing="0" w:after="0" w:afterAutospacing="0"/>
                    <w:ind w:left="0" w:right="0"/>
                    <w:jc w:val="center"/>
                    <w:textAlignment w:val="center"/>
                    <w:rPr>
                      <w:rFonts w:hint="default" w:cs="Times New Roman"/>
                      <w:i w:val="0"/>
                      <w:iCs w:val="0"/>
                      <w:color w:val="000000" w:themeColor="text1"/>
                      <w:kern w:val="0"/>
                      <w:sz w:val="20"/>
                      <w:szCs w:val="20"/>
                      <w:u w:val="none"/>
                      <w:lang w:val="en-US" w:eastAsia="zh-CN" w:bidi="ar"/>
                      <w14:textFill>
                        <w14:solidFill>
                          <w14:schemeClr w14:val="tx1"/>
                        </w14:solidFill>
                      </w14:textFill>
                    </w:rPr>
                  </w:pPr>
                  <w:r>
                    <w:rPr>
                      <w:rFonts w:hint="eastAsia" w:cs="Times New Roman"/>
                      <w:i w:val="0"/>
                      <w:iCs w:val="0"/>
                      <w:color w:val="000000" w:themeColor="text1"/>
                      <w:kern w:val="0"/>
                      <w:sz w:val="20"/>
                      <w:szCs w:val="20"/>
                      <w:u w:val="none"/>
                      <w:lang w:val="en-US" w:eastAsia="zh-CN" w:bidi="ar"/>
                      <w14:textFill>
                        <w14:solidFill>
                          <w14:schemeClr w14:val="tx1"/>
                        </w14:solidFill>
                      </w14:textFill>
                    </w:rPr>
                    <w:t>低速搅拌罐</w:t>
                  </w:r>
                </w:p>
              </w:tc>
              <w:tc>
                <w:tcPr>
                  <w:tcW w:w="630" w:type="pct"/>
                  <w:tcBorders>
                    <w:tl2br w:val="nil"/>
                    <w:tr2bl w:val="nil"/>
                  </w:tcBorders>
                  <w:shd w:val="clear" w:color="auto" w:fill="auto"/>
                  <w:vAlign w:val="center"/>
                </w:tcPr>
                <w:p w14:paraId="38D2CF9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eastAsia" w:cs="Times New Roman"/>
                      <w:i w:val="0"/>
                      <w:iCs w:val="0"/>
                      <w:color w:val="000000" w:themeColor="text1"/>
                      <w:kern w:val="0"/>
                      <w:sz w:val="20"/>
                      <w:szCs w:val="20"/>
                      <w:u w:val="none"/>
                      <w:lang w:val="en-US" w:eastAsia="zh-CN" w:bidi="ar"/>
                      <w14:textFill>
                        <w14:solidFill>
                          <w14:schemeClr w14:val="tx1"/>
                        </w14:solidFill>
                      </w14:textFill>
                    </w:rPr>
                    <w:t>1</w:t>
                  </w:r>
                </w:p>
              </w:tc>
              <w:tc>
                <w:tcPr>
                  <w:tcW w:w="381" w:type="pct"/>
                  <w:tcBorders>
                    <w:tl2br w:val="nil"/>
                    <w:tr2bl w:val="nil"/>
                  </w:tcBorders>
                  <w:shd w:val="clear" w:color="auto" w:fill="auto"/>
                  <w:vAlign w:val="center"/>
                </w:tcPr>
                <w:p w14:paraId="22F1E23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台</w:t>
                  </w:r>
                </w:p>
              </w:tc>
              <w:tc>
                <w:tcPr>
                  <w:tcW w:w="895" w:type="pct"/>
                  <w:tcBorders>
                    <w:tl2br w:val="nil"/>
                    <w:tr2bl w:val="nil"/>
                  </w:tcBorders>
                  <w:shd w:val="clear" w:color="auto" w:fill="auto"/>
                  <w:vAlign w:val="center"/>
                </w:tcPr>
                <w:p w14:paraId="1304ED7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eastAsia" w:cs="Times New Roman"/>
                      <w:i w:val="0"/>
                      <w:iCs w:val="0"/>
                      <w:color w:val="000000" w:themeColor="text1"/>
                      <w:kern w:val="0"/>
                      <w:sz w:val="20"/>
                      <w:szCs w:val="20"/>
                      <w:u w:val="none"/>
                      <w:lang w:val="en-US" w:eastAsia="zh-CN" w:bidi="ar"/>
                      <w14:textFill>
                        <w14:solidFill>
                          <w14:schemeClr w14:val="tx1"/>
                        </w14:solidFill>
                      </w14:textFill>
                    </w:rPr>
                    <w:t>2KW</w:t>
                  </w:r>
                </w:p>
              </w:tc>
              <w:tc>
                <w:tcPr>
                  <w:tcW w:w="813" w:type="pct"/>
                  <w:tcBorders>
                    <w:tl2br w:val="nil"/>
                    <w:tr2bl w:val="nil"/>
                  </w:tcBorders>
                  <w:shd w:val="clear" w:color="auto" w:fill="auto"/>
                  <w:vAlign w:val="center"/>
                </w:tcPr>
                <w:p w14:paraId="2E6928E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新购</w:t>
                  </w:r>
                </w:p>
              </w:tc>
              <w:tc>
                <w:tcPr>
                  <w:tcW w:w="717" w:type="pct"/>
                  <w:vMerge w:val="continue"/>
                  <w:tcBorders>
                    <w:tl2br w:val="nil"/>
                    <w:tr2bl w:val="nil"/>
                  </w:tcBorders>
                  <w:shd w:val="clear" w:color="auto" w:fill="auto"/>
                  <w:vAlign w:val="center"/>
                </w:tcPr>
                <w:p w14:paraId="315F606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p>
              </w:tc>
            </w:tr>
            <w:tr w14:paraId="2DA95FE9">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06" w:type="pct"/>
                  <w:tcBorders>
                    <w:tl2br w:val="nil"/>
                    <w:tr2bl w:val="nil"/>
                  </w:tcBorders>
                  <w:shd w:val="clear" w:color="auto" w:fill="auto"/>
                  <w:vAlign w:val="center"/>
                </w:tcPr>
                <w:p w14:paraId="5776CC7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5</w:t>
                  </w:r>
                </w:p>
              </w:tc>
              <w:tc>
                <w:tcPr>
                  <w:tcW w:w="1155" w:type="pct"/>
                  <w:tcBorders>
                    <w:tl2br w:val="nil"/>
                    <w:tr2bl w:val="nil"/>
                  </w:tcBorders>
                  <w:shd w:val="clear" w:color="auto" w:fill="auto"/>
                  <w:vAlign w:val="center"/>
                </w:tcPr>
                <w:p w14:paraId="336917E3">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喷雾干燥塔</w:t>
                  </w:r>
                </w:p>
              </w:tc>
              <w:tc>
                <w:tcPr>
                  <w:tcW w:w="630" w:type="pct"/>
                  <w:tcBorders>
                    <w:tl2br w:val="nil"/>
                    <w:tr2bl w:val="nil"/>
                  </w:tcBorders>
                  <w:shd w:val="clear" w:color="auto" w:fill="auto"/>
                  <w:vAlign w:val="center"/>
                </w:tcPr>
                <w:p w14:paraId="7415ED6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eastAsia" w:cs="Times New Roman"/>
                      <w:i w:val="0"/>
                      <w:iCs w:val="0"/>
                      <w:color w:val="000000" w:themeColor="text1"/>
                      <w:kern w:val="0"/>
                      <w:sz w:val="20"/>
                      <w:szCs w:val="20"/>
                      <w:u w:val="none"/>
                      <w:lang w:val="en-US" w:eastAsia="zh-CN" w:bidi="ar"/>
                      <w14:textFill>
                        <w14:solidFill>
                          <w14:schemeClr w14:val="tx1"/>
                        </w14:solidFill>
                      </w14:textFill>
                    </w:rPr>
                    <w:t>2</w:t>
                  </w:r>
                </w:p>
              </w:tc>
              <w:tc>
                <w:tcPr>
                  <w:tcW w:w="381" w:type="pct"/>
                  <w:tcBorders>
                    <w:tl2br w:val="nil"/>
                    <w:tr2bl w:val="nil"/>
                  </w:tcBorders>
                  <w:shd w:val="clear" w:color="auto" w:fill="auto"/>
                  <w:vAlign w:val="center"/>
                </w:tcPr>
                <w:p w14:paraId="5FE53C2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台</w:t>
                  </w:r>
                </w:p>
              </w:tc>
              <w:tc>
                <w:tcPr>
                  <w:tcW w:w="895" w:type="pct"/>
                  <w:tcBorders>
                    <w:tl2br w:val="nil"/>
                    <w:tr2bl w:val="nil"/>
                  </w:tcBorders>
                  <w:shd w:val="clear" w:color="auto" w:fill="auto"/>
                  <w:vAlign w:val="center"/>
                </w:tcPr>
                <w:p w14:paraId="10A45B1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60KW</w:t>
                  </w:r>
                </w:p>
              </w:tc>
              <w:tc>
                <w:tcPr>
                  <w:tcW w:w="813" w:type="pct"/>
                  <w:tcBorders>
                    <w:tl2br w:val="nil"/>
                    <w:tr2bl w:val="nil"/>
                  </w:tcBorders>
                  <w:shd w:val="clear" w:color="auto" w:fill="auto"/>
                  <w:vAlign w:val="center"/>
                </w:tcPr>
                <w:p w14:paraId="5A5D26D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新购</w:t>
                  </w:r>
                </w:p>
              </w:tc>
              <w:tc>
                <w:tcPr>
                  <w:tcW w:w="717" w:type="pct"/>
                  <w:vMerge w:val="continue"/>
                  <w:tcBorders>
                    <w:tl2br w:val="nil"/>
                    <w:tr2bl w:val="nil"/>
                  </w:tcBorders>
                  <w:shd w:val="clear" w:color="auto" w:fill="auto"/>
                  <w:vAlign w:val="center"/>
                </w:tcPr>
                <w:p w14:paraId="7313B65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p>
              </w:tc>
            </w:tr>
            <w:tr w14:paraId="7F1DE81D">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0" w:hRule="atLeast"/>
                <w:jc w:val="center"/>
              </w:trPr>
              <w:tc>
                <w:tcPr>
                  <w:tcW w:w="406" w:type="pct"/>
                  <w:tcBorders>
                    <w:tl2br w:val="nil"/>
                    <w:tr2bl w:val="nil"/>
                  </w:tcBorders>
                  <w:shd w:val="clear" w:color="auto" w:fill="auto"/>
                  <w:vAlign w:val="center"/>
                </w:tcPr>
                <w:p w14:paraId="107DEC4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6</w:t>
                  </w:r>
                </w:p>
              </w:tc>
              <w:tc>
                <w:tcPr>
                  <w:tcW w:w="1155" w:type="pct"/>
                  <w:tcBorders>
                    <w:tl2br w:val="nil"/>
                    <w:tr2bl w:val="nil"/>
                  </w:tcBorders>
                  <w:shd w:val="clear" w:color="auto" w:fill="auto"/>
                  <w:vAlign w:val="center"/>
                </w:tcPr>
                <w:p w14:paraId="1D895744">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振动筛</w:t>
                  </w:r>
                </w:p>
              </w:tc>
              <w:tc>
                <w:tcPr>
                  <w:tcW w:w="630" w:type="pct"/>
                  <w:tcBorders>
                    <w:tl2br w:val="nil"/>
                    <w:tr2bl w:val="nil"/>
                  </w:tcBorders>
                  <w:shd w:val="clear" w:color="auto" w:fill="auto"/>
                  <w:vAlign w:val="center"/>
                </w:tcPr>
                <w:p w14:paraId="7340120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eastAsia" w:cs="Times New Roman"/>
                      <w:i w:val="0"/>
                      <w:iCs w:val="0"/>
                      <w:color w:val="000000" w:themeColor="text1"/>
                      <w:kern w:val="0"/>
                      <w:sz w:val="20"/>
                      <w:szCs w:val="20"/>
                      <w:u w:val="none"/>
                      <w:lang w:val="en-US" w:eastAsia="zh-CN" w:bidi="ar"/>
                      <w14:textFill>
                        <w14:solidFill>
                          <w14:schemeClr w14:val="tx1"/>
                        </w14:solidFill>
                      </w14:textFill>
                    </w:rPr>
                    <w:t>1</w:t>
                  </w:r>
                </w:p>
              </w:tc>
              <w:tc>
                <w:tcPr>
                  <w:tcW w:w="381" w:type="pct"/>
                  <w:tcBorders>
                    <w:tl2br w:val="nil"/>
                    <w:tr2bl w:val="nil"/>
                  </w:tcBorders>
                  <w:shd w:val="clear" w:color="auto" w:fill="auto"/>
                  <w:vAlign w:val="center"/>
                </w:tcPr>
                <w:p w14:paraId="7939ECE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台</w:t>
                  </w:r>
                </w:p>
              </w:tc>
              <w:tc>
                <w:tcPr>
                  <w:tcW w:w="895" w:type="pct"/>
                  <w:tcBorders>
                    <w:tl2br w:val="nil"/>
                    <w:tr2bl w:val="nil"/>
                  </w:tcBorders>
                  <w:shd w:val="clear" w:color="auto" w:fill="auto"/>
                  <w:vAlign w:val="center"/>
                </w:tcPr>
                <w:p w14:paraId="01037C3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0.75KW</w:t>
                  </w:r>
                </w:p>
              </w:tc>
              <w:tc>
                <w:tcPr>
                  <w:tcW w:w="813" w:type="pct"/>
                  <w:tcBorders>
                    <w:tl2br w:val="nil"/>
                    <w:tr2bl w:val="nil"/>
                  </w:tcBorders>
                  <w:shd w:val="clear" w:color="auto" w:fill="auto"/>
                  <w:vAlign w:val="center"/>
                </w:tcPr>
                <w:p w14:paraId="3F276C4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新购</w:t>
                  </w:r>
                </w:p>
              </w:tc>
              <w:tc>
                <w:tcPr>
                  <w:tcW w:w="717" w:type="pct"/>
                  <w:vMerge w:val="continue"/>
                  <w:tcBorders>
                    <w:tl2br w:val="nil"/>
                    <w:tr2bl w:val="nil"/>
                  </w:tcBorders>
                  <w:shd w:val="clear" w:color="auto" w:fill="auto"/>
                  <w:vAlign w:val="center"/>
                </w:tcPr>
                <w:p w14:paraId="6F02290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p>
              </w:tc>
            </w:tr>
            <w:tr w14:paraId="3E849523">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0" w:hRule="atLeast"/>
                <w:jc w:val="center"/>
              </w:trPr>
              <w:tc>
                <w:tcPr>
                  <w:tcW w:w="406" w:type="pct"/>
                  <w:tcBorders>
                    <w:tl2br w:val="nil"/>
                    <w:tr2bl w:val="nil"/>
                  </w:tcBorders>
                  <w:shd w:val="clear" w:color="auto" w:fill="auto"/>
                  <w:vAlign w:val="center"/>
                </w:tcPr>
                <w:p w14:paraId="010F3FB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7</w:t>
                  </w:r>
                </w:p>
              </w:tc>
              <w:tc>
                <w:tcPr>
                  <w:tcW w:w="1155" w:type="pct"/>
                  <w:tcBorders>
                    <w:tl2br w:val="nil"/>
                    <w:tr2bl w:val="nil"/>
                  </w:tcBorders>
                  <w:shd w:val="clear" w:color="auto" w:fill="auto"/>
                  <w:vAlign w:val="center"/>
                </w:tcPr>
                <w:p w14:paraId="554DA49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混料机</w:t>
                  </w:r>
                </w:p>
              </w:tc>
              <w:tc>
                <w:tcPr>
                  <w:tcW w:w="630" w:type="pct"/>
                  <w:tcBorders>
                    <w:tl2br w:val="nil"/>
                    <w:tr2bl w:val="nil"/>
                  </w:tcBorders>
                  <w:shd w:val="clear" w:color="auto" w:fill="auto"/>
                  <w:vAlign w:val="center"/>
                </w:tcPr>
                <w:p w14:paraId="52178FE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eastAsia" w:cs="Times New Roman"/>
                      <w:i w:val="0"/>
                      <w:iCs w:val="0"/>
                      <w:color w:val="000000" w:themeColor="text1"/>
                      <w:kern w:val="0"/>
                      <w:sz w:val="20"/>
                      <w:szCs w:val="20"/>
                      <w:u w:val="none"/>
                      <w:lang w:val="en-US" w:eastAsia="zh-CN" w:bidi="ar"/>
                      <w14:textFill>
                        <w14:solidFill>
                          <w14:schemeClr w14:val="tx1"/>
                        </w14:solidFill>
                      </w14:textFill>
                    </w:rPr>
                    <w:t>1</w:t>
                  </w:r>
                </w:p>
              </w:tc>
              <w:tc>
                <w:tcPr>
                  <w:tcW w:w="381" w:type="pct"/>
                  <w:tcBorders>
                    <w:tl2br w:val="nil"/>
                    <w:tr2bl w:val="nil"/>
                  </w:tcBorders>
                  <w:shd w:val="clear" w:color="auto" w:fill="auto"/>
                  <w:vAlign w:val="center"/>
                </w:tcPr>
                <w:p w14:paraId="5F677D4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台</w:t>
                  </w:r>
                </w:p>
              </w:tc>
              <w:tc>
                <w:tcPr>
                  <w:tcW w:w="895" w:type="pct"/>
                  <w:tcBorders>
                    <w:tl2br w:val="nil"/>
                    <w:tr2bl w:val="nil"/>
                  </w:tcBorders>
                  <w:shd w:val="clear" w:color="auto" w:fill="auto"/>
                  <w:vAlign w:val="center"/>
                </w:tcPr>
                <w:p w14:paraId="3EABD2A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V-50LP</w:t>
                  </w:r>
                </w:p>
              </w:tc>
              <w:tc>
                <w:tcPr>
                  <w:tcW w:w="813" w:type="pct"/>
                  <w:tcBorders>
                    <w:tl2br w:val="nil"/>
                    <w:tr2bl w:val="nil"/>
                  </w:tcBorders>
                  <w:shd w:val="clear" w:color="auto" w:fill="auto"/>
                  <w:vAlign w:val="center"/>
                </w:tcPr>
                <w:p w14:paraId="56558C3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新购</w:t>
                  </w:r>
                </w:p>
              </w:tc>
              <w:tc>
                <w:tcPr>
                  <w:tcW w:w="717" w:type="pct"/>
                  <w:vMerge w:val="continue"/>
                  <w:tcBorders>
                    <w:tl2br w:val="nil"/>
                    <w:tr2bl w:val="nil"/>
                  </w:tcBorders>
                  <w:shd w:val="clear" w:color="auto" w:fill="auto"/>
                  <w:vAlign w:val="center"/>
                </w:tcPr>
                <w:p w14:paraId="23CCFF3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p>
              </w:tc>
            </w:tr>
            <w:tr w14:paraId="4ECA73E9">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0" w:hRule="atLeast"/>
                <w:jc w:val="center"/>
              </w:trPr>
              <w:tc>
                <w:tcPr>
                  <w:tcW w:w="406" w:type="pct"/>
                  <w:tcBorders>
                    <w:tl2br w:val="nil"/>
                    <w:tr2bl w:val="nil"/>
                  </w:tcBorders>
                  <w:shd w:val="clear" w:color="auto" w:fill="auto"/>
                  <w:vAlign w:val="center"/>
                </w:tcPr>
                <w:p w14:paraId="39B08FF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eastAsia" w:cs="Times New Roman"/>
                      <w:i w:val="0"/>
                      <w:iCs w:val="0"/>
                      <w:color w:val="000000" w:themeColor="text1"/>
                      <w:kern w:val="2"/>
                      <w:sz w:val="20"/>
                      <w:szCs w:val="20"/>
                      <w:u w:val="none"/>
                      <w:lang w:val="en-US" w:eastAsia="zh-CN" w:bidi="ar-SA"/>
                      <w14:textFill>
                        <w14:solidFill>
                          <w14:schemeClr w14:val="tx1"/>
                        </w14:solidFill>
                      </w14:textFill>
                    </w:rPr>
                    <w:t>8</w:t>
                  </w:r>
                </w:p>
              </w:tc>
              <w:tc>
                <w:tcPr>
                  <w:tcW w:w="1155" w:type="pct"/>
                  <w:tcBorders>
                    <w:tl2br w:val="nil"/>
                    <w:tr2bl w:val="nil"/>
                  </w:tcBorders>
                  <w:shd w:val="clear" w:color="auto" w:fill="auto"/>
                  <w:vAlign w:val="center"/>
                </w:tcPr>
                <w:p w14:paraId="0AAC70E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压</w:t>
                  </w:r>
                  <w: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片</w:t>
                  </w: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机</w:t>
                  </w:r>
                </w:p>
              </w:tc>
              <w:tc>
                <w:tcPr>
                  <w:tcW w:w="630" w:type="pct"/>
                  <w:tcBorders>
                    <w:tl2br w:val="nil"/>
                    <w:tr2bl w:val="nil"/>
                  </w:tcBorders>
                  <w:shd w:val="clear" w:color="auto" w:fill="auto"/>
                  <w:vAlign w:val="center"/>
                </w:tcPr>
                <w:p w14:paraId="535FDE0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lang w:val="en-US" w:eastAsia="zh-CN"/>
                      <w14:textFill>
                        <w14:solidFill>
                          <w14:schemeClr w14:val="tx1"/>
                        </w14:solidFill>
                      </w14:textFill>
                    </w:rPr>
                  </w:pPr>
                  <w:r>
                    <w:rPr>
                      <w:rFonts w:hint="eastAsia" w:cs="Times New Roman"/>
                      <w:i w:val="0"/>
                      <w:iCs w:val="0"/>
                      <w:color w:val="000000" w:themeColor="text1"/>
                      <w:sz w:val="20"/>
                      <w:szCs w:val="20"/>
                      <w:u w:val="none"/>
                      <w:lang w:val="en-US" w:eastAsia="zh-CN"/>
                      <w14:textFill>
                        <w14:solidFill>
                          <w14:schemeClr w14:val="tx1"/>
                        </w14:solidFill>
                      </w14:textFill>
                    </w:rPr>
                    <w:t>12</w:t>
                  </w:r>
                </w:p>
              </w:tc>
              <w:tc>
                <w:tcPr>
                  <w:tcW w:w="381" w:type="pct"/>
                  <w:tcBorders>
                    <w:tl2br w:val="nil"/>
                    <w:tr2bl w:val="nil"/>
                  </w:tcBorders>
                  <w:shd w:val="clear" w:color="auto" w:fill="auto"/>
                  <w:vAlign w:val="center"/>
                </w:tcPr>
                <w:p w14:paraId="5E5754D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台</w:t>
                  </w:r>
                </w:p>
              </w:tc>
              <w:tc>
                <w:tcPr>
                  <w:tcW w:w="895" w:type="pct"/>
                  <w:tcBorders>
                    <w:tl2br w:val="nil"/>
                    <w:tr2bl w:val="nil"/>
                  </w:tcBorders>
                  <w:shd w:val="clear" w:color="auto" w:fill="auto"/>
                  <w:vAlign w:val="center"/>
                </w:tcPr>
                <w:p w14:paraId="216E94F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eastAsia" w:cs="Times New Roman"/>
                      <w:i w:val="0"/>
                      <w:iCs w:val="0"/>
                      <w:color w:val="000000" w:themeColor="text1"/>
                      <w:kern w:val="0"/>
                      <w:sz w:val="20"/>
                      <w:szCs w:val="20"/>
                      <w:u w:val="none"/>
                      <w:lang w:val="en-US" w:eastAsia="zh-CN" w:bidi="ar"/>
                      <w14:textFill>
                        <w14:solidFill>
                          <w14:schemeClr w14:val="tx1"/>
                        </w14:solidFill>
                      </w14:textFill>
                    </w:rPr>
                    <w:t>5~11KW</w:t>
                  </w:r>
                </w:p>
              </w:tc>
              <w:tc>
                <w:tcPr>
                  <w:tcW w:w="813" w:type="pct"/>
                  <w:tcBorders>
                    <w:tl2br w:val="nil"/>
                    <w:tr2bl w:val="nil"/>
                  </w:tcBorders>
                  <w:shd w:val="clear" w:color="auto" w:fill="auto"/>
                  <w:vAlign w:val="center"/>
                </w:tcPr>
                <w:p w14:paraId="4CB2AC91">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themeColor="text1"/>
                      <w:sz w:val="20"/>
                      <w:szCs w:val="20"/>
                      <w:u w:val="none"/>
                      <w:lang w:val="en-US" w:eastAsia="zh-CN"/>
                      <w14:textFill>
                        <w14:solidFill>
                          <w14:schemeClr w14:val="tx1"/>
                        </w14:solidFill>
                      </w14:textFill>
                    </w:rPr>
                  </w:pPr>
                  <w:r>
                    <w:rPr>
                      <w:rFonts w:hint="eastAsia" w:cs="Times New Roman"/>
                      <w:i w:val="0"/>
                      <w:iCs w:val="0"/>
                      <w:color w:val="000000" w:themeColor="text1"/>
                      <w:sz w:val="20"/>
                      <w:szCs w:val="20"/>
                      <w:u w:val="none"/>
                      <w:lang w:val="en-US" w:eastAsia="zh-CN"/>
                      <w14:textFill>
                        <w14:solidFill>
                          <w14:schemeClr w14:val="tx1"/>
                        </w14:solidFill>
                      </w14:textFill>
                    </w:rPr>
                    <w:t>利旧</w:t>
                  </w:r>
                </w:p>
              </w:tc>
              <w:tc>
                <w:tcPr>
                  <w:tcW w:w="717" w:type="pct"/>
                  <w:vMerge w:val="restart"/>
                  <w:tcBorders>
                    <w:tl2br w:val="nil"/>
                    <w:tr2bl w:val="nil"/>
                  </w:tcBorders>
                  <w:shd w:val="clear" w:color="auto" w:fill="auto"/>
                  <w:vAlign w:val="center"/>
                </w:tcPr>
                <w:p w14:paraId="126C851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eastAsia"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烧结</w:t>
                  </w: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车间</w:t>
                  </w:r>
                </w:p>
              </w:tc>
            </w:tr>
            <w:tr w14:paraId="37D2171E">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0" w:hRule="atLeast"/>
                <w:jc w:val="center"/>
              </w:trPr>
              <w:tc>
                <w:tcPr>
                  <w:tcW w:w="406" w:type="pct"/>
                  <w:tcBorders>
                    <w:tl2br w:val="nil"/>
                    <w:tr2bl w:val="nil"/>
                  </w:tcBorders>
                  <w:shd w:val="clear" w:color="auto" w:fill="auto"/>
                  <w:vAlign w:val="center"/>
                </w:tcPr>
                <w:p w14:paraId="49FD54D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9</w:t>
                  </w:r>
                </w:p>
              </w:tc>
              <w:tc>
                <w:tcPr>
                  <w:tcW w:w="1155" w:type="pct"/>
                  <w:tcBorders>
                    <w:tl2br w:val="nil"/>
                    <w:tr2bl w:val="nil"/>
                  </w:tcBorders>
                  <w:shd w:val="clear" w:color="auto" w:fill="auto"/>
                  <w:vAlign w:val="center"/>
                </w:tcPr>
                <w:p w14:paraId="24668B0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空压机</w:t>
                  </w:r>
                </w:p>
              </w:tc>
              <w:tc>
                <w:tcPr>
                  <w:tcW w:w="630" w:type="pct"/>
                  <w:tcBorders>
                    <w:tl2br w:val="nil"/>
                    <w:tr2bl w:val="nil"/>
                  </w:tcBorders>
                  <w:shd w:val="clear" w:color="auto" w:fill="auto"/>
                  <w:vAlign w:val="center"/>
                </w:tcPr>
                <w:p w14:paraId="5EF5ABF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1</w:t>
                  </w:r>
                </w:p>
              </w:tc>
              <w:tc>
                <w:tcPr>
                  <w:tcW w:w="381" w:type="pct"/>
                  <w:tcBorders>
                    <w:tl2br w:val="nil"/>
                    <w:tr2bl w:val="nil"/>
                  </w:tcBorders>
                  <w:shd w:val="clear" w:color="auto" w:fill="auto"/>
                  <w:vAlign w:val="center"/>
                </w:tcPr>
                <w:p w14:paraId="43EF87B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台</w:t>
                  </w:r>
                </w:p>
              </w:tc>
              <w:tc>
                <w:tcPr>
                  <w:tcW w:w="895" w:type="pct"/>
                  <w:tcBorders>
                    <w:tl2br w:val="nil"/>
                    <w:tr2bl w:val="nil"/>
                  </w:tcBorders>
                  <w:shd w:val="clear" w:color="auto" w:fill="auto"/>
                  <w:vAlign w:val="center"/>
                </w:tcPr>
                <w:p w14:paraId="784A8251">
                  <w:pPr>
                    <w:keepNext w:val="0"/>
                    <w:keepLines w:val="0"/>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7.5KW</w:t>
                  </w:r>
                </w:p>
              </w:tc>
              <w:tc>
                <w:tcPr>
                  <w:tcW w:w="813" w:type="pct"/>
                  <w:tcBorders>
                    <w:tl2br w:val="nil"/>
                    <w:tr2bl w:val="nil"/>
                  </w:tcBorders>
                  <w:shd w:val="clear" w:color="auto" w:fill="auto"/>
                  <w:vAlign w:val="center"/>
                </w:tcPr>
                <w:p w14:paraId="659368C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利旧</w:t>
                  </w:r>
                </w:p>
              </w:tc>
              <w:tc>
                <w:tcPr>
                  <w:tcW w:w="717" w:type="pct"/>
                  <w:vMerge w:val="continue"/>
                  <w:tcBorders>
                    <w:tl2br w:val="nil"/>
                    <w:tr2bl w:val="nil"/>
                  </w:tcBorders>
                  <w:shd w:val="clear" w:color="auto" w:fill="auto"/>
                  <w:vAlign w:val="center"/>
                </w:tcPr>
                <w:p w14:paraId="5C19C608">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p>
              </w:tc>
            </w:tr>
            <w:tr w14:paraId="09737F2D">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0" w:hRule="atLeast"/>
                <w:jc w:val="center"/>
              </w:trPr>
              <w:tc>
                <w:tcPr>
                  <w:tcW w:w="406" w:type="pct"/>
                  <w:tcBorders>
                    <w:tl2br w:val="nil"/>
                    <w:tr2bl w:val="nil"/>
                  </w:tcBorders>
                  <w:shd w:val="clear" w:color="auto" w:fill="auto"/>
                  <w:vAlign w:val="center"/>
                </w:tcPr>
                <w:p w14:paraId="3274D70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eastAsia" w:cs="Times New Roman"/>
                      <w:i w:val="0"/>
                      <w:iCs w:val="0"/>
                      <w:color w:val="000000" w:themeColor="text1"/>
                      <w:sz w:val="20"/>
                      <w:szCs w:val="20"/>
                      <w:u w:val="none"/>
                      <w:lang w:val="en-US" w:eastAsia="zh-CN"/>
                      <w14:textFill>
                        <w14:solidFill>
                          <w14:schemeClr w14:val="tx1"/>
                        </w14:solidFill>
                      </w14:textFill>
                    </w:rPr>
                    <w:t>10</w:t>
                  </w:r>
                </w:p>
              </w:tc>
              <w:tc>
                <w:tcPr>
                  <w:tcW w:w="1155" w:type="pct"/>
                  <w:tcBorders>
                    <w:tl2br w:val="nil"/>
                    <w:tr2bl w:val="nil"/>
                  </w:tcBorders>
                  <w:shd w:val="clear" w:color="auto" w:fill="auto"/>
                  <w:vAlign w:val="center"/>
                </w:tcPr>
                <w:p w14:paraId="42D4CC7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匣钵</w:t>
                  </w:r>
                </w:p>
              </w:tc>
              <w:tc>
                <w:tcPr>
                  <w:tcW w:w="630" w:type="pct"/>
                  <w:tcBorders>
                    <w:tl2br w:val="nil"/>
                    <w:tr2bl w:val="nil"/>
                  </w:tcBorders>
                  <w:shd w:val="clear" w:color="auto" w:fill="auto"/>
                  <w:vAlign w:val="center"/>
                </w:tcPr>
                <w:p w14:paraId="1C650FD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10000</w:t>
                  </w:r>
                </w:p>
              </w:tc>
              <w:tc>
                <w:tcPr>
                  <w:tcW w:w="381" w:type="pct"/>
                  <w:tcBorders>
                    <w:tl2br w:val="nil"/>
                    <w:tr2bl w:val="nil"/>
                  </w:tcBorders>
                  <w:shd w:val="clear" w:color="auto" w:fill="auto"/>
                  <w:vAlign w:val="center"/>
                </w:tcPr>
                <w:p w14:paraId="3AE705F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个</w:t>
                  </w:r>
                </w:p>
              </w:tc>
              <w:tc>
                <w:tcPr>
                  <w:tcW w:w="895" w:type="pct"/>
                  <w:tcBorders>
                    <w:tl2br w:val="nil"/>
                    <w:tr2bl w:val="nil"/>
                  </w:tcBorders>
                  <w:shd w:val="clear" w:color="auto" w:fill="auto"/>
                  <w:vAlign w:val="center"/>
                </w:tcPr>
                <w:p w14:paraId="2FB80092">
                  <w:pPr>
                    <w:keepNext w:val="0"/>
                    <w:keepLines w:val="0"/>
                    <w:suppressLineNumbers w:val="0"/>
                    <w:spacing w:before="0" w:beforeAutospacing="0" w:after="0" w:afterAutospacing="0"/>
                    <w:ind w:left="0" w:right="0"/>
                    <w:jc w:val="center"/>
                    <w:rPr>
                      <w:rFonts w:hint="eastAsia" w:ascii="Times New Roman" w:hAnsi="Times New Roman" w:eastAsia="宋体" w:cs="Times New Roman"/>
                      <w:i w:val="0"/>
                      <w:iCs w:val="0"/>
                      <w:color w:val="000000" w:themeColor="text1"/>
                      <w:sz w:val="20"/>
                      <w:szCs w:val="20"/>
                      <w:u w:val="none"/>
                      <w:lang w:val="en-US" w:eastAsia="zh-CN"/>
                      <w14:textFill>
                        <w14:solidFill>
                          <w14:schemeClr w14:val="tx1"/>
                        </w14:solidFill>
                      </w14:textFill>
                    </w:rPr>
                  </w:pPr>
                  <w:r>
                    <w:rPr>
                      <w:rFonts w:hint="eastAsia" w:ascii="Times New Roman" w:hAnsi="Times New Roman" w:cs="Times New Roman"/>
                      <w:i w:val="0"/>
                      <w:iCs w:val="0"/>
                      <w:color w:val="000000" w:themeColor="text1"/>
                      <w:sz w:val="20"/>
                      <w:szCs w:val="20"/>
                      <w:u w:val="none"/>
                      <w:lang w:val="en-US" w:eastAsia="zh-CN"/>
                      <w14:textFill>
                        <w14:solidFill>
                          <w14:schemeClr w14:val="tx1"/>
                        </w14:solidFill>
                      </w14:textFill>
                    </w:rPr>
                    <w:t>/</w:t>
                  </w:r>
                </w:p>
              </w:tc>
              <w:tc>
                <w:tcPr>
                  <w:tcW w:w="813" w:type="pct"/>
                  <w:tcBorders>
                    <w:tl2br w:val="nil"/>
                    <w:tr2bl w:val="nil"/>
                  </w:tcBorders>
                  <w:shd w:val="clear" w:color="auto" w:fill="auto"/>
                  <w:vAlign w:val="center"/>
                </w:tcPr>
                <w:p w14:paraId="5C16DEC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利旧</w:t>
                  </w:r>
                </w:p>
              </w:tc>
              <w:tc>
                <w:tcPr>
                  <w:tcW w:w="717" w:type="pct"/>
                  <w:vMerge w:val="continue"/>
                  <w:tcBorders>
                    <w:tl2br w:val="nil"/>
                    <w:tr2bl w:val="nil"/>
                  </w:tcBorders>
                  <w:shd w:val="clear" w:color="auto" w:fill="auto"/>
                  <w:vAlign w:val="center"/>
                </w:tcPr>
                <w:p w14:paraId="3BF09C74">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p>
              </w:tc>
            </w:tr>
            <w:tr w14:paraId="02D07D17">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0" w:hRule="atLeast"/>
                <w:jc w:val="center"/>
              </w:trPr>
              <w:tc>
                <w:tcPr>
                  <w:tcW w:w="406" w:type="pct"/>
                  <w:tcBorders>
                    <w:tl2br w:val="nil"/>
                    <w:tr2bl w:val="nil"/>
                  </w:tcBorders>
                  <w:shd w:val="clear" w:color="auto" w:fill="auto"/>
                  <w:vAlign w:val="center"/>
                </w:tcPr>
                <w:p w14:paraId="75C7E71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eastAsia" w:cs="Times New Roman"/>
                      <w:i w:val="0"/>
                      <w:iCs w:val="0"/>
                      <w:color w:val="000000" w:themeColor="text1"/>
                      <w:sz w:val="20"/>
                      <w:szCs w:val="20"/>
                      <w:u w:val="none"/>
                      <w:lang w:val="en-US" w:eastAsia="zh-CN"/>
                      <w14:textFill>
                        <w14:solidFill>
                          <w14:schemeClr w14:val="tx1"/>
                        </w14:solidFill>
                      </w14:textFill>
                    </w:rPr>
                    <w:t>11</w:t>
                  </w:r>
                </w:p>
              </w:tc>
              <w:tc>
                <w:tcPr>
                  <w:tcW w:w="1155" w:type="pct"/>
                  <w:tcBorders>
                    <w:tl2br w:val="nil"/>
                    <w:tr2bl w:val="nil"/>
                  </w:tcBorders>
                  <w:shd w:val="clear" w:color="auto" w:fill="auto"/>
                  <w:vAlign w:val="center"/>
                </w:tcPr>
                <w:p w14:paraId="748F3CA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eastAsia" w:cs="Times New Roman"/>
                      <w:i w:val="0"/>
                      <w:iCs w:val="0"/>
                      <w:color w:val="000000" w:themeColor="text1"/>
                      <w:kern w:val="0"/>
                      <w:sz w:val="20"/>
                      <w:szCs w:val="20"/>
                      <w:u w:val="none"/>
                      <w:lang w:val="en-US" w:eastAsia="zh-CN" w:bidi="ar"/>
                      <w14:textFill>
                        <w14:solidFill>
                          <w14:schemeClr w14:val="tx1"/>
                        </w14:solidFill>
                      </w14:textFill>
                    </w:rPr>
                    <w:t>排胶电炉</w:t>
                  </w:r>
                </w:p>
              </w:tc>
              <w:tc>
                <w:tcPr>
                  <w:tcW w:w="630" w:type="pct"/>
                  <w:tcBorders>
                    <w:tl2br w:val="nil"/>
                    <w:tr2bl w:val="nil"/>
                  </w:tcBorders>
                  <w:shd w:val="clear" w:color="auto" w:fill="auto"/>
                  <w:vAlign w:val="center"/>
                </w:tcPr>
                <w:p w14:paraId="4F0330B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eastAsia" w:cs="Times New Roman"/>
                      <w:i w:val="0"/>
                      <w:iCs w:val="0"/>
                      <w:color w:val="000000" w:themeColor="text1"/>
                      <w:kern w:val="0"/>
                      <w:sz w:val="20"/>
                      <w:szCs w:val="20"/>
                      <w:u w:val="none"/>
                      <w:lang w:val="en-US" w:eastAsia="zh-CN" w:bidi="ar"/>
                      <w14:textFill>
                        <w14:solidFill>
                          <w14:schemeClr w14:val="tx1"/>
                        </w14:solidFill>
                      </w14:textFill>
                    </w:rPr>
                    <w:t>2</w:t>
                  </w:r>
                </w:p>
              </w:tc>
              <w:tc>
                <w:tcPr>
                  <w:tcW w:w="381" w:type="pct"/>
                  <w:tcBorders>
                    <w:tl2br w:val="nil"/>
                    <w:tr2bl w:val="nil"/>
                  </w:tcBorders>
                  <w:shd w:val="clear" w:color="auto" w:fill="auto"/>
                  <w:vAlign w:val="center"/>
                </w:tcPr>
                <w:p w14:paraId="33DCE98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台</w:t>
                  </w:r>
                </w:p>
              </w:tc>
              <w:tc>
                <w:tcPr>
                  <w:tcW w:w="895" w:type="pct"/>
                  <w:tcBorders>
                    <w:tl2br w:val="nil"/>
                    <w:tr2bl w:val="nil"/>
                  </w:tcBorders>
                  <w:shd w:val="clear" w:color="auto" w:fill="auto"/>
                  <w:vAlign w:val="center"/>
                </w:tcPr>
                <w:p w14:paraId="4F185BE2">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themeColor="text1"/>
                      <w:sz w:val="20"/>
                      <w:szCs w:val="20"/>
                      <w:u w:val="none"/>
                      <w:lang w:val="en-US" w:eastAsia="zh-CN"/>
                      <w14:textFill>
                        <w14:solidFill>
                          <w14:schemeClr w14:val="tx1"/>
                        </w14:solidFill>
                      </w14:textFill>
                    </w:rPr>
                  </w:pPr>
                  <w:r>
                    <w:rPr>
                      <w:rFonts w:hint="eastAsia" w:cs="Times New Roman"/>
                      <w:i w:val="0"/>
                      <w:iCs w:val="0"/>
                      <w:color w:val="000000" w:themeColor="text1"/>
                      <w:sz w:val="20"/>
                      <w:szCs w:val="20"/>
                      <w:u w:val="none"/>
                      <w:lang w:val="en-US" w:eastAsia="zh-CN"/>
                      <w14:textFill>
                        <w14:solidFill>
                          <w14:schemeClr w14:val="tx1"/>
                        </w14:solidFill>
                      </w14:textFill>
                    </w:rPr>
                    <w:t>6</w:t>
                  </w:r>
                  <w:r>
                    <w:rPr>
                      <w:rFonts w:hint="default" w:ascii="Times New Roman" w:hAnsi="Times New Roman" w:cs="Times New Roman"/>
                      <w:i w:val="0"/>
                      <w:iCs w:val="0"/>
                      <w:color w:val="000000" w:themeColor="text1"/>
                      <w:sz w:val="20"/>
                      <w:szCs w:val="20"/>
                      <w:u w:val="none"/>
                      <w:lang w:val="en-US" w:eastAsia="zh-CN"/>
                      <w14:textFill>
                        <w14:solidFill>
                          <w14:schemeClr w14:val="tx1"/>
                        </w14:solidFill>
                      </w14:textFill>
                    </w:rPr>
                    <w:t>0</w:t>
                  </w: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KW</w:t>
                  </w:r>
                </w:p>
              </w:tc>
              <w:tc>
                <w:tcPr>
                  <w:tcW w:w="813" w:type="pct"/>
                  <w:tcBorders>
                    <w:tl2br w:val="nil"/>
                    <w:tr2bl w:val="nil"/>
                  </w:tcBorders>
                  <w:shd w:val="clear" w:color="auto" w:fill="auto"/>
                  <w:vAlign w:val="center"/>
                </w:tcPr>
                <w:p w14:paraId="1DE6995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利旧</w:t>
                  </w:r>
                </w:p>
              </w:tc>
              <w:tc>
                <w:tcPr>
                  <w:tcW w:w="717" w:type="pct"/>
                  <w:vMerge w:val="continue"/>
                  <w:tcBorders>
                    <w:tl2br w:val="nil"/>
                    <w:tr2bl w:val="nil"/>
                  </w:tcBorders>
                  <w:shd w:val="clear" w:color="auto" w:fill="auto"/>
                  <w:vAlign w:val="center"/>
                </w:tcPr>
                <w:p w14:paraId="5318DDCC">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p>
              </w:tc>
            </w:tr>
            <w:tr w14:paraId="03BE0717">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0" w:hRule="atLeast"/>
                <w:jc w:val="center"/>
              </w:trPr>
              <w:tc>
                <w:tcPr>
                  <w:tcW w:w="406" w:type="pct"/>
                  <w:tcBorders>
                    <w:tl2br w:val="nil"/>
                    <w:tr2bl w:val="nil"/>
                  </w:tcBorders>
                  <w:shd w:val="clear" w:color="auto" w:fill="auto"/>
                  <w:vAlign w:val="center"/>
                </w:tcPr>
                <w:p w14:paraId="29BB468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12</w:t>
                  </w:r>
                </w:p>
              </w:tc>
              <w:tc>
                <w:tcPr>
                  <w:tcW w:w="1155" w:type="pct"/>
                  <w:tcBorders>
                    <w:tl2br w:val="nil"/>
                    <w:tr2bl w:val="nil"/>
                  </w:tcBorders>
                  <w:shd w:val="clear" w:color="auto" w:fill="auto"/>
                  <w:vAlign w:val="center"/>
                </w:tcPr>
                <w:p w14:paraId="7D45F9C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eastAsia" w:cs="Times New Roman"/>
                      <w:i w:val="0"/>
                      <w:iCs w:val="0"/>
                      <w:color w:val="000000" w:themeColor="text1"/>
                      <w:kern w:val="0"/>
                      <w:sz w:val="20"/>
                      <w:szCs w:val="20"/>
                      <w:u w:val="none"/>
                      <w:lang w:val="en-US" w:eastAsia="zh-CN" w:bidi="ar"/>
                      <w14:textFill>
                        <w14:solidFill>
                          <w14:schemeClr w14:val="tx1"/>
                        </w14:solidFill>
                      </w14:textFill>
                    </w:rPr>
                    <w:t>烧结</w:t>
                  </w: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炉</w:t>
                  </w:r>
                </w:p>
              </w:tc>
              <w:tc>
                <w:tcPr>
                  <w:tcW w:w="630" w:type="pct"/>
                  <w:tcBorders>
                    <w:tl2br w:val="nil"/>
                    <w:tr2bl w:val="nil"/>
                  </w:tcBorders>
                  <w:shd w:val="clear" w:color="auto" w:fill="auto"/>
                  <w:vAlign w:val="center"/>
                </w:tcPr>
                <w:p w14:paraId="2BA91D73">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pPr>
                  <w:r>
                    <w:rPr>
                      <w:rFonts w:hint="eastAsia" w:cs="Times New Roman"/>
                      <w:i w:val="0"/>
                      <w:iCs w:val="0"/>
                      <w:color w:val="000000" w:themeColor="text1"/>
                      <w:kern w:val="0"/>
                      <w:sz w:val="20"/>
                      <w:szCs w:val="20"/>
                      <w:u w:val="none"/>
                      <w:lang w:val="en-US" w:eastAsia="zh-CN" w:bidi="ar"/>
                      <w14:textFill>
                        <w14:solidFill>
                          <w14:schemeClr w14:val="tx1"/>
                        </w14:solidFill>
                      </w14:textFill>
                    </w:rPr>
                    <w:t>3</w:t>
                  </w:r>
                </w:p>
              </w:tc>
              <w:tc>
                <w:tcPr>
                  <w:tcW w:w="381" w:type="pct"/>
                  <w:tcBorders>
                    <w:tl2br w:val="nil"/>
                    <w:tr2bl w:val="nil"/>
                  </w:tcBorders>
                  <w:shd w:val="clear" w:color="auto" w:fill="auto"/>
                  <w:vAlign w:val="center"/>
                </w:tcPr>
                <w:p w14:paraId="00F23E4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台</w:t>
                  </w:r>
                </w:p>
              </w:tc>
              <w:tc>
                <w:tcPr>
                  <w:tcW w:w="895" w:type="pct"/>
                  <w:tcBorders>
                    <w:tl2br w:val="nil"/>
                    <w:tr2bl w:val="nil"/>
                  </w:tcBorders>
                  <w:shd w:val="clear" w:color="auto" w:fill="auto"/>
                  <w:vAlign w:val="center"/>
                </w:tcPr>
                <w:p w14:paraId="629716BD">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themeColor="text1"/>
                      <w:sz w:val="20"/>
                      <w:szCs w:val="20"/>
                      <w:u w:val="none"/>
                      <w:lang w:val="en-US" w:eastAsia="zh-CN"/>
                      <w14:textFill>
                        <w14:solidFill>
                          <w14:schemeClr w14:val="tx1"/>
                        </w14:solidFill>
                      </w14:textFill>
                    </w:rPr>
                  </w:pPr>
                  <w:r>
                    <w:rPr>
                      <w:rFonts w:hint="eastAsia" w:cs="Times New Roman"/>
                      <w:i w:val="0"/>
                      <w:iCs w:val="0"/>
                      <w:color w:val="000000" w:themeColor="text1"/>
                      <w:kern w:val="0"/>
                      <w:sz w:val="20"/>
                      <w:szCs w:val="20"/>
                      <w:u w:val="none"/>
                      <w:lang w:val="en-US" w:eastAsia="zh-CN" w:bidi="ar"/>
                      <w14:textFill>
                        <w14:solidFill>
                          <w14:schemeClr w14:val="tx1"/>
                        </w14:solidFill>
                      </w14:textFill>
                    </w:rPr>
                    <w:t>100</w:t>
                  </w: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KW</w:t>
                  </w:r>
                </w:p>
              </w:tc>
              <w:tc>
                <w:tcPr>
                  <w:tcW w:w="813" w:type="pct"/>
                  <w:tcBorders>
                    <w:tl2br w:val="nil"/>
                    <w:tr2bl w:val="nil"/>
                  </w:tcBorders>
                  <w:shd w:val="clear" w:color="auto" w:fill="auto"/>
                  <w:vAlign w:val="center"/>
                </w:tcPr>
                <w:p w14:paraId="75CFD55C">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pPr>
                  <w:r>
                    <w:rPr>
                      <w:rFonts w:hint="eastAsia" w:cs="Times New Roman"/>
                      <w:i w:val="0"/>
                      <w:iCs w:val="0"/>
                      <w:color w:val="000000" w:themeColor="text1"/>
                      <w:kern w:val="0"/>
                      <w:sz w:val="20"/>
                      <w:szCs w:val="20"/>
                      <w:u w:val="none"/>
                      <w:lang w:val="en-US" w:eastAsia="zh-CN" w:bidi="ar"/>
                      <w14:textFill>
                        <w14:solidFill>
                          <w14:schemeClr w14:val="tx1"/>
                        </w14:solidFill>
                      </w14:textFill>
                    </w:rPr>
                    <w:t>利旧</w:t>
                  </w:r>
                </w:p>
              </w:tc>
              <w:tc>
                <w:tcPr>
                  <w:tcW w:w="717" w:type="pct"/>
                  <w:vMerge w:val="continue"/>
                  <w:tcBorders>
                    <w:tl2br w:val="nil"/>
                    <w:tr2bl w:val="nil"/>
                  </w:tcBorders>
                  <w:shd w:val="clear" w:color="auto" w:fill="auto"/>
                  <w:vAlign w:val="center"/>
                </w:tcPr>
                <w:p w14:paraId="4FE5ABE8">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p>
              </w:tc>
            </w:tr>
            <w:tr w14:paraId="7874A86A">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0" w:hRule="atLeast"/>
                <w:jc w:val="center"/>
              </w:trPr>
              <w:tc>
                <w:tcPr>
                  <w:tcW w:w="406" w:type="pct"/>
                  <w:tcBorders>
                    <w:tl2br w:val="nil"/>
                    <w:tr2bl w:val="nil"/>
                  </w:tcBorders>
                  <w:shd w:val="clear" w:color="auto" w:fill="auto"/>
                  <w:vAlign w:val="center"/>
                </w:tcPr>
                <w:p w14:paraId="12643A2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eastAsia" w:cs="Times New Roman"/>
                      <w:i w:val="0"/>
                      <w:iCs w:val="0"/>
                      <w:color w:val="000000" w:themeColor="text1"/>
                      <w:kern w:val="0"/>
                      <w:sz w:val="20"/>
                      <w:szCs w:val="20"/>
                      <w:u w:val="none"/>
                      <w:lang w:val="en-US" w:eastAsia="zh-CN" w:bidi="ar"/>
                      <w14:textFill>
                        <w14:solidFill>
                          <w14:schemeClr w14:val="tx1"/>
                        </w14:solidFill>
                      </w14:textFill>
                    </w:rPr>
                    <w:t>13</w:t>
                  </w:r>
                </w:p>
              </w:tc>
              <w:tc>
                <w:tcPr>
                  <w:tcW w:w="1155" w:type="pct"/>
                  <w:tcBorders>
                    <w:tl2br w:val="nil"/>
                    <w:tr2bl w:val="nil"/>
                  </w:tcBorders>
                  <w:shd w:val="clear" w:color="auto" w:fill="auto"/>
                  <w:vAlign w:val="center"/>
                </w:tcPr>
                <w:p w14:paraId="0980741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自动刷</w:t>
                  </w:r>
                  <w:r>
                    <w:rPr>
                      <w:rFonts w:hint="eastAsia" w:cs="Times New Roman"/>
                      <w:i w:val="0"/>
                      <w:iCs w:val="0"/>
                      <w:color w:val="000000" w:themeColor="text1"/>
                      <w:kern w:val="0"/>
                      <w:sz w:val="20"/>
                      <w:szCs w:val="20"/>
                      <w:u w:val="none"/>
                      <w:lang w:val="en-US" w:eastAsia="zh-CN" w:bidi="ar"/>
                      <w14:textFill>
                        <w14:solidFill>
                          <w14:schemeClr w14:val="tx1"/>
                        </w14:solidFill>
                      </w14:textFill>
                    </w:rPr>
                    <w:t>浆</w:t>
                  </w: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机</w:t>
                  </w:r>
                </w:p>
              </w:tc>
              <w:tc>
                <w:tcPr>
                  <w:tcW w:w="630" w:type="pct"/>
                  <w:tcBorders>
                    <w:tl2br w:val="nil"/>
                    <w:tr2bl w:val="nil"/>
                  </w:tcBorders>
                  <w:shd w:val="clear" w:color="auto" w:fill="auto"/>
                  <w:vAlign w:val="center"/>
                </w:tcPr>
                <w:p w14:paraId="30D321C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eastAsia" w:cs="Times New Roman"/>
                      <w:i w:val="0"/>
                      <w:iCs w:val="0"/>
                      <w:color w:val="000000" w:themeColor="text1"/>
                      <w:kern w:val="0"/>
                      <w:sz w:val="20"/>
                      <w:szCs w:val="20"/>
                      <w:u w:val="none"/>
                      <w:lang w:val="en-US" w:eastAsia="zh-CN" w:bidi="ar"/>
                      <w14:textFill>
                        <w14:solidFill>
                          <w14:schemeClr w14:val="tx1"/>
                        </w14:solidFill>
                      </w14:textFill>
                    </w:rPr>
                    <w:t>4</w:t>
                  </w:r>
                </w:p>
              </w:tc>
              <w:tc>
                <w:tcPr>
                  <w:tcW w:w="381" w:type="pct"/>
                  <w:tcBorders>
                    <w:tl2br w:val="nil"/>
                    <w:tr2bl w:val="nil"/>
                  </w:tcBorders>
                  <w:shd w:val="clear" w:color="auto" w:fill="auto"/>
                  <w:vAlign w:val="center"/>
                </w:tcPr>
                <w:p w14:paraId="57784BD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台</w:t>
                  </w:r>
                </w:p>
              </w:tc>
              <w:tc>
                <w:tcPr>
                  <w:tcW w:w="895" w:type="pct"/>
                  <w:tcBorders>
                    <w:tl2br w:val="nil"/>
                    <w:tr2bl w:val="nil"/>
                  </w:tcBorders>
                  <w:shd w:val="clear" w:color="auto" w:fill="auto"/>
                  <w:vAlign w:val="center"/>
                </w:tcPr>
                <w:p w14:paraId="4F9C384A">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themeColor="text1"/>
                      <w:sz w:val="20"/>
                      <w:szCs w:val="20"/>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z w:val="20"/>
                      <w:szCs w:val="20"/>
                      <w:u w:val="none"/>
                      <w:lang w:val="en-US" w:eastAsia="zh-CN"/>
                      <w14:textFill>
                        <w14:solidFill>
                          <w14:schemeClr w14:val="tx1"/>
                        </w14:solidFill>
                      </w14:textFill>
                    </w:rPr>
                    <w:t>500×700</w:t>
                  </w:r>
                </w:p>
              </w:tc>
              <w:tc>
                <w:tcPr>
                  <w:tcW w:w="813" w:type="pct"/>
                  <w:tcBorders>
                    <w:tl2br w:val="nil"/>
                    <w:tr2bl w:val="nil"/>
                  </w:tcBorders>
                  <w:shd w:val="clear" w:color="auto" w:fill="auto"/>
                  <w:vAlign w:val="center"/>
                </w:tcPr>
                <w:p w14:paraId="670388D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利旧</w:t>
                  </w:r>
                </w:p>
              </w:tc>
              <w:tc>
                <w:tcPr>
                  <w:tcW w:w="717" w:type="pct"/>
                  <w:vMerge w:val="restart"/>
                  <w:tcBorders>
                    <w:tl2br w:val="nil"/>
                    <w:tr2bl w:val="nil"/>
                  </w:tcBorders>
                  <w:shd w:val="clear" w:color="auto" w:fill="auto"/>
                  <w:vAlign w:val="center"/>
                </w:tcPr>
                <w:p w14:paraId="62CAD08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刷银</w:t>
                  </w: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车间</w:t>
                  </w:r>
                </w:p>
              </w:tc>
            </w:tr>
            <w:tr w14:paraId="55E3DA62">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0" w:hRule="atLeast"/>
                <w:jc w:val="center"/>
              </w:trPr>
              <w:tc>
                <w:tcPr>
                  <w:tcW w:w="406" w:type="pct"/>
                  <w:tcBorders>
                    <w:tl2br w:val="nil"/>
                    <w:tr2bl w:val="nil"/>
                  </w:tcBorders>
                  <w:shd w:val="clear" w:color="auto" w:fill="auto"/>
                  <w:vAlign w:val="center"/>
                </w:tcPr>
                <w:p w14:paraId="0569215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eastAsia" w:cs="Times New Roman"/>
                      <w:i w:val="0"/>
                      <w:iCs w:val="0"/>
                      <w:color w:val="000000" w:themeColor="text1"/>
                      <w:kern w:val="2"/>
                      <w:sz w:val="20"/>
                      <w:szCs w:val="20"/>
                      <w:u w:val="none"/>
                      <w:lang w:val="en-US" w:eastAsia="zh-CN" w:bidi="ar-SA"/>
                      <w14:textFill>
                        <w14:solidFill>
                          <w14:schemeClr w14:val="tx1"/>
                        </w14:solidFill>
                      </w14:textFill>
                    </w:rPr>
                    <w:t>14</w:t>
                  </w:r>
                </w:p>
              </w:tc>
              <w:tc>
                <w:tcPr>
                  <w:tcW w:w="1155" w:type="pct"/>
                  <w:tcBorders>
                    <w:tl2br w:val="nil"/>
                    <w:tr2bl w:val="nil"/>
                  </w:tcBorders>
                  <w:shd w:val="clear" w:color="auto" w:fill="auto"/>
                  <w:vAlign w:val="center"/>
                </w:tcPr>
                <w:p w14:paraId="7081280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lang w:val="en-US" w:eastAsia="zh-CN"/>
                      <w14:textFill>
                        <w14:solidFill>
                          <w14:schemeClr w14:val="tx1"/>
                        </w14:solidFill>
                      </w14:textFill>
                    </w:rPr>
                  </w:pPr>
                  <w:r>
                    <w:rPr>
                      <w:rFonts w:hint="eastAsia" w:cs="Times New Roman"/>
                      <w:i w:val="0"/>
                      <w:iCs w:val="0"/>
                      <w:color w:val="000000" w:themeColor="text1"/>
                      <w:sz w:val="20"/>
                      <w:szCs w:val="20"/>
                      <w:u w:val="none"/>
                      <w:lang w:val="en-US" w:eastAsia="zh-CN"/>
                      <w14:textFill>
                        <w14:solidFill>
                          <w14:schemeClr w14:val="tx1"/>
                        </w14:solidFill>
                      </w14:textFill>
                    </w:rPr>
                    <w:t>烘干炉</w:t>
                  </w:r>
                </w:p>
              </w:tc>
              <w:tc>
                <w:tcPr>
                  <w:tcW w:w="630" w:type="pct"/>
                  <w:tcBorders>
                    <w:tl2br w:val="nil"/>
                    <w:tr2bl w:val="nil"/>
                  </w:tcBorders>
                  <w:shd w:val="clear" w:color="auto" w:fill="auto"/>
                  <w:vAlign w:val="center"/>
                </w:tcPr>
                <w:p w14:paraId="2A28BDE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eastAsia" w:cs="Times New Roman"/>
                      <w:i w:val="0"/>
                      <w:iCs w:val="0"/>
                      <w:color w:val="000000" w:themeColor="text1"/>
                      <w:kern w:val="0"/>
                      <w:sz w:val="20"/>
                      <w:szCs w:val="20"/>
                      <w:u w:val="none"/>
                      <w:lang w:val="en-US" w:eastAsia="zh-CN" w:bidi="ar"/>
                      <w14:textFill>
                        <w14:solidFill>
                          <w14:schemeClr w14:val="tx1"/>
                        </w14:solidFill>
                      </w14:textFill>
                    </w:rPr>
                    <w:t>2</w:t>
                  </w:r>
                </w:p>
              </w:tc>
              <w:tc>
                <w:tcPr>
                  <w:tcW w:w="381" w:type="pct"/>
                  <w:tcBorders>
                    <w:tl2br w:val="nil"/>
                    <w:tr2bl w:val="nil"/>
                  </w:tcBorders>
                  <w:shd w:val="clear" w:color="auto" w:fill="auto"/>
                  <w:vAlign w:val="center"/>
                </w:tcPr>
                <w:p w14:paraId="253DE12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台</w:t>
                  </w:r>
                </w:p>
              </w:tc>
              <w:tc>
                <w:tcPr>
                  <w:tcW w:w="895" w:type="pct"/>
                  <w:tcBorders>
                    <w:tl2br w:val="nil"/>
                    <w:tr2bl w:val="nil"/>
                  </w:tcBorders>
                  <w:shd w:val="clear" w:color="auto" w:fill="auto"/>
                  <w:vAlign w:val="center"/>
                </w:tcPr>
                <w:p w14:paraId="789332C7">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themeColor="text1"/>
                      <w:sz w:val="20"/>
                      <w:szCs w:val="20"/>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z w:val="20"/>
                      <w:szCs w:val="20"/>
                      <w:u w:val="none"/>
                      <w:lang w:val="en-US" w:eastAsia="zh-CN"/>
                      <w14:textFill>
                        <w14:solidFill>
                          <w14:schemeClr w14:val="tx1"/>
                        </w14:solidFill>
                      </w14:textFill>
                    </w:rPr>
                    <w:t>20</w:t>
                  </w: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KW</w:t>
                  </w:r>
                </w:p>
              </w:tc>
              <w:tc>
                <w:tcPr>
                  <w:tcW w:w="813" w:type="pct"/>
                  <w:tcBorders>
                    <w:tl2br w:val="nil"/>
                    <w:tr2bl w:val="nil"/>
                  </w:tcBorders>
                  <w:shd w:val="clear" w:color="auto" w:fill="auto"/>
                  <w:vAlign w:val="center"/>
                </w:tcPr>
                <w:p w14:paraId="210DBE7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利旧</w:t>
                  </w:r>
                </w:p>
              </w:tc>
              <w:tc>
                <w:tcPr>
                  <w:tcW w:w="717" w:type="pct"/>
                  <w:vMerge w:val="continue"/>
                  <w:tcBorders>
                    <w:tl2br w:val="nil"/>
                    <w:tr2bl w:val="nil"/>
                  </w:tcBorders>
                  <w:shd w:val="clear" w:color="auto" w:fill="auto"/>
                  <w:vAlign w:val="center"/>
                </w:tcPr>
                <w:p w14:paraId="6C4D4A26">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p>
              </w:tc>
            </w:tr>
            <w:tr w14:paraId="4DDBC37A">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06" w:type="pct"/>
                  <w:tcBorders>
                    <w:tl2br w:val="nil"/>
                    <w:tr2bl w:val="nil"/>
                  </w:tcBorders>
                  <w:shd w:val="clear" w:color="auto" w:fill="auto"/>
                  <w:vAlign w:val="center"/>
                </w:tcPr>
                <w:p w14:paraId="4E7BCA9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eastAsia" w:cs="Times New Roman"/>
                      <w:i w:val="0"/>
                      <w:iCs w:val="0"/>
                      <w:color w:val="000000" w:themeColor="text1"/>
                      <w:kern w:val="2"/>
                      <w:sz w:val="20"/>
                      <w:szCs w:val="20"/>
                      <w:u w:val="none"/>
                      <w:lang w:val="en-US" w:eastAsia="zh-CN" w:bidi="ar-SA"/>
                      <w14:textFill>
                        <w14:solidFill>
                          <w14:schemeClr w14:val="tx1"/>
                        </w14:solidFill>
                      </w14:textFill>
                    </w:rPr>
                    <w:t>15</w:t>
                  </w:r>
                </w:p>
              </w:tc>
              <w:tc>
                <w:tcPr>
                  <w:tcW w:w="1155" w:type="pct"/>
                  <w:tcBorders>
                    <w:tl2br w:val="nil"/>
                    <w:tr2bl w:val="nil"/>
                  </w:tcBorders>
                  <w:shd w:val="clear" w:color="auto" w:fill="auto"/>
                  <w:vAlign w:val="center"/>
                </w:tcPr>
                <w:p w14:paraId="109CF62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eastAsia" w:cs="Times New Roman"/>
                      <w:i w:val="0"/>
                      <w:iCs w:val="0"/>
                      <w:color w:val="000000" w:themeColor="text1"/>
                      <w:kern w:val="0"/>
                      <w:sz w:val="20"/>
                      <w:szCs w:val="20"/>
                      <w:u w:val="none"/>
                      <w:lang w:val="en-US" w:eastAsia="zh-CN" w:bidi="ar"/>
                      <w14:textFill>
                        <w14:solidFill>
                          <w14:schemeClr w14:val="tx1"/>
                        </w14:solidFill>
                      </w14:textFill>
                    </w:rPr>
                    <w:t>还原炉</w:t>
                  </w:r>
                </w:p>
              </w:tc>
              <w:tc>
                <w:tcPr>
                  <w:tcW w:w="630" w:type="pct"/>
                  <w:tcBorders>
                    <w:tl2br w:val="nil"/>
                    <w:tr2bl w:val="nil"/>
                  </w:tcBorders>
                  <w:shd w:val="clear" w:color="auto" w:fill="auto"/>
                  <w:vAlign w:val="center"/>
                </w:tcPr>
                <w:p w14:paraId="5AFE385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eastAsia" w:cs="Times New Roman"/>
                      <w:i w:val="0"/>
                      <w:iCs w:val="0"/>
                      <w:color w:val="000000" w:themeColor="text1"/>
                      <w:kern w:val="0"/>
                      <w:sz w:val="20"/>
                      <w:szCs w:val="20"/>
                      <w:u w:val="none"/>
                      <w:lang w:val="en-US" w:eastAsia="zh-CN" w:bidi="ar"/>
                      <w14:textFill>
                        <w14:solidFill>
                          <w14:schemeClr w14:val="tx1"/>
                        </w14:solidFill>
                      </w14:textFill>
                    </w:rPr>
                    <w:t>1</w:t>
                  </w:r>
                </w:p>
              </w:tc>
              <w:tc>
                <w:tcPr>
                  <w:tcW w:w="381" w:type="pct"/>
                  <w:tcBorders>
                    <w:tl2br w:val="nil"/>
                    <w:tr2bl w:val="nil"/>
                  </w:tcBorders>
                  <w:shd w:val="clear" w:color="auto" w:fill="auto"/>
                  <w:vAlign w:val="center"/>
                </w:tcPr>
                <w:p w14:paraId="44F8CD7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台</w:t>
                  </w:r>
                </w:p>
              </w:tc>
              <w:tc>
                <w:tcPr>
                  <w:tcW w:w="895" w:type="pct"/>
                  <w:tcBorders>
                    <w:tl2br w:val="nil"/>
                    <w:tr2bl w:val="nil"/>
                  </w:tcBorders>
                  <w:shd w:val="clear" w:color="auto" w:fill="auto"/>
                  <w:vAlign w:val="center"/>
                </w:tcPr>
                <w:p w14:paraId="3BE6F657">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themeColor="text1"/>
                      <w:sz w:val="20"/>
                      <w:szCs w:val="20"/>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z w:val="20"/>
                      <w:szCs w:val="20"/>
                      <w:u w:val="none"/>
                      <w:lang w:val="en-US" w:eastAsia="zh-CN"/>
                      <w14:textFill>
                        <w14:solidFill>
                          <w14:schemeClr w14:val="tx1"/>
                        </w14:solidFill>
                      </w14:textFill>
                    </w:rPr>
                    <w:t>40</w:t>
                  </w: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KW</w:t>
                  </w:r>
                </w:p>
              </w:tc>
              <w:tc>
                <w:tcPr>
                  <w:tcW w:w="813" w:type="pct"/>
                  <w:tcBorders>
                    <w:tl2br w:val="nil"/>
                    <w:tr2bl w:val="nil"/>
                  </w:tcBorders>
                  <w:shd w:val="clear" w:color="auto" w:fill="auto"/>
                  <w:vAlign w:val="center"/>
                </w:tcPr>
                <w:p w14:paraId="646E4A0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lang w:val="en-US"/>
                      <w14:textFill>
                        <w14:solidFill>
                          <w14:schemeClr w14:val="tx1"/>
                        </w14:solidFill>
                      </w14:textFill>
                    </w:rPr>
                  </w:pPr>
                  <w: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利旧</w:t>
                  </w:r>
                </w:p>
              </w:tc>
              <w:tc>
                <w:tcPr>
                  <w:tcW w:w="717" w:type="pct"/>
                  <w:vMerge w:val="continue"/>
                  <w:tcBorders>
                    <w:tl2br w:val="nil"/>
                    <w:tr2bl w:val="nil"/>
                  </w:tcBorders>
                  <w:shd w:val="clear" w:color="auto" w:fill="auto"/>
                  <w:vAlign w:val="center"/>
                </w:tcPr>
                <w:p w14:paraId="2AD24EC0">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p>
              </w:tc>
            </w:tr>
            <w:tr w14:paraId="33DA0923">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0" w:hRule="atLeast"/>
                <w:jc w:val="center"/>
              </w:trPr>
              <w:tc>
                <w:tcPr>
                  <w:tcW w:w="406" w:type="pct"/>
                  <w:tcBorders>
                    <w:tl2br w:val="nil"/>
                    <w:tr2bl w:val="nil"/>
                  </w:tcBorders>
                  <w:shd w:val="clear" w:color="auto" w:fill="auto"/>
                  <w:vAlign w:val="center"/>
                </w:tcPr>
                <w:p w14:paraId="7220BB8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eastAsia" w:cs="Times New Roman"/>
                      <w:i w:val="0"/>
                      <w:iCs w:val="0"/>
                      <w:color w:val="000000" w:themeColor="text1"/>
                      <w:kern w:val="2"/>
                      <w:sz w:val="20"/>
                      <w:szCs w:val="20"/>
                      <w:u w:val="none"/>
                      <w:lang w:val="en-US" w:eastAsia="zh-CN" w:bidi="ar-SA"/>
                      <w14:textFill>
                        <w14:solidFill>
                          <w14:schemeClr w14:val="tx1"/>
                        </w14:solidFill>
                      </w14:textFill>
                    </w:rPr>
                    <w:t>16</w:t>
                  </w:r>
                </w:p>
              </w:tc>
              <w:tc>
                <w:tcPr>
                  <w:tcW w:w="1155" w:type="pct"/>
                  <w:tcBorders>
                    <w:tl2br w:val="nil"/>
                    <w:tr2bl w:val="nil"/>
                  </w:tcBorders>
                  <w:shd w:val="clear" w:color="auto" w:fill="auto"/>
                  <w:vAlign w:val="center"/>
                </w:tcPr>
                <w:p w14:paraId="77DDDD66">
                  <w:pPr>
                    <w:keepNext w:val="0"/>
                    <w:keepLines w:val="0"/>
                    <w:widowControl/>
                    <w:suppressLineNumbers w:val="0"/>
                    <w:spacing w:before="0" w:beforeAutospacing="0" w:after="0" w:afterAutospacing="0"/>
                    <w:ind w:left="0" w:right="0"/>
                    <w:jc w:val="center"/>
                    <w:textAlignment w:val="center"/>
                    <w:rPr>
                      <w:rFonts w:hint="eastAsia" w:cs="Times New Roman"/>
                      <w:i w:val="0"/>
                      <w:iCs w:val="0"/>
                      <w:color w:val="000000" w:themeColor="text1"/>
                      <w:kern w:val="0"/>
                      <w:sz w:val="20"/>
                      <w:szCs w:val="20"/>
                      <w:u w:val="none"/>
                      <w:lang w:val="en-US" w:eastAsia="zh-CN" w:bidi="ar"/>
                      <w14:textFill>
                        <w14:solidFill>
                          <w14:schemeClr w14:val="tx1"/>
                        </w14:solidFill>
                      </w14:textFill>
                    </w:rPr>
                  </w:pPr>
                  <w:r>
                    <w:rPr>
                      <w:rFonts w:hint="eastAsia" w:cs="Times New Roman"/>
                      <w:i w:val="0"/>
                      <w:iCs w:val="0"/>
                      <w:color w:val="000000" w:themeColor="text1"/>
                      <w:kern w:val="0"/>
                      <w:sz w:val="20"/>
                      <w:szCs w:val="20"/>
                      <w:u w:val="none"/>
                      <w:lang w:val="en-US" w:eastAsia="zh-CN" w:bidi="ar"/>
                      <w14:textFill>
                        <w14:solidFill>
                          <w14:schemeClr w14:val="tx1"/>
                        </w14:solidFill>
                      </w14:textFill>
                    </w:rPr>
                    <w:t>空气烧渗炉</w:t>
                  </w:r>
                </w:p>
              </w:tc>
              <w:tc>
                <w:tcPr>
                  <w:tcW w:w="630" w:type="pct"/>
                  <w:tcBorders>
                    <w:tl2br w:val="nil"/>
                    <w:tr2bl w:val="nil"/>
                  </w:tcBorders>
                  <w:shd w:val="clear" w:color="auto" w:fill="auto"/>
                  <w:vAlign w:val="center"/>
                </w:tcPr>
                <w:p w14:paraId="06E68DC5">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pPr>
                  <w:r>
                    <w:rPr>
                      <w:rFonts w:hint="eastAsia" w:cs="Times New Roman"/>
                      <w:i w:val="0"/>
                      <w:iCs w:val="0"/>
                      <w:color w:val="000000" w:themeColor="text1"/>
                      <w:kern w:val="0"/>
                      <w:sz w:val="20"/>
                      <w:szCs w:val="20"/>
                      <w:u w:val="none"/>
                      <w:lang w:val="en-US" w:eastAsia="zh-CN" w:bidi="ar"/>
                      <w14:textFill>
                        <w14:solidFill>
                          <w14:schemeClr w14:val="tx1"/>
                        </w14:solidFill>
                      </w14:textFill>
                    </w:rPr>
                    <w:t>1</w:t>
                  </w:r>
                </w:p>
              </w:tc>
              <w:tc>
                <w:tcPr>
                  <w:tcW w:w="381" w:type="pct"/>
                  <w:tcBorders>
                    <w:tl2br w:val="nil"/>
                    <w:tr2bl w:val="nil"/>
                  </w:tcBorders>
                  <w:shd w:val="clear" w:color="auto" w:fill="auto"/>
                  <w:vAlign w:val="center"/>
                </w:tcPr>
                <w:p w14:paraId="46A6F52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台</w:t>
                  </w:r>
                </w:p>
              </w:tc>
              <w:tc>
                <w:tcPr>
                  <w:tcW w:w="895" w:type="pct"/>
                  <w:tcBorders>
                    <w:tl2br w:val="nil"/>
                    <w:tr2bl w:val="nil"/>
                  </w:tcBorders>
                  <w:shd w:val="clear" w:color="auto" w:fill="auto"/>
                  <w:vAlign w:val="center"/>
                </w:tcPr>
                <w:p w14:paraId="0701B516">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themeColor="text1"/>
                      <w:sz w:val="20"/>
                      <w:szCs w:val="20"/>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z w:val="20"/>
                      <w:szCs w:val="20"/>
                      <w:u w:val="none"/>
                      <w:lang w:val="en-US" w:eastAsia="zh-CN"/>
                      <w14:textFill>
                        <w14:solidFill>
                          <w14:schemeClr w14:val="tx1"/>
                        </w14:solidFill>
                      </w14:textFill>
                    </w:rPr>
                    <w:t>40</w:t>
                  </w: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KW</w:t>
                  </w:r>
                </w:p>
              </w:tc>
              <w:tc>
                <w:tcPr>
                  <w:tcW w:w="813" w:type="pct"/>
                  <w:tcBorders>
                    <w:tl2br w:val="nil"/>
                    <w:tr2bl w:val="nil"/>
                  </w:tcBorders>
                  <w:shd w:val="clear" w:color="auto" w:fill="auto"/>
                  <w:vAlign w:val="center"/>
                </w:tcPr>
                <w:p w14:paraId="44DD8AA4">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利旧</w:t>
                  </w:r>
                </w:p>
              </w:tc>
              <w:tc>
                <w:tcPr>
                  <w:tcW w:w="717" w:type="pct"/>
                  <w:vMerge w:val="continue"/>
                  <w:tcBorders>
                    <w:tl2br w:val="nil"/>
                    <w:tr2bl w:val="nil"/>
                  </w:tcBorders>
                  <w:shd w:val="clear" w:color="auto" w:fill="auto"/>
                  <w:vAlign w:val="center"/>
                </w:tcPr>
                <w:p w14:paraId="758E845E">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p>
              </w:tc>
            </w:tr>
            <w:tr w14:paraId="034CA2C6">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0" w:hRule="atLeast"/>
                <w:jc w:val="center"/>
              </w:trPr>
              <w:tc>
                <w:tcPr>
                  <w:tcW w:w="406" w:type="pct"/>
                  <w:tcBorders>
                    <w:tl2br w:val="nil"/>
                    <w:tr2bl w:val="nil"/>
                  </w:tcBorders>
                  <w:shd w:val="clear" w:color="auto" w:fill="auto"/>
                  <w:vAlign w:val="center"/>
                </w:tcPr>
                <w:p w14:paraId="77744BD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eastAsia" w:cs="Times New Roman"/>
                      <w:i w:val="0"/>
                      <w:iCs w:val="0"/>
                      <w:color w:val="000000" w:themeColor="text1"/>
                      <w:kern w:val="0"/>
                      <w:sz w:val="20"/>
                      <w:szCs w:val="20"/>
                      <w:u w:val="none"/>
                      <w:lang w:val="en-US" w:eastAsia="zh-CN" w:bidi="ar"/>
                      <w14:textFill>
                        <w14:solidFill>
                          <w14:schemeClr w14:val="tx1"/>
                        </w14:solidFill>
                      </w14:textFill>
                    </w:rPr>
                    <w:t>17</w:t>
                  </w:r>
                </w:p>
              </w:tc>
              <w:tc>
                <w:tcPr>
                  <w:tcW w:w="1155" w:type="pct"/>
                  <w:tcBorders>
                    <w:tl2br w:val="nil"/>
                    <w:tr2bl w:val="nil"/>
                  </w:tcBorders>
                  <w:shd w:val="clear" w:color="auto" w:fill="auto"/>
                  <w:vAlign w:val="center"/>
                </w:tcPr>
                <w:p w14:paraId="4872B6E6">
                  <w:pPr>
                    <w:keepNext w:val="0"/>
                    <w:keepLines w:val="0"/>
                    <w:widowControl/>
                    <w:suppressLineNumbers w:val="0"/>
                    <w:spacing w:before="0" w:beforeAutospacing="0" w:after="0" w:afterAutospacing="0"/>
                    <w:ind w:left="0" w:right="0"/>
                    <w:jc w:val="center"/>
                    <w:textAlignment w:val="center"/>
                    <w:rPr>
                      <w:rFonts w:hint="eastAsia" w:cs="Times New Roman"/>
                      <w:i w:val="0"/>
                      <w:iCs w:val="0"/>
                      <w:color w:val="000000" w:themeColor="text1"/>
                      <w:kern w:val="0"/>
                      <w:sz w:val="20"/>
                      <w:szCs w:val="20"/>
                      <w:u w:val="none"/>
                      <w:lang w:val="en-US" w:eastAsia="zh-CN" w:bidi="ar"/>
                      <w14:textFill>
                        <w14:solidFill>
                          <w14:schemeClr w14:val="tx1"/>
                        </w14:solidFill>
                      </w14:textFill>
                    </w:rPr>
                  </w:pPr>
                  <w:r>
                    <w:rPr>
                      <w:rFonts w:hint="eastAsia" w:cs="Times New Roman"/>
                      <w:i w:val="0"/>
                      <w:iCs w:val="0"/>
                      <w:color w:val="000000" w:themeColor="text1"/>
                      <w:kern w:val="0"/>
                      <w:sz w:val="20"/>
                      <w:szCs w:val="20"/>
                      <w:u w:val="none"/>
                      <w:lang w:val="en-US" w:eastAsia="zh-CN" w:bidi="ar"/>
                      <w14:textFill>
                        <w14:solidFill>
                          <w14:schemeClr w14:val="tx1"/>
                        </w14:solidFill>
                      </w14:textFill>
                    </w:rPr>
                    <w:t>气氛烧渗炉</w:t>
                  </w:r>
                </w:p>
              </w:tc>
              <w:tc>
                <w:tcPr>
                  <w:tcW w:w="630" w:type="pct"/>
                  <w:tcBorders>
                    <w:tl2br w:val="nil"/>
                    <w:tr2bl w:val="nil"/>
                  </w:tcBorders>
                  <w:shd w:val="clear" w:color="auto" w:fill="auto"/>
                  <w:vAlign w:val="center"/>
                </w:tcPr>
                <w:p w14:paraId="76512AEC">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pPr>
                  <w:r>
                    <w:rPr>
                      <w:rFonts w:hint="eastAsia" w:cs="Times New Roman"/>
                      <w:i w:val="0"/>
                      <w:iCs w:val="0"/>
                      <w:color w:val="000000" w:themeColor="text1"/>
                      <w:kern w:val="0"/>
                      <w:sz w:val="20"/>
                      <w:szCs w:val="20"/>
                      <w:u w:val="none"/>
                      <w:lang w:val="en-US" w:eastAsia="zh-CN" w:bidi="ar"/>
                      <w14:textFill>
                        <w14:solidFill>
                          <w14:schemeClr w14:val="tx1"/>
                        </w14:solidFill>
                      </w14:textFill>
                    </w:rPr>
                    <w:t>1</w:t>
                  </w:r>
                </w:p>
              </w:tc>
              <w:tc>
                <w:tcPr>
                  <w:tcW w:w="381" w:type="pct"/>
                  <w:tcBorders>
                    <w:tl2br w:val="nil"/>
                    <w:tr2bl w:val="nil"/>
                  </w:tcBorders>
                  <w:shd w:val="clear" w:color="auto" w:fill="auto"/>
                  <w:vAlign w:val="center"/>
                </w:tcPr>
                <w:p w14:paraId="1C626A1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台</w:t>
                  </w:r>
                </w:p>
              </w:tc>
              <w:tc>
                <w:tcPr>
                  <w:tcW w:w="895" w:type="pct"/>
                  <w:tcBorders>
                    <w:tl2br w:val="nil"/>
                    <w:tr2bl w:val="nil"/>
                  </w:tcBorders>
                  <w:shd w:val="clear" w:color="auto" w:fill="auto"/>
                  <w:vAlign w:val="center"/>
                </w:tcPr>
                <w:p w14:paraId="0E523A02">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themeColor="text1"/>
                      <w:sz w:val="20"/>
                      <w:szCs w:val="20"/>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z w:val="20"/>
                      <w:szCs w:val="20"/>
                      <w:u w:val="none"/>
                      <w:lang w:val="en-US" w:eastAsia="zh-CN"/>
                      <w14:textFill>
                        <w14:solidFill>
                          <w14:schemeClr w14:val="tx1"/>
                        </w14:solidFill>
                      </w14:textFill>
                    </w:rPr>
                    <w:t>40</w:t>
                  </w: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KW</w:t>
                  </w:r>
                </w:p>
              </w:tc>
              <w:tc>
                <w:tcPr>
                  <w:tcW w:w="813" w:type="pct"/>
                  <w:tcBorders>
                    <w:tl2br w:val="nil"/>
                    <w:tr2bl w:val="nil"/>
                  </w:tcBorders>
                  <w:shd w:val="clear" w:color="auto" w:fill="auto"/>
                  <w:vAlign w:val="center"/>
                </w:tcPr>
                <w:p w14:paraId="137318F1">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pPr>
                  <w:r>
                    <w:rPr>
                      <w:rFonts w:hint="eastAsia" w:cs="Times New Roman"/>
                      <w:i w:val="0"/>
                      <w:iCs w:val="0"/>
                      <w:color w:val="000000" w:themeColor="text1"/>
                      <w:kern w:val="0"/>
                      <w:sz w:val="20"/>
                      <w:szCs w:val="20"/>
                      <w:u w:val="none"/>
                      <w:lang w:val="en-US" w:eastAsia="zh-CN" w:bidi="ar"/>
                      <w14:textFill>
                        <w14:solidFill>
                          <w14:schemeClr w14:val="tx1"/>
                        </w14:solidFill>
                      </w14:textFill>
                    </w:rPr>
                    <w:t>新购</w:t>
                  </w:r>
                </w:p>
              </w:tc>
              <w:tc>
                <w:tcPr>
                  <w:tcW w:w="717" w:type="pct"/>
                  <w:vMerge w:val="continue"/>
                  <w:tcBorders>
                    <w:tl2br w:val="nil"/>
                    <w:tr2bl w:val="nil"/>
                  </w:tcBorders>
                  <w:shd w:val="clear" w:color="auto" w:fill="auto"/>
                  <w:vAlign w:val="center"/>
                </w:tcPr>
                <w:p w14:paraId="0C126469">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p>
              </w:tc>
            </w:tr>
            <w:tr w14:paraId="7D0C74B1">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06" w:type="pct"/>
                  <w:tcBorders>
                    <w:tl2br w:val="nil"/>
                    <w:tr2bl w:val="nil"/>
                  </w:tcBorders>
                  <w:shd w:val="clear" w:color="auto" w:fill="auto"/>
                  <w:vAlign w:val="center"/>
                </w:tcPr>
                <w:p w14:paraId="179A76C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eastAsia" w:cs="Times New Roman"/>
                      <w:i w:val="0"/>
                      <w:iCs w:val="0"/>
                      <w:color w:val="000000" w:themeColor="text1"/>
                      <w:kern w:val="0"/>
                      <w:sz w:val="20"/>
                      <w:szCs w:val="20"/>
                      <w:u w:val="none"/>
                      <w:lang w:val="en-US" w:eastAsia="zh-CN" w:bidi="ar"/>
                      <w14:textFill>
                        <w14:solidFill>
                          <w14:schemeClr w14:val="tx1"/>
                        </w14:solidFill>
                      </w14:textFill>
                    </w:rPr>
                    <w:t>18</w:t>
                  </w:r>
                </w:p>
              </w:tc>
              <w:tc>
                <w:tcPr>
                  <w:tcW w:w="1155" w:type="pct"/>
                  <w:tcBorders>
                    <w:tl2br w:val="nil"/>
                    <w:tr2bl w:val="nil"/>
                  </w:tcBorders>
                  <w:shd w:val="clear" w:color="auto" w:fill="auto"/>
                  <w:vAlign w:val="center"/>
                </w:tcPr>
                <w:p w14:paraId="3D86E363">
                  <w:pPr>
                    <w:keepNext w:val="0"/>
                    <w:keepLines w:val="0"/>
                    <w:widowControl/>
                    <w:suppressLineNumbers w:val="0"/>
                    <w:spacing w:before="0" w:beforeAutospacing="0" w:after="0" w:afterAutospacing="0"/>
                    <w:ind w:left="0" w:right="0"/>
                    <w:jc w:val="center"/>
                    <w:textAlignment w:val="center"/>
                    <w:rPr>
                      <w:rFonts w:hint="default" w:cs="Times New Roman"/>
                      <w:i w:val="0"/>
                      <w:iCs w:val="0"/>
                      <w:color w:val="000000" w:themeColor="text1"/>
                      <w:kern w:val="0"/>
                      <w:sz w:val="20"/>
                      <w:szCs w:val="20"/>
                      <w:u w:val="none"/>
                      <w:lang w:val="en-US" w:eastAsia="zh-CN" w:bidi="ar"/>
                      <w14:textFill>
                        <w14:solidFill>
                          <w14:schemeClr w14:val="tx1"/>
                        </w14:solidFill>
                      </w14:textFill>
                    </w:rPr>
                  </w:pPr>
                  <w:r>
                    <w:rPr>
                      <w:rFonts w:hint="eastAsia" w:cs="Times New Roman"/>
                      <w:i w:val="0"/>
                      <w:iCs w:val="0"/>
                      <w:color w:val="000000" w:themeColor="text1"/>
                      <w:kern w:val="0"/>
                      <w:sz w:val="20"/>
                      <w:szCs w:val="20"/>
                      <w:u w:val="none"/>
                      <w:lang w:val="en-US" w:eastAsia="zh-CN" w:bidi="ar"/>
                      <w14:textFill>
                        <w14:solidFill>
                          <w14:schemeClr w14:val="tx1"/>
                        </w14:solidFill>
                      </w14:textFill>
                    </w:rPr>
                    <w:t>分选机</w:t>
                  </w:r>
                </w:p>
              </w:tc>
              <w:tc>
                <w:tcPr>
                  <w:tcW w:w="630" w:type="pct"/>
                  <w:tcBorders>
                    <w:tl2br w:val="nil"/>
                    <w:tr2bl w:val="nil"/>
                  </w:tcBorders>
                  <w:shd w:val="clear" w:color="auto" w:fill="auto"/>
                  <w:vAlign w:val="center"/>
                </w:tcPr>
                <w:p w14:paraId="31D1BADC">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pPr>
                  <w:r>
                    <w:rPr>
                      <w:rFonts w:hint="eastAsia" w:cs="Times New Roman"/>
                      <w:i w:val="0"/>
                      <w:iCs w:val="0"/>
                      <w:color w:val="000000" w:themeColor="text1"/>
                      <w:kern w:val="0"/>
                      <w:sz w:val="20"/>
                      <w:szCs w:val="20"/>
                      <w:u w:val="none"/>
                      <w:lang w:val="en-US" w:eastAsia="zh-CN" w:bidi="ar"/>
                      <w14:textFill>
                        <w14:solidFill>
                          <w14:schemeClr w14:val="tx1"/>
                        </w14:solidFill>
                      </w14:textFill>
                    </w:rPr>
                    <w:t>3</w:t>
                  </w:r>
                </w:p>
              </w:tc>
              <w:tc>
                <w:tcPr>
                  <w:tcW w:w="381" w:type="pct"/>
                  <w:tcBorders>
                    <w:tl2br w:val="nil"/>
                    <w:tr2bl w:val="nil"/>
                  </w:tcBorders>
                  <w:shd w:val="clear" w:color="auto" w:fill="auto"/>
                  <w:vAlign w:val="center"/>
                </w:tcPr>
                <w:p w14:paraId="57D9BE5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台</w:t>
                  </w:r>
                </w:p>
              </w:tc>
              <w:tc>
                <w:tcPr>
                  <w:tcW w:w="895" w:type="pct"/>
                  <w:tcBorders>
                    <w:tl2br w:val="nil"/>
                    <w:tr2bl w:val="nil"/>
                  </w:tcBorders>
                  <w:shd w:val="clear" w:color="auto" w:fill="auto"/>
                  <w:vAlign w:val="center"/>
                </w:tcPr>
                <w:p w14:paraId="6489DF5B">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themeColor="text1"/>
                      <w:sz w:val="20"/>
                      <w:szCs w:val="20"/>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3KW</w:t>
                  </w:r>
                </w:p>
              </w:tc>
              <w:tc>
                <w:tcPr>
                  <w:tcW w:w="813" w:type="pct"/>
                  <w:tcBorders>
                    <w:tl2br w:val="nil"/>
                    <w:tr2bl w:val="nil"/>
                  </w:tcBorders>
                  <w:shd w:val="clear" w:color="auto" w:fill="auto"/>
                  <w:vAlign w:val="center"/>
                </w:tcPr>
                <w:p w14:paraId="230A9614">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利旧</w:t>
                  </w:r>
                </w:p>
              </w:tc>
              <w:tc>
                <w:tcPr>
                  <w:tcW w:w="717" w:type="pct"/>
                  <w:vMerge w:val="continue"/>
                  <w:tcBorders>
                    <w:tl2br w:val="nil"/>
                    <w:tr2bl w:val="nil"/>
                  </w:tcBorders>
                  <w:shd w:val="clear" w:color="auto" w:fill="auto"/>
                  <w:vAlign w:val="center"/>
                </w:tcPr>
                <w:p w14:paraId="7740DD60">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p>
              </w:tc>
            </w:tr>
            <w:tr w14:paraId="3DA5A1B5">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0" w:hRule="atLeast"/>
                <w:jc w:val="center"/>
              </w:trPr>
              <w:tc>
                <w:tcPr>
                  <w:tcW w:w="406" w:type="pct"/>
                  <w:tcBorders>
                    <w:tl2br w:val="nil"/>
                    <w:tr2bl w:val="nil"/>
                  </w:tcBorders>
                  <w:shd w:val="clear" w:color="auto" w:fill="auto"/>
                  <w:vAlign w:val="center"/>
                </w:tcPr>
                <w:p w14:paraId="5DFB306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eastAsia" w:cs="Times New Roman"/>
                      <w:i w:val="0"/>
                      <w:iCs w:val="0"/>
                      <w:color w:val="000000" w:themeColor="text1"/>
                      <w:kern w:val="0"/>
                      <w:sz w:val="20"/>
                      <w:szCs w:val="20"/>
                      <w:u w:val="none"/>
                      <w:lang w:val="en-US" w:eastAsia="zh-CN" w:bidi="ar"/>
                      <w14:textFill>
                        <w14:solidFill>
                          <w14:schemeClr w14:val="tx1"/>
                        </w14:solidFill>
                      </w14:textFill>
                    </w:rPr>
                    <w:t>19</w:t>
                  </w:r>
                </w:p>
              </w:tc>
              <w:tc>
                <w:tcPr>
                  <w:tcW w:w="1155" w:type="pct"/>
                  <w:tcBorders>
                    <w:tl2br w:val="nil"/>
                    <w:tr2bl w:val="nil"/>
                  </w:tcBorders>
                  <w:shd w:val="clear" w:color="auto" w:fill="auto"/>
                  <w:vAlign w:val="center"/>
                </w:tcPr>
                <w:p w14:paraId="3A7F7C3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自动一体机</w:t>
                  </w:r>
                </w:p>
              </w:tc>
              <w:tc>
                <w:tcPr>
                  <w:tcW w:w="630" w:type="pct"/>
                  <w:tcBorders>
                    <w:tl2br w:val="nil"/>
                    <w:tr2bl w:val="nil"/>
                  </w:tcBorders>
                  <w:shd w:val="clear" w:color="auto" w:fill="auto"/>
                  <w:vAlign w:val="center"/>
                </w:tcPr>
                <w:p w14:paraId="36B58FB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5</w:t>
                  </w:r>
                </w:p>
              </w:tc>
              <w:tc>
                <w:tcPr>
                  <w:tcW w:w="381" w:type="pct"/>
                  <w:tcBorders>
                    <w:tl2br w:val="nil"/>
                    <w:tr2bl w:val="nil"/>
                  </w:tcBorders>
                  <w:shd w:val="clear" w:color="auto" w:fill="auto"/>
                  <w:vAlign w:val="center"/>
                </w:tcPr>
                <w:p w14:paraId="21760FD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台</w:t>
                  </w:r>
                </w:p>
              </w:tc>
              <w:tc>
                <w:tcPr>
                  <w:tcW w:w="895" w:type="pct"/>
                  <w:tcBorders>
                    <w:tl2br w:val="nil"/>
                    <w:tr2bl w:val="nil"/>
                  </w:tcBorders>
                  <w:shd w:val="clear" w:color="auto" w:fill="auto"/>
                  <w:vAlign w:val="center"/>
                </w:tcPr>
                <w:p w14:paraId="14E9F44F">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themeColor="text1"/>
                      <w:sz w:val="20"/>
                      <w:szCs w:val="20"/>
                      <w:u w:val="none"/>
                      <w:lang w:val="en-US" w:eastAsia="zh-CN"/>
                      <w14:textFill>
                        <w14:solidFill>
                          <w14:schemeClr w14:val="tx1"/>
                        </w14:solidFill>
                      </w14:textFill>
                    </w:rPr>
                  </w:pPr>
                  <w:r>
                    <w:rPr>
                      <w:rFonts w:hint="eastAsia" w:ascii="Times New Roman" w:hAnsi="Times New Roman" w:cs="Times New Roman"/>
                      <w:i w:val="0"/>
                      <w:iCs w:val="0"/>
                      <w:color w:val="000000" w:themeColor="text1"/>
                      <w:sz w:val="20"/>
                      <w:szCs w:val="20"/>
                      <w:u w:val="none"/>
                      <w:lang w:val="en-US" w:eastAsia="zh-CN"/>
                      <w14:textFill>
                        <w14:solidFill>
                          <w14:schemeClr w14:val="tx1"/>
                        </w14:solidFill>
                      </w14:textFill>
                    </w:rPr>
                    <w:t>/</w:t>
                  </w:r>
                </w:p>
              </w:tc>
              <w:tc>
                <w:tcPr>
                  <w:tcW w:w="813" w:type="pct"/>
                  <w:tcBorders>
                    <w:tl2br w:val="nil"/>
                    <w:tr2bl w:val="nil"/>
                  </w:tcBorders>
                  <w:shd w:val="clear" w:color="auto" w:fill="auto"/>
                  <w:vAlign w:val="center"/>
                </w:tcPr>
                <w:p w14:paraId="14EE9D7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新购</w:t>
                  </w:r>
                </w:p>
              </w:tc>
              <w:tc>
                <w:tcPr>
                  <w:tcW w:w="717" w:type="pct"/>
                  <w:tcBorders>
                    <w:bottom w:val="single" w:color="auto" w:sz="4" w:space="0"/>
                    <w:tl2br w:val="nil"/>
                    <w:tr2bl w:val="nil"/>
                  </w:tcBorders>
                  <w:shd w:val="clear" w:color="auto" w:fill="auto"/>
                  <w:vAlign w:val="center"/>
                </w:tcPr>
                <w:p w14:paraId="59776B7B">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themeColor="text1"/>
                      <w:sz w:val="20"/>
                      <w:szCs w:val="20"/>
                      <w:u w:val="none"/>
                      <w:lang w:val="en-US" w:eastAsia="zh-CN"/>
                      <w14:textFill>
                        <w14:solidFill>
                          <w14:schemeClr w14:val="tx1"/>
                        </w14:solidFill>
                      </w14:textFill>
                    </w:rPr>
                  </w:pPr>
                  <w:r>
                    <w:rPr>
                      <w:rFonts w:hint="default" w:ascii="Times New Roman" w:hAnsi="Times New Roman" w:cs="Times New Roman"/>
                      <w:i w:val="0"/>
                      <w:iCs w:val="0"/>
                      <w:color w:val="000000" w:themeColor="text1"/>
                      <w:sz w:val="20"/>
                      <w:szCs w:val="20"/>
                      <w:u w:val="none"/>
                      <w:lang w:val="en-US" w:eastAsia="zh-CN"/>
                      <w14:textFill>
                        <w14:solidFill>
                          <w14:schemeClr w14:val="tx1"/>
                        </w14:solidFill>
                      </w14:textFill>
                    </w:rPr>
                    <w:t>焊接区</w:t>
                  </w:r>
                </w:p>
              </w:tc>
            </w:tr>
            <w:tr w14:paraId="243AE6E9">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0" w:hRule="atLeast"/>
                <w:jc w:val="center"/>
              </w:trPr>
              <w:tc>
                <w:tcPr>
                  <w:tcW w:w="406" w:type="pct"/>
                  <w:tcBorders>
                    <w:tl2br w:val="nil"/>
                    <w:tr2bl w:val="nil"/>
                  </w:tcBorders>
                  <w:shd w:val="clear" w:color="auto" w:fill="auto"/>
                  <w:vAlign w:val="center"/>
                </w:tcPr>
                <w:p w14:paraId="0DBA1F3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eastAsia" w:cs="Times New Roman"/>
                      <w:i w:val="0"/>
                      <w:iCs w:val="0"/>
                      <w:color w:val="000000" w:themeColor="text1"/>
                      <w:kern w:val="2"/>
                      <w:sz w:val="20"/>
                      <w:szCs w:val="20"/>
                      <w:u w:val="none"/>
                      <w:lang w:val="en-US" w:eastAsia="zh-CN" w:bidi="ar-SA"/>
                      <w14:textFill>
                        <w14:solidFill>
                          <w14:schemeClr w14:val="tx1"/>
                        </w14:solidFill>
                      </w14:textFill>
                    </w:rPr>
                    <w:t>20</w:t>
                  </w:r>
                </w:p>
              </w:tc>
              <w:tc>
                <w:tcPr>
                  <w:tcW w:w="1155" w:type="pct"/>
                  <w:tcBorders>
                    <w:tl2br w:val="nil"/>
                    <w:tr2bl w:val="nil"/>
                  </w:tcBorders>
                  <w:shd w:val="clear" w:color="auto" w:fill="auto"/>
                  <w:vAlign w:val="center"/>
                </w:tcPr>
                <w:p w14:paraId="250B358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涂装机</w:t>
                  </w:r>
                </w:p>
              </w:tc>
              <w:tc>
                <w:tcPr>
                  <w:tcW w:w="630" w:type="pct"/>
                  <w:tcBorders>
                    <w:tl2br w:val="nil"/>
                    <w:tr2bl w:val="nil"/>
                  </w:tcBorders>
                  <w:shd w:val="clear" w:color="auto" w:fill="auto"/>
                  <w:vAlign w:val="center"/>
                </w:tcPr>
                <w:p w14:paraId="352FDFC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3</w:t>
                  </w:r>
                </w:p>
              </w:tc>
              <w:tc>
                <w:tcPr>
                  <w:tcW w:w="381" w:type="pct"/>
                  <w:tcBorders>
                    <w:tl2br w:val="nil"/>
                    <w:tr2bl w:val="nil"/>
                  </w:tcBorders>
                  <w:shd w:val="clear" w:color="auto" w:fill="auto"/>
                  <w:vAlign w:val="center"/>
                </w:tcPr>
                <w:p w14:paraId="6621A44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台</w:t>
                  </w:r>
                </w:p>
              </w:tc>
              <w:tc>
                <w:tcPr>
                  <w:tcW w:w="895" w:type="pct"/>
                  <w:tcBorders>
                    <w:tl2br w:val="nil"/>
                    <w:tr2bl w:val="nil"/>
                  </w:tcBorders>
                  <w:shd w:val="clear" w:color="auto" w:fill="auto"/>
                  <w:vAlign w:val="center"/>
                </w:tcPr>
                <w:p w14:paraId="42EF2DFC">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themeColor="text1"/>
                      <w:sz w:val="20"/>
                      <w:szCs w:val="20"/>
                      <w:u w:val="none"/>
                      <w:lang w:val="en-US" w:eastAsia="zh-CN"/>
                      <w14:textFill>
                        <w14:solidFill>
                          <w14:schemeClr w14:val="tx1"/>
                        </w14:solidFill>
                      </w14:textFill>
                    </w:rPr>
                  </w:pPr>
                  <w:r>
                    <w:rPr>
                      <w:rFonts w:hint="eastAsia" w:ascii="Times New Roman" w:hAnsi="Times New Roman" w:cs="Times New Roman"/>
                      <w:i w:val="0"/>
                      <w:iCs w:val="0"/>
                      <w:color w:val="000000" w:themeColor="text1"/>
                      <w:sz w:val="20"/>
                      <w:szCs w:val="20"/>
                      <w:u w:val="none"/>
                      <w:lang w:val="en-US" w:eastAsia="zh-CN"/>
                      <w14:textFill>
                        <w14:solidFill>
                          <w14:schemeClr w14:val="tx1"/>
                        </w14:solidFill>
                      </w14:textFill>
                    </w:rPr>
                    <w:t>/</w:t>
                  </w:r>
                </w:p>
              </w:tc>
              <w:tc>
                <w:tcPr>
                  <w:tcW w:w="813" w:type="pct"/>
                  <w:tcBorders>
                    <w:tl2br w:val="nil"/>
                    <w:tr2bl w:val="nil"/>
                  </w:tcBorders>
                  <w:shd w:val="clear" w:color="auto" w:fill="auto"/>
                  <w:vAlign w:val="center"/>
                </w:tcPr>
                <w:p w14:paraId="0189020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新购</w:t>
                  </w:r>
                </w:p>
              </w:tc>
              <w:tc>
                <w:tcPr>
                  <w:tcW w:w="717" w:type="pct"/>
                  <w:tcBorders>
                    <w:top w:val="single" w:color="auto" w:sz="4" w:space="0"/>
                    <w:bottom w:val="single" w:color="auto" w:sz="4" w:space="0"/>
                    <w:tl2br w:val="nil"/>
                    <w:tr2bl w:val="nil"/>
                  </w:tcBorders>
                  <w:shd w:val="clear" w:color="auto" w:fill="auto"/>
                  <w:vAlign w:val="center"/>
                </w:tcPr>
                <w:p w14:paraId="279F90C4">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themeColor="text1"/>
                      <w:sz w:val="20"/>
                      <w:szCs w:val="20"/>
                      <w:u w:val="none"/>
                      <w:lang w:val="en-US" w:eastAsia="zh-CN"/>
                      <w14:textFill>
                        <w14:solidFill>
                          <w14:schemeClr w14:val="tx1"/>
                        </w14:solidFill>
                      </w14:textFill>
                    </w:rPr>
                  </w:pPr>
                  <w:r>
                    <w:rPr>
                      <w:rFonts w:hint="eastAsia" w:ascii="Times New Roman" w:hAnsi="Times New Roman" w:cs="Times New Roman"/>
                      <w:i w:val="0"/>
                      <w:iCs w:val="0"/>
                      <w:color w:val="000000" w:themeColor="text1"/>
                      <w:sz w:val="20"/>
                      <w:szCs w:val="20"/>
                      <w:u w:val="none"/>
                      <w:lang w:val="en-US" w:eastAsia="zh-CN"/>
                      <w14:textFill>
                        <w14:solidFill>
                          <w14:schemeClr w14:val="tx1"/>
                        </w14:solidFill>
                      </w14:textFill>
                    </w:rPr>
                    <w:t>涂装车间</w:t>
                  </w:r>
                </w:p>
              </w:tc>
            </w:tr>
            <w:tr w14:paraId="2C2E7927">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0" w:hRule="atLeast"/>
                <w:jc w:val="center"/>
              </w:trPr>
              <w:tc>
                <w:tcPr>
                  <w:tcW w:w="406" w:type="pct"/>
                  <w:tcBorders>
                    <w:tl2br w:val="nil"/>
                    <w:tr2bl w:val="nil"/>
                  </w:tcBorders>
                  <w:shd w:val="clear" w:color="auto" w:fill="auto"/>
                  <w:vAlign w:val="center"/>
                </w:tcPr>
                <w:p w14:paraId="3EA12DA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21</w:t>
                  </w:r>
                </w:p>
              </w:tc>
              <w:tc>
                <w:tcPr>
                  <w:tcW w:w="1155" w:type="pct"/>
                  <w:tcBorders>
                    <w:tl2br w:val="nil"/>
                    <w:tr2bl w:val="nil"/>
                  </w:tcBorders>
                  <w:shd w:val="clear" w:color="auto" w:fill="auto"/>
                  <w:vAlign w:val="center"/>
                </w:tcPr>
                <w:p w14:paraId="60E998C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烤箱</w:t>
                  </w:r>
                </w:p>
              </w:tc>
              <w:tc>
                <w:tcPr>
                  <w:tcW w:w="630" w:type="pct"/>
                  <w:tcBorders>
                    <w:tl2br w:val="nil"/>
                    <w:tr2bl w:val="nil"/>
                  </w:tcBorders>
                  <w:shd w:val="clear" w:color="auto" w:fill="auto"/>
                  <w:vAlign w:val="center"/>
                </w:tcPr>
                <w:p w14:paraId="26BBC48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eastAsia"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2</w:t>
                  </w:r>
                </w:p>
              </w:tc>
              <w:tc>
                <w:tcPr>
                  <w:tcW w:w="381" w:type="pct"/>
                  <w:tcBorders>
                    <w:tl2br w:val="nil"/>
                    <w:tr2bl w:val="nil"/>
                  </w:tcBorders>
                  <w:shd w:val="clear" w:color="auto" w:fill="auto"/>
                  <w:vAlign w:val="center"/>
                </w:tcPr>
                <w:p w14:paraId="2C67D13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台</w:t>
                  </w:r>
                </w:p>
              </w:tc>
              <w:tc>
                <w:tcPr>
                  <w:tcW w:w="895" w:type="pct"/>
                  <w:tcBorders>
                    <w:tl2br w:val="nil"/>
                    <w:tr2bl w:val="nil"/>
                  </w:tcBorders>
                  <w:shd w:val="clear" w:color="auto" w:fill="auto"/>
                  <w:vAlign w:val="center"/>
                </w:tcPr>
                <w:p w14:paraId="6EFFE423">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themeColor="text1"/>
                      <w:sz w:val="20"/>
                      <w:szCs w:val="20"/>
                      <w:u w:val="none"/>
                      <w:lang w:val="en-US" w:eastAsia="zh-CN"/>
                      <w14:textFill>
                        <w14:solidFill>
                          <w14:schemeClr w14:val="tx1"/>
                        </w14:solidFill>
                      </w14:textFill>
                    </w:rPr>
                  </w:pPr>
                  <w:r>
                    <w:rPr>
                      <w:rFonts w:hint="eastAsia" w:ascii="Times New Roman" w:hAnsi="Times New Roman" w:cs="Times New Roman"/>
                      <w:i w:val="0"/>
                      <w:iCs w:val="0"/>
                      <w:color w:val="000000" w:themeColor="text1"/>
                      <w:sz w:val="20"/>
                      <w:szCs w:val="20"/>
                      <w:u w:val="none"/>
                      <w:lang w:val="en-US" w:eastAsia="zh-CN"/>
                      <w14:textFill>
                        <w14:solidFill>
                          <w14:schemeClr w14:val="tx1"/>
                        </w14:solidFill>
                      </w14:textFill>
                    </w:rPr>
                    <w:t>/</w:t>
                  </w:r>
                </w:p>
              </w:tc>
              <w:tc>
                <w:tcPr>
                  <w:tcW w:w="813" w:type="pct"/>
                  <w:tcBorders>
                    <w:tl2br w:val="nil"/>
                    <w:tr2bl w:val="nil"/>
                  </w:tcBorders>
                  <w:shd w:val="clear" w:color="auto" w:fill="auto"/>
                  <w:vAlign w:val="center"/>
                </w:tcPr>
                <w:p w14:paraId="6E693D2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新购</w:t>
                  </w:r>
                </w:p>
              </w:tc>
              <w:tc>
                <w:tcPr>
                  <w:tcW w:w="717" w:type="pct"/>
                  <w:tcBorders>
                    <w:top w:val="single" w:color="auto" w:sz="4" w:space="0"/>
                    <w:bottom w:val="single" w:color="auto" w:sz="4" w:space="0"/>
                    <w:tl2br w:val="nil"/>
                    <w:tr2bl w:val="nil"/>
                  </w:tcBorders>
                  <w:shd w:val="clear" w:color="auto" w:fill="auto"/>
                  <w:vAlign w:val="center"/>
                </w:tcPr>
                <w:p w14:paraId="51F2259E">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eastAsia" w:ascii="Times New Roman" w:hAnsi="Times New Roman" w:cs="Times New Roman"/>
                      <w:i w:val="0"/>
                      <w:iCs w:val="0"/>
                      <w:color w:val="000000" w:themeColor="text1"/>
                      <w:sz w:val="20"/>
                      <w:szCs w:val="20"/>
                      <w:u w:val="none"/>
                      <w:lang w:val="en-US" w:eastAsia="zh-CN"/>
                      <w14:textFill>
                        <w14:solidFill>
                          <w14:schemeClr w14:val="tx1"/>
                        </w14:solidFill>
                      </w14:textFill>
                    </w:rPr>
                    <w:t>固化车间</w:t>
                  </w:r>
                </w:p>
              </w:tc>
            </w:tr>
            <w:tr w14:paraId="6426F860">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0" w:hRule="atLeast"/>
                <w:jc w:val="center"/>
              </w:trPr>
              <w:tc>
                <w:tcPr>
                  <w:tcW w:w="406" w:type="pct"/>
                  <w:tcBorders>
                    <w:tl2br w:val="nil"/>
                    <w:tr2bl w:val="nil"/>
                  </w:tcBorders>
                  <w:shd w:val="clear" w:color="auto" w:fill="auto"/>
                  <w:vAlign w:val="center"/>
                </w:tcPr>
                <w:p w14:paraId="1F356F1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22</w:t>
                  </w:r>
                </w:p>
              </w:tc>
              <w:tc>
                <w:tcPr>
                  <w:tcW w:w="1155" w:type="pct"/>
                  <w:tcBorders>
                    <w:tl2br w:val="nil"/>
                    <w:tr2bl w:val="nil"/>
                  </w:tcBorders>
                  <w:shd w:val="clear" w:color="auto" w:fill="auto"/>
                  <w:vAlign w:val="center"/>
                </w:tcPr>
                <w:p w14:paraId="03EB300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激光打印机</w:t>
                  </w:r>
                </w:p>
              </w:tc>
              <w:tc>
                <w:tcPr>
                  <w:tcW w:w="630" w:type="pct"/>
                  <w:tcBorders>
                    <w:tl2br w:val="nil"/>
                    <w:tr2bl w:val="nil"/>
                  </w:tcBorders>
                  <w:shd w:val="clear" w:color="auto" w:fill="auto"/>
                  <w:vAlign w:val="center"/>
                </w:tcPr>
                <w:p w14:paraId="5F0665B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5</w:t>
                  </w:r>
                </w:p>
              </w:tc>
              <w:tc>
                <w:tcPr>
                  <w:tcW w:w="381" w:type="pct"/>
                  <w:tcBorders>
                    <w:tl2br w:val="nil"/>
                    <w:tr2bl w:val="nil"/>
                  </w:tcBorders>
                  <w:shd w:val="clear" w:color="auto" w:fill="auto"/>
                  <w:vAlign w:val="center"/>
                </w:tcPr>
                <w:p w14:paraId="06831BF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台</w:t>
                  </w:r>
                </w:p>
              </w:tc>
              <w:tc>
                <w:tcPr>
                  <w:tcW w:w="895" w:type="pct"/>
                  <w:tcBorders>
                    <w:tl2br w:val="nil"/>
                    <w:tr2bl w:val="nil"/>
                  </w:tcBorders>
                  <w:shd w:val="clear" w:color="auto" w:fill="auto"/>
                  <w:vAlign w:val="center"/>
                </w:tcPr>
                <w:p w14:paraId="269CD4C1">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themeColor="text1"/>
                      <w:sz w:val="20"/>
                      <w:szCs w:val="20"/>
                      <w:u w:val="none"/>
                      <w:lang w:val="en-US" w:eastAsia="zh-CN"/>
                      <w14:textFill>
                        <w14:solidFill>
                          <w14:schemeClr w14:val="tx1"/>
                        </w14:solidFill>
                      </w14:textFill>
                    </w:rPr>
                  </w:pPr>
                  <w:r>
                    <w:rPr>
                      <w:rFonts w:hint="eastAsia" w:ascii="Times New Roman" w:hAnsi="Times New Roman" w:cs="Times New Roman"/>
                      <w:i w:val="0"/>
                      <w:iCs w:val="0"/>
                      <w:color w:val="000000" w:themeColor="text1"/>
                      <w:sz w:val="20"/>
                      <w:szCs w:val="20"/>
                      <w:u w:val="none"/>
                      <w:lang w:val="en-US" w:eastAsia="zh-CN"/>
                      <w14:textFill>
                        <w14:solidFill>
                          <w14:schemeClr w14:val="tx1"/>
                        </w14:solidFill>
                      </w14:textFill>
                    </w:rPr>
                    <w:t>/</w:t>
                  </w:r>
                </w:p>
              </w:tc>
              <w:tc>
                <w:tcPr>
                  <w:tcW w:w="813" w:type="pct"/>
                  <w:tcBorders>
                    <w:tl2br w:val="nil"/>
                    <w:tr2bl w:val="nil"/>
                  </w:tcBorders>
                  <w:shd w:val="clear" w:color="auto" w:fill="auto"/>
                  <w:vAlign w:val="center"/>
                </w:tcPr>
                <w:p w14:paraId="777FFE0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新购</w:t>
                  </w:r>
                </w:p>
              </w:tc>
              <w:tc>
                <w:tcPr>
                  <w:tcW w:w="717" w:type="pct"/>
                  <w:vMerge w:val="restart"/>
                  <w:tcBorders>
                    <w:top w:val="single" w:color="auto" w:sz="4" w:space="0"/>
                    <w:tl2br w:val="nil"/>
                    <w:tr2bl w:val="nil"/>
                  </w:tcBorders>
                  <w:shd w:val="clear" w:color="auto" w:fill="auto"/>
                  <w:vAlign w:val="center"/>
                </w:tcPr>
                <w:p w14:paraId="3D2B3C4A">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themeColor="text1"/>
                      <w:sz w:val="20"/>
                      <w:szCs w:val="20"/>
                      <w:u w:val="none"/>
                      <w:lang w:val="en-US" w:eastAsia="zh-CN"/>
                      <w14:textFill>
                        <w14:solidFill>
                          <w14:schemeClr w14:val="tx1"/>
                        </w14:solidFill>
                      </w14:textFill>
                    </w:rPr>
                  </w:pPr>
                  <w:r>
                    <w:rPr>
                      <w:rFonts w:hint="eastAsia" w:ascii="Times New Roman" w:hAnsi="Times New Roman" w:cs="Times New Roman"/>
                      <w:i w:val="0"/>
                      <w:iCs w:val="0"/>
                      <w:color w:val="000000" w:themeColor="text1"/>
                      <w:sz w:val="20"/>
                      <w:szCs w:val="20"/>
                      <w:u w:val="none"/>
                      <w:lang w:val="en-US" w:eastAsia="zh-CN"/>
                      <w14:textFill>
                        <w14:solidFill>
                          <w14:schemeClr w14:val="tx1"/>
                        </w14:solidFill>
                      </w14:textFill>
                    </w:rPr>
                    <w:t>编带车间</w:t>
                  </w:r>
                </w:p>
              </w:tc>
            </w:tr>
            <w:tr w14:paraId="641E5068">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0" w:hRule="atLeast"/>
                <w:jc w:val="center"/>
              </w:trPr>
              <w:tc>
                <w:tcPr>
                  <w:tcW w:w="406" w:type="pct"/>
                  <w:tcBorders>
                    <w:tl2br w:val="nil"/>
                    <w:tr2bl w:val="nil"/>
                  </w:tcBorders>
                  <w:shd w:val="clear" w:color="auto" w:fill="auto"/>
                  <w:vAlign w:val="center"/>
                </w:tcPr>
                <w:p w14:paraId="5135AC9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23</w:t>
                  </w:r>
                </w:p>
              </w:tc>
              <w:tc>
                <w:tcPr>
                  <w:tcW w:w="1155" w:type="pct"/>
                  <w:tcBorders>
                    <w:tl2br w:val="nil"/>
                    <w:tr2bl w:val="nil"/>
                  </w:tcBorders>
                  <w:shd w:val="clear" w:color="auto" w:fill="auto"/>
                  <w:vAlign w:val="center"/>
                </w:tcPr>
                <w:p w14:paraId="63EBD65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自动拉脚机</w:t>
                  </w:r>
                </w:p>
              </w:tc>
              <w:tc>
                <w:tcPr>
                  <w:tcW w:w="630" w:type="pct"/>
                  <w:tcBorders>
                    <w:tl2br w:val="nil"/>
                    <w:tr2bl w:val="nil"/>
                  </w:tcBorders>
                  <w:shd w:val="clear" w:color="auto" w:fill="auto"/>
                  <w:vAlign w:val="center"/>
                </w:tcPr>
                <w:p w14:paraId="75E9DAD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3</w:t>
                  </w:r>
                </w:p>
              </w:tc>
              <w:tc>
                <w:tcPr>
                  <w:tcW w:w="381" w:type="pct"/>
                  <w:tcBorders>
                    <w:tl2br w:val="nil"/>
                    <w:tr2bl w:val="nil"/>
                  </w:tcBorders>
                  <w:shd w:val="clear" w:color="auto" w:fill="auto"/>
                  <w:vAlign w:val="center"/>
                </w:tcPr>
                <w:p w14:paraId="72A6C49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台</w:t>
                  </w:r>
                </w:p>
              </w:tc>
              <w:tc>
                <w:tcPr>
                  <w:tcW w:w="895" w:type="pct"/>
                  <w:tcBorders>
                    <w:tl2br w:val="nil"/>
                    <w:tr2bl w:val="nil"/>
                  </w:tcBorders>
                  <w:shd w:val="clear" w:color="auto" w:fill="auto"/>
                  <w:vAlign w:val="center"/>
                </w:tcPr>
                <w:p w14:paraId="28345BFC">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themeColor="text1"/>
                      <w:sz w:val="20"/>
                      <w:szCs w:val="20"/>
                      <w:u w:val="none"/>
                      <w:lang w:val="en-US" w:eastAsia="zh-CN"/>
                      <w14:textFill>
                        <w14:solidFill>
                          <w14:schemeClr w14:val="tx1"/>
                        </w14:solidFill>
                      </w14:textFill>
                    </w:rPr>
                  </w:pPr>
                  <w:r>
                    <w:rPr>
                      <w:rFonts w:hint="eastAsia" w:ascii="Times New Roman" w:hAnsi="Times New Roman" w:cs="Times New Roman"/>
                      <w:i w:val="0"/>
                      <w:iCs w:val="0"/>
                      <w:color w:val="000000" w:themeColor="text1"/>
                      <w:sz w:val="20"/>
                      <w:szCs w:val="20"/>
                      <w:u w:val="none"/>
                      <w:lang w:val="en-US" w:eastAsia="zh-CN"/>
                      <w14:textFill>
                        <w14:solidFill>
                          <w14:schemeClr w14:val="tx1"/>
                        </w14:solidFill>
                      </w14:textFill>
                    </w:rPr>
                    <w:t>/</w:t>
                  </w:r>
                </w:p>
              </w:tc>
              <w:tc>
                <w:tcPr>
                  <w:tcW w:w="813" w:type="pct"/>
                  <w:tcBorders>
                    <w:tl2br w:val="nil"/>
                    <w:tr2bl w:val="nil"/>
                  </w:tcBorders>
                  <w:shd w:val="clear" w:color="auto" w:fill="auto"/>
                  <w:vAlign w:val="center"/>
                </w:tcPr>
                <w:p w14:paraId="6305EA6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新购</w:t>
                  </w:r>
                </w:p>
              </w:tc>
              <w:tc>
                <w:tcPr>
                  <w:tcW w:w="717" w:type="pct"/>
                  <w:vMerge w:val="continue"/>
                  <w:tcBorders>
                    <w:top w:val="single" w:color="auto" w:sz="4" w:space="0"/>
                    <w:bottom w:val="single" w:color="auto" w:sz="4" w:space="0"/>
                    <w:tl2br w:val="nil"/>
                    <w:tr2bl w:val="nil"/>
                  </w:tcBorders>
                  <w:shd w:val="clear" w:color="auto" w:fill="auto"/>
                  <w:vAlign w:val="center"/>
                </w:tcPr>
                <w:p w14:paraId="5E47F5BD">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p>
              </w:tc>
            </w:tr>
            <w:tr w14:paraId="3E4DBD0C">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0" w:hRule="atLeast"/>
                <w:jc w:val="center"/>
              </w:trPr>
              <w:tc>
                <w:tcPr>
                  <w:tcW w:w="406" w:type="pct"/>
                  <w:tcBorders>
                    <w:tl2br w:val="nil"/>
                    <w:tr2bl w:val="nil"/>
                  </w:tcBorders>
                  <w:shd w:val="clear" w:color="auto" w:fill="auto"/>
                  <w:vAlign w:val="center"/>
                </w:tcPr>
                <w:p w14:paraId="4E863A8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24</w:t>
                  </w:r>
                </w:p>
              </w:tc>
              <w:tc>
                <w:tcPr>
                  <w:tcW w:w="1155" w:type="pct"/>
                  <w:tcBorders>
                    <w:tl2br w:val="nil"/>
                    <w:tr2bl w:val="nil"/>
                  </w:tcBorders>
                  <w:shd w:val="clear" w:color="auto" w:fill="auto"/>
                  <w:vAlign w:val="center"/>
                </w:tcPr>
                <w:p w14:paraId="6ECA214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测试激光一体机</w:t>
                  </w:r>
                </w:p>
              </w:tc>
              <w:tc>
                <w:tcPr>
                  <w:tcW w:w="630" w:type="pct"/>
                  <w:tcBorders>
                    <w:tl2br w:val="nil"/>
                    <w:tr2bl w:val="nil"/>
                  </w:tcBorders>
                  <w:shd w:val="clear" w:color="auto" w:fill="auto"/>
                  <w:vAlign w:val="center"/>
                </w:tcPr>
                <w:p w14:paraId="6FF1DE1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5</w:t>
                  </w:r>
                </w:p>
              </w:tc>
              <w:tc>
                <w:tcPr>
                  <w:tcW w:w="381" w:type="pct"/>
                  <w:tcBorders>
                    <w:tl2br w:val="nil"/>
                    <w:tr2bl w:val="nil"/>
                  </w:tcBorders>
                  <w:shd w:val="clear" w:color="auto" w:fill="auto"/>
                  <w:vAlign w:val="center"/>
                </w:tcPr>
                <w:p w14:paraId="289640F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台</w:t>
                  </w:r>
                </w:p>
              </w:tc>
              <w:tc>
                <w:tcPr>
                  <w:tcW w:w="895" w:type="pct"/>
                  <w:tcBorders>
                    <w:tl2br w:val="nil"/>
                    <w:tr2bl w:val="nil"/>
                  </w:tcBorders>
                  <w:shd w:val="clear" w:color="auto" w:fill="auto"/>
                  <w:vAlign w:val="center"/>
                </w:tcPr>
                <w:p w14:paraId="6D6AB098">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themeColor="text1"/>
                      <w:sz w:val="20"/>
                      <w:szCs w:val="20"/>
                      <w:u w:val="none"/>
                      <w:lang w:val="en-US" w:eastAsia="zh-CN"/>
                      <w14:textFill>
                        <w14:solidFill>
                          <w14:schemeClr w14:val="tx1"/>
                        </w14:solidFill>
                      </w14:textFill>
                    </w:rPr>
                  </w:pPr>
                  <w:r>
                    <w:rPr>
                      <w:rFonts w:hint="eastAsia" w:ascii="Times New Roman" w:hAnsi="Times New Roman" w:cs="Times New Roman"/>
                      <w:i w:val="0"/>
                      <w:iCs w:val="0"/>
                      <w:color w:val="000000" w:themeColor="text1"/>
                      <w:sz w:val="20"/>
                      <w:szCs w:val="20"/>
                      <w:u w:val="none"/>
                      <w:lang w:val="en-US" w:eastAsia="zh-CN"/>
                      <w14:textFill>
                        <w14:solidFill>
                          <w14:schemeClr w14:val="tx1"/>
                        </w14:solidFill>
                      </w14:textFill>
                    </w:rPr>
                    <w:t>/</w:t>
                  </w:r>
                </w:p>
              </w:tc>
              <w:tc>
                <w:tcPr>
                  <w:tcW w:w="813" w:type="pct"/>
                  <w:tcBorders>
                    <w:tl2br w:val="nil"/>
                    <w:tr2bl w:val="nil"/>
                  </w:tcBorders>
                  <w:shd w:val="clear" w:color="auto" w:fill="auto"/>
                  <w:vAlign w:val="center"/>
                </w:tcPr>
                <w:p w14:paraId="463814C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新购</w:t>
                  </w:r>
                </w:p>
              </w:tc>
              <w:tc>
                <w:tcPr>
                  <w:tcW w:w="717" w:type="pct"/>
                  <w:vMerge w:val="continue"/>
                  <w:tcBorders>
                    <w:top w:val="single" w:color="auto" w:sz="4" w:space="0"/>
                    <w:bottom w:val="single" w:color="auto" w:sz="4" w:space="0"/>
                    <w:tl2br w:val="nil"/>
                    <w:tr2bl w:val="nil"/>
                  </w:tcBorders>
                  <w:shd w:val="clear" w:color="auto" w:fill="auto"/>
                  <w:vAlign w:val="center"/>
                </w:tcPr>
                <w:p w14:paraId="546D749E">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p>
              </w:tc>
            </w:tr>
            <w:tr w14:paraId="310E0A0E">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0" w:hRule="atLeast"/>
                <w:jc w:val="center"/>
              </w:trPr>
              <w:tc>
                <w:tcPr>
                  <w:tcW w:w="406" w:type="pct"/>
                  <w:tcBorders>
                    <w:tl2br w:val="nil"/>
                    <w:tr2bl w:val="nil"/>
                  </w:tcBorders>
                  <w:shd w:val="clear" w:color="auto" w:fill="auto"/>
                  <w:vAlign w:val="center"/>
                </w:tcPr>
                <w:p w14:paraId="5D4E936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25</w:t>
                  </w:r>
                </w:p>
              </w:tc>
              <w:tc>
                <w:tcPr>
                  <w:tcW w:w="1155" w:type="pct"/>
                  <w:tcBorders>
                    <w:tl2br w:val="nil"/>
                    <w:tr2bl w:val="nil"/>
                  </w:tcBorders>
                  <w:shd w:val="clear" w:color="auto" w:fill="auto"/>
                  <w:vAlign w:val="center"/>
                </w:tcPr>
                <w:p w14:paraId="2D2E894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精密切脚机</w:t>
                  </w:r>
                </w:p>
              </w:tc>
              <w:tc>
                <w:tcPr>
                  <w:tcW w:w="630" w:type="pct"/>
                  <w:tcBorders>
                    <w:tl2br w:val="nil"/>
                    <w:tr2bl w:val="nil"/>
                  </w:tcBorders>
                  <w:shd w:val="clear" w:color="auto" w:fill="auto"/>
                  <w:vAlign w:val="center"/>
                </w:tcPr>
                <w:p w14:paraId="730AE8E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3</w:t>
                  </w:r>
                </w:p>
              </w:tc>
              <w:tc>
                <w:tcPr>
                  <w:tcW w:w="381" w:type="pct"/>
                  <w:tcBorders>
                    <w:tl2br w:val="nil"/>
                    <w:tr2bl w:val="nil"/>
                  </w:tcBorders>
                  <w:shd w:val="clear" w:color="auto" w:fill="auto"/>
                  <w:vAlign w:val="center"/>
                </w:tcPr>
                <w:p w14:paraId="78725D5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台</w:t>
                  </w:r>
                </w:p>
              </w:tc>
              <w:tc>
                <w:tcPr>
                  <w:tcW w:w="895" w:type="pct"/>
                  <w:tcBorders>
                    <w:tl2br w:val="nil"/>
                    <w:tr2bl w:val="nil"/>
                  </w:tcBorders>
                  <w:shd w:val="clear" w:color="auto" w:fill="auto"/>
                  <w:vAlign w:val="center"/>
                </w:tcPr>
                <w:p w14:paraId="417C963C">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themeColor="text1"/>
                      <w:sz w:val="20"/>
                      <w:szCs w:val="20"/>
                      <w:u w:val="none"/>
                      <w:lang w:val="en-US" w:eastAsia="zh-CN"/>
                      <w14:textFill>
                        <w14:solidFill>
                          <w14:schemeClr w14:val="tx1"/>
                        </w14:solidFill>
                      </w14:textFill>
                    </w:rPr>
                  </w:pPr>
                  <w:r>
                    <w:rPr>
                      <w:rFonts w:hint="eastAsia" w:ascii="Times New Roman" w:hAnsi="Times New Roman" w:cs="Times New Roman"/>
                      <w:i w:val="0"/>
                      <w:iCs w:val="0"/>
                      <w:color w:val="000000" w:themeColor="text1"/>
                      <w:sz w:val="20"/>
                      <w:szCs w:val="20"/>
                      <w:u w:val="none"/>
                      <w:lang w:val="en-US" w:eastAsia="zh-CN"/>
                      <w14:textFill>
                        <w14:solidFill>
                          <w14:schemeClr w14:val="tx1"/>
                        </w14:solidFill>
                      </w14:textFill>
                    </w:rPr>
                    <w:t>/</w:t>
                  </w:r>
                </w:p>
              </w:tc>
              <w:tc>
                <w:tcPr>
                  <w:tcW w:w="813" w:type="pct"/>
                  <w:tcBorders>
                    <w:tl2br w:val="nil"/>
                    <w:tr2bl w:val="nil"/>
                  </w:tcBorders>
                  <w:shd w:val="clear" w:color="auto" w:fill="auto"/>
                  <w:vAlign w:val="center"/>
                </w:tcPr>
                <w:p w14:paraId="3158DEB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新购</w:t>
                  </w:r>
                </w:p>
              </w:tc>
              <w:tc>
                <w:tcPr>
                  <w:tcW w:w="717" w:type="pct"/>
                  <w:vMerge w:val="continue"/>
                  <w:tcBorders>
                    <w:top w:val="single" w:color="auto" w:sz="4" w:space="0"/>
                    <w:bottom w:val="single" w:color="auto" w:sz="4" w:space="0"/>
                    <w:tl2br w:val="nil"/>
                    <w:tr2bl w:val="nil"/>
                  </w:tcBorders>
                  <w:shd w:val="clear" w:color="auto" w:fill="auto"/>
                  <w:vAlign w:val="center"/>
                </w:tcPr>
                <w:p w14:paraId="10B452FA">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p>
              </w:tc>
            </w:tr>
            <w:tr w14:paraId="448D152A">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0" w:hRule="atLeast"/>
                <w:jc w:val="center"/>
              </w:trPr>
              <w:tc>
                <w:tcPr>
                  <w:tcW w:w="406" w:type="pct"/>
                  <w:tcBorders>
                    <w:tl2br w:val="nil"/>
                    <w:tr2bl w:val="nil"/>
                  </w:tcBorders>
                  <w:shd w:val="clear" w:color="auto" w:fill="auto"/>
                  <w:vAlign w:val="center"/>
                </w:tcPr>
                <w:p w14:paraId="71B6FEF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26</w:t>
                  </w:r>
                </w:p>
              </w:tc>
              <w:tc>
                <w:tcPr>
                  <w:tcW w:w="1155" w:type="pct"/>
                  <w:tcBorders>
                    <w:tl2br w:val="nil"/>
                    <w:tr2bl w:val="nil"/>
                  </w:tcBorders>
                  <w:shd w:val="clear" w:color="auto" w:fill="auto"/>
                  <w:vAlign w:val="center"/>
                </w:tcPr>
                <w:p w14:paraId="334699C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自动编带机</w:t>
                  </w:r>
                </w:p>
              </w:tc>
              <w:tc>
                <w:tcPr>
                  <w:tcW w:w="630" w:type="pct"/>
                  <w:tcBorders>
                    <w:tl2br w:val="nil"/>
                    <w:tr2bl w:val="nil"/>
                  </w:tcBorders>
                  <w:shd w:val="clear" w:color="auto" w:fill="auto"/>
                  <w:vAlign w:val="center"/>
                </w:tcPr>
                <w:p w14:paraId="219FB46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6</w:t>
                  </w:r>
                </w:p>
              </w:tc>
              <w:tc>
                <w:tcPr>
                  <w:tcW w:w="381" w:type="pct"/>
                  <w:tcBorders>
                    <w:tl2br w:val="nil"/>
                    <w:tr2bl w:val="nil"/>
                  </w:tcBorders>
                  <w:shd w:val="clear" w:color="auto" w:fill="auto"/>
                  <w:vAlign w:val="center"/>
                </w:tcPr>
                <w:p w14:paraId="02D5092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台</w:t>
                  </w:r>
                </w:p>
              </w:tc>
              <w:tc>
                <w:tcPr>
                  <w:tcW w:w="895" w:type="pct"/>
                  <w:tcBorders>
                    <w:tl2br w:val="nil"/>
                    <w:tr2bl w:val="nil"/>
                  </w:tcBorders>
                  <w:shd w:val="clear" w:color="auto" w:fill="auto"/>
                  <w:vAlign w:val="center"/>
                </w:tcPr>
                <w:p w14:paraId="646E40E8">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themeColor="text1"/>
                      <w:sz w:val="20"/>
                      <w:szCs w:val="20"/>
                      <w:u w:val="none"/>
                      <w:lang w:val="en-US" w:eastAsia="zh-CN"/>
                      <w14:textFill>
                        <w14:solidFill>
                          <w14:schemeClr w14:val="tx1"/>
                        </w14:solidFill>
                      </w14:textFill>
                    </w:rPr>
                  </w:pPr>
                  <w:r>
                    <w:rPr>
                      <w:rFonts w:hint="eastAsia" w:ascii="Times New Roman" w:hAnsi="Times New Roman" w:cs="Times New Roman"/>
                      <w:i w:val="0"/>
                      <w:iCs w:val="0"/>
                      <w:color w:val="000000" w:themeColor="text1"/>
                      <w:sz w:val="20"/>
                      <w:szCs w:val="20"/>
                      <w:u w:val="none"/>
                      <w:lang w:val="en-US" w:eastAsia="zh-CN"/>
                      <w14:textFill>
                        <w14:solidFill>
                          <w14:schemeClr w14:val="tx1"/>
                        </w14:solidFill>
                      </w14:textFill>
                    </w:rPr>
                    <w:t>/</w:t>
                  </w:r>
                </w:p>
              </w:tc>
              <w:tc>
                <w:tcPr>
                  <w:tcW w:w="813" w:type="pct"/>
                  <w:tcBorders>
                    <w:tl2br w:val="nil"/>
                    <w:tr2bl w:val="nil"/>
                  </w:tcBorders>
                  <w:shd w:val="clear" w:color="auto" w:fill="auto"/>
                  <w:vAlign w:val="center"/>
                </w:tcPr>
                <w:p w14:paraId="32D19EA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新购</w:t>
                  </w:r>
                </w:p>
              </w:tc>
              <w:tc>
                <w:tcPr>
                  <w:tcW w:w="717" w:type="pct"/>
                  <w:vMerge w:val="continue"/>
                  <w:tcBorders>
                    <w:top w:val="single" w:color="auto" w:sz="4" w:space="0"/>
                    <w:bottom w:val="single" w:color="auto" w:sz="4" w:space="0"/>
                    <w:tl2br w:val="nil"/>
                    <w:tr2bl w:val="nil"/>
                  </w:tcBorders>
                  <w:shd w:val="clear" w:color="auto" w:fill="auto"/>
                  <w:vAlign w:val="center"/>
                </w:tcPr>
                <w:p w14:paraId="21CBA717">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p>
              </w:tc>
            </w:tr>
            <w:tr w14:paraId="32DBBDA1">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06" w:type="pct"/>
                  <w:tcBorders>
                    <w:tl2br w:val="nil"/>
                    <w:tr2bl w:val="nil"/>
                  </w:tcBorders>
                  <w:shd w:val="clear" w:color="auto" w:fill="auto"/>
                  <w:vAlign w:val="center"/>
                </w:tcPr>
                <w:p w14:paraId="3FDFFF4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cs="Times New Roman"/>
                      <w:i w:val="0"/>
                      <w:iCs w:val="0"/>
                      <w:color w:val="000000" w:themeColor="text1"/>
                      <w:kern w:val="2"/>
                      <w:sz w:val="20"/>
                      <w:szCs w:val="20"/>
                      <w:u w:val="none"/>
                      <w:lang w:val="en-US" w:eastAsia="zh-CN" w:bidi="ar-SA"/>
                      <w14:textFill>
                        <w14:solidFill>
                          <w14:schemeClr w14:val="tx1"/>
                        </w14:solidFill>
                      </w14:textFill>
                    </w:rPr>
                    <w:t>27</w:t>
                  </w:r>
                </w:p>
              </w:tc>
              <w:tc>
                <w:tcPr>
                  <w:tcW w:w="1155" w:type="pct"/>
                  <w:tcBorders>
                    <w:tl2br w:val="nil"/>
                    <w:tr2bl w:val="nil"/>
                  </w:tcBorders>
                  <w:shd w:val="clear" w:color="auto" w:fill="auto"/>
                  <w:vAlign w:val="center"/>
                </w:tcPr>
                <w:p w14:paraId="235C595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外观分选机</w:t>
                  </w:r>
                </w:p>
              </w:tc>
              <w:tc>
                <w:tcPr>
                  <w:tcW w:w="630" w:type="pct"/>
                  <w:tcBorders>
                    <w:tl2br w:val="nil"/>
                    <w:tr2bl w:val="nil"/>
                  </w:tcBorders>
                  <w:shd w:val="clear" w:color="auto" w:fill="auto"/>
                  <w:vAlign w:val="center"/>
                </w:tcPr>
                <w:p w14:paraId="6892E82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5</w:t>
                  </w:r>
                </w:p>
              </w:tc>
              <w:tc>
                <w:tcPr>
                  <w:tcW w:w="381" w:type="pct"/>
                  <w:tcBorders>
                    <w:tl2br w:val="nil"/>
                    <w:tr2bl w:val="nil"/>
                  </w:tcBorders>
                  <w:shd w:val="clear" w:color="auto" w:fill="auto"/>
                  <w:vAlign w:val="center"/>
                </w:tcPr>
                <w:p w14:paraId="35A8269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台</w:t>
                  </w:r>
                </w:p>
              </w:tc>
              <w:tc>
                <w:tcPr>
                  <w:tcW w:w="895" w:type="pct"/>
                  <w:tcBorders>
                    <w:tl2br w:val="nil"/>
                    <w:tr2bl w:val="nil"/>
                  </w:tcBorders>
                  <w:shd w:val="clear" w:color="auto" w:fill="auto"/>
                  <w:vAlign w:val="center"/>
                </w:tcPr>
                <w:p w14:paraId="4CFEE1D4">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themeColor="text1"/>
                      <w:sz w:val="20"/>
                      <w:szCs w:val="20"/>
                      <w:u w:val="none"/>
                      <w:lang w:val="en-US" w:eastAsia="zh-CN"/>
                      <w14:textFill>
                        <w14:solidFill>
                          <w14:schemeClr w14:val="tx1"/>
                        </w14:solidFill>
                      </w14:textFill>
                    </w:rPr>
                  </w:pPr>
                  <w:r>
                    <w:rPr>
                      <w:rFonts w:hint="eastAsia" w:ascii="Times New Roman" w:hAnsi="Times New Roman" w:cs="Times New Roman"/>
                      <w:i w:val="0"/>
                      <w:iCs w:val="0"/>
                      <w:color w:val="000000" w:themeColor="text1"/>
                      <w:sz w:val="20"/>
                      <w:szCs w:val="20"/>
                      <w:u w:val="none"/>
                      <w:lang w:val="en-US" w:eastAsia="zh-CN"/>
                      <w14:textFill>
                        <w14:solidFill>
                          <w14:schemeClr w14:val="tx1"/>
                        </w14:solidFill>
                      </w14:textFill>
                    </w:rPr>
                    <w:t>/</w:t>
                  </w:r>
                </w:p>
              </w:tc>
              <w:tc>
                <w:tcPr>
                  <w:tcW w:w="813" w:type="pct"/>
                  <w:tcBorders>
                    <w:tl2br w:val="nil"/>
                    <w:tr2bl w:val="nil"/>
                  </w:tcBorders>
                  <w:shd w:val="clear" w:color="auto" w:fill="auto"/>
                  <w:vAlign w:val="center"/>
                </w:tcPr>
                <w:p w14:paraId="160A45E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新购</w:t>
                  </w:r>
                </w:p>
              </w:tc>
              <w:tc>
                <w:tcPr>
                  <w:tcW w:w="717" w:type="pct"/>
                  <w:vMerge w:val="continue"/>
                  <w:tcBorders>
                    <w:top w:val="single" w:color="auto" w:sz="4" w:space="0"/>
                    <w:bottom w:val="single" w:color="auto" w:sz="4" w:space="0"/>
                    <w:tl2br w:val="nil"/>
                    <w:tr2bl w:val="nil"/>
                  </w:tcBorders>
                  <w:shd w:val="clear" w:color="auto" w:fill="auto"/>
                  <w:vAlign w:val="center"/>
                </w:tcPr>
                <w:p w14:paraId="16A15DF5">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p>
              </w:tc>
            </w:tr>
            <w:tr w14:paraId="2E49B2B2">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0" w:hRule="atLeast"/>
                <w:jc w:val="center"/>
              </w:trPr>
              <w:tc>
                <w:tcPr>
                  <w:tcW w:w="406" w:type="pct"/>
                  <w:tcBorders>
                    <w:tl2br w:val="nil"/>
                    <w:tr2bl w:val="nil"/>
                  </w:tcBorders>
                  <w:shd w:val="clear" w:color="auto" w:fill="auto"/>
                  <w:vAlign w:val="center"/>
                </w:tcPr>
                <w:p w14:paraId="5A7017F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cs="Times New Roman"/>
                      <w:i w:val="0"/>
                      <w:iCs w:val="0"/>
                      <w:color w:val="000000" w:themeColor="text1"/>
                      <w:kern w:val="2"/>
                      <w:sz w:val="20"/>
                      <w:szCs w:val="20"/>
                      <w:u w:val="none"/>
                      <w:lang w:val="en-US" w:eastAsia="zh-CN" w:bidi="ar-SA"/>
                      <w14:textFill>
                        <w14:solidFill>
                          <w14:schemeClr w14:val="tx1"/>
                        </w14:solidFill>
                      </w14:textFill>
                    </w:rPr>
                    <w:t>28</w:t>
                  </w:r>
                </w:p>
              </w:tc>
              <w:tc>
                <w:tcPr>
                  <w:tcW w:w="1155" w:type="pct"/>
                  <w:tcBorders>
                    <w:tl2br w:val="nil"/>
                    <w:tr2bl w:val="nil"/>
                  </w:tcBorders>
                  <w:shd w:val="clear" w:color="auto" w:fill="auto"/>
                  <w:vAlign w:val="center"/>
                </w:tcPr>
                <w:p w14:paraId="75E8C41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自动摆片机</w:t>
                  </w:r>
                </w:p>
              </w:tc>
              <w:tc>
                <w:tcPr>
                  <w:tcW w:w="630" w:type="pct"/>
                  <w:tcBorders>
                    <w:tl2br w:val="nil"/>
                    <w:tr2bl w:val="nil"/>
                  </w:tcBorders>
                  <w:shd w:val="clear" w:color="auto" w:fill="auto"/>
                  <w:vAlign w:val="center"/>
                </w:tcPr>
                <w:p w14:paraId="6F0259E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10</w:t>
                  </w:r>
                </w:p>
              </w:tc>
              <w:tc>
                <w:tcPr>
                  <w:tcW w:w="381" w:type="pct"/>
                  <w:tcBorders>
                    <w:tl2br w:val="nil"/>
                    <w:tr2bl w:val="nil"/>
                  </w:tcBorders>
                  <w:shd w:val="clear" w:color="auto" w:fill="auto"/>
                  <w:vAlign w:val="center"/>
                </w:tcPr>
                <w:p w14:paraId="0CEC0C6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台</w:t>
                  </w:r>
                </w:p>
              </w:tc>
              <w:tc>
                <w:tcPr>
                  <w:tcW w:w="895" w:type="pct"/>
                  <w:tcBorders>
                    <w:tl2br w:val="nil"/>
                    <w:tr2bl w:val="nil"/>
                  </w:tcBorders>
                  <w:shd w:val="clear" w:color="auto" w:fill="auto"/>
                  <w:vAlign w:val="center"/>
                </w:tcPr>
                <w:p w14:paraId="64DD18B9">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themeColor="text1"/>
                      <w:sz w:val="20"/>
                      <w:szCs w:val="20"/>
                      <w:u w:val="none"/>
                      <w:lang w:val="en-US" w:eastAsia="zh-CN"/>
                      <w14:textFill>
                        <w14:solidFill>
                          <w14:schemeClr w14:val="tx1"/>
                        </w14:solidFill>
                      </w14:textFill>
                    </w:rPr>
                  </w:pPr>
                  <w:r>
                    <w:rPr>
                      <w:rFonts w:hint="eastAsia" w:ascii="Times New Roman" w:hAnsi="Times New Roman" w:cs="Times New Roman"/>
                      <w:i w:val="0"/>
                      <w:iCs w:val="0"/>
                      <w:color w:val="000000" w:themeColor="text1"/>
                      <w:sz w:val="20"/>
                      <w:szCs w:val="20"/>
                      <w:u w:val="none"/>
                      <w:lang w:val="en-US" w:eastAsia="zh-CN"/>
                      <w14:textFill>
                        <w14:solidFill>
                          <w14:schemeClr w14:val="tx1"/>
                        </w14:solidFill>
                      </w14:textFill>
                    </w:rPr>
                    <w:t>/</w:t>
                  </w:r>
                </w:p>
              </w:tc>
              <w:tc>
                <w:tcPr>
                  <w:tcW w:w="813" w:type="pct"/>
                  <w:tcBorders>
                    <w:tl2br w:val="nil"/>
                    <w:tr2bl w:val="nil"/>
                  </w:tcBorders>
                  <w:shd w:val="clear" w:color="auto" w:fill="auto"/>
                  <w:vAlign w:val="center"/>
                </w:tcPr>
                <w:p w14:paraId="4C5D363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新购</w:t>
                  </w:r>
                </w:p>
              </w:tc>
              <w:tc>
                <w:tcPr>
                  <w:tcW w:w="717" w:type="pct"/>
                  <w:vMerge w:val="continue"/>
                  <w:tcBorders>
                    <w:top w:val="single" w:color="auto" w:sz="4" w:space="0"/>
                    <w:bottom w:val="single" w:color="auto" w:sz="4" w:space="0"/>
                    <w:tl2br w:val="nil"/>
                    <w:tr2bl w:val="nil"/>
                  </w:tcBorders>
                  <w:shd w:val="clear" w:color="auto" w:fill="auto"/>
                  <w:vAlign w:val="center"/>
                </w:tcPr>
                <w:p w14:paraId="4675E020">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p>
              </w:tc>
            </w:tr>
            <w:tr w14:paraId="37F97349">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0" w:hRule="atLeast"/>
                <w:jc w:val="center"/>
              </w:trPr>
              <w:tc>
                <w:tcPr>
                  <w:tcW w:w="406" w:type="pct"/>
                  <w:tcBorders>
                    <w:tl2br w:val="nil"/>
                    <w:tr2bl w:val="nil"/>
                  </w:tcBorders>
                  <w:shd w:val="clear" w:color="auto" w:fill="auto"/>
                  <w:vAlign w:val="center"/>
                </w:tcPr>
                <w:p w14:paraId="7D3680C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eastAsia" w:cs="Times New Roman"/>
                      <w:i w:val="0"/>
                      <w:iCs w:val="0"/>
                      <w:color w:val="000000" w:themeColor="text1"/>
                      <w:kern w:val="2"/>
                      <w:sz w:val="20"/>
                      <w:szCs w:val="20"/>
                      <w:u w:val="none"/>
                      <w:lang w:val="en-US" w:eastAsia="zh-CN" w:bidi="ar-SA"/>
                      <w14:textFill>
                        <w14:solidFill>
                          <w14:schemeClr w14:val="tx1"/>
                        </w14:solidFill>
                      </w14:textFill>
                    </w:rPr>
                    <w:t>29</w:t>
                  </w:r>
                </w:p>
              </w:tc>
              <w:tc>
                <w:tcPr>
                  <w:tcW w:w="1155" w:type="pct"/>
                  <w:tcBorders>
                    <w:tl2br w:val="nil"/>
                    <w:tr2bl w:val="nil"/>
                  </w:tcBorders>
                  <w:shd w:val="clear" w:color="auto" w:fill="auto"/>
                  <w:vAlign w:val="center"/>
                </w:tcPr>
                <w:p w14:paraId="53FA298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真空包装机</w:t>
                  </w:r>
                </w:p>
              </w:tc>
              <w:tc>
                <w:tcPr>
                  <w:tcW w:w="630" w:type="pct"/>
                  <w:tcBorders>
                    <w:tl2br w:val="nil"/>
                    <w:tr2bl w:val="nil"/>
                  </w:tcBorders>
                  <w:shd w:val="clear" w:color="auto" w:fill="auto"/>
                  <w:vAlign w:val="center"/>
                </w:tcPr>
                <w:p w14:paraId="354D116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2</w:t>
                  </w:r>
                </w:p>
              </w:tc>
              <w:tc>
                <w:tcPr>
                  <w:tcW w:w="381" w:type="pct"/>
                  <w:tcBorders>
                    <w:tl2br w:val="nil"/>
                    <w:tr2bl w:val="nil"/>
                  </w:tcBorders>
                  <w:shd w:val="clear" w:color="auto" w:fill="auto"/>
                  <w:vAlign w:val="center"/>
                </w:tcPr>
                <w:p w14:paraId="0337A3B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台</w:t>
                  </w:r>
                </w:p>
              </w:tc>
              <w:tc>
                <w:tcPr>
                  <w:tcW w:w="895" w:type="pct"/>
                  <w:tcBorders>
                    <w:tl2br w:val="nil"/>
                    <w:tr2bl w:val="nil"/>
                  </w:tcBorders>
                  <w:shd w:val="clear" w:color="auto" w:fill="auto"/>
                  <w:vAlign w:val="center"/>
                </w:tcPr>
                <w:p w14:paraId="6FFA6DF5">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themeColor="text1"/>
                      <w:sz w:val="20"/>
                      <w:szCs w:val="20"/>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z w:val="20"/>
                      <w:szCs w:val="20"/>
                      <w:u w:val="none"/>
                      <w:lang w:val="en-US" w:eastAsia="zh-CN"/>
                      <w14:textFill>
                        <w14:solidFill>
                          <w14:schemeClr w14:val="tx1"/>
                        </w14:solidFill>
                      </w14:textFill>
                    </w:rPr>
                    <w:t>500型</w:t>
                  </w:r>
                </w:p>
              </w:tc>
              <w:tc>
                <w:tcPr>
                  <w:tcW w:w="813" w:type="pct"/>
                  <w:tcBorders>
                    <w:tl2br w:val="nil"/>
                    <w:tr2bl w:val="nil"/>
                  </w:tcBorders>
                  <w:shd w:val="clear" w:color="auto" w:fill="auto"/>
                  <w:vAlign w:val="center"/>
                </w:tcPr>
                <w:p w14:paraId="6D795CB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新购</w:t>
                  </w:r>
                </w:p>
              </w:tc>
              <w:tc>
                <w:tcPr>
                  <w:tcW w:w="717" w:type="pct"/>
                  <w:vMerge w:val="restart"/>
                  <w:tcBorders>
                    <w:top w:val="single" w:color="auto" w:sz="4" w:space="0"/>
                    <w:bottom w:val="single" w:color="auto" w:sz="4" w:space="0"/>
                    <w:tl2br w:val="nil"/>
                    <w:tr2bl w:val="nil"/>
                  </w:tcBorders>
                  <w:shd w:val="clear" w:color="auto" w:fill="auto"/>
                  <w:vAlign w:val="center"/>
                </w:tcPr>
                <w:p w14:paraId="3F6F249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检验中心</w:t>
                  </w:r>
                </w:p>
              </w:tc>
            </w:tr>
            <w:tr w14:paraId="51C3BD5D">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0" w:hRule="atLeast"/>
                <w:jc w:val="center"/>
              </w:trPr>
              <w:tc>
                <w:tcPr>
                  <w:tcW w:w="406" w:type="pct"/>
                  <w:tcBorders>
                    <w:tl2br w:val="nil"/>
                    <w:tr2bl w:val="nil"/>
                  </w:tcBorders>
                  <w:shd w:val="clear" w:color="auto" w:fill="auto"/>
                  <w:vAlign w:val="center"/>
                </w:tcPr>
                <w:p w14:paraId="0526491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cs="Times New Roman"/>
                      <w:i w:val="0"/>
                      <w:iCs w:val="0"/>
                      <w:color w:val="000000" w:themeColor="text1"/>
                      <w:kern w:val="2"/>
                      <w:sz w:val="20"/>
                      <w:szCs w:val="20"/>
                      <w:u w:val="none"/>
                      <w:lang w:val="en-US" w:eastAsia="zh-CN" w:bidi="ar-SA"/>
                      <w14:textFill>
                        <w14:solidFill>
                          <w14:schemeClr w14:val="tx1"/>
                        </w14:solidFill>
                      </w14:textFill>
                    </w:rPr>
                    <w:t>30</w:t>
                  </w:r>
                </w:p>
              </w:tc>
              <w:tc>
                <w:tcPr>
                  <w:tcW w:w="1155" w:type="pct"/>
                  <w:tcBorders>
                    <w:tl2br w:val="nil"/>
                    <w:tr2bl w:val="nil"/>
                  </w:tcBorders>
                  <w:shd w:val="clear" w:color="auto" w:fill="auto"/>
                  <w:vAlign w:val="center"/>
                </w:tcPr>
                <w:p w14:paraId="5415144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封口机</w:t>
                  </w:r>
                </w:p>
              </w:tc>
              <w:tc>
                <w:tcPr>
                  <w:tcW w:w="630" w:type="pct"/>
                  <w:tcBorders>
                    <w:tl2br w:val="nil"/>
                    <w:tr2bl w:val="nil"/>
                  </w:tcBorders>
                  <w:shd w:val="clear" w:color="auto" w:fill="auto"/>
                  <w:vAlign w:val="center"/>
                </w:tcPr>
                <w:p w14:paraId="2255FCF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2</w:t>
                  </w:r>
                </w:p>
              </w:tc>
              <w:tc>
                <w:tcPr>
                  <w:tcW w:w="381" w:type="pct"/>
                  <w:tcBorders>
                    <w:tl2br w:val="nil"/>
                    <w:tr2bl w:val="nil"/>
                  </w:tcBorders>
                  <w:shd w:val="clear" w:color="auto" w:fill="auto"/>
                  <w:vAlign w:val="center"/>
                </w:tcPr>
                <w:p w14:paraId="2662191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台</w:t>
                  </w:r>
                </w:p>
              </w:tc>
              <w:tc>
                <w:tcPr>
                  <w:tcW w:w="895" w:type="pct"/>
                  <w:tcBorders>
                    <w:tl2br w:val="nil"/>
                    <w:tr2bl w:val="nil"/>
                  </w:tcBorders>
                  <w:shd w:val="clear" w:color="auto" w:fill="auto"/>
                  <w:vAlign w:val="center"/>
                </w:tcPr>
                <w:p w14:paraId="0C1977EE">
                  <w:pPr>
                    <w:keepNext w:val="0"/>
                    <w:keepLines w:val="0"/>
                    <w:suppressLineNumbers w:val="0"/>
                    <w:spacing w:before="0" w:beforeAutospacing="0" w:after="0" w:afterAutospacing="0"/>
                    <w:ind w:left="0" w:right="0"/>
                    <w:jc w:val="center"/>
                    <w:rPr>
                      <w:rFonts w:hint="eastAsia" w:ascii="Times New Roman" w:hAnsi="Times New Roman" w:eastAsia="宋体" w:cs="Times New Roman"/>
                      <w:i w:val="0"/>
                      <w:iCs w:val="0"/>
                      <w:color w:val="000000" w:themeColor="text1"/>
                      <w:sz w:val="20"/>
                      <w:szCs w:val="20"/>
                      <w:u w:val="none"/>
                      <w:lang w:val="en-US" w:eastAsia="zh-CN"/>
                      <w14:textFill>
                        <w14:solidFill>
                          <w14:schemeClr w14:val="tx1"/>
                        </w14:solidFill>
                      </w14:textFill>
                    </w:rPr>
                  </w:pPr>
                  <w:r>
                    <w:rPr>
                      <w:rFonts w:hint="eastAsia" w:ascii="Times New Roman" w:hAnsi="Times New Roman" w:cs="Times New Roman"/>
                      <w:i w:val="0"/>
                      <w:iCs w:val="0"/>
                      <w:color w:val="000000" w:themeColor="text1"/>
                      <w:sz w:val="20"/>
                      <w:szCs w:val="20"/>
                      <w:u w:val="none"/>
                      <w:lang w:val="en-US" w:eastAsia="zh-CN"/>
                      <w14:textFill>
                        <w14:solidFill>
                          <w14:schemeClr w14:val="tx1"/>
                        </w14:solidFill>
                      </w14:textFill>
                    </w:rPr>
                    <w:t>/</w:t>
                  </w:r>
                </w:p>
              </w:tc>
              <w:tc>
                <w:tcPr>
                  <w:tcW w:w="813" w:type="pct"/>
                  <w:tcBorders>
                    <w:tl2br w:val="nil"/>
                    <w:tr2bl w:val="nil"/>
                  </w:tcBorders>
                  <w:shd w:val="clear" w:color="auto" w:fill="auto"/>
                  <w:vAlign w:val="center"/>
                </w:tcPr>
                <w:p w14:paraId="0C440CB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新购</w:t>
                  </w:r>
                </w:p>
              </w:tc>
              <w:tc>
                <w:tcPr>
                  <w:tcW w:w="717" w:type="pct"/>
                  <w:vMerge w:val="continue"/>
                  <w:tcBorders>
                    <w:top w:val="single" w:color="auto" w:sz="4" w:space="0"/>
                    <w:bottom w:val="single" w:color="auto" w:sz="4" w:space="0"/>
                    <w:tl2br w:val="nil"/>
                    <w:tr2bl w:val="nil"/>
                  </w:tcBorders>
                  <w:shd w:val="clear" w:color="auto" w:fill="auto"/>
                  <w:vAlign w:val="center"/>
                </w:tcPr>
                <w:p w14:paraId="7A5F7FCA">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p>
              </w:tc>
            </w:tr>
            <w:tr w14:paraId="27E064FC">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06" w:type="pct"/>
                  <w:tcBorders>
                    <w:tl2br w:val="nil"/>
                    <w:tr2bl w:val="nil"/>
                  </w:tcBorders>
                  <w:shd w:val="clear" w:color="auto" w:fill="auto"/>
                  <w:vAlign w:val="center"/>
                </w:tcPr>
                <w:p w14:paraId="6767E87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cs="Times New Roman"/>
                      <w:i w:val="0"/>
                      <w:iCs w:val="0"/>
                      <w:color w:val="000000" w:themeColor="text1"/>
                      <w:kern w:val="2"/>
                      <w:sz w:val="20"/>
                      <w:szCs w:val="20"/>
                      <w:u w:val="none"/>
                      <w:lang w:val="en-US" w:eastAsia="zh-CN" w:bidi="ar-SA"/>
                      <w14:textFill>
                        <w14:solidFill>
                          <w14:schemeClr w14:val="tx1"/>
                        </w14:solidFill>
                      </w14:textFill>
                    </w:rPr>
                    <w:t>31</w:t>
                  </w:r>
                </w:p>
              </w:tc>
              <w:tc>
                <w:tcPr>
                  <w:tcW w:w="1155" w:type="pct"/>
                  <w:tcBorders>
                    <w:tl2br w:val="nil"/>
                    <w:tr2bl w:val="nil"/>
                  </w:tcBorders>
                  <w:shd w:val="clear" w:color="auto" w:fill="auto"/>
                  <w:vAlign w:val="center"/>
                </w:tcPr>
                <w:p w14:paraId="6BB12E3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阻值自动分选机</w:t>
                  </w:r>
                </w:p>
              </w:tc>
              <w:tc>
                <w:tcPr>
                  <w:tcW w:w="630" w:type="pct"/>
                  <w:tcBorders>
                    <w:tl2br w:val="nil"/>
                    <w:tr2bl w:val="nil"/>
                  </w:tcBorders>
                  <w:shd w:val="clear" w:color="auto" w:fill="auto"/>
                  <w:vAlign w:val="center"/>
                </w:tcPr>
                <w:p w14:paraId="68C176F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5</w:t>
                  </w:r>
                </w:p>
              </w:tc>
              <w:tc>
                <w:tcPr>
                  <w:tcW w:w="381" w:type="pct"/>
                  <w:tcBorders>
                    <w:tl2br w:val="nil"/>
                    <w:tr2bl w:val="nil"/>
                  </w:tcBorders>
                  <w:shd w:val="clear" w:color="auto" w:fill="auto"/>
                  <w:vAlign w:val="center"/>
                </w:tcPr>
                <w:p w14:paraId="4D5107A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台</w:t>
                  </w:r>
                </w:p>
              </w:tc>
              <w:tc>
                <w:tcPr>
                  <w:tcW w:w="895" w:type="pct"/>
                  <w:tcBorders>
                    <w:tl2br w:val="nil"/>
                    <w:tr2bl w:val="nil"/>
                  </w:tcBorders>
                  <w:shd w:val="clear" w:color="auto" w:fill="auto"/>
                  <w:vAlign w:val="center"/>
                </w:tcPr>
                <w:p w14:paraId="3CF42449">
                  <w:pPr>
                    <w:keepNext w:val="0"/>
                    <w:keepLines w:val="0"/>
                    <w:suppressLineNumbers w:val="0"/>
                    <w:spacing w:before="0" w:beforeAutospacing="0" w:after="0" w:afterAutospacing="0"/>
                    <w:ind w:left="0" w:right="0"/>
                    <w:jc w:val="center"/>
                    <w:rPr>
                      <w:rFonts w:hint="eastAsia" w:ascii="Times New Roman" w:hAnsi="Times New Roman" w:eastAsia="宋体" w:cs="Times New Roman"/>
                      <w:i w:val="0"/>
                      <w:iCs w:val="0"/>
                      <w:color w:val="000000" w:themeColor="text1"/>
                      <w:sz w:val="20"/>
                      <w:szCs w:val="20"/>
                      <w:u w:val="none"/>
                      <w:lang w:val="en-US" w:eastAsia="zh-CN"/>
                      <w14:textFill>
                        <w14:solidFill>
                          <w14:schemeClr w14:val="tx1"/>
                        </w14:solidFill>
                      </w14:textFill>
                    </w:rPr>
                  </w:pPr>
                  <w:r>
                    <w:rPr>
                      <w:rFonts w:hint="eastAsia" w:ascii="Times New Roman" w:hAnsi="Times New Roman" w:cs="Times New Roman"/>
                      <w:i w:val="0"/>
                      <w:iCs w:val="0"/>
                      <w:color w:val="000000" w:themeColor="text1"/>
                      <w:sz w:val="20"/>
                      <w:szCs w:val="20"/>
                      <w:u w:val="none"/>
                      <w:lang w:val="en-US" w:eastAsia="zh-CN"/>
                      <w14:textFill>
                        <w14:solidFill>
                          <w14:schemeClr w14:val="tx1"/>
                        </w14:solidFill>
                      </w14:textFill>
                    </w:rPr>
                    <w:t>/</w:t>
                  </w:r>
                </w:p>
              </w:tc>
              <w:tc>
                <w:tcPr>
                  <w:tcW w:w="813" w:type="pct"/>
                  <w:tcBorders>
                    <w:tl2br w:val="nil"/>
                    <w:tr2bl w:val="nil"/>
                  </w:tcBorders>
                  <w:shd w:val="clear" w:color="auto" w:fill="auto"/>
                  <w:vAlign w:val="center"/>
                </w:tcPr>
                <w:p w14:paraId="6F36386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新购</w:t>
                  </w:r>
                </w:p>
              </w:tc>
              <w:tc>
                <w:tcPr>
                  <w:tcW w:w="717" w:type="pct"/>
                  <w:vMerge w:val="continue"/>
                  <w:tcBorders>
                    <w:top w:val="single" w:color="auto" w:sz="4" w:space="0"/>
                    <w:bottom w:val="single" w:color="auto" w:sz="4" w:space="0"/>
                    <w:tl2br w:val="nil"/>
                    <w:tr2bl w:val="nil"/>
                  </w:tcBorders>
                  <w:shd w:val="clear" w:color="auto" w:fill="auto"/>
                  <w:vAlign w:val="center"/>
                </w:tcPr>
                <w:p w14:paraId="04EBEE9A">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p>
              </w:tc>
            </w:tr>
            <w:tr w14:paraId="1FF46AB1">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0" w:hRule="atLeast"/>
                <w:jc w:val="center"/>
              </w:trPr>
              <w:tc>
                <w:tcPr>
                  <w:tcW w:w="406" w:type="pct"/>
                  <w:tcBorders>
                    <w:tl2br w:val="nil"/>
                    <w:tr2bl w:val="nil"/>
                  </w:tcBorders>
                  <w:shd w:val="clear" w:color="auto" w:fill="auto"/>
                  <w:vAlign w:val="center"/>
                </w:tcPr>
                <w:p w14:paraId="30FC76E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32</w:t>
                  </w:r>
                </w:p>
              </w:tc>
              <w:tc>
                <w:tcPr>
                  <w:tcW w:w="1155" w:type="pct"/>
                  <w:tcBorders>
                    <w:tl2br w:val="nil"/>
                    <w:tr2bl w:val="nil"/>
                  </w:tcBorders>
                  <w:shd w:val="clear" w:color="auto" w:fill="auto"/>
                  <w:vAlign w:val="center"/>
                </w:tcPr>
                <w:p w14:paraId="7005F66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打包机</w:t>
                  </w:r>
                </w:p>
              </w:tc>
              <w:tc>
                <w:tcPr>
                  <w:tcW w:w="630" w:type="pct"/>
                  <w:tcBorders>
                    <w:tl2br w:val="nil"/>
                    <w:tr2bl w:val="nil"/>
                  </w:tcBorders>
                  <w:shd w:val="clear" w:color="auto" w:fill="auto"/>
                  <w:vAlign w:val="center"/>
                </w:tcPr>
                <w:p w14:paraId="0875CDC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1</w:t>
                  </w:r>
                </w:p>
              </w:tc>
              <w:tc>
                <w:tcPr>
                  <w:tcW w:w="381" w:type="pct"/>
                  <w:tcBorders>
                    <w:tl2br w:val="nil"/>
                    <w:tr2bl w:val="nil"/>
                  </w:tcBorders>
                  <w:shd w:val="clear" w:color="auto" w:fill="auto"/>
                  <w:vAlign w:val="center"/>
                </w:tcPr>
                <w:p w14:paraId="4E8DC53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台</w:t>
                  </w:r>
                </w:p>
              </w:tc>
              <w:tc>
                <w:tcPr>
                  <w:tcW w:w="895" w:type="pct"/>
                  <w:tcBorders>
                    <w:tl2br w:val="nil"/>
                    <w:tr2bl w:val="nil"/>
                  </w:tcBorders>
                  <w:shd w:val="clear" w:color="auto" w:fill="auto"/>
                  <w:vAlign w:val="center"/>
                </w:tcPr>
                <w:p w14:paraId="1A3CADE3">
                  <w:pPr>
                    <w:keepNext w:val="0"/>
                    <w:keepLines w:val="0"/>
                    <w:suppressLineNumbers w:val="0"/>
                    <w:spacing w:before="0" w:beforeAutospacing="0" w:after="0" w:afterAutospacing="0"/>
                    <w:ind w:left="0" w:right="0"/>
                    <w:jc w:val="center"/>
                    <w:rPr>
                      <w:rFonts w:hint="eastAsia" w:ascii="Times New Roman" w:hAnsi="Times New Roman" w:eastAsia="宋体" w:cs="Times New Roman"/>
                      <w:i w:val="0"/>
                      <w:iCs w:val="0"/>
                      <w:color w:val="000000" w:themeColor="text1"/>
                      <w:sz w:val="20"/>
                      <w:szCs w:val="20"/>
                      <w:u w:val="none"/>
                      <w:lang w:val="en-US" w:eastAsia="zh-CN"/>
                      <w14:textFill>
                        <w14:solidFill>
                          <w14:schemeClr w14:val="tx1"/>
                        </w14:solidFill>
                      </w14:textFill>
                    </w:rPr>
                  </w:pPr>
                  <w:r>
                    <w:rPr>
                      <w:rFonts w:hint="eastAsia" w:ascii="Times New Roman" w:hAnsi="Times New Roman" w:cs="Times New Roman"/>
                      <w:i w:val="0"/>
                      <w:iCs w:val="0"/>
                      <w:color w:val="000000" w:themeColor="text1"/>
                      <w:sz w:val="20"/>
                      <w:szCs w:val="20"/>
                      <w:u w:val="none"/>
                      <w:lang w:val="en-US" w:eastAsia="zh-CN"/>
                      <w14:textFill>
                        <w14:solidFill>
                          <w14:schemeClr w14:val="tx1"/>
                        </w14:solidFill>
                      </w14:textFill>
                    </w:rPr>
                    <w:t>/</w:t>
                  </w:r>
                </w:p>
              </w:tc>
              <w:tc>
                <w:tcPr>
                  <w:tcW w:w="813" w:type="pct"/>
                  <w:tcBorders>
                    <w:tl2br w:val="nil"/>
                    <w:tr2bl w:val="nil"/>
                  </w:tcBorders>
                  <w:shd w:val="clear" w:color="auto" w:fill="auto"/>
                  <w:vAlign w:val="center"/>
                </w:tcPr>
                <w:p w14:paraId="351E369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新购</w:t>
                  </w:r>
                </w:p>
              </w:tc>
              <w:tc>
                <w:tcPr>
                  <w:tcW w:w="717" w:type="pct"/>
                  <w:vMerge w:val="continue"/>
                  <w:tcBorders>
                    <w:top w:val="single" w:color="auto" w:sz="4" w:space="0"/>
                    <w:bottom w:val="single" w:color="auto" w:sz="4" w:space="0"/>
                    <w:tl2br w:val="nil"/>
                    <w:tr2bl w:val="nil"/>
                  </w:tcBorders>
                  <w:shd w:val="clear" w:color="auto" w:fill="auto"/>
                  <w:vAlign w:val="center"/>
                </w:tcPr>
                <w:p w14:paraId="38730BC5">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p>
              </w:tc>
            </w:tr>
            <w:tr w14:paraId="27B8A181">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06" w:type="pct"/>
                  <w:tcBorders>
                    <w:tl2br w:val="nil"/>
                    <w:tr2bl w:val="nil"/>
                  </w:tcBorders>
                  <w:shd w:val="clear" w:color="auto" w:fill="auto"/>
                  <w:vAlign w:val="center"/>
                </w:tcPr>
                <w:p w14:paraId="2DF45CF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33</w:t>
                  </w:r>
                </w:p>
              </w:tc>
              <w:tc>
                <w:tcPr>
                  <w:tcW w:w="1155" w:type="pct"/>
                  <w:tcBorders>
                    <w:tl2br w:val="nil"/>
                    <w:tr2bl w:val="nil"/>
                  </w:tcBorders>
                  <w:shd w:val="clear" w:color="auto" w:fill="auto"/>
                  <w:vAlign w:val="center"/>
                </w:tcPr>
                <w:p w14:paraId="140B51B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电压测试仪</w:t>
                  </w:r>
                </w:p>
              </w:tc>
              <w:tc>
                <w:tcPr>
                  <w:tcW w:w="630" w:type="pct"/>
                  <w:tcBorders>
                    <w:tl2br w:val="nil"/>
                    <w:tr2bl w:val="nil"/>
                  </w:tcBorders>
                  <w:shd w:val="clear" w:color="auto" w:fill="auto"/>
                  <w:vAlign w:val="center"/>
                </w:tcPr>
                <w:p w14:paraId="0A06F80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1</w:t>
                  </w:r>
                </w:p>
              </w:tc>
              <w:tc>
                <w:tcPr>
                  <w:tcW w:w="381" w:type="pct"/>
                  <w:tcBorders>
                    <w:tl2br w:val="nil"/>
                    <w:tr2bl w:val="nil"/>
                  </w:tcBorders>
                  <w:shd w:val="clear" w:color="auto" w:fill="auto"/>
                  <w:vAlign w:val="center"/>
                </w:tcPr>
                <w:p w14:paraId="04B9AC7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套</w:t>
                  </w:r>
                </w:p>
              </w:tc>
              <w:tc>
                <w:tcPr>
                  <w:tcW w:w="895" w:type="pct"/>
                  <w:tcBorders>
                    <w:tl2br w:val="nil"/>
                    <w:tr2bl w:val="nil"/>
                  </w:tcBorders>
                  <w:shd w:val="clear" w:color="auto" w:fill="auto"/>
                  <w:vAlign w:val="center"/>
                </w:tcPr>
                <w:p w14:paraId="439C17D6">
                  <w:pPr>
                    <w:keepNext w:val="0"/>
                    <w:keepLines w:val="0"/>
                    <w:suppressLineNumbers w:val="0"/>
                    <w:spacing w:before="0" w:beforeAutospacing="0" w:after="0" w:afterAutospacing="0"/>
                    <w:ind w:left="0" w:right="0"/>
                    <w:jc w:val="center"/>
                    <w:rPr>
                      <w:rFonts w:hint="eastAsia" w:ascii="Times New Roman" w:hAnsi="Times New Roman" w:eastAsia="宋体" w:cs="Times New Roman"/>
                      <w:i w:val="0"/>
                      <w:iCs w:val="0"/>
                      <w:color w:val="000000" w:themeColor="text1"/>
                      <w:sz w:val="20"/>
                      <w:szCs w:val="20"/>
                      <w:u w:val="none"/>
                      <w:lang w:val="en-US" w:eastAsia="zh-CN"/>
                      <w14:textFill>
                        <w14:solidFill>
                          <w14:schemeClr w14:val="tx1"/>
                        </w14:solidFill>
                      </w14:textFill>
                    </w:rPr>
                  </w:pPr>
                  <w:r>
                    <w:rPr>
                      <w:rFonts w:hint="eastAsia" w:ascii="Times New Roman" w:hAnsi="Times New Roman" w:cs="Times New Roman"/>
                      <w:i w:val="0"/>
                      <w:iCs w:val="0"/>
                      <w:color w:val="000000" w:themeColor="text1"/>
                      <w:sz w:val="20"/>
                      <w:szCs w:val="20"/>
                      <w:u w:val="none"/>
                      <w:lang w:val="en-US" w:eastAsia="zh-CN"/>
                      <w14:textFill>
                        <w14:solidFill>
                          <w14:schemeClr w14:val="tx1"/>
                        </w14:solidFill>
                      </w14:textFill>
                    </w:rPr>
                    <w:t>/</w:t>
                  </w:r>
                </w:p>
              </w:tc>
              <w:tc>
                <w:tcPr>
                  <w:tcW w:w="813" w:type="pct"/>
                  <w:tcBorders>
                    <w:tl2br w:val="nil"/>
                    <w:tr2bl w:val="nil"/>
                  </w:tcBorders>
                  <w:shd w:val="clear" w:color="auto" w:fill="auto"/>
                  <w:vAlign w:val="center"/>
                </w:tcPr>
                <w:p w14:paraId="5F90226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新购</w:t>
                  </w:r>
                </w:p>
              </w:tc>
              <w:tc>
                <w:tcPr>
                  <w:tcW w:w="717" w:type="pct"/>
                  <w:vMerge w:val="continue"/>
                  <w:tcBorders>
                    <w:top w:val="single" w:color="auto" w:sz="4" w:space="0"/>
                    <w:bottom w:val="single" w:color="auto" w:sz="4" w:space="0"/>
                    <w:tl2br w:val="nil"/>
                    <w:tr2bl w:val="nil"/>
                  </w:tcBorders>
                  <w:shd w:val="clear" w:color="auto" w:fill="auto"/>
                  <w:vAlign w:val="center"/>
                </w:tcPr>
                <w:p w14:paraId="06E12C0A">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p>
              </w:tc>
            </w:tr>
            <w:tr w14:paraId="1C08D093">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0" w:hRule="atLeast"/>
                <w:jc w:val="center"/>
              </w:trPr>
              <w:tc>
                <w:tcPr>
                  <w:tcW w:w="406" w:type="pct"/>
                  <w:tcBorders>
                    <w:tl2br w:val="nil"/>
                    <w:tr2bl w:val="nil"/>
                  </w:tcBorders>
                  <w:shd w:val="clear" w:color="auto" w:fill="auto"/>
                  <w:vAlign w:val="center"/>
                </w:tcPr>
                <w:p w14:paraId="6B3925F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eastAsia" w:cs="Times New Roman"/>
                      <w:i w:val="0"/>
                      <w:iCs w:val="0"/>
                      <w:color w:val="000000" w:themeColor="text1"/>
                      <w:kern w:val="2"/>
                      <w:sz w:val="20"/>
                      <w:szCs w:val="20"/>
                      <w:u w:val="none"/>
                      <w:lang w:val="en-US" w:eastAsia="zh-CN" w:bidi="ar-SA"/>
                      <w14:textFill>
                        <w14:solidFill>
                          <w14:schemeClr w14:val="tx1"/>
                        </w14:solidFill>
                      </w14:textFill>
                    </w:rPr>
                    <w:t>34</w:t>
                  </w:r>
                </w:p>
              </w:tc>
              <w:tc>
                <w:tcPr>
                  <w:tcW w:w="1155" w:type="pct"/>
                  <w:tcBorders>
                    <w:tl2br w:val="nil"/>
                    <w:tr2bl w:val="nil"/>
                  </w:tcBorders>
                  <w:shd w:val="clear" w:color="auto" w:fill="auto"/>
                  <w:vAlign w:val="top"/>
                </w:tcPr>
                <w:p w14:paraId="362359CE">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浪涌测试仪</w:t>
                  </w:r>
                </w:p>
              </w:tc>
              <w:tc>
                <w:tcPr>
                  <w:tcW w:w="630" w:type="pct"/>
                  <w:tcBorders>
                    <w:tl2br w:val="nil"/>
                    <w:tr2bl w:val="nil"/>
                  </w:tcBorders>
                  <w:shd w:val="clear" w:color="auto" w:fill="auto"/>
                  <w:vAlign w:val="top"/>
                </w:tcPr>
                <w:p w14:paraId="39F457C3">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2</w:t>
                  </w:r>
                </w:p>
              </w:tc>
              <w:tc>
                <w:tcPr>
                  <w:tcW w:w="381" w:type="pct"/>
                  <w:tcBorders>
                    <w:tl2br w:val="nil"/>
                    <w:tr2bl w:val="nil"/>
                  </w:tcBorders>
                  <w:shd w:val="clear" w:color="auto" w:fill="auto"/>
                  <w:vAlign w:val="top"/>
                </w:tcPr>
                <w:p w14:paraId="43DD4FF4">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台</w:t>
                  </w:r>
                </w:p>
              </w:tc>
              <w:tc>
                <w:tcPr>
                  <w:tcW w:w="895" w:type="pct"/>
                  <w:tcBorders>
                    <w:tl2br w:val="nil"/>
                    <w:tr2bl w:val="nil"/>
                  </w:tcBorders>
                  <w:shd w:val="clear" w:color="auto" w:fill="auto"/>
                  <w:vAlign w:val="top"/>
                </w:tcPr>
                <w:p w14:paraId="0E315CA8">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eastAsia" w:ascii="Times New Roman" w:hAnsi="Times New Roman" w:cs="Times New Roman"/>
                      <w:i w:val="0"/>
                      <w:iCs w:val="0"/>
                      <w:color w:val="000000" w:themeColor="text1"/>
                      <w:kern w:val="2"/>
                      <w:sz w:val="20"/>
                      <w:szCs w:val="20"/>
                      <w:u w:val="none"/>
                      <w:lang w:val="en-US" w:eastAsia="zh-CN" w:bidi="ar-SA"/>
                      <w14:textFill>
                        <w14:solidFill>
                          <w14:schemeClr w14:val="tx1"/>
                        </w14:solidFill>
                      </w14:textFill>
                    </w:rPr>
                    <w:t>/</w:t>
                  </w:r>
                </w:p>
              </w:tc>
              <w:tc>
                <w:tcPr>
                  <w:tcW w:w="813" w:type="pct"/>
                  <w:tcBorders>
                    <w:tl2br w:val="nil"/>
                    <w:tr2bl w:val="nil"/>
                  </w:tcBorders>
                  <w:shd w:val="clear" w:color="auto" w:fill="auto"/>
                  <w:vAlign w:val="top"/>
                </w:tcPr>
                <w:p w14:paraId="3BCF791C">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新购</w:t>
                  </w:r>
                </w:p>
              </w:tc>
              <w:tc>
                <w:tcPr>
                  <w:tcW w:w="717" w:type="pct"/>
                  <w:vMerge w:val="continue"/>
                  <w:tcBorders>
                    <w:top w:val="single" w:color="auto" w:sz="4" w:space="0"/>
                    <w:bottom w:val="single" w:color="auto" w:sz="4" w:space="0"/>
                    <w:tl2br w:val="nil"/>
                    <w:tr2bl w:val="nil"/>
                  </w:tcBorders>
                  <w:shd w:val="clear" w:color="auto" w:fill="auto"/>
                  <w:vAlign w:val="center"/>
                </w:tcPr>
                <w:p w14:paraId="5D1387BD">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p>
              </w:tc>
            </w:tr>
            <w:tr w14:paraId="7EE6866E">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06" w:type="pct"/>
                  <w:tcBorders>
                    <w:tl2br w:val="nil"/>
                    <w:tr2bl w:val="nil"/>
                  </w:tcBorders>
                  <w:shd w:val="clear" w:color="auto" w:fill="auto"/>
                  <w:vAlign w:val="center"/>
                </w:tcPr>
                <w:p w14:paraId="18AB89E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eastAsia" w:cs="Times New Roman"/>
                      <w:i w:val="0"/>
                      <w:iCs w:val="0"/>
                      <w:color w:val="000000" w:themeColor="text1"/>
                      <w:kern w:val="0"/>
                      <w:sz w:val="20"/>
                      <w:szCs w:val="20"/>
                      <w:u w:val="none"/>
                      <w:lang w:val="en-US" w:eastAsia="zh-CN" w:bidi="ar"/>
                      <w14:textFill>
                        <w14:solidFill>
                          <w14:schemeClr w14:val="tx1"/>
                        </w14:solidFill>
                      </w14:textFill>
                    </w:rPr>
                    <w:t>35</w:t>
                  </w:r>
                </w:p>
              </w:tc>
              <w:tc>
                <w:tcPr>
                  <w:tcW w:w="1155" w:type="pct"/>
                  <w:tcBorders>
                    <w:tl2br w:val="nil"/>
                    <w:tr2bl w:val="nil"/>
                  </w:tcBorders>
                  <w:shd w:val="clear" w:color="auto" w:fill="auto"/>
                  <w:vAlign w:val="center"/>
                </w:tcPr>
                <w:p w14:paraId="1A90B09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eastAsia" w:cs="Times New Roman"/>
                      <w:i w:val="0"/>
                      <w:iCs w:val="0"/>
                      <w:color w:val="000000" w:themeColor="text1"/>
                      <w:kern w:val="0"/>
                      <w:sz w:val="20"/>
                      <w:szCs w:val="20"/>
                      <w:u w:val="none"/>
                      <w:lang w:val="en-US" w:eastAsia="zh-CN" w:bidi="ar"/>
                      <w14:textFill>
                        <w14:solidFill>
                          <w14:schemeClr w14:val="tx1"/>
                        </w14:solidFill>
                      </w14:textFill>
                    </w:rPr>
                    <w:t>去离子水</w:t>
                  </w: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设备</w:t>
                  </w:r>
                  <w:r>
                    <w:rPr>
                      <w:rFonts w:hint="default" w:ascii="Times New Roman" w:hAnsi="Times New Roman" w:eastAsia="宋体" w:cs="Times New Roman"/>
                      <w:color w:val="000000" w:themeColor="text1"/>
                      <w:kern w:val="0"/>
                      <w:sz w:val="20"/>
                      <w:szCs w:val="20"/>
                      <w:u w:val="none"/>
                      <w:lang w:eastAsia="zh-CN" w:bidi="ar"/>
                      <w14:textFill>
                        <w14:solidFill>
                          <w14:schemeClr w14:val="tx1"/>
                        </w14:solidFill>
                      </w14:textFill>
                    </w:rPr>
                    <w:t>（</w:t>
                  </w:r>
                  <w:r>
                    <w:rPr>
                      <w:rFonts w:hint="eastAsia" w:cs="Times New Roman"/>
                      <w:color w:val="000000" w:themeColor="text1"/>
                      <w:kern w:val="0"/>
                      <w:sz w:val="20"/>
                      <w:szCs w:val="20"/>
                      <w:u w:val="none"/>
                      <w:lang w:val="en-US" w:eastAsia="zh-CN" w:bidi="ar"/>
                      <w14:textFill>
                        <w14:solidFill>
                          <w14:schemeClr w14:val="tx1"/>
                        </w14:solidFill>
                      </w14:textFill>
                    </w:rPr>
                    <w:t>反渗透膜</w:t>
                  </w:r>
                  <w:r>
                    <w:rPr>
                      <w:rFonts w:hint="default" w:ascii="Times New Roman" w:hAnsi="Times New Roman" w:eastAsia="宋体" w:cs="Times New Roman"/>
                      <w:color w:val="000000" w:themeColor="text1"/>
                      <w:kern w:val="0"/>
                      <w:sz w:val="20"/>
                      <w:szCs w:val="20"/>
                      <w:u w:val="none"/>
                      <w:lang w:eastAsia="zh-CN" w:bidi="ar"/>
                      <w14:textFill>
                        <w14:solidFill>
                          <w14:schemeClr w14:val="tx1"/>
                        </w14:solidFill>
                      </w14:textFill>
                    </w:rPr>
                    <w:t>）</w:t>
                  </w:r>
                </w:p>
              </w:tc>
              <w:tc>
                <w:tcPr>
                  <w:tcW w:w="630" w:type="pct"/>
                  <w:tcBorders>
                    <w:tl2br w:val="nil"/>
                    <w:tr2bl w:val="nil"/>
                  </w:tcBorders>
                  <w:shd w:val="clear" w:color="auto" w:fill="auto"/>
                  <w:vAlign w:val="center"/>
                </w:tcPr>
                <w:p w14:paraId="4D56361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1</w:t>
                  </w:r>
                </w:p>
              </w:tc>
              <w:tc>
                <w:tcPr>
                  <w:tcW w:w="381" w:type="pct"/>
                  <w:tcBorders>
                    <w:tl2br w:val="nil"/>
                    <w:tr2bl w:val="nil"/>
                  </w:tcBorders>
                  <w:shd w:val="clear" w:color="auto" w:fill="auto"/>
                  <w:vAlign w:val="center"/>
                </w:tcPr>
                <w:p w14:paraId="5B5A5BA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台</w:t>
                  </w:r>
                </w:p>
              </w:tc>
              <w:tc>
                <w:tcPr>
                  <w:tcW w:w="895" w:type="pct"/>
                  <w:tcBorders>
                    <w:tl2br w:val="nil"/>
                    <w:tr2bl w:val="nil"/>
                  </w:tcBorders>
                  <w:shd w:val="clear" w:color="auto" w:fill="auto"/>
                  <w:vAlign w:val="center"/>
                </w:tcPr>
                <w:p w14:paraId="5EEAFD5F">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eastAsia" w:ascii="Times New Roman" w:hAnsi="Times New Roman" w:cs="Times New Roman"/>
                      <w:i w:val="0"/>
                      <w:iCs w:val="0"/>
                      <w:color w:val="000000" w:themeColor="text1"/>
                      <w:kern w:val="2"/>
                      <w:sz w:val="20"/>
                      <w:szCs w:val="20"/>
                      <w:u w:val="none"/>
                      <w:lang w:val="en-US" w:eastAsia="zh-CN" w:bidi="ar-SA"/>
                      <w14:textFill>
                        <w14:solidFill>
                          <w14:schemeClr w14:val="tx1"/>
                        </w14:solidFill>
                      </w14:textFill>
                    </w:rPr>
                    <w:t>/</w:t>
                  </w:r>
                </w:p>
              </w:tc>
              <w:tc>
                <w:tcPr>
                  <w:tcW w:w="813" w:type="pct"/>
                  <w:tcBorders>
                    <w:tl2br w:val="nil"/>
                    <w:tr2bl w:val="nil"/>
                  </w:tcBorders>
                  <w:shd w:val="clear" w:color="auto" w:fill="auto"/>
                  <w:vAlign w:val="center"/>
                </w:tcPr>
                <w:p w14:paraId="6994EA7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新购</w:t>
                  </w:r>
                </w:p>
              </w:tc>
              <w:tc>
                <w:tcPr>
                  <w:tcW w:w="717" w:type="pct"/>
                  <w:tcBorders>
                    <w:top w:val="single" w:color="auto" w:sz="4" w:space="0"/>
                    <w:tl2br w:val="nil"/>
                    <w:tr2bl w:val="nil"/>
                  </w:tcBorders>
                  <w:shd w:val="clear" w:color="auto" w:fill="auto"/>
                  <w:vAlign w:val="center"/>
                </w:tcPr>
                <w:p w14:paraId="0A6EECD8">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themeColor="text1"/>
                      <w:sz w:val="20"/>
                      <w:szCs w:val="20"/>
                      <w:u w:val="none"/>
                      <w:lang w:eastAsia="zh-CN"/>
                      <w14:textFill>
                        <w14:solidFill>
                          <w14:schemeClr w14:val="tx1"/>
                        </w14:solidFill>
                      </w14:textFill>
                    </w:rPr>
                  </w:pPr>
                  <w:r>
                    <w:rPr>
                      <w:rFonts w:hint="eastAsia" w:cs="Times New Roman"/>
                      <w:i w:val="0"/>
                      <w:iCs w:val="0"/>
                      <w:color w:val="000000" w:themeColor="text1"/>
                      <w:sz w:val="20"/>
                      <w:szCs w:val="20"/>
                      <w:u w:val="none"/>
                      <w:lang w:val="en-US" w:eastAsia="zh-CN"/>
                      <w14:textFill>
                        <w14:solidFill>
                          <w14:schemeClr w14:val="tx1"/>
                        </w14:solidFill>
                      </w14:textFill>
                    </w:rPr>
                    <w:t>制水间</w:t>
                  </w:r>
                </w:p>
              </w:tc>
            </w:tr>
          </w:tbl>
          <w:p w14:paraId="6EFA7C9A">
            <w:pPr>
              <w:widowControl/>
              <w:adjustRightInd w:val="0"/>
              <w:snapToGrid w:val="0"/>
              <w:spacing w:line="360" w:lineRule="auto"/>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lang w:eastAsia="zh-CN"/>
                <w14:textFill>
                  <w14:solidFill>
                    <w14:schemeClr w14:val="tx1"/>
                  </w14:solidFill>
                </w14:textFill>
              </w:rPr>
              <w:t>5.</w:t>
            </w:r>
            <w:r>
              <w:rPr>
                <w:rFonts w:hint="default" w:ascii="Times New Roman" w:hAnsi="Times New Roman" w:cs="Times New Roman"/>
                <w:color w:val="000000" w:themeColor="text1"/>
                <w:sz w:val="24"/>
                <w14:textFill>
                  <w14:solidFill>
                    <w14:schemeClr w14:val="tx1"/>
                  </w14:solidFill>
                </w14:textFill>
              </w:rPr>
              <w:t>产品方案及原辅材料</w:t>
            </w:r>
          </w:p>
          <w:p w14:paraId="42DE84B4">
            <w:pPr>
              <w:widowControl/>
              <w:adjustRightInd w:val="0"/>
              <w:snapToGrid w:val="0"/>
              <w:spacing w:line="360" w:lineRule="auto"/>
              <w:ind w:firstLine="480" w:firstLineChars="200"/>
              <w:rPr>
                <w:rFonts w:hint="default" w:ascii="Times New Roman" w:hAnsi="Times New Roman" w:eastAsia="宋体" w:cs="Times New Roman"/>
                <w:b/>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原有项目仅制造压敏电阻芯片，本次迁建项目在原有项目的基础上新增造粒工序</w:t>
            </w:r>
            <w:r>
              <w:rPr>
                <w:rFonts w:hint="eastAsia" w:cs="Times New Roman"/>
                <w:color w:val="000000" w:themeColor="text1"/>
                <w:sz w:val="24"/>
                <w:lang w:val="en-US" w:eastAsia="zh-CN"/>
                <w14:textFill>
                  <w14:solidFill>
                    <w14:schemeClr w14:val="tx1"/>
                  </w14:solidFill>
                </w14:textFill>
              </w:rPr>
              <w:t>、铜电极芯片</w:t>
            </w:r>
            <w:r>
              <w:rPr>
                <w:rFonts w:hint="default" w:ascii="Times New Roman" w:hAnsi="Times New Roman" w:cs="Times New Roman"/>
                <w:color w:val="000000" w:themeColor="text1"/>
                <w:sz w:val="24"/>
                <w:lang w:val="en-US" w:eastAsia="zh-CN"/>
                <w14:textFill>
                  <w14:solidFill>
                    <w14:schemeClr w14:val="tx1"/>
                  </w14:solidFill>
                </w14:textFill>
              </w:rPr>
              <w:t>及后续的利用电阻芯片制造电阻器的环节，</w:t>
            </w:r>
            <w:r>
              <w:rPr>
                <w:rFonts w:hint="default" w:ascii="Times New Roman" w:hAnsi="Times New Roman" w:cs="Times New Roman"/>
                <w:color w:val="000000" w:themeColor="text1"/>
                <w:sz w:val="24"/>
                <w14:textFill>
                  <w14:solidFill>
                    <w14:schemeClr w14:val="tx1"/>
                  </w14:solidFill>
                </w14:textFill>
              </w:rPr>
              <w:t>产品方案见表2-</w:t>
            </w:r>
            <w:r>
              <w:rPr>
                <w:rFonts w:hint="default" w:ascii="Times New Roman" w:hAnsi="Times New Roman" w:cs="Times New Roman"/>
                <w:color w:val="000000" w:themeColor="text1"/>
                <w:sz w:val="24"/>
                <w:lang w:val="en-US" w:eastAsia="zh-CN"/>
                <w14:textFill>
                  <w14:solidFill>
                    <w14:schemeClr w14:val="tx1"/>
                  </w14:solidFill>
                </w14:textFill>
              </w:rPr>
              <w:t>3，</w:t>
            </w:r>
            <w:r>
              <w:rPr>
                <w:rFonts w:hint="default" w:ascii="Times New Roman" w:hAnsi="Times New Roman" w:cs="Times New Roman"/>
                <w:color w:val="000000" w:themeColor="text1"/>
                <w:sz w:val="24"/>
                <w14:textFill>
                  <w14:solidFill>
                    <w14:schemeClr w14:val="tx1"/>
                  </w14:solidFill>
                </w14:textFill>
              </w:rPr>
              <w:t>主要原辅材料及其</w:t>
            </w:r>
            <w:r>
              <w:rPr>
                <w:rFonts w:hint="default" w:ascii="Times New Roman" w:hAnsi="Times New Roman" w:cs="Times New Roman"/>
                <w:color w:val="000000" w:themeColor="text1"/>
                <w:sz w:val="24"/>
                <w:lang w:eastAsia="zh-CN"/>
                <w14:textFill>
                  <w14:solidFill>
                    <w14:schemeClr w14:val="tx1"/>
                  </w14:solidFill>
                </w14:textFill>
              </w:rPr>
              <w:t>消耗量</w:t>
            </w:r>
            <w:r>
              <w:rPr>
                <w:rFonts w:hint="default" w:ascii="Times New Roman" w:hAnsi="Times New Roman" w:cs="Times New Roman"/>
                <w:color w:val="000000" w:themeColor="text1"/>
                <w:sz w:val="24"/>
                <w14:textFill>
                  <w14:solidFill>
                    <w14:schemeClr w14:val="tx1"/>
                  </w14:solidFill>
                </w14:textFill>
              </w:rPr>
              <w:t>见表2-</w:t>
            </w:r>
            <w:r>
              <w:rPr>
                <w:rFonts w:hint="default" w:ascii="Times New Roman" w:hAnsi="Times New Roman" w:cs="Times New Roman"/>
                <w:color w:val="000000" w:themeColor="text1"/>
                <w:sz w:val="24"/>
                <w:lang w:val="en-US" w:eastAsia="zh-CN"/>
                <w14:textFill>
                  <w14:solidFill>
                    <w14:schemeClr w14:val="tx1"/>
                  </w14:solidFill>
                </w14:textFill>
              </w:rPr>
              <w:t>4。</w:t>
            </w:r>
          </w:p>
          <w:p w14:paraId="0FE9B31A">
            <w:pPr>
              <w:numPr>
                <w:ilvl w:val="0"/>
                <w:numId w:val="0"/>
              </w:numPr>
              <w:spacing w:line="440" w:lineRule="exact"/>
              <w:jc w:val="center"/>
              <w:rPr>
                <w:rFonts w:hint="default" w:ascii="Times New Roman" w:hAnsi="Times New Roman" w:cs="Times New Roman"/>
                <w:b/>
                <w:color w:val="000000" w:themeColor="text1"/>
                <w:sz w:val="24"/>
                <w14:textFill>
                  <w14:solidFill>
                    <w14:schemeClr w14:val="tx1"/>
                  </w14:solidFill>
                </w14:textFill>
              </w:rPr>
            </w:pPr>
            <w:r>
              <w:rPr>
                <w:rFonts w:hint="default" w:ascii="Times New Roman" w:hAnsi="Times New Roman" w:cs="Times New Roman"/>
                <w:b/>
                <w:color w:val="000000" w:themeColor="text1"/>
                <w:sz w:val="24"/>
                <w14:textFill>
                  <w14:solidFill>
                    <w14:schemeClr w14:val="tx1"/>
                  </w14:solidFill>
                </w14:textFill>
              </w:rPr>
              <w:t>表2-</w:t>
            </w:r>
            <w:r>
              <w:rPr>
                <w:rFonts w:hint="default" w:ascii="Times New Roman" w:hAnsi="Times New Roman" w:cs="Times New Roman"/>
                <w:b/>
                <w:color w:val="000000" w:themeColor="text1"/>
                <w:sz w:val="24"/>
                <w:lang w:val="en-US" w:eastAsia="zh-CN"/>
                <w14:textFill>
                  <w14:solidFill>
                    <w14:schemeClr w14:val="tx1"/>
                  </w14:solidFill>
                </w14:textFill>
              </w:rPr>
              <w:t>3</w:t>
            </w:r>
            <w:r>
              <w:rPr>
                <w:rFonts w:hint="default" w:ascii="Times New Roman" w:hAnsi="Times New Roman" w:cs="Times New Roman"/>
                <w:b/>
                <w:color w:val="000000" w:themeColor="text1"/>
                <w:sz w:val="24"/>
                <w14:textFill>
                  <w14:solidFill>
                    <w14:schemeClr w14:val="tx1"/>
                  </w14:solidFill>
                </w14:textFill>
              </w:rPr>
              <w:t xml:space="preserve">  项目产品方案一览表</w:t>
            </w:r>
          </w:p>
          <w:tbl>
            <w:tblPr>
              <w:tblStyle w:val="36"/>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23"/>
              <w:gridCol w:w="3687"/>
              <w:gridCol w:w="3066"/>
            </w:tblGrid>
            <w:tr w14:paraId="045565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3" w:type="pct"/>
                  <w:tcBorders>
                    <w:tl2br w:val="nil"/>
                    <w:tr2bl w:val="nil"/>
                  </w:tcBorders>
                  <w:noWrap w:val="0"/>
                  <w:vAlign w:val="center"/>
                </w:tcPr>
                <w:p w14:paraId="1A7C5880">
                  <w:pPr>
                    <w:pStyle w:val="27"/>
                    <w:overflowPunct w:val="0"/>
                    <w:topLinePunct/>
                    <w:autoSpaceDE w:val="0"/>
                    <w:autoSpaceDN w:val="0"/>
                    <w:adjustRightInd w:val="0"/>
                    <w:spacing w:after="0" w:line="240" w:lineRule="auto"/>
                    <w:ind w:left="0" w:leftChars="0"/>
                    <w:jc w:val="center"/>
                    <w:rPr>
                      <w:rFonts w:hint="default" w:ascii="Times New Roman" w:hAnsi="Times New Roman" w:eastAsia="宋体" w:cs="Times New Roman"/>
                      <w:b/>
                      <w:color w:val="000000" w:themeColor="text1"/>
                      <w:sz w:val="21"/>
                      <w:szCs w:val="21"/>
                      <w:lang w:val="en-US" w:eastAsia="zh-CN"/>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产品</w:t>
                  </w:r>
                  <w:r>
                    <w:rPr>
                      <w:rFonts w:hint="default" w:ascii="Times New Roman" w:hAnsi="Times New Roman" w:cs="Times New Roman"/>
                      <w:b/>
                      <w:color w:val="000000" w:themeColor="text1"/>
                      <w:sz w:val="21"/>
                      <w:szCs w:val="21"/>
                      <w:lang w:val="en-US" w:eastAsia="zh-CN"/>
                      <w14:textFill>
                        <w14:solidFill>
                          <w14:schemeClr w14:val="tx1"/>
                        </w14:solidFill>
                      </w14:textFill>
                    </w:rPr>
                    <w:t>名称</w:t>
                  </w:r>
                </w:p>
              </w:tc>
              <w:tc>
                <w:tcPr>
                  <w:tcW w:w="2148" w:type="pct"/>
                  <w:tcBorders>
                    <w:tl2br w:val="nil"/>
                    <w:tr2bl w:val="nil"/>
                  </w:tcBorders>
                  <w:noWrap w:val="0"/>
                  <w:vAlign w:val="center"/>
                </w:tcPr>
                <w:p w14:paraId="3C37D5C3">
                  <w:pPr>
                    <w:pStyle w:val="27"/>
                    <w:overflowPunct w:val="0"/>
                    <w:topLinePunct/>
                    <w:autoSpaceDE w:val="0"/>
                    <w:autoSpaceDN w:val="0"/>
                    <w:adjustRightInd w:val="0"/>
                    <w:spacing w:after="0" w:line="240" w:lineRule="auto"/>
                    <w:ind w:left="0" w:leftChars="0"/>
                    <w:jc w:val="center"/>
                    <w:rPr>
                      <w:rFonts w:hint="default" w:ascii="Times New Roman" w:hAnsi="Times New Roman" w:eastAsia="宋体" w:cs="Times New Roman"/>
                      <w:b/>
                      <w:color w:val="000000" w:themeColor="text1"/>
                      <w:sz w:val="21"/>
                      <w:szCs w:val="21"/>
                      <w:lang w:eastAsia="zh-CN"/>
                      <w14:textFill>
                        <w14:solidFill>
                          <w14:schemeClr w14:val="tx1"/>
                        </w14:solidFill>
                      </w14:textFill>
                    </w:rPr>
                  </w:pPr>
                  <w:r>
                    <w:rPr>
                      <w:rFonts w:hint="default" w:ascii="Times New Roman" w:hAnsi="Times New Roman" w:cs="Times New Roman"/>
                      <w:b/>
                      <w:color w:val="000000" w:themeColor="text1"/>
                      <w:sz w:val="21"/>
                      <w:szCs w:val="21"/>
                      <w:lang w:val="en-US" w:eastAsia="zh-CN"/>
                      <w14:textFill>
                        <w14:solidFill>
                          <w14:schemeClr w14:val="tx1"/>
                        </w14:solidFill>
                      </w14:textFill>
                    </w:rPr>
                    <w:t>规格</w:t>
                  </w:r>
                </w:p>
              </w:tc>
              <w:tc>
                <w:tcPr>
                  <w:tcW w:w="1787" w:type="pct"/>
                  <w:tcBorders>
                    <w:tl2br w:val="nil"/>
                    <w:tr2bl w:val="nil"/>
                  </w:tcBorders>
                  <w:noWrap w:val="0"/>
                  <w:vAlign w:val="center"/>
                </w:tcPr>
                <w:p w14:paraId="6D086A92">
                  <w:pPr>
                    <w:pStyle w:val="27"/>
                    <w:overflowPunct w:val="0"/>
                    <w:topLinePunct/>
                    <w:autoSpaceDE w:val="0"/>
                    <w:autoSpaceDN w:val="0"/>
                    <w:adjustRightInd w:val="0"/>
                    <w:spacing w:after="0" w:line="240" w:lineRule="auto"/>
                    <w:ind w:left="0" w:leftChars="0"/>
                    <w:jc w:val="center"/>
                    <w:rPr>
                      <w:rFonts w:hint="default" w:ascii="Times New Roman" w:hAnsi="Times New Roman" w:eastAsia="宋体" w:cs="Times New Roman"/>
                      <w:b/>
                      <w:color w:val="000000" w:themeColor="text1"/>
                      <w:sz w:val="21"/>
                      <w:szCs w:val="21"/>
                      <w:lang w:val="en-US" w:eastAsia="zh-CN"/>
                      <w14:textFill>
                        <w14:solidFill>
                          <w14:schemeClr w14:val="tx1"/>
                        </w14:solidFill>
                      </w14:textFill>
                    </w:rPr>
                  </w:pPr>
                  <w:r>
                    <w:rPr>
                      <w:rFonts w:hint="default" w:ascii="Times New Roman" w:hAnsi="Times New Roman" w:cs="Times New Roman"/>
                      <w:b/>
                      <w:color w:val="000000" w:themeColor="text1"/>
                      <w:sz w:val="21"/>
                      <w:szCs w:val="21"/>
                      <w:lang w:val="en-US" w:eastAsia="zh-CN"/>
                      <w14:textFill>
                        <w14:solidFill>
                          <w14:schemeClr w14:val="tx1"/>
                        </w14:solidFill>
                      </w14:textFill>
                    </w:rPr>
                    <w:t>本项目生产能力</w:t>
                  </w:r>
                </w:p>
              </w:tc>
            </w:tr>
            <w:tr w14:paraId="28B047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3" w:type="pct"/>
                  <w:vMerge w:val="restart"/>
                  <w:tcBorders>
                    <w:tl2br w:val="nil"/>
                    <w:tr2bl w:val="nil"/>
                  </w:tcBorders>
                  <w:noWrap w:val="0"/>
                  <w:vAlign w:val="center"/>
                </w:tcPr>
                <w:p w14:paraId="51432BC7">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氧化锌压敏电阻芯片</w:t>
                  </w:r>
                </w:p>
              </w:tc>
              <w:tc>
                <w:tcPr>
                  <w:tcW w:w="2148" w:type="pct"/>
                  <w:tcBorders>
                    <w:tl2br w:val="nil"/>
                    <w:tr2bl w:val="nil"/>
                  </w:tcBorders>
                  <w:noWrap w:val="0"/>
                  <w:vAlign w:val="center"/>
                </w:tcPr>
                <w:p w14:paraId="295D8E28">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pPr>
                  <w:r>
                    <w:rPr>
                      <w:rFonts w:hint="eastAsia"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产品1：银电极（各种规格）</w:t>
                  </w:r>
                </w:p>
              </w:tc>
              <w:tc>
                <w:tcPr>
                  <w:tcW w:w="1787" w:type="pct"/>
                  <w:tcBorders>
                    <w:tl2br w:val="nil"/>
                    <w:tr2bl w:val="nil"/>
                  </w:tcBorders>
                  <w:noWrap w:val="0"/>
                  <w:vAlign w:val="center"/>
                </w:tcPr>
                <w:p w14:paraId="27E72940">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pPr>
                  <w:r>
                    <w:rPr>
                      <w:rFonts w:hint="eastAsia"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100</w:t>
                  </w:r>
                  <w: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00万只/a</w:t>
                  </w:r>
                </w:p>
              </w:tc>
            </w:tr>
            <w:tr w14:paraId="76F476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3" w:type="pct"/>
                  <w:vMerge w:val="continue"/>
                  <w:tcBorders>
                    <w:tl2br w:val="nil"/>
                    <w:tr2bl w:val="nil"/>
                  </w:tcBorders>
                  <w:noWrap w:val="0"/>
                  <w:vAlign w:val="center"/>
                </w:tcPr>
                <w:p w14:paraId="579CFAC3">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pPr>
                </w:p>
              </w:tc>
              <w:tc>
                <w:tcPr>
                  <w:tcW w:w="2148" w:type="pct"/>
                  <w:tcBorders>
                    <w:tl2br w:val="nil"/>
                    <w:tr2bl w:val="nil"/>
                  </w:tcBorders>
                  <w:noWrap w:val="0"/>
                  <w:vAlign w:val="center"/>
                </w:tcPr>
                <w:p w14:paraId="08F227CA">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pPr>
                  <w:r>
                    <w:rPr>
                      <w:rFonts w:hint="eastAsia"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产品2：铜电极（各种规格）</w:t>
                  </w:r>
                </w:p>
              </w:tc>
              <w:tc>
                <w:tcPr>
                  <w:tcW w:w="1787" w:type="pct"/>
                  <w:tcBorders>
                    <w:tl2br w:val="nil"/>
                    <w:tr2bl w:val="nil"/>
                  </w:tcBorders>
                  <w:noWrap w:val="0"/>
                  <w:vAlign w:val="center"/>
                </w:tcPr>
                <w:p w14:paraId="5DD97771">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pPr>
                  <w:r>
                    <w:rPr>
                      <w:rFonts w:hint="eastAsia"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50</w:t>
                  </w:r>
                  <w: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00万只/a</w:t>
                  </w:r>
                </w:p>
              </w:tc>
            </w:tr>
            <w:tr w14:paraId="73A5E8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3" w:type="pct"/>
                  <w:tcBorders>
                    <w:tl2br w:val="nil"/>
                    <w:tr2bl w:val="nil"/>
                  </w:tcBorders>
                  <w:noWrap w:val="0"/>
                  <w:vAlign w:val="center"/>
                </w:tcPr>
                <w:p w14:paraId="2264EB66">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氧化锌压敏电阻器</w:t>
                  </w:r>
                </w:p>
              </w:tc>
              <w:tc>
                <w:tcPr>
                  <w:tcW w:w="2148" w:type="pct"/>
                  <w:tcBorders>
                    <w:tl2br w:val="nil"/>
                    <w:tr2bl w:val="nil"/>
                  </w:tcBorders>
                  <w:noWrap w:val="0"/>
                  <w:vAlign w:val="center"/>
                </w:tcPr>
                <w:p w14:paraId="291448F5">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pPr>
                  <w:r>
                    <w:rPr>
                      <w:rFonts w:hint="eastAsia"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产品3：</w:t>
                  </w:r>
                  <w: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各种规格</w:t>
                  </w:r>
                </w:p>
              </w:tc>
              <w:tc>
                <w:tcPr>
                  <w:tcW w:w="1787" w:type="pct"/>
                  <w:tcBorders>
                    <w:tl2br w:val="nil"/>
                    <w:tr2bl w:val="nil"/>
                  </w:tcBorders>
                  <w:shd w:val="clear" w:color="auto" w:fill="auto"/>
                  <w:noWrap w:val="0"/>
                  <w:vAlign w:val="center"/>
                </w:tcPr>
                <w:p w14:paraId="64848369">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pPr>
                  <w:r>
                    <w:rPr>
                      <w:rFonts w:hint="eastAsia"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5</w:t>
                  </w:r>
                  <w: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000万只/a</w:t>
                  </w:r>
                </w:p>
              </w:tc>
            </w:tr>
            <w:tr w14:paraId="19F2EB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212" w:type="pct"/>
                  <w:gridSpan w:val="2"/>
                  <w:tcBorders>
                    <w:tl2br w:val="nil"/>
                    <w:tr2bl w:val="nil"/>
                  </w:tcBorders>
                  <w:noWrap w:val="0"/>
                  <w:vAlign w:val="center"/>
                </w:tcPr>
                <w:p w14:paraId="42449924">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pPr>
                  <w:r>
                    <w:rPr>
                      <w:rFonts w:hint="eastAsia"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合计</w:t>
                  </w:r>
                </w:p>
              </w:tc>
              <w:tc>
                <w:tcPr>
                  <w:tcW w:w="1787" w:type="pct"/>
                  <w:tcBorders>
                    <w:tl2br w:val="nil"/>
                    <w:tr2bl w:val="nil"/>
                  </w:tcBorders>
                  <w:shd w:val="clear" w:color="auto" w:fill="auto"/>
                  <w:noWrap w:val="0"/>
                  <w:vAlign w:val="center"/>
                </w:tcPr>
                <w:p w14:paraId="12AE60C6">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pPr>
                  <w:r>
                    <w:rPr>
                      <w:rFonts w:hint="eastAsia"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2</w:t>
                  </w:r>
                  <w: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00</w:t>
                  </w:r>
                  <w:r>
                    <w:rPr>
                      <w:rFonts w:hint="eastAsia"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0</w:t>
                  </w:r>
                  <w: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0万只/a</w:t>
                  </w:r>
                </w:p>
              </w:tc>
            </w:tr>
          </w:tbl>
          <w:p w14:paraId="6E19C1BE">
            <w:pPr>
              <w:spacing w:line="440" w:lineRule="exact"/>
              <w:ind w:firstLine="482" w:firstLineChars="200"/>
              <w:jc w:val="center"/>
              <w:rPr>
                <w:rFonts w:hint="default" w:ascii="Times New Roman" w:hAnsi="Times New Roman" w:cs="Times New Roman"/>
                <w:b/>
                <w:color w:val="000000" w:themeColor="text1"/>
                <w:sz w:val="24"/>
                <w14:textFill>
                  <w14:solidFill>
                    <w14:schemeClr w14:val="tx1"/>
                  </w14:solidFill>
                </w14:textFill>
              </w:rPr>
            </w:pPr>
            <w:r>
              <w:rPr>
                <w:rFonts w:hint="default" w:ascii="Times New Roman" w:hAnsi="Times New Roman" w:cs="Times New Roman"/>
                <w:b/>
                <w:color w:val="000000" w:themeColor="text1"/>
                <w:sz w:val="24"/>
                <w14:textFill>
                  <w14:solidFill>
                    <w14:schemeClr w14:val="tx1"/>
                  </w14:solidFill>
                </w14:textFill>
              </w:rPr>
              <w:t>表2-</w:t>
            </w:r>
            <w:r>
              <w:rPr>
                <w:rFonts w:hint="default" w:ascii="Times New Roman" w:hAnsi="Times New Roman" w:cs="Times New Roman"/>
                <w:b/>
                <w:color w:val="000000" w:themeColor="text1"/>
                <w:sz w:val="24"/>
                <w:lang w:val="en-US" w:eastAsia="zh-CN"/>
                <w14:textFill>
                  <w14:solidFill>
                    <w14:schemeClr w14:val="tx1"/>
                  </w14:solidFill>
                </w14:textFill>
              </w:rPr>
              <w:t>4</w:t>
            </w:r>
            <w:r>
              <w:rPr>
                <w:rFonts w:hint="default" w:ascii="Times New Roman" w:hAnsi="Times New Roman" w:cs="Times New Roman"/>
                <w:b/>
                <w:color w:val="000000" w:themeColor="text1"/>
                <w:sz w:val="24"/>
                <w14:textFill>
                  <w14:solidFill>
                    <w14:schemeClr w14:val="tx1"/>
                  </w14:solidFill>
                </w14:textFill>
              </w:rPr>
              <w:t xml:space="preserve">  原辅材料总消耗量</w:t>
            </w:r>
          </w:p>
          <w:tbl>
            <w:tblPr>
              <w:tblStyle w:val="36"/>
              <w:tblW w:w="4997" w:type="pct"/>
              <w:jc w:val="center"/>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603"/>
              <w:gridCol w:w="1470"/>
              <w:gridCol w:w="1147"/>
              <w:gridCol w:w="1032"/>
              <w:gridCol w:w="1518"/>
              <w:gridCol w:w="2789"/>
            </w:tblGrid>
            <w:tr w14:paraId="37F53980">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7" w:hRule="atLeast"/>
                <w:jc w:val="center"/>
              </w:trPr>
              <w:tc>
                <w:tcPr>
                  <w:tcW w:w="401" w:type="pct"/>
                  <w:tcBorders>
                    <w:tl2br w:val="nil"/>
                    <w:tr2bl w:val="nil"/>
                  </w:tcBorders>
                  <w:shd w:val="clear" w:color="auto" w:fill="auto"/>
                  <w:vAlign w:val="center"/>
                </w:tcPr>
                <w:p w14:paraId="037E822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0"/>
                      <w:szCs w:val="20"/>
                      <w:u w:val="none"/>
                      <w:lang w:val="en-US" w:eastAsia="zh-CN" w:bidi="ar"/>
                      <w14:textFill>
                        <w14:solidFill>
                          <w14:schemeClr w14:val="tx1"/>
                        </w14:solidFill>
                      </w14:textFill>
                    </w:rPr>
                    <w:t>序号</w:t>
                  </w:r>
                </w:p>
              </w:tc>
              <w:tc>
                <w:tcPr>
                  <w:tcW w:w="907" w:type="pct"/>
                  <w:tcBorders>
                    <w:tl2br w:val="nil"/>
                    <w:tr2bl w:val="nil"/>
                  </w:tcBorders>
                  <w:shd w:val="clear" w:color="auto" w:fill="auto"/>
                  <w:vAlign w:val="center"/>
                </w:tcPr>
                <w:p w14:paraId="2FF2C8C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0"/>
                      <w:szCs w:val="20"/>
                      <w:u w:val="none"/>
                      <w:lang w:val="en-US" w:eastAsia="zh-CN" w:bidi="ar"/>
                      <w14:textFill>
                        <w14:solidFill>
                          <w14:schemeClr w14:val="tx1"/>
                        </w14:solidFill>
                      </w14:textFill>
                    </w:rPr>
                    <w:t>名称</w:t>
                  </w:r>
                </w:p>
              </w:tc>
              <w:tc>
                <w:tcPr>
                  <w:tcW w:w="718" w:type="pct"/>
                  <w:tcBorders>
                    <w:tl2br w:val="nil"/>
                    <w:tr2bl w:val="nil"/>
                  </w:tcBorders>
                  <w:shd w:val="clear" w:color="auto" w:fill="auto"/>
                  <w:vAlign w:val="center"/>
                </w:tcPr>
                <w:p w14:paraId="40DEF82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0"/>
                      <w:szCs w:val="20"/>
                      <w:u w:val="none"/>
                      <w:lang w:val="en-US" w:eastAsia="zh-CN" w:bidi="ar"/>
                      <w14:textFill>
                        <w14:solidFill>
                          <w14:schemeClr w14:val="tx1"/>
                        </w14:solidFill>
                      </w14:textFill>
                    </w:rPr>
                    <w:t>单位</w:t>
                  </w:r>
                </w:p>
              </w:tc>
              <w:tc>
                <w:tcPr>
                  <w:tcW w:w="651" w:type="pct"/>
                  <w:tcBorders>
                    <w:tl2br w:val="nil"/>
                    <w:tr2bl w:val="nil"/>
                  </w:tcBorders>
                  <w:shd w:val="clear" w:color="auto" w:fill="auto"/>
                  <w:vAlign w:val="center"/>
                </w:tcPr>
                <w:p w14:paraId="5A44DEB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cs="Times New Roman"/>
                      <w:b/>
                      <w:bCs/>
                      <w:i w:val="0"/>
                      <w:iCs w:val="0"/>
                      <w:color w:val="000000" w:themeColor="text1"/>
                      <w:kern w:val="0"/>
                      <w:sz w:val="20"/>
                      <w:szCs w:val="20"/>
                      <w:u w:val="none"/>
                      <w:lang w:val="en-US" w:eastAsia="zh-CN" w:bidi="ar"/>
                      <w14:textFill>
                        <w14:solidFill>
                          <w14:schemeClr w14:val="tx1"/>
                        </w14:solidFill>
                      </w14:textFill>
                    </w:rPr>
                    <w:t>用</w:t>
                  </w:r>
                  <w:r>
                    <w:rPr>
                      <w:rFonts w:hint="default" w:ascii="Times New Roman" w:hAnsi="Times New Roman" w:eastAsia="宋体" w:cs="Times New Roman"/>
                      <w:b/>
                      <w:bCs/>
                      <w:i w:val="0"/>
                      <w:iCs w:val="0"/>
                      <w:color w:val="000000" w:themeColor="text1"/>
                      <w:kern w:val="0"/>
                      <w:sz w:val="20"/>
                      <w:szCs w:val="20"/>
                      <w:u w:val="none"/>
                      <w:lang w:val="en-US" w:eastAsia="zh-CN" w:bidi="ar"/>
                      <w14:textFill>
                        <w14:solidFill>
                          <w14:schemeClr w14:val="tx1"/>
                        </w14:solidFill>
                      </w14:textFill>
                    </w:rPr>
                    <w:t>量</w:t>
                  </w:r>
                </w:p>
              </w:tc>
              <w:tc>
                <w:tcPr>
                  <w:tcW w:w="935" w:type="pct"/>
                  <w:tcBorders>
                    <w:tl2br w:val="nil"/>
                    <w:tr2bl w:val="nil"/>
                  </w:tcBorders>
                  <w:shd w:val="clear" w:color="auto" w:fill="auto"/>
                  <w:vAlign w:val="center"/>
                </w:tcPr>
                <w:p w14:paraId="65788B9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0"/>
                      <w:szCs w:val="20"/>
                      <w:u w:val="none"/>
                      <w:lang w:val="en-US" w:eastAsia="zh-CN" w:bidi="ar"/>
                      <w14:textFill>
                        <w14:solidFill>
                          <w14:schemeClr w14:val="tx1"/>
                        </w14:solidFill>
                      </w14:textFill>
                    </w:rPr>
                    <w:t>成分</w:t>
                  </w:r>
                </w:p>
              </w:tc>
              <w:tc>
                <w:tcPr>
                  <w:tcW w:w="1385" w:type="pct"/>
                  <w:tcBorders>
                    <w:tl2br w:val="nil"/>
                    <w:tr2bl w:val="nil"/>
                  </w:tcBorders>
                  <w:shd w:val="clear" w:color="auto" w:fill="auto"/>
                  <w:vAlign w:val="center"/>
                </w:tcPr>
                <w:p w14:paraId="77CFC94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0"/>
                      <w:szCs w:val="20"/>
                      <w:u w:val="none"/>
                      <w:lang w:val="en-US" w:eastAsia="zh-CN" w:bidi="ar"/>
                      <w14:textFill>
                        <w14:solidFill>
                          <w14:schemeClr w14:val="tx1"/>
                        </w14:solidFill>
                      </w14:textFill>
                    </w:rPr>
                    <w:t>备注</w:t>
                  </w:r>
                </w:p>
              </w:tc>
            </w:tr>
            <w:tr w14:paraId="6BF9DEE5">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50" w:hRule="atLeast"/>
                <w:jc w:val="center"/>
              </w:trPr>
              <w:tc>
                <w:tcPr>
                  <w:tcW w:w="401" w:type="pct"/>
                  <w:tcBorders>
                    <w:tl2br w:val="nil"/>
                    <w:tr2bl w:val="nil"/>
                  </w:tcBorders>
                  <w:shd w:val="clear" w:color="auto" w:fill="auto"/>
                  <w:vAlign w:val="center"/>
                </w:tcPr>
                <w:p w14:paraId="0C2F567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1</w:t>
                  </w:r>
                </w:p>
              </w:tc>
              <w:tc>
                <w:tcPr>
                  <w:tcW w:w="907" w:type="pct"/>
                  <w:tcBorders>
                    <w:tl2br w:val="nil"/>
                    <w:tr2bl w:val="nil"/>
                  </w:tcBorders>
                  <w:shd w:val="clear" w:color="auto" w:fill="auto"/>
                  <w:vAlign w:val="center"/>
                </w:tcPr>
                <w:p w14:paraId="3721FAB6">
                  <w:pPr>
                    <w:keepNext w:val="0"/>
                    <w:keepLines w:val="0"/>
                    <w:widowControl/>
                    <w:suppressLineNumbers w:val="0"/>
                    <w:spacing w:before="0" w:beforeAutospacing="0" w:after="0" w:afterAutospacing="0"/>
                    <w:ind w:right="0"/>
                    <w:jc w:val="center"/>
                    <w:textAlignment w:val="center"/>
                    <w:rPr>
                      <w:rFonts w:hint="default" w:ascii="Times New Roman" w:hAnsi="Times New Roman" w:eastAsia="宋体" w:cs="Times New Roman"/>
                      <w:i w:val="0"/>
                      <w:iCs w:val="0"/>
                      <w:color w:val="000000" w:themeColor="text1"/>
                      <w:sz w:val="20"/>
                      <w:szCs w:val="20"/>
                      <w:u w:val="none"/>
                      <w:lang w:eastAsia="zh-CN"/>
                      <w14:textFill>
                        <w14:solidFill>
                          <w14:schemeClr w14:val="tx1"/>
                        </w14:solidFill>
                      </w14:textFill>
                    </w:rPr>
                  </w:pPr>
                  <w:r>
                    <w:rPr>
                      <w:rFonts w:hint="default" w:ascii="Times New Roman" w:hAnsi="Times New Roman" w:cs="Times New Roman"/>
                      <w:i w:val="0"/>
                      <w:iCs w:val="0"/>
                      <w:color w:val="000000" w:themeColor="text1"/>
                      <w:sz w:val="20"/>
                      <w:szCs w:val="20"/>
                      <w:u w:val="none"/>
                      <w:lang w:eastAsia="zh-CN"/>
                      <w14:textFill>
                        <w14:solidFill>
                          <w14:schemeClr w14:val="tx1"/>
                        </w14:solidFill>
                      </w14:textFill>
                    </w:rPr>
                    <w:t>氧化锌</w:t>
                  </w:r>
                </w:p>
              </w:tc>
              <w:tc>
                <w:tcPr>
                  <w:tcW w:w="718" w:type="pct"/>
                  <w:tcBorders>
                    <w:tl2br w:val="nil"/>
                    <w:tr2bl w:val="nil"/>
                  </w:tcBorders>
                  <w:shd w:val="clear" w:color="auto" w:fill="auto"/>
                  <w:vAlign w:val="center"/>
                </w:tcPr>
                <w:p w14:paraId="7E090A4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t/a</w:t>
                  </w:r>
                </w:p>
              </w:tc>
              <w:tc>
                <w:tcPr>
                  <w:tcW w:w="651" w:type="pct"/>
                  <w:tcBorders>
                    <w:tl2br w:val="nil"/>
                    <w:tr2bl w:val="nil"/>
                  </w:tcBorders>
                  <w:shd w:val="clear" w:color="auto" w:fill="auto"/>
                  <w:vAlign w:val="center"/>
                </w:tcPr>
                <w:p w14:paraId="68E1E4F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lang w:val="en-US" w:eastAsia="zh-CN"/>
                      <w14:textFill>
                        <w14:solidFill>
                          <w14:schemeClr w14:val="tx1"/>
                        </w14:solidFill>
                      </w14:textFill>
                    </w:rPr>
                  </w:pPr>
                  <w:r>
                    <w:rPr>
                      <w:rFonts w:hint="eastAsia" w:cs="Times New Roman"/>
                      <w:i w:val="0"/>
                      <w:iCs w:val="0"/>
                      <w:color w:val="000000" w:themeColor="text1"/>
                      <w:sz w:val="20"/>
                      <w:szCs w:val="20"/>
                      <w:u w:val="none"/>
                      <w:lang w:val="en-US" w:eastAsia="zh-CN"/>
                      <w14:textFill>
                        <w14:solidFill>
                          <w14:schemeClr w14:val="tx1"/>
                        </w14:solidFill>
                      </w14:textFill>
                    </w:rPr>
                    <w:t>100</w:t>
                  </w:r>
                </w:p>
              </w:tc>
              <w:tc>
                <w:tcPr>
                  <w:tcW w:w="935" w:type="pct"/>
                  <w:tcBorders>
                    <w:tl2br w:val="nil"/>
                    <w:tr2bl w:val="nil"/>
                  </w:tcBorders>
                  <w:shd w:val="clear" w:color="auto" w:fill="auto"/>
                  <w:vAlign w:val="center"/>
                </w:tcPr>
                <w:p w14:paraId="1A6F86C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ZnO</w:t>
                  </w:r>
                </w:p>
              </w:tc>
              <w:tc>
                <w:tcPr>
                  <w:tcW w:w="1385" w:type="pct"/>
                  <w:tcBorders>
                    <w:tl2br w:val="nil"/>
                    <w:tr2bl w:val="nil"/>
                  </w:tcBorders>
                  <w:shd w:val="clear" w:color="auto" w:fill="auto"/>
                  <w:vAlign w:val="center"/>
                </w:tcPr>
                <w:p w14:paraId="6A0817F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袋装粉末，纯度≥99.9%</w:t>
                  </w:r>
                </w:p>
              </w:tc>
            </w:tr>
            <w:tr w14:paraId="4F31004F">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401" w:type="pct"/>
                  <w:tcBorders>
                    <w:tl2br w:val="nil"/>
                    <w:tr2bl w:val="nil"/>
                  </w:tcBorders>
                  <w:shd w:val="clear" w:color="auto" w:fill="auto"/>
                  <w:vAlign w:val="center"/>
                </w:tcPr>
                <w:p w14:paraId="1DC6DDE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2</w:t>
                  </w:r>
                </w:p>
              </w:tc>
              <w:tc>
                <w:tcPr>
                  <w:tcW w:w="907" w:type="pct"/>
                  <w:tcBorders>
                    <w:tl2br w:val="nil"/>
                    <w:tr2bl w:val="nil"/>
                  </w:tcBorders>
                  <w:shd w:val="clear" w:color="auto" w:fill="auto"/>
                  <w:vAlign w:val="center"/>
                </w:tcPr>
                <w:p w14:paraId="66446DB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氧化钴</w:t>
                  </w:r>
                </w:p>
              </w:tc>
              <w:tc>
                <w:tcPr>
                  <w:tcW w:w="718" w:type="pct"/>
                  <w:tcBorders>
                    <w:tl2br w:val="nil"/>
                    <w:tr2bl w:val="nil"/>
                  </w:tcBorders>
                  <w:shd w:val="clear" w:color="auto" w:fill="auto"/>
                  <w:vAlign w:val="center"/>
                </w:tcPr>
                <w:p w14:paraId="77EC82B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t/a</w:t>
                  </w:r>
                </w:p>
              </w:tc>
              <w:tc>
                <w:tcPr>
                  <w:tcW w:w="651" w:type="pct"/>
                  <w:tcBorders>
                    <w:tl2br w:val="nil"/>
                    <w:tr2bl w:val="nil"/>
                  </w:tcBorders>
                  <w:shd w:val="clear" w:color="auto" w:fill="auto"/>
                  <w:vAlign w:val="center"/>
                </w:tcPr>
                <w:p w14:paraId="771875C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5</w:t>
                  </w:r>
                </w:p>
              </w:tc>
              <w:tc>
                <w:tcPr>
                  <w:tcW w:w="935" w:type="pct"/>
                  <w:tcBorders>
                    <w:tl2br w:val="nil"/>
                    <w:tr2bl w:val="nil"/>
                  </w:tcBorders>
                  <w:shd w:val="clear" w:color="auto" w:fill="auto"/>
                  <w:vAlign w:val="center"/>
                </w:tcPr>
                <w:p w14:paraId="46571C4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Co</w:t>
                  </w:r>
                  <w:r>
                    <w:rPr>
                      <w:rFonts w:hint="default" w:ascii="Times New Roman" w:hAnsi="Times New Roman" w:eastAsia="宋体" w:cs="Times New Roman"/>
                      <w:i w:val="0"/>
                      <w:iCs w:val="0"/>
                      <w:color w:val="000000" w:themeColor="text1"/>
                      <w:kern w:val="0"/>
                      <w:sz w:val="20"/>
                      <w:szCs w:val="20"/>
                      <w:u w:val="none"/>
                      <w:vertAlign w:val="subscript"/>
                      <w:lang w:val="en-US" w:eastAsia="zh-CN" w:bidi="ar"/>
                      <w14:textFill>
                        <w14:solidFill>
                          <w14:schemeClr w14:val="tx1"/>
                        </w14:solidFill>
                      </w14:textFill>
                    </w:rPr>
                    <w:t>2</w:t>
                  </w: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O</w:t>
                  </w:r>
                  <w:r>
                    <w:rPr>
                      <w:rFonts w:hint="default" w:ascii="Times New Roman" w:hAnsi="Times New Roman" w:eastAsia="宋体" w:cs="Times New Roman"/>
                      <w:i w:val="0"/>
                      <w:iCs w:val="0"/>
                      <w:color w:val="000000" w:themeColor="text1"/>
                      <w:kern w:val="0"/>
                      <w:sz w:val="20"/>
                      <w:szCs w:val="20"/>
                      <w:u w:val="none"/>
                      <w:vertAlign w:val="subscript"/>
                      <w:lang w:val="en-US" w:eastAsia="zh-CN" w:bidi="ar"/>
                      <w14:textFill>
                        <w14:solidFill>
                          <w14:schemeClr w14:val="tx1"/>
                        </w14:solidFill>
                      </w14:textFill>
                    </w:rPr>
                    <w:t>3</w:t>
                  </w:r>
                </w:p>
              </w:tc>
              <w:tc>
                <w:tcPr>
                  <w:tcW w:w="1385" w:type="pct"/>
                  <w:tcBorders>
                    <w:tl2br w:val="nil"/>
                    <w:tr2bl w:val="nil"/>
                  </w:tcBorders>
                  <w:shd w:val="clear" w:color="auto" w:fill="auto"/>
                  <w:vAlign w:val="center"/>
                </w:tcPr>
                <w:p w14:paraId="6DE9009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乳白色粉末，袋装</w:t>
                  </w:r>
                </w:p>
              </w:tc>
            </w:tr>
            <w:tr w14:paraId="0CA46742">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108" w:type="dxa"/>
                  <w:bottom w:w="0" w:type="dxa"/>
                  <w:right w:w="108" w:type="dxa"/>
                </w:tblCellMar>
              </w:tblPrEx>
              <w:trPr>
                <w:trHeight w:val="406" w:hRule="atLeast"/>
                <w:jc w:val="center"/>
              </w:trPr>
              <w:tc>
                <w:tcPr>
                  <w:tcW w:w="401" w:type="pct"/>
                  <w:tcBorders>
                    <w:tl2br w:val="nil"/>
                    <w:tr2bl w:val="nil"/>
                  </w:tcBorders>
                  <w:shd w:val="clear" w:color="auto" w:fill="auto"/>
                  <w:vAlign w:val="center"/>
                </w:tcPr>
                <w:p w14:paraId="7D00628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3</w:t>
                  </w:r>
                </w:p>
              </w:tc>
              <w:tc>
                <w:tcPr>
                  <w:tcW w:w="907" w:type="pct"/>
                  <w:tcBorders>
                    <w:tl2br w:val="nil"/>
                    <w:tr2bl w:val="nil"/>
                  </w:tcBorders>
                  <w:shd w:val="clear" w:color="auto" w:fill="auto"/>
                  <w:vAlign w:val="center"/>
                </w:tcPr>
                <w:p w14:paraId="4FD28F3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氧化锆</w:t>
                  </w:r>
                </w:p>
              </w:tc>
              <w:tc>
                <w:tcPr>
                  <w:tcW w:w="718" w:type="pct"/>
                  <w:tcBorders>
                    <w:tl2br w:val="nil"/>
                    <w:tr2bl w:val="nil"/>
                  </w:tcBorders>
                  <w:shd w:val="clear" w:color="auto" w:fill="auto"/>
                  <w:vAlign w:val="center"/>
                </w:tcPr>
                <w:p w14:paraId="57A6A18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t/a</w:t>
                  </w:r>
                </w:p>
              </w:tc>
              <w:tc>
                <w:tcPr>
                  <w:tcW w:w="651" w:type="pct"/>
                  <w:tcBorders>
                    <w:tl2br w:val="nil"/>
                    <w:tr2bl w:val="nil"/>
                  </w:tcBorders>
                  <w:shd w:val="clear" w:color="auto" w:fill="auto"/>
                  <w:vAlign w:val="center"/>
                </w:tcPr>
                <w:p w14:paraId="01D3BA2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3</w:t>
                  </w:r>
                </w:p>
              </w:tc>
              <w:tc>
                <w:tcPr>
                  <w:tcW w:w="935" w:type="pct"/>
                  <w:tcBorders>
                    <w:tl2br w:val="nil"/>
                    <w:tr2bl w:val="nil"/>
                  </w:tcBorders>
                  <w:shd w:val="clear" w:color="auto" w:fill="auto"/>
                  <w:vAlign w:val="center"/>
                </w:tcPr>
                <w:p w14:paraId="2873936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ZrO₂</w:t>
                  </w:r>
                </w:p>
              </w:tc>
              <w:tc>
                <w:tcPr>
                  <w:tcW w:w="1385" w:type="pct"/>
                  <w:tcBorders>
                    <w:tl2br w:val="nil"/>
                    <w:tr2bl w:val="nil"/>
                  </w:tcBorders>
                  <w:shd w:val="clear" w:color="auto" w:fill="auto"/>
                  <w:vAlign w:val="center"/>
                </w:tcPr>
                <w:p w14:paraId="28924E0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袋装粉末，纯度≥99.9%</w:t>
                  </w:r>
                </w:p>
              </w:tc>
            </w:tr>
            <w:tr w14:paraId="043AB687">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108" w:type="dxa"/>
                  <w:bottom w:w="0" w:type="dxa"/>
                  <w:right w:w="108" w:type="dxa"/>
                </w:tblCellMar>
              </w:tblPrEx>
              <w:trPr>
                <w:trHeight w:val="486" w:hRule="atLeast"/>
                <w:jc w:val="center"/>
              </w:trPr>
              <w:tc>
                <w:tcPr>
                  <w:tcW w:w="401" w:type="pct"/>
                  <w:tcBorders>
                    <w:tl2br w:val="nil"/>
                    <w:tr2bl w:val="nil"/>
                  </w:tcBorders>
                  <w:shd w:val="clear" w:color="auto" w:fill="auto"/>
                  <w:vAlign w:val="center"/>
                </w:tcPr>
                <w:p w14:paraId="241FE38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4</w:t>
                  </w:r>
                </w:p>
              </w:tc>
              <w:tc>
                <w:tcPr>
                  <w:tcW w:w="907" w:type="pct"/>
                  <w:tcBorders>
                    <w:tl2br w:val="nil"/>
                    <w:tr2bl w:val="nil"/>
                  </w:tcBorders>
                  <w:shd w:val="clear" w:color="auto" w:fill="auto"/>
                  <w:vAlign w:val="center"/>
                </w:tcPr>
                <w:p w14:paraId="066E266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氧化硅</w:t>
                  </w:r>
                </w:p>
              </w:tc>
              <w:tc>
                <w:tcPr>
                  <w:tcW w:w="718" w:type="pct"/>
                  <w:tcBorders>
                    <w:tl2br w:val="nil"/>
                    <w:tr2bl w:val="nil"/>
                  </w:tcBorders>
                  <w:shd w:val="clear" w:color="auto" w:fill="auto"/>
                  <w:vAlign w:val="center"/>
                </w:tcPr>
                <w:p w14:paraId="44A36C7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t/a</w:t>
                  </w:r>
                </w:p>
              </w:tc>
              <w:tc>
                <w:tcPr>
                  <w:tcW w:w="651" w:type="pct"/>
                  <w:tcBorders>
                    <w:tl2br w:val="nil"/>
                    <w:tr2bl w:val="nil"/>
                  </w:tcBorders>
                  <w:shd w:val="clear" w:color="auto" w:fill="auto"/>
                  <w:vAlign w:val="center"/>
                </w:tcPr>
                <w:p w14:paraId="47258DA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5</w:t>
                  </w:r>
                </w:p>
              </w:tc>
              <w:tc>
                <w:tcPr>
                  <w:tcW w:w="935" w:type="pct"/>
                  <w:tcBorders>
                    <w:tl2br w:val="nil"/>
                    <w:tr2bl w:val="nil"/>
                  </w:tcBorders>
                  <w:shd w:val="clear" w:color="auto" w:fill="auto"/>
                  <w:vAlign w:val="center"/>
                </w:tcPr>
                <w:p w14:paraId="360016B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SiO₂</w:t>
                  </w:r>
                </w:p>
              </w:tc>
              <w:tc>
                <w:tcPr>
                  <w:tcW w:w="1385" w:type="pct"/>
                  <w:tcBorders>
                    <w:tl2br w:val="nil"/>
                    <w:tr2bl w:val="nil"/>
                  </w:tcBorders>
                  <w:shd w:val="clear" w:color="auto" w:fill="auto"/>
                  <w:vAlign w:val="center"/>
                </w:tcPr>
                <w:p w14:paraId="3D7ECC0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袋装粉末，纯度≥99.9%</w:t>
                  </w:r>
                </w:p>
              </w:tc>
            </w:tr>
            <w:tr w14:paraId="7BAF8272">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6" w:hRule="atLeast"/>
                <w:jc w:val="center"/>
              </w:trPr>
              <w:tc>
                <w:tcPr>
                  <w:tcW w:w="401" w:type="pct"/>
                  <w:tcBorders>
                    <w:tl2br w:val="nil"/>
                    <w:tr2bl w:val="nil"/>
                  </w:tcBorders>
                  <w:shd w:val="clear" w:color="auto" w:fill="auto"/>
                  <w:vAlign w:val="center"/>
                </w:tcPr>
                <w:p w14:paraId="1FE11CA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5</w:t>
                  </w:r>
                </w:p>
              </w:tc>
              <w:tc>
                <w:tcPr>
                  <w:tcW w:w="907" w:type="pct"/>
                  <w:tcBorders>
                    <w:tl2br w:val="nil"/>
                    <w:tr2bl w:val="nil"/>
                  </w:tcBorders>
                  <w:shd w:val="clear" w:color="auto" w:fill="auto"/>
                  <w:vAlign w:val="center"/>
                </w:tcPr>
                <w:p w14:paraId="2D8675A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氧化铝</w:t>
                  </w:r>
                </w:p>
              </w:tc>
              <w:tc>
                <w:tcPr>
                  <w:tcW w:w="718" w:type="pct"/>
                  <w:tcBorders>
                    <w:tl2br w:val="nil"/>
                    <w:tr2bl w:val="nil"/>
                  </w:tcBorders>
                  <w:shd w:val="clear" w:color="auto" w:fill="auto"/>
                  <w:vAlign w:val="center"/>
                </w:tcPr>
                <w:p w14:paraId="643251E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t/a</w:t>
                  </w:r>
                </w:p>
              </w:tc>
              <w:tc>
                <w:tcPr>
                  <w:tcW w:w="651" w:type="pct"/>
                  <w:tcBorders>
                    <w:tl2br w:val="nil"/>
                    <w:tr2bl w:val="nil"/>
                  </w:tcBorders>
                  <w:shd w:val="clear" w:color="auto" w:fill="auto"/>
                  <w:vAlign w:val="center"/>
                </w:tcPr>
                <w:p w14:paraId="046C447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lang w:val="en-US"/>
                      <w14:textFill>
                        <w14:solidFill>
                          <w14:schemeClr w14:val="tx1"/>
                        </w14:solidFill>
                      </w14:textFill>
                    </w:rPr>
                  </w:pPr>
                  <w: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10</w:t>
                  </w:r>
                </w:p>
              </w:tc>
              <w:tc>
                <w:tcPr>
                  <w:tcW w:w="935" w:type="pct"/>
                  <w:tcBorders>
                    <w:tl2br w:val="nil"/>
                    <w:tr2bl w:val="nil"/>
                  </w:tcBorders>
                  <w:shd w:val="clear" w:color="auto" w:fill="auto"/>
                  <w:vAlign w:val="center"/>
                </w:tcPr>
                <w:p w14:paraId="6B784F0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Al</w:t>
                  </w:r>
                  <w:r>
                    <w:rPr>
                      <w:rFonts w:hint="default" w:ascii="Times New Roman" w:hAnsi="Times New Roman" w:eastAsia="宋体" w:cs="Times New Roman"/>
                      <w:i w:val="0"/>
                      <w:iCs w:val="0"/>
                      <w:color w:val="000000" w:themeColor="text1"/>
                      <w:kern w:val="0"/>
                      <w:sz w:val="20"/>
                      <w:szCs w:val="20"/>
                      <w:u w:val="none"/>
                      <w:vertAlign w:val="subscript"/>
                      <w:lang w:val="en-US" w:eastAsia="zh-CN" w:bidi="ar"/>
                      <w14:textFill>
                        <w14:solidFill>
                          <w14:schemeClr w14:val="tx1"/>
                        </w14:solidFill>
                      </w14:textFill>
                    </w:rPr>
                    <w:t>2</w:t>
                  </w: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O</w:t>
                  </w:r>
                  <w:r>
                    <w:rPr>
                      <w:rFonts w:hint="default" w:ascii="Times New Roman" w:hAnsi="Times New Roman" w:eastAsia="宋体" w:cs="Times New Roman"/>
                      <w:i w:val="0"/>
                      <w:iCs w:val="0"/>
                      <w:color w:val="000000" w:themeColor="text1"/>
                      <w:kern w:val="0"/>
                      <w:sz w:val="20"/>
                      <w:szCs w:val="20"/>
                      <w:u w:val="none"/>
                      <w:vertAlign w:val="subscript"/>
                      <w:lang w:val="en-US" w:eastAsia="zh-CN" w:bidi="ar"/>
                      <w14:textFill>
                        <w14:solidFill>
                          <w14:schemeClr w14:val="tx1"/>
                        </w14:solidFill>
                      </w14:textFill>
                    </w:rPr>
                    <w:t>3</w:t>
                  </w:r>
                </w:p>
              </w:tc>
              <w:tc>
                <w:tcPr>
                  <w:tcW w:w="1385" w:type="pct"/>
                  <w:tcBorders>
                    <w:tl2br w:val="nil"/>
                    <w:tr2bl w:val="nil"/>
                  </w:tcBorders>
                  <w:shd w:val="clear" w:color="auto" w:fill="auto"/>
                  <w:vAlign w:val="center"/>
                </w:tcPr>
                <w:p w14:paraId="7C99FD4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彩色粉末，袋装</w:t>
                  </w:r>
                </w:p>
              </w:tc>
            </w:tr>
            <w:tr w14:paraId="5F675FE1">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14" w:hRule="atLeast"/>
                <w:jc w:val="center"/>
              </w:trPr>
              <w:tc>
                <w:tcPr>
                  <w:tcW w:w="401" w:type="pct"/>
                  <w:tcBorders>
                    <w:tl2br w:val="nil"/>
                    <w:tr2bl w:val="nil"/>
                  </w:tcBorders>
                  <w:shd w:val="clear" w:color="auto" w:fill="auto"/>
                  <w:vAlign w:val="center"/>
                </w:tcPr>
                <w:p w14:paraId="7ADDD7D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6</w:t>
                  </w:r>
                </w:p>
              </w:tc>
              <w:tc>
                <w:tcPr>
                  <w:tcW w:w="907" w:type="pct"/>
                  <w:tcBorders>
                    <w:tl2br w:val="nil"/>
                    <w:tr2bl w:val="nil"/>
                  </w:tcBorders>
                  <w:shd w:val="clear" w:color="auto" w:fill="auto"/>
                  <w:vAlign w:val="center"/>
                </w:tcPr>
                <w:p w14:paraId="036EEF7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（粘合剂）</w:t>
                  </w:r>
                </w:p>
                <w:p w14:paraId="05E0AD1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聚乙烯醇</w:t>
                  </w:r>
                </w:p>
              </w:tc>
              <w:tc>
                <w:tcPr>
                  <w:tcW w:w="718" w:type="pct"/>
                  <w:tcBorders>
                    <w:tl2br w:val="nil"/>
                    <w:tr2bl w:val="nil"/>
                  </w:tcBorders>
                  <w:shd w:val="clear" w:color="auto" w:fill="auto"/>
                  <w:vAlign w:val="center"/>
                </w:tcPr>
                <w:p w14:paraId="39356DB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t/a</w:t>
                  </w:r>
                </w:p>
              </w:tc>
              <w:tc>
                <w:tcPr>
                  <w:tcW w:w="651" w:type="pct"/>
                  <w:tcBorders>
                    <w:tl2br w:val="nil"/>
                    <w:tr2bl w:val="nil"/>
                  </w:tcBorders>
                  <w:shd w:val="clear" w:color="auto" w:fill="auto"/>
                  <w:vAlign w:val="center"/>
                </w:tcPr>
                <w:p w14:paraId="3AA00D8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0.5</w:t>
                  </w:r>
                </w:p>
              </w:tc>
              <w:tc>
                <w:tcPr>
                  <w:tcW w:w="935" w:type="pct"/>
                  <w:tcBorders>
                    <w:tl2br w:val="nil"/>
                    <w:tr2bl w:val="nil"/>
                  </w:tcBorders>
                  <w:shd w:val="clear" w:color="auto" w:fill="auto"/>
                  <w:vAlign w:val="center"/>
                </w:tcPr>
                <w:p w14:paraId="1E794A6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[C</w:t>
                  </w:r>
                  <w:r>
                    <w:rPr>
                      <w:rFonts w:hint="default" w:ascii="Times New Roman" w:hAnsi="Times New Roman" w:eastAsia="宋体" w:cs="Times New Roman"/>
                      <w:i w:val="0"/>
                      <w:iCs w:val="0"/>
                      <w:color w:val="000000" w:themeColor="text1"/>
                      <w:kern w:val="0"/>
                      <w:sz w:val="20"/>
                      <w:szCs w:val="20"/>
                      <w:u w:val="none"/>
                      <w:vertAlign w:val="subscript"/>
                      <w:lang w:val="en-US" w:eastAsia="zh-CN" w:bidi="ar"/>
                      <w14:textFill>
                        <w14:solidFill>
                          <w14:schemeClr w14:val="tx1"/>
                        </w14:solidFill>
                      </w14:textFill>
                    </w:rPr>
                    <w:t>2</w:t>
                  </w: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H</w:t>
                  </w:r>
                  <w:r>
                    <w:rPr>
                      <w:rFonts w:hint="default" w:ascii="Times New Roman" w:hAnsi="Times New Roman" w:eastAsia="宋体" w:cs="Times New Roman"/>
                      <w:i w:val="0"/>
                      <w:iCs w:val="0"/>
                      <w:color w:val="000000" w:themeColor="text1"/>
                      <w:kern w:val="0"/>
                      <w:sz w:val="20"/>
                      <w:szCs w:val="20"/>
                      <w:u w:val="none"/>
                      <w:vertAlign w:val="subscript"/>
                      <w:lang w:val="en-US" w:eastAsia="zh-CN" w:bidi="ar"/>
                      <w14:textFill>
                        <w14:solidFill>
                          <w14:schemeClr w14:val="tx1"/>
                        </w14:solidFill>
                      </w14:textFill>
                    </w:rPr>
                    <w:t>4</w:t>
                  </w: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O]n</w:t>
                  </w:r>
                </w:p>
              </w:tc>
              <w:tc>
                <w:tcPr>
                  <w:tcW w:w="1385" w:type="pct"/>
                  <w:tcBorders>
                    <w:tl2br w:val="nil"/>
                    <w:tr2bl w:val="nil"/>
                  </w:tcBorders>
                  <w:shd w:val="clear" w:color="auto" w:fill="auto"/>
                  <w:vAlign w:val="center"/>
                </w:tcPr>
                <w:p w14:paraId="5D1F87C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乳白色粉末，袋装，挥发性有机物含量约30%</w:t>
                  </w:r>
                </w:p>
              </w:tc>
            </w:tr>
            <w:tr w14:paraId="33C04741">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10" w:hRule="atLeast"/>
                <w:jc w:val="center"/>
              </w:trPr>
              <w:tc>
                <w:tcPr>
                  <w:tcW w:w="401" w:type="pct"/>
                  <w:tcBorders>
                    <w:tl2br w:val="nil"/>
                    <w:tr2bl w:val="nil"/>
                  </w:tcBorders>
                  <w:shd w:val="clear" w:color="auto" w:fill="auto"/>
                  <w:vAlign w:val="center"/>
                </w:tcPr>
                <w:p w14:paraId="33F4B02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7</w:t>
                  </w:r>
                </w:p>
              </w:tc>
              <w:tc>
                <w:tcPr>
                  <w:tcW w:w="907" w:type="pct"/>
                  <w:tcBorders>
                    <w:tl2br w:val="nil"/>
                    <w:tr2bl w:val="nil"/>
                  </w:tcBorders>
                  <w:shd w:val="clear" w:color="auto" w:fill="auto"/>
                  <w:vAlign w:val="center"/>
                </w:tcPr>
                <w:p w14:paraId="4695330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银浆</w:t>
                  </w:r>
                </w:p>
              </w:tc>
              <w:tc>
                <w:tcPr>
                  <w:tcW w:w="718" w:type="pct"/>
                  <w:tcBorders>
                    <w:tl2br w:val="nil"/>
                    <w:tr2bl w:val="nil"/>
                  </w:tcBorders>
                  <w:shd w:val="clear" w:color="auto" w:fill="auto"/>
                  <w:vAlign w:val="center"/>
                </w:tcPr>
                <w:p w14:paraId="1A5CB7E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t/a</w:t>
                  </w:r>
                </w:p>
              </w:tc>
              <w:tc>
                <w:tcPr>
                  <w:tcW w:w="651" w:type="pct"/>
                  <w:tcBorders>
                    <w:tl2br w:val="nil"/>
                    <w:tr2bl w:val="nil"/>
                  </w:tcBorders>
                  <w:shd w:val="clear" w:color="auto" w:fill="auto"/>
                  <w:vAlign w:val="center"/>
                </w:tcPr>
                <w:p w14:paraId="3C96993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0.</w:t>
                  </w:r>
                  <w:r>
                    <w:rPr>
                      <w:rFonts w:hint="eastAsia" w:cs="Times New Roman"/>
                      <w:i w:val="0"/>
                      <w:iCs w:val="0"/>
                      <w:color w:val="000000" w:themeColor="text1"/>
                      <w:kern w:val="0"/>
                      <w:sz w:val="20"/>
                      <w:szCs w:val="20"/>
                      <w:u w:val="none"/>
                      <w:lang w:val="en-US" w:eastAsia="zh-CN" w:bidi="ar"/>
                      <w14:textFill>
                        <w14:solidFill>
                          <w14:schemeClr w14:val="tx1"/>
                        </w14:solidFill>
                      </w14:textFill>
                    </w:rPr>
                    <w:t>125</w:t>
                  </w:r>
                </w:p>
              </w:tc>
              <w:tc>
                <w:tcPr>
                  <w:tcW w:w="935" w:type="pct"/>
                  <w:tcBorders>
                    <w:tl2br w:val="nil"/>
                    <w:tr2bl w:val="nil"/>
                  </w:tcBorders>
                  <w:shd w:val="clear" w:color="auto" w:fill="auto"/>
                  <w:vAlign w:val="center"/>
                </w:tcPr>
                <w:p w14:paraId="43D89D3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80</w:t>
                  </w: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%Ag+20%醇类</w:t>
                  </w:r>
                </w:p>
              </w:tc>
              <w:tc>
                <w:tcPr>
                  <w:tcW w:w="1385" w:type="pct"/>
                  <w:tcBorders>
                    <w:tl2br w:val="nil"/>
                    <w:tr2bl w:val="nil"/>
                  </w:tcBorders>
                  <w:shd w:val="clear" w:color="auto" w:fill="auto"/>
                  <w:vAlign w:val="center"/>
                </w:tcPr>
                <w:p w14:paraId="56736E0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膏状，桶装</w:t>
                  </w:r>
                </w:p>
              </w:tc>
            </w:tr>
            <w:tr w14:paraId="100533B7">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108" w:type="dxa"/>
                  <w:bottom w:w="0" w:type="dxa"/>
                  <w:right w:w="108" w:type="dxa"/>
                </w:tblCellMar>
              </w:tblPrEx>
              <w:trPr>
                <w:trHeight w:val="410" w:hRule="atLeast"/>
                <w:jc w:val="center"/>
              </w:trPr>
              <w:tc>
                <w:tcPr>
                  <w:tcW w:w="401" w:type="pct"/>
                  <w:tcBorders>
                    <w:tl2br w:val="nil"/>
                    <w:tr2bl w:val="nil"/>
                  </w:tcBorders>
                  <w:shd w:val="clear" w:color="auto" w:fill="auto"/>
                  <w:vAlign w:val="center"/>
                </w:tcPr>
                <w:p w14:paraId="720A139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eastAsia" w:cs="Times New Roman"/>
                      <w:i w:val="0"/>
                      <w:iCs w:val="0"/>
                      <w:color w:val="000000" w:themeColor="text1"/>
                      <w:kern w:val="0"/>
                      <w:sz w:val="20"/>
                      <w:szCs w:val="20"/>
                      <w:u w:val="none"/>
                      <w:lang w:val="en-US" w:eastAsia="zh-CN" w:bidi="ar"/>
                      <w14:textFill>
                        <w14:solidFill>
                          <w14:schemeClr w14:val="tx1"/>
                        </w14:solidFill>
                      </w14:textFill>
                    </w:rPr>
                    <w:t>8</w:t>
                  </w:r>
                </w:p>
              </w:tc>
              <w:tc>
                <w:tcPr>
                  <w:tcW w:w="907" w:type="pct"/>
                  <w:tcBorders>
                    <w:tl2br w:val="nil"/>
                    <w:tr2bl w:val="nil"/>
                  </w:tcBorders>
                  <w:shd w:val="clear" w:color="auto" w:fill="auto"/>
                  <w:vAlign w:val="center"/>
                </w:tcPr>
                <w:p w14:paraId="19C5413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eastAsia" w:cs="Times New Roman"/>
                      <w:i w:val="0"/>
                      <w:iCs w:val="0"/>
                      <w:color w:val="000000" w:themeColor="text1"/>
                      <w:kern w:val="0"/>
                      <w:sz w:val="20"/>
                      <w:szCs w:val="20"/>
                      <w:u w:val="none"/>
                      <w:lang w:val="en-US" w:eastAsia="zh-CN" w:bidi="ar"/>
                      <w14:textFill>
                        <w14:solidFill>
                          <w14:schemeClr w14:val="tx1"/>
                        </w14:solidFill>
                      </w14:textFill>
                    </w:rPr>
                    <w:t>铜浆</w:t>
                  </w:r>
                </w:p>
              </w:tc>
              <w:tc>
                <w:tcPr>
                  <w:tcW w:w="718" w:type="pct"/>
                  <w:tcBorders>
                    <w:tl2br w:val="nil"/>
                    <w:tr2bl w:val="nil"/>
                  </w:tcBorders>
                  <w:shd w:val="clear" w:color="auto" w:fill="auto"/>
                  <w:vAlign w:val="center"/>
                </w:tcPr>
                <w:p w14:paraId="3ACD6EA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eastAsia" w:cs="Times New Roman"/>
                      <w:i w:val="0"/>
                      <w:iCs w:val="0"/>
                      <w:color w:val="000000" w:themeColor="text1"/>
                      <w:kern w:val="0"/>
                      <w:sz w:val="20"/>
                      <w:szCs w:val="20"/>
                      <w:u w:val="none"/>
                      <w:lang w:val="en-US" w:eastAsia="zh-CN" w:bidi="ar"/>
                      <w14:textFill>
                        <w14:solidFill>
                          <w14:schemeClr w14:val="tx1"/>
                        </w14:solidFill>
                      </w14:textFill>
                    </w:rPr>
                    <w:t>t/a</w:t>
                  </w:r>
                </w:p>
              </w:tc>
              <w:tc>
                <w:tcPr>
                  <w:tcW w:w="651" w:type="pct"/>
                  <w:tcBorders>
                    <w:tl2br w:val="nil"/>
                    <w:tr2bl w:val="nil"/>
                  </w:tcBorders>
                  <w:shd w:val="clear" w:color="auto" w:fill="auto"/>
                  <w:vAlign w:val="center"/>
                </w:tcPr>
                <w:p w14:paraId="195705A4">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pPr>
                  <w:r>
                    <w:rPr>
                      <w:rFonts w:hint="eastAsia" w:cs="Times New Roman"/>
                      <w:i w:val="0"/>
                      <w:iCs w:val="0"/>
                      <w:color w:val="000000" w:themeColor="text1"/>
                      <w:kern w:val="0"/>
                      <w:sz w:val="20"/>
                      <w:szCs w:val="20"/>
                      <w:u w:val="none"/>
                      <w:lang w:val="en-US" w:eastAsia="zh-CN" w:bidi="ar"/>
                      <w14:textFill>
                        <w14:solidFill>
                          <w14:schemeClr w14:val="tx1"/>
                        </w14:solidFill>
                      </w14:textFill>
                    </w:rPr>
                    <w:t>0.075</w:t>
                  </w:r>
                </w:p>
              </w:tc>
              <w:tc>
                <w:tcPr>
                  <w:tcW w:w="935" w:type="pct"/>
                  <w:tcBorders>
                    <w:tl2br w:val="nil"/>
                    <w:tr2bl w:val="nil"/>
                  </w:tcBorders>
                  <w:shd w:val="clear" w:color="auto" w:fill="auto"/>
                  <w:vAlign w:val="center"/>
                </w:tcPr>
                <w:p w14:paraId="1CB85CD6">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80</w:t>
                  </w: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w:t>
                  </w:r>
                  <w:r>
                    <w:rPr>
                      <w:rFonts w:hint="eastAsia" w:cs="Times New Roman"/>
                      <w:i w:val="0"/>
                      <w:iCs w:val="0"/>
                      <w:color w:val="000000" w:themeColor="text1"/>
                      <w:kern w:val="0"/>
                      <w:sz w:val="20"/>
                      <w:szCs w:val="20"/>
                      <w:u w:val="none"/>
                      <w:lang w:val="en-US" w:eastAsia="zh-CN" w:bidi="ar"/>
                      <w14:textFill>
                        <w14:solidFill>
                          <w14:schemeClr w14:val="tx1"/>
                        </w14:solidFill>
                      </w14:textFill>
                    </w:rPr>
                    <w:t>G</w:t>
                  </w:r>
                  <w:r>
                    <w:rPr>
                      <w:rFonts w:hint="eastAsia" w:cs="Times New Roman"/>
                      <w:i w:val="0"/>
                      <w:iCs w:val="0"/>
                      <w:color w:val="000000" w:themeColor="text1"/>
                      <w:kern w:val="0"/>
                      <w:sz w:val="20"/>
                      <w:szCs w:val="20"/>
                      <w:u w:val="none"/>
                      <w:vertAlign w:val="baseline"/>
                      <w:lang w:val="en-US" w:eastAsia="zh-CN" w:bidi="ar"/>
                      <w14:textFill>
                        <w14:solidFill>
                          <w14:schemeClr w14:val="tx1"/>
                        </w14:solidFill>
                      </w14:textFill>
                    </w:rPr>
                    <w:t>u</w:t>
                  </w: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+20%醇类</w:t>
                  </w:r>
                </w:p>
              </w:tc>
              <w:tc>
                <w:tcPr>
                  <w:tcW w:w="1385" w:type="pct"/>
                  <w:tcBorders>
                    <w:tl2br w:val="nil"/>
                    <w:tr2bl w:val="nil"/>
                  </w:tcBorders>
                  <w:shd w:val="clear" w:color="auto" w:fill="auto"/>
                  <w:vAlign w:val="center"/>
                </w:tcPr>
                <w:p w14:paraId="5CB9785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膏状，桶装</w:t>
                  </w:r>
                </w:p>
              </w:tc>
            </w:tr>
            <w:tr w14:paraId="13453F1D">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35" w:hRule="atLeast"/>
                <w:jc w:val="center"/>
              </w:trPr>
              <w:tc>
                <w:tcPr>
                  <w:tcW w:w="401" w:type="pct"/>
                  <w:tcBorders>
                    <w:tl2br w:val="nil"/>
                    <w:tr2bl w:val="nil"/>
                  </w:tcBorders>
                  <w:shd w:val="clear" w:color="auto" w:fill="auto"/>
                  <w:vAlign w:val="center"/>
                </w:tcPr>
                <w:p w14:paraId="0EC1964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9</w:t>
                  </w:r>
                </w:p>
              </w:tc>
              <w:tc>
                <w:tcPr>
                  <w:tcW w:w="907" w:type="pct"/>
                  <w:tcBorders>
                    <w:tl2br w:val="nil"/>
                    <w:tr2bl w:val="nil"/>
                  </w:tcBorders>
                  <w:shd w:val="clear" w:color="auto" w:fill="auto"/>
                  <w:vAlign w:val="center"/>
                </w:tcPr>
                <w:p w14:paraId="0ED2D86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胶带</w:t>
                  </w:r>
                </w:p>
              </w:tc>
              <w:tc>
                <w:tcPr>
                  <w:tcW w:w="718" w:type="pct"/>
                  <w:tcBorders>
                    <w:tl2br w:val="nil"/>
                    <w:tr2bl w:val="nil"/>
                  </w:tcBorders>
                  <w:shd w:val="clear" w:color="auto" w:fill="auto"/>
                  <w:vAlign w:val="center"/>
                </w:tcPr>
                <w:p w14:paraId="4743253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卷</w:t>
                  </w:r>
                </w:p>
              </w:tc>
              <w:tc>
                <w:tcPr>
                  <w:tcW w:w="651" w:type="pct"/>
                  <w:tcBorders>
                    <w:tl2br w:val="nil"/>
                    <w:tr2bl w:val="nil"/>
                  </w:tcBorders>
                  <w:shd w:val="clear" w:color="auto" w:fill="auto"/>
                  <w:vAlign w:val="center"/>
                </w:tcPr>
                <w:p w14:paraId="513AD29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500</w:t>
                  </w:r>
                </w:p>
              </w:tc>
              <w:tc>
                <w:tcPr>
                  <w:tcW w:w="935" w:type="pct"/>
                  <w:tcBorders>
                    <w:tl2br w:val="nil"/>
                    <w:tr2bl w:val="nil"/>
                  </w:tcBorders>
                  <w:shd w:val="clear" w:color="auto" w:fill="auto"/>
                  <w:vAlign w:val="center"/>
                </w:tcPr>
                <w:p w14:paraId="1DD9A1E2">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eastAsia" w:ascii="Times New Roman" w:hAnsi="Times New Roman" w:cs="Times New Roman"/>
                      <w:i w:val="0"/>
                      <w:iCs w:val="0"/>
                      <w:color w:val="000000" w:themeColor="text1"/>
                      <w:kern w:val="2"/>
                      <w:sz w:val="20"/>
                      <w:szCs w:val="20"/>
                      <w:u w:val="none"/>
                      <w:lang w:val="en-US" w:eastAsia="zh-CN" w:bidi="ar-SA"/>
                      <w14:textFill>
                        <w14:solidFill>
                          <w14:schemeClr w14:val="tx1"/>
                        </w14:solidFill>
                      </w14:textFill>
                    </w:rPr>
                    <w:t>/</w:t>
                  </w:r>
                </w:p>
              </w:tc>
              <w:tc>
                <w:tcPr>
                  <w:tcW w:w="1385" w:type="pct"/>
                  <w:tcBorders>
                    <w:tl2br w:val="nil"/>
                    <w:tr2bl w:val="nil"/>
                  </w:tcBorders>
                  <w:shd w:val="clear" w:color="auto" w:fill="auto"/>
                  <w:vAlign w:val="center"/>
                </w:tcPr>
                <w:p w14:paraId="71FB1EB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pPr>
                  <w:r>
                    <w:rPr>
                      <w:rFonts w:hint="eastAsia" w:ascii="Times New Roman" w:hAnsi="Times New Roman" w:cs="Times New Roman"/>
                      <w:i w:val="0"/>
                      <w:iCs w:val="0"/>
                      <w:color w:val="000000" w:themeColor="text1"/>
                      <w:kern w:val="0"/>
                      <w:sz w:val="18"/>
                      <w:szCs w:val="18"/>
                      <w:u w:val="none"/>
                      <w:lang w:val="en-US" w:eastAsia="zh-CN" w:bidi="ar"/>
                      <w14:textFill>
                        <w14:solidFill>
                          <w14:schemeClr w14:val="tx1"/>
                        </w14:solidFill>
                      </w14:textFill>
                    </w:rPr>
                    <w:t>/</w:t>
                  </w:r>
                </w:p>
              </w:tc>
            </w:tr>
            <w:tr w14:paraId="579624FD">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jc w:val="center"/>
              </w:trPr>
              <w:tc>
                <w:tcPr>
                  <w:tcW w:w="401" w:type="pct"/>
                  <w:tcBorders>
                    <w:tl2br w:val="nil"/>
                    <w:tr2bl w:val="nil"/>
                  </w:tcBorders>
                  <w:shd w:val="clear" w:color="auto" w:fill="auto"/>
                  <w:vAlign w:val="center"/>
                </w:tcPr>
                <w:p w14:paraId="7E47D08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10</w:t>
                  </w:r>
                </w:p>
              </w:tc>
              <w:tc>
                <w:tcPr>
                  <w:tcW w:w="907" w:type="pct"/>
                  <w:tcBorders>
                    <w:tl2br w:val="nil"/>
                    <w:tr2bl w:val="nil"/>
                  </w:tcBorders>
                  <w:shd w:val="clear" w:color="auto" w:fill="auto"/>
                  <w:vAlign w:val="center"/>
                </w:tcPr>
                <w:p w14:paraId="7F10864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金属线材</w:t>
                  </w:r>
                </w:p>
              </w:tc>
              <w:tc>
                <w:tcPr>
                  <w:tcW w:w="718" w:type="pct"/>
                  <w:tcBorders>
                    <w:tl2br w:val="nil"/>
                    <w:tr2bl w:val="nil"/>
                  </w:tcBorders>
                  <w:shd w:val="clear" w:color="auto" w:fill="auto"/>
                  <w:vAlign w:val="center"/>
                </w:tcPr>
                <w:p w14:paraId="4129066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t/a</w:t>
                  </w:r>
                </w:p>
              </w:tc>
              <w:tc>
                <w:tcPr>
                  <w:tcW w:w="651" w:type="pct"/>
                  <w:tcBorders>
                    <w:tl2br w:val="nil"/>
                    <w:tr2bl w:val="nil"/>
                  </w:tcBorders>
                  <w:shd w:val="clear" w:color="auto" w:fill="auto"/>
                  <w:vAlign w:val="center"/>
                </w:tcPr>
                <w:p w14:paraId="6940134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1.5</w:t>
                  </w:r>
                </w:p>
              </w:tc>
              <w:tc>
                <w:tcPr>
                  <w:tcW w:w="935" w:type="pct"/>
                  <w:tcBorders>
                    <w:tl2br w:val="nil"/>
                    <w:tr2bl w:val="nil"/>
                  </w:tcBorders>
                  <w:shd w:val="clear" w:color="auto" w:fill="auto"/>
                  <w:vAlign w:val="center"/>
                </w:tcPr>
                <w:p w14:paraId="688DB31C">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eastAsia" w:ascii="Times New Roman" w:hAnsi="Times New Roman" w:cs="Times New Roman"/>
                      <w:i w:val="0"/>
                      <w:iCs w:val="0"/>
                      <w:color w:val="000000" w:themeColor="text1"/>
                      <w:kern w:val="2"/>
                      <w:sz w:val="20"/>
                      <w:szCs w:val="20"/>
                      <w:u w:val="none"/>
                      <w:lang w:val="en-US" w:eastAsia="zh-CN" w:bidi="ar-SA"/>
                      <w14:textFill>
                        <w14:solidFill>
                          <w14:schemeClr w14:val="tx1"/>
                        </w14:solidFill>
                      </w14:textFill>
                    </w:rPr>
                    <w:t>/</w:t>
                  </w:r>
                </w:p>
              </w:tc>
              <w:tc>
                <w:tcPr>
                  <w:tcW w:w="1385" w:type="pct"/>
                  <w:tcBorders>
                    <w:tl2br w:val="nil"/>
                    <w:tr2bl w:val="nil"/>
                  </w:tcBorders>
                  <w:shd w:val="clear" w:color="auto" w:fill="auto"/>
                  <w:vAlign w:val="center"/>
                </w:tcPr>
                <w:p w14:paraId="33DCE63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pPr>
                  <w:r>
                    <w:rPr>
                      <w:rFonts w:hint="eastAsia" w:ascii="Times New Roman" w:hAnsi="Times New Roman" w:cs="Times New Roman"/>
                      <w:i w:val="0"/>
                      <w:iCs w:val="0"/>
                      <w:color w:val="000000" w:themeColor="text1"/>
                      <w:kern w:val="0"/>
                      <w:sz w:val="18"/>
                      <w:szCs w:val="18"/>
                      <w:u w:val="none"/>
                      <w:lang w:val="en-US" w:eastAsia="zh-CN" w:bidi="ar"/>
                      <w14:textFill>
                        <w14:solidFill>
                          <w14:schemeClr w14:val="tx1"/>
                        </w14:solidFill>
                      </w14:textFill>
                    </w:rPr>
                    <w:t>/</w:t>
                  </w:r>
                </w:p>
              </w:tc>
            </w:tr>
            <w:tr w14:paraId="5A6A4A95">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jc w:val="center"/>
              </w:trPr>
              <w:tc>
                <w:tcPr>
                  <w:tcW w:w="401" w:type="pct"/>
                  <w:tcBorders>
                    <w:tl2br w:val="nil"/>
                    <w:tr2bl w:val="nil"/>
                  </w:tcBorders>
                  <w:shd w:val="clear" w:color="auto" w:fill="auto"/>
                  <w:vAlign w:val="center"/>
                </w:tcPr>
                <w:p w14:paraId="156C4A9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11</w:t>
                  </w:r>
                </w:p>
              </w:tc>
              <w:tc>
                <w:tcPr>
                  <w:tcW w:w="907" w:type="pct"/>
                  <w:tcBorders>
                    <w:tl2br w:val="nil"/>
                    <w:tr2bl w:val="nil"/>
                  </w:tcBorders>
                  <w:shd w:val="clear" w:color="auto" w:fill="auto"/>
                  <w:vAlign w:val="center"/>
                </w:tcPr>
                <w:p w14:paraId="34963DF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纸带</w:t>
                  </w:r>
                </w:p>
              </w:tc>
              <w:tc>
                <w:tcPr>
                  <w:tcW w:w="718" w:type="pct"/>
                  <w:tcBorders>
                    <w:tl2br w:val="nil"/>
                    <w:tr2bl w:val="nil"/>
                  </w:tcBorders>
                  <w:shd w:val="clear" w:color="auto" w:fill="auto"/>
                  <w:vAlign w:val="center"/>
                </w:tcPr>
                <w:p w14:paraId="547E4CF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卷</w:t>
                  </w:r>
                </w:p>
              </w:tc>
              <w:tc>
                <w:tcPr>
                  <w:tcW w:w="651" w:type="pct"/>
                  <w:tcBorders>
                    <w:tl2br w:val="nil"/>
                    <w:tr2bl w:val="nil"/>
                  </w:tcBorders>
                  <w:shd w:val="clear" w:color="auto" w:fill="auto"/>
                  <w:vAlign w:val="center"/>
                </w:tcPr>
                <w:p w14:paraId="0B6C07C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500</w:t>
                  </w:r>
                </w:p>
              </w:tc>
              <w:tc>
                <w:tcPr>
                  <w:tcW w:w="935" w:type="pct"/>
                  <w:tcBorders>
                    <w:tl2br w:val="nil"/>
                    <w:tr2bl w:val="nil"/>
                  </w:tcBorders>
                  <w:shd w:val="clear" w:color="auto" w:fill="auto"/>
                  <w:vAlign w:val="center"/>
                </w:tcPr>
                <w:p w14:paraId="59CF9293">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eastAsia" w:ascii="Times New Roman" w:hAnsi="Times New Roman" w:cs="Times New Roman"/>
                      <w:i w:val="0"/>
                      <w:iCs w:val="0"/>
                      <w:color w:val="000000" w:themeColor="text1"/>
                      <w:kern w:val="2"/>
                      <w:sz w:val="20"/>
                      <w:szCs w:val="20"/>
                      <w:u w:val="none"/>
                      <w:lang w:val="en-US" w:eastAsia="zh-CN" w:bidi="ar-SA"/>
                      <w14:textFill>
                        <w14:solidFill>
                          <w14:schemeClr w14:val="tx1"/>
                        </w14:solidFill>
                      </w14:textFill>
                    </w:rPr>
                    <w:t>/</w:t>
                  </w:r>
                </w:p>
              </w:tc>
              <w:tc>
                <w:tcPr>
                  <w:tcW w:w="1385" w:type="pct"/>
                  <w:tcBorders>
                    <w:tl2br w:val="nil"/>
                    <w:tr2bl w:val="nil"/>
                  </w:tcBorders>
                  <w:shd w:val="clear" w:color="auto" w:fill="auto"/>
                  <w:vAlign w:val="center"/>
                </w:tcPr>
                <w:p w14:paraId="1EA9724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pPr>
                  <w:r>
                    <w:rPr>
                      <w:rFonts w:hint="eastAsia" w:ascii="Times New Roman" w:hAnsi="Times New Roman" w:cs="Times New Roman"/>
                      <w:i w:val="0"/>
                      <w:iCs w:val="0"/>
                      <w:color w:val="000000" w:themeColor="text1"/>
                      <w:kern w:val="0"/>
                      <w:sz w:val="18"/>
                      <w:szCs w:val="18"/>
                      <w:u w:val="none"/>
                      <w:lang w:val="en-US" w:eastAsia="zh-CN" w:bidi="ar"/>
                      <w14:textFill>
                        <w14:solidFill>
                          <w14:schemeClr w14:val="tx1"/>
                        </w14:solidFill>
                      </w14:textFill>
                    </w:rPr>
                    <w:t>/</w:t>
                  </w:r>
                </w:p>
              </w:tc>
            </w:tr>
            <w:tr w14:paraId="34DF19B9">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jc w:val="center"/>
              </w:trPr>
              <w:tc>
                <w:tcPr>
                  <w:tcW w:w="401" w:type="pct"/>
                  <w:tcBorders>
                    <w:tl2br w:val="nil"/>
                    <w:tr2bl w:val="nil"/>
                  </w:tcBorders>
                  <w:shd w:val="clear" w:color="auto" w:fill="auto"/>
                  <w:vAlign w:val="center"/>
                </w:tcPr>
                <w:p w14:paraId="2C38774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12</w:t>
                  </w:r>
                </w:p>
              </w:tc>
              <w:tc>
                <w:tcPr>
                  <w:tcW w:w="907" w:type="pct"/>
                  <w:tcBorders>
                    <w:tl2br w:val="nil"/>
                    <w:tr2bl w:val="nil"/>
                  </w:tcBorders>
                  <w:shd w:val="clear" w:color="auto" w:fill="auto"/>
                  <w:vAlign w:val="center"/>
                </w:tcPr>
                <w:p w14:paraId="293317A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纯锡锡条</w:t>
                  </w:r>
                </w:p>
              </w:tc>
              <w:tc>
                <w:tcPr>
                  <w:tcW w:w="718" w:type="pct"/>
                  <w:tcBorders>
                    <w:tl2br w:val="nil"/>
                    <w:tr2bl w:val="nil"/>
                  </w:tcBorders>
                  <w:shd w:val="clear" w:color="auto" w:fill="auto"/>
                  <w:vAlign w:val="center"/>
                </w:tcPr>
                <w:p w14:paraId="51341D1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t/a</w:t>
                  </w:r>
                </w:p>
              </w:tc>
              <w:tc>
                <w:tcPr>
                  <w:tcW w:w="651" w:type="pct"/>
                  <w:tcBorders>
                    <w:tl2br w:val="nil"/>
                    <w:tr2bl w:val="nil"/>
                  </w:tcBorders>
                  <w:shd w:val="clear" w:color="auto" w:fill="auto"/>
                  <w:vAlign w:val="center"/>
                </w:tcPr>
                <w:p w14:paraId="741A81F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2</w:t>
                  </w: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.00</w:t>
                  </w:r>
                </w:p>
              </w:tc>
              <w:tc>
                <w:tcPr>
                  <w:tcW w:w="935" w:type="pct"/>
                  <w:tcBorders>
                    <w:tl2br w:val="nil"/>
                    <w:tr2bl w:val="nil"/>
                  </w:tcBorders>
                  <w:shd w:val="clear" w:color="auto" w:fill="auto"/>
                  <w:vAlign w:val="center"/>
                </w:tcPr>
                <w:p w14:paraId="608325B6">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eastAsia" w:ascii="Times New Roman" w:hAnsi="Times New Roman" w:cs="Times New Roman"/>
                      <w:i w:val="0"/>
                      <w:iCs w:val="0"/>
                      <w:color w:val="000000" w:themeColor="text1"/>
                      <w:kern w:val="2"/>
                      <w:sz w:val="20"/>
                      <w:szCs w:val="20"/>
                      <w:u w:val="none"/>
                      <w:lang w:val="en-US" w:eastAsia="zh-CN" w:bidi="ar-SA"/>
                      <w14:textFill>
                        <w14:solidFill>
                          <w14:schemeClr w14:val="tx1"/>
                        </w14:solidFill>
                      </w14:textFill>
                    </w:rPr>
                    <w:t>/</w:t>
                  </w:r>
                </w:p>
              </w:tc>
              <w:tc>
                <w:tcPr>
                  <w:tcW w:w="1385" w:type="pct"/>
                  <w:tcBorders>
                    <w:tl2br w:val="nil"/>
                    <w:tr2bl w:val="nil"/>
                  </w:tcBorders>
                  <w:shd w:val="clear" w:color="auto" w:fill="auto"/>
                  <w:vAlign w:val="center"/>
                </w:tcPr>
                <w:p w14:paraId="50A2DE9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不含铅、不含助焊剂</w:t>
                  </w:r>
                </w:p>
              </w:tc>
            </w:tr>
            <w:tr w14:paraId="01A4DCD6">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401" w:type="pct"/>
                  <w:tcBorders>
                    <w:tl2br w:val="nil"/>
                    <w:tr2bl w:val="nil"/>
                  </w:tcBorders>
                  <w:shd w:val="clear" w:color="auto" w:fill="auto"/>
                  <w:vAlign w:val="center"/>
                </w:tcPr>
                <w:p w14:paraId="3BB6E0C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13</w:t>
                  </w:r>
                </w:p>
              </w:tc>
              <w:tc>
                <w:tcPr>
                  <w:tcW w:w="907" w:type="pct"/>
                  <w:tcBorders>
                    <w:tl2br w:val="nil"/>
                    <w:tr2bl w:val="nil"/>
                  </w:tcBorders>
                  <w:shd w:val="clear" w:color="auto" w:fill="auto"/>
                  <w:vAlign w:val="center"/>
                </w:tcPr>
                <w:p w14:paraId="3DF1CDD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包封材料</w:t>
                  </w:r>
                </w:p>
              </w:tc>
              <w:tc>
                <w:tcPr>
                  <w:tcW w:w="718" w:type="pct"/>
                  <w:tcBorders>
                    <w:tl2br w:val="nil"/>
                    <w:tr2bl w:val="nil"/>
                  </w:tcBorders>
                  <w:shd w:val="clear" w:color="auto" w:fill="auto"/>
                  <w:vAlign w:val="center"/>
                </w:tcPr>
                <w:p w14:paraId="39CECE2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t/a</w:t>
                  </w:r>
                </w:p>
              </w:tc>
              <w:tc>
                <w:tcPr>
                  <w:tcW w:w="651" w:type="pct"/>
                  <w:tcBorders>
                    <w:tl2br w:val="nil"/>
                    <w:tr2bl w:val="nil"/>
                  </w:tcBorders>
                  <w:shd w:val="clear" w:color="auto" w:fill="auto"/>
                  <w:vAlign w:val="center"/>
                </w:tcPr>
                <w:p w14:paraId="04780BE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15.00</w:t>
                  </w:r>
                </w:p>
              </w:tc>
              <w:tc>
                <w:tcPr>
                  <w:tcW w:w="935" w:type="pct"/>
                  <w:tcBorders>
                    <w:tl2br w:val="nil"/>
                    <w:tr2bl w:val="nil"/>
                  </w:tcBorders>
                  <w:shd w:val="clear" w:color="auto" w:fill="auto"/>
                  <w:vAlign w:val="center"/>
                </w:tcPr>
                <w:p w14:paraId="7D4D459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环氧树脂：酚醛树脂包封料</w:t>
                  </w:r>
                </w:p>
              </w:tc>
              <w:tc>
                <w:tcPr>
                  <w:tcW w:w="1385" w:type="pct"/>
                  <w:tcBorders>
                    <w:tl2br w:val="nil"/>
                    <w:tr2bl w:val="nil"/>
                  </w:tcBorders>
                  <w:shd w:val="clear" w:color="auto" w:fill="auto"/>
                  <w:vAlign w:val="center"/>
                </w:tcPr>
                <w:p w14:paraId="666F90A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粉末，袋装</w:t>
                  </w:r>
                </w:p>
              </w:tc>
            </w:tr>
            <w:tr w14:paraId="432F0813">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108" w:type="dxa"/>
                  <w:bottom w:w="0" w:type="dxa"/>
                  <w:right w:w="108" w:type="dxa"/>
                </w:tblCellMar>
              </w:tblPrEx>
              <w:trPr>
                <w:trHeight w:val="325" w:hRule="atLeast"/>
                <w:jc w:val="center"/>
              </w:trPr>
              <w:tc>
                <w:tcPr>
                  <w:tcW w:w="401" w:type="pct"/>
                  <w:tcBorders>
                    <w:tl2br w:val="nil"/>
                    <w:tr2bl w:val="nil"/>
                  </w:tcBorders>
                  <w:shd w:val="clear" w:color="auto" w:fill="auto"/>
                  <w:vAlign w:val="center"/>
                </w:tcPr>
                <w:p w14:paraId="176514D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14</w:t>
                  </w:r>
                </w:p>
              </w:tc>
              <w:tc>
                <w:tcPr>
                  <w:tcW w:w="907" w:type="pct"/>
                  <w:tcBorders>
                    <w:tl2br w:val="nil"/>
                    <w:tr2bl w:val="nil"/>
                  </w:tcBorders>
                  <w:shd w:val="clear" w:color="auto" w:fill="auto"/>
                  <w:vAlign w:val="center"/>
                </w:tcPr>
                <w:p w14:paraId="1543D28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包装袋</w:t>
                  </w:r>
                </w:p>
              </w:tc>
              <w:tc>
                <w:tcPr>
                  <w:tcW w:w="718" w:type="pct"/>
                  <w:tcBorders>
                    <w:tl2br w:val="nil"/>
                    <w:tr2bl w:val="nil"/>
                  </w:tcBorders>
                  <w:shd w:val="clear" w:color="auto" w:fill="auto"/>
                  <w:vAlign w:val="center"/>
                </w:tcPr>
                <w:p w14:paraId="0525491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t/a</w:t>
                  </w:r>
                </w:p>
              </w:tc>
              <w:tc>
                <w:tcPr>
                  <w:tcW w:w="651" w:type="pct"/>
                  <w:tcBorders>
                    <w:tl2br w:val="nil"/>
                    <w:tr2bl w:val="nil"/>
                  </w:tcBorders>
                  <w:shd w:val="clear" w:color="auto" w:fill="auto"/>
                  <w:vAlign w:val="center"/>
                </w:tcPr>
                <w:p w14:paraId="61A2D16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0.25</w:t>
                  </w:r>
                </w:p>
              </w:tc>
              <w:tc>
                <w:tcPr>
                  <w:tcW w:w="935" w:type="pct"/>
                  <w:tcBorders>
                    <w:tl2br w:val="nil"/>
                    <w:tr2bl w:val="nil"/>
                  </w:tcBorders>
                  <w:shd w:val="clear" w:color="auto" w:fill="auto"/>
                  <w:vAlign w:val="center"/>
                </w:tcPr>
                <w:p w14:paraId="799E5DB3">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eastAsia" w:ascii="Times New Roman" w:hAnsi="Times New Roman" w:cs="Times New Roman"/>
                      <w:i w:val="0"/>
                      <w:iCs w:val="0"/>
                      <w:color w:val="000000" w:themeColor="text1"/>
                      <w:kern w:val="2"/>
                      <w:sz w:val="20"/>
                      <w:szCs w:val="20"/>
                      <w:u w:val="none"/>
                      <w:lang w:val="en-US" w:eastAsia="zh-CN" w:bidi="ar-SA"/>
                      <w14:textFill>
                        <w14:solidFill>
                          <w14:schemeClr w14:val="tx1"/>
                        </w14:solidFill>
                      </w14:textFill>
                    </w:rPr>
                    <w:t>/</w:t>
                  </w:r>
                </w:p>
              </w:tc>
              <w:tc>
                <w:tcPr>
                  <w:tcW w:w="1385" w:type="pct"/>
                  <w:tcBorders>
                    <w:tl2br w:val="nil"/>
                    <w:tr2bl w:val="nil"/>
                  </w:tcBorders>
                  <w:shd w:val="clear" w:color="auto" w:fill="auto"/>
                  <w:vAlign w:val="center"/>
                </w:tcPr>
                <w:p w14:paraId="4F6637D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pPr>
                  <w:r>
                    <w:rPr>
                      <w:rFonts w:hint="eastAsia" w:ascii="Times New Roman" w:hAnsi="Times New Roman" w:cs="Times New Roman"/>
                      <w:i w:val="0"/>
                      <w:iCs w:val="0"/>
                      <w:color w:val="000000" w:themeColor="text1"/>
                      <w:kern w:val="0"/>
                      <w:sz w:val="18"/>
                      <w:szCs w:val="18"/>
                      <w:u w:val="none"/>
                      <w:lang w:val="en-US" w:eastAsia="zh-CN" w:bidi="ar"/>
                      <w14:textFill>
                        <w14:solidFill>
                          <w14:schemeClr w14:val="tx1"/>
                        </w14:solidFill>
                      </w14:textFill>
                    </w:rPr>
                    <w:t>/</w:t>
                  </w:r>
                </w:p>
              </w:tc>
            </w:tr>
            <w:tr w14:paraId="1755F9FB">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5" w:hRule="atLeast"/>
                <w:jc w:val="center"/>
              </w:trPr>
              <w:tc>
                <w:tcPr>
                  <w:tcW w:w="401" w:type="pct"/>
                  <w:tcBorders>
                    <w:tl2br w:val="nil"/>
                    <w:tr2bl w:val="nil"/>
                  </w:tcBorders>
                  <w:shd w:val="clear" w:color="auto" w:fill="auto"/>
                  <w:vAlign w:val="center"/>
                </w:tcPr>
                <w:p w14:paraId="7C4CA55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15</w:t>
                  </w:r>
                </w:p>
              </w:tc>
              <w:tc>
                <w:tcPr>
                  <w:tcW w:w="907" w:type="pct"/>
                  <w:tcBorders>
                    <w:tl2br w:val="nil"/>
                    <w:tr2bl w:val="nil"/>
                  </w:tcBorders>
                  <w:shd w:val="clear" w:color="auto" w:fill="auto"/>
                  <w:vAlign w:val="center"/>
                </w:tcPr>
                <w:p w14:paraId="393FC9F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纸箱</w:t>
                  </w:r>
                </w:p>
              </w:tc>
              <w:tc>
                <w:tcPr>
                  <w:tcW w:w="718" w:type="pct"/>
                  <w:tcBorders>
                    <w:tl2br w:val="nil"/>
                    <w:tr2bl w:val="nil"/>
                  </w:tcBorders>
                  <w:shd w:val="clear" w:color="auto" w:fill="auto"/>
                  <w:vAlign w:val="center"/>
                </w:tcPr>
                <w:p w14:paraId="6443035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套</w:t>
                  </w:r>
                </w:p>
              </w:tc>
              <w:tc>
                <w:tcPr>
                  <w:tcW w:w="651" w:type="pct"/>
                  <w:tcBorders>
                    <w:tl2br w:val="nil"/>
                    <w:tr2bl w:val="nil"/>
                  </w:tcBorders>
                  <w:shd w:val="clear" w:color="auto" w:fill="auto"/>
                  <w:vAlign w:val="center"/>
                </w:tcPr>
                <w:p w14:paraId="16AFF06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2500</w:t>
                  </w:r>
                </w:p>
              </w:tc>
              <w:tc>
                <w:tcPr>
                  <w:tcW w:w="935" w:type="pct"/>
                  <w:tcBorders>
                    <w:tl2br w:val="nil"/>
                    <w:tr2bl w:val="nil"/>
                  </w:tcBorders>
                  <w:shd w:val="clear" w:color="auto" w:fill="auto"/>
                  <w:vAlign w:val="center"/>
                </w:tcPr>
                <w:p w14:paraId="751593A6">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eastAsia" w:ascii="Times New Roman" w:hAnsi="Times New Roman" w:cs="Times New Roman"/>
                      <w:i w:val="0"/>
                      <w:iCs w:val="0"/>
                      <w:color w:val="000000" w:themeColor="text1"/>
                      <w:kern w:val="2"/>
                      <w:sz w:val="20"/>
                      <w:szCs w:val="20"/>
                      <w:u w:val="none"/>
                      <w:lang w:val="en-US" w:eastAsia="zh-CN" w:bidi="ar-SA"/>
                      <w14:textFill>
                        <w14:solidFill>
                          <w14:schemeClr w14:val="tx1"/>
                        </w14:solidFill>
                      </w14:textFill>
                    </w:rPr>
                    <w:t>/</w:t>
                  </w:r>
                </w:p>
              </w:tc>
              <w:tc>
                <w:tcPr>
                  <w:tcW w:w="1385" w:type="pct"/>
                  <w:tcBorders>
                    <w:tl2br w:val="nil"/>
                    <w:tr2bl w:val="nil"/>
                  </w:tcBorders>
                  <w:shd w:val="clear" w:color="auto" w:fill="auto"/>
                  <w:vAlign w:val="center"/>
                </w:tcPr>
                <w:p w14:paraId="702CA137">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eastAsia" w:ascii="Times New Roman" w:hAnsi="Times New Roman" w:cs="Times New Roman"/>
                      <w:i w:val="0"/>
                      <w:iCs w:val="0"/>
                      <w:color w:val="000000" w:themeColor="text1"/>
                      <w:kern w:val="2"/>
                      <w:sz w:val="20"/>
                      <w:szCs w:val="20"/>
                      <w:u w:val="none"/>
                      <w:lang w:val="en-US" w:eastAsia="zh-CN" w:bidi="ar-SA"/>
                      <w14:textFill>
                        <w14:solidFill>
                          <w14:schemeClr w14:val="tx1"/>
                        </w14:solidFill>
                      </w14:textFill>
                    </w:rPr>
                    <w:t>/</w:t>
                  </w:r>
                </w:p>
              </w:tc>
            </w:tr>
            <w:tr w14:paraId="60433318">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5" w:hRule="atLeast"/>
                <w:jc w:val="center"/>
              </w:trPr>
              <w:tc>
                <w:tcPr>
                  <w:tcW w:w="401" w:type="pct"/>
                  <w:tcBorders>
                    <w:tl2br w:val="nil"/>
                    <w:tr2bl w:val="nil"/>
                  </w:tcBorders>
                  <w:shd w:val="clear" w:color="auto" w:fill="auto"/>
                  <w:vAlign w:val="center"/>
                </w:tcPr>
                <w:p w14:paraId="4F3908B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16</w:t>
                  </w:r>
                </w:p>
              </w:tc>
              <w:tc>
                <w:tcPr>
                  <w:tcW w:w="907" w:type="pct"/>
                  <w:tcBorders>
                    <w:tl2br w:val="nil"/>
                    <w:tr2bl w:val="nil"/>
                  </w:tcBorders>
                  <w:shd w:val="clear" w:color="auto" w:fill="auto"/>
                  <w:vAlign w:val="center"/>
                </w:tcPr>
                <w:p w14:paraId="11BAA12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封箱胶带</w:t>
                  </w:r>
                </w:p>
              </w:tc>
              <w:tc>
                <w:tcPr>
                  <w:tcW w:w="718" w:type="pct"/>
                  <w:tcBorders>
                    <w:tl2br w:val="nil"/>
                    <w:tr2bl w:val="nil"/>
                  </w:tcBorders>
                  <w:shd w:val="clear" w:color="auto" w:fill="auto"/>
                  <w:vAlign w:val="center"/>
                </w:tcPr>
                <w:p w14:paraId="7AF254B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卷</w:t>
                  </w:r>
                </w:p>
              </w:tc>
              <w:tc>
                <w:tcPr>
                  <w:tcW w:w="651" w:type="pct"/>
                  <w:tcBorders>
                    <w:tl2br w:val="nil"/>
                    <w:tr2bl w:val="nil"/>
                  </w:tcBorders>
                  <w:shd w:val="clear" w:color="auto" w:fill="auto"/>
                  <w:vAlign w:val="center"/>
                </w:tcPr>
                <w:p w14:paraId="0B36C86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250</w:t>
                  </w:r>
                </w:p>
              </w:tc>
              <w:tc>
                <w:tcPr>
                  <w:tcW w:w="935" w:type="pct"/>
                  <w:tcBorders>
                    <w:tl2br w:val="nil"/>
                    <w:tr2bl w:val="nil"/>
                  </w:tcBorders>
                  <w:shd w:val="clear" w:color="auto" w:fill="auto"/>
                  <w:vAlign w:val="center"/>
                </w:tcPr>
                <w:p w14:paraId="4D59D44C">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eastAsia" w:ascii="Times New Roman" w:hAnsi="Times New Roman" w:cs="Times New Roman"/>
                      <w:i w:val="0"/>
                      <w:iCs w:val="0"/>
                      <w:color w:val="000000" w:themeColor="text1"/>
                      <w:kern w:val="2"/>
                      <w:sz w:val="20"/>
                      <w:szCs w:val="20"/>
                      <w:u w:val="none"/>
                      <w:lang w:val="en-US" w:eastAsia="zh-CN" w:bidi="ar-SA"/>
                      <w14:textFill>
                        <w14:solidFill>
                          <w14:schemeClr w14:val="tx1"/>
                        </w14:solidFill>
                      </w14:textFill>
                    </w:rPr>
                    <w:t>/</w:t>
                  </w:r>
                </w:p>
              </w:tc>
              <w:tc>
                <w:tcPr>
                  <w:tcW w:w="1385" w:type="pct"/>
                  <w:tcBorders>
                    <w:tl2br w:val="nil"/>
                    <w:tr2bl w:val="nil"/>
                  </w:tcBorders>
                  <w:shd w:val="clear" w:color="auto" w:fill="auto"/>
                  <w:vAlign w:val="center"/>
                </w:tcPr>
                <w:p w14:paraId="758886B3">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themeColor="text1"/>
                      <w:kern w:val="2"/>
                      <w:sz w:val="22"/>
                      <w:szCs w:val="22"/>
                      <w:u w:val="none"/>
                      <w:lang w:val="en-US" w:eastAsia="zh-CN" w:bidi="ar-SA"/>
                      <w14:textFill>
                        <w14:solidFill>
                          <w14:schemeClr w14:val="tx1"/>
                        </w14:solidFill>
                      </w14:textFill>
                    </w:rPr>
                  </w:pPr>
                  <w:r>
                    <w:rPr>
                      <w:rFonts w:hint="eastAsia" w:ascii="Times New Roman" w:hAnsi="Times New Roman" w:cs="Times New Roman"/>
                      <w:i w:val="0"/>
                      <w:iCs w:val="0"/>
                      <w:color w:val="000000" w:themeColor="text1"/>
                      <w:kern w:val="2"/>
                      <w:sz w:val="22"/>
                      <w:szCs w:val="22"/>
                      <w:u w:val="none"/>
                      <w:lang w:val="en-US" w:eastAsia="zh-CN" w:bidi="ar-SA"/>
                      <w14:textFill>
                        <w14:solidFill>
                          <w14:schemeClr w14:val="tx1"/>
                        </w14:solidFill>
                      </w14:textFill>
                    </w:rPr>
                    <w:t>/</w:t>
                  </w:r>
                </w:p>
              </w:tc>
            </w:tr>
            <w:tr w14:paraId="544179E6">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69" w:hRule="atLeast"/>
                <w:jc w:val="center"/>
              </w:trPr>
              <w:tc>
                <w:tcPr>
                  <w:tcW w:w="401" w:type="pct"/>
                  <w:tcBorders>
                    <w:tl2br w:val="nil"/>
                    <w:tr2bl w:val="nil"/>
                  </w:tcBorders>
                  <w:shd w:val="clear" w:color="auto" w:fill="auto"/>
                  <w:vAlign w:val="center"/>
                </w:tcPr>
                <w:p w14:paraId="4A57AFB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17</w:t>
                  </w:r>
                </w:p>
              </w:tc>
              <w:tc>
                <w:tcPr>
                  <w:tcW w:w="907" w:type="pct"/>
                  <w:tcBorders>
                    <w:tl2br w:val="nil"/>
                    <w:tr2bl w:val="nil"/>
                  </w:tcBorders>
                  <w:shd w:val="clear" w:color="auto" w:fill="auto"/>
                  <w:vAlign w:val="center"/>
                </w:tcPr>
                <w:p w14:paraId="73AB52A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eastAsia" w:cs="Times New Roman"/>
                      <w:i w:val="0"/>
                      <w:iCs w:val="0"/>
                      <w:color w:val="000000" w:themeColor="text1"/>
                      <w:kern w:val="0"/>
                      <w:sz w:val="20"/>
                      <w:szCs w:val="20"/>
                      <w:u w:val="none"/>
                      <w:lang w:val="en-US" w:eastAsia="zh-CN" w:bidi="ar"/>
                      <w14:textFill>
                        <w14:solidFill>
                          <w14:schemeClr w14:val="tx1"/>
                        </w14:solidFill>
                      </w14:textFill>
                    </w:rPr>
                    <w:t>空压</w:t>
                  </w: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机油</w:t>
                  </w:r>
                </w:p>
              </w:tc>
              <w:tc>
                <w:tcPr>
                  <w:tcW w:w="718" w:type="pct"/>
                  <w:tcBorders>
                    <w:tl2br w:val="nil"/>
                    <w:tr2bl w:val="nil"/>
                  </w:tcBorders>
                  <w:shd w:val="clear" w:color="auto" w:fill="auto"/>
                  <w:vAlign w:val="center"/>
                </w:tcPr>
                <w:p w14:paraId="41D0924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t/a</w:t>
                  </w:r>
                </w:p>
              </w:tc>
              <w:tc>
                <w:tcPr>
                  <w:tcW w:w="651" w:type="pct"/>
                  <w:tcBorders>
                    <w:tl2br w:val="nil"/>
                    <w:tr2bl w:val="nil"/>
                  </w:tcBorders>
                  <w:shd w:val="clear" w:color="auto" w:fill="auto"/>
                  <w:vAlign w:val="center"/>
                </w:tcPr>
                <w:p w14:paraId="731F1DF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0.1</w:t>
                  </w:r>
                </w:p>
              </w:tc>
              <w:tc>
                <w:tcPr>
                  <w:tcW w:w="935" w:type="pct"/>
                  <w:tcBorders>
                    <w:tl2br w:val="nil"/>
                    <w:tr2bl w:val="nil"/>
                  </w:tcBorders>
                  <w:shd w:val="clear" w:color="auto" w:fill="auto"/>
                  <w:vAlign w:val="center"/>
                </w:tcPr>
                <w:p w14:paraId="7FA237FD">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eastAsia" w:ascii="Times New Roman" w:hAnsi="Times New Roman" w:cs="Times New Roman"/>
                      <w:i w:val="0"/>
                      <w:iCs w:val="0"/>
                      <w:color w:val="000000" w:themeColor="text1"/>
                      <w:kern w:val="2"/>
                      <w:sz w:val="20"/>
                      <w:szCs w:val="20"/>
                      <w:u w:val="none"/>
                      <w:lang w:val="en-US" w:eastAsia="zh-CN" w:bidi="ar-SA"/>
                      <w14:textFill>
                        <w14:solidFill>
                          <w14:schemeClr w14:val="tx1"/>
                        </w14:solidFill>
                      </w14:textFill>
                    </w:rPr>
                    <w:t>/</w:t>
                  </w:r>
                </w:p>
              </w:tc>
              <w:tc>
                <w:tcPr>
                  <w:tcW w:w="1385" w:type="pct"/>
                  <w:tcBorders>
                    <w:tl2br w:val="nil"/>
                    <w:tr2bl w:val="nil"/>
                  </w:tcBorders>
                  <w:shd w:val="clear" w:color="auto" w:fill="auto"/>
                  <w:noWrap/>
                  <w:vAlign w:val="center"/>
                </w:tcPr>
                <w:p w14:paraId="79715B6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塑料</w:t>
                  </w: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桶装，每桶18L（16kg）</w:t>
                  </w:r>
                </w:p>
              </w:tc>
            </w:tr>
            <w:tr w14:paraId="444FA0FF">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69" w:hRule="atLeast"/>
                <w:jc w:val="center"/>
              </w:trPr>
              <w:tc>
                <w:tcPr>
                  <w:tcW w:w="401" w:type="pct"/>
                  <w:tcBorders>
                    <w:tl2br w:val="nil"/>
                    <w:tr2bl w:val="nil"/>
                  </w:tcBorders>
                  <w:shd w:val="clear" w:color="auto" w:fill="auto"/>
                  <w:vAlign w:val="center"/>
                </w:tcPr>
                <w:p w14:paraId="6FD6A2F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18</w:t>
                  </w:r>
                </w:p>
              </w:tc>
              <w:tc>
                <w:tcPr>
                  <w:tcW w:w="907" w:type="pct"/>
                  <w:tcBorders>
                    <w:tl2br w:val="nil"/>
                    <w:tr2bl w:val="nil"/>
                  </w:tcBorders>
                  <w:shd w:val="clear" w:color="auto" w:fill="auto"/>
                  <w:vAlign w:val="center"/>
                </w:tcPr>
                <w:p w14:paraId="1E84A6B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eastAsia" w:cs="Times New Roman"/>
                      <w:i w:val="0"/>
                      <w:iCs w:val="0"/>
                      <w:color w:val="000000" w:themeColor="text1"/>
                      <w:kern w:val="0"/>
                      <w:sz w:val="20"/>
                      <w:szCs w:val="20"/>
                      <w:u w:val="none"/>
                      <w:lang w:val="en-US" w:eastAsia="zh-CN" w:bidi="ar"/>
                      <w14:textFill>
                        <w14:solidFill>
                          <w14:schemeClr w14:val="tx1"/>
                        </w14:solidFill>
                      </w14:textFill>
                    </w:rPr>
                    <w:t>润滑油</w:t>
                  </w:r>
                </w:p>
              </w:tc>
              <w:tc>
                <w:tcPr>
                  <w:tcW w:w="718" w:type="pct"/>
                  <w:tcBorders>
                    <w:tl2br w:val="nil"/>
                    <w:tr2bl w:val="nil"/>
                  </w:tcBorders>
                  <w:shd w:val="clear" w:color="auto" w:fill="auto"/>
                  <w:vAlign w:val="center"/>
                </w:tcPr>
                <w:p w14:paraId="54F98FF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t/a</w:t>
                  </w:r>
                </w:p>
              </w:tc>
              <w:tc>
                <w:tcPr>
                  <w:tcW w:w="651" w:type="pct"/>
                  <w:tcBorders>
                    <w:tl2br w:val="nil"/>
                    <w:tr2bl w:val="nil"/>
                  </w:tcBorders>
                  <w:shd w:val="clear" w:color="auto" w:fill="auto"/>
                  <w:vAlign w:val="center"/>
                </w:tcPr>
                <w:p w14:paraId="698165E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eastAsia" w:cs="Times New Roman"/>
                      <w:i w:val="0"/>
                      <w:iCs w:val="0"/>
                      <w:color w:val="000000" w:themeColor="text1"/>
                      <w:kern w:val="0"/>
                      <w:sz w:val="20"/>
                      <w:szCs w:val="20"/>
                      <w:u w:val="none"/>
                      <w:lang w:val="en-US" w:eastAsia="zh-CN" w:bidi="ar"/>
                      <w14:textFill>
                        <w14:solidFill>
                          <w14:schemeClr w14:val="tx1"/>
                        </w14:solidFill>
                      </w14:textFill>
                    </w:rPr>
                    <w:t>0.05</w:t>
                  </w:r>
                </w:p>
              </w:tc>
              <w:tc>
                <w:tcPr>
                  <w:tcW w:w="935" w:type="pct"/>
                  <w:tcBorders>
                    <w:tl2br w:val="nil"/>
                    <w:tr2bl w:val="nil"/>
                  </w:tcBorders>
                  <w:shd w:val="clear" w:color="auto" w:fill="auto"/>
                  <w:vAlign w:val="center"/>
                </w:tcPr>
                <w:p w14:paraId="078E4818">
                  <w:pPr>
                    <w:keepNext w:val="0"/>
                    <w:keepLines w:val="0"/>
                    <w:suppressLineNumbers w:val="0"/>
                    <w:spacing w:before="0" w:beforeAutospacing="0" w:after="0" w:afterAutospacing="0"/>
                    <w:ind w:left="0" w:right="0"/>
                    <w:jc w:val="center"/>
                    <w:rPr>
                      <w:rFonts w:hint="default" w:ascii="Times New Roman" w:hAnsi="Times New Roman" w:cs="Times New Roman"/>
                      <w:i w:val="0"/>
                      <w:iCs w:val="0"/>
                      <w:color w:val="000000" w:themeColor="text1"/>
                      <w:kern w:val="2"/>
                      <w:sz w:val="20"/>
                      <w:szCs w:val="20"/>
                      <w:u w:val="none"/>
                      <w:lang w:val="en-US" w:eastAsia="zh-CN" w:bidi="ar-SA"/>
                      <w14:textFill>
                        <w14:solidFill>
                          <w14:schemeClr w14:val="tx1"/>
                        </w14:solidFill>
                      </w14:textFill>
                    </w:rPr>
                  </w:pPr>
                  <w:r>
                    <w:rPr>
                      <w:rFonts w:hint="eastAsia" w:cs="Times New Roman"/>
                      <w:i w:val="0"/>
                      <w:iCs w:val="0"/>
                      <w:color w:val="000000" w:themeColor="text1"/>
                      <w:kern w:val="2"/>
                      <w:sz w:val="20"/>
                      <w:szCs w:val="20"/>
                      <w:u w:val="none"/>
                      <w:lang w:val="en-US" w:eastAsia="zh-CN" w:bidi="ar-SA"/>
                      <w14:textFill>
                        <w14:solidFill>
                          <w14:schemeClr w14:val="tx1"/>
                        </w14:solidFill>
                      </w14:textFill>
                    </w:rPr>
                    <w:t>/</w:t>
                  </w:r>
                </w:p>
              </w:tc>
              <w:tc>
                <w:tcPr>
                  <w:tcW w:w="1385" w:type="pct"/>
                  <w:tcBorders>
                    <w:tl2br w:val="nil"/>
                    <w:tr2bl w:val="nil"/>
                  </w:tcBorders>
                  <w:shd w:val="clear" w:color="auto" w:fill="auto"/>
                  <w:noWrap/>
                  <w:vAlign w:val="center"/>
                </w:tcPr>
                <w:p w14:paraId="510DEF57">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塑料</w:t>
                  </w: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桶装，每桶18L（16kg）</w:t>
                  </w:r>
                </w:p>
              </w:tc>
            </w:tr>
            <w:tr w14:paraId="093F1FEB">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01" w:type="pct"/>
                  <w:tcBorders>
                    <w:tl2br w:val="nil"/>
                    <w:tr2bl w:val="nil"/>
                  </w:tcBorders>
                  <w:shd w:val="clear" w:color="auto" w:fill="auto"/>
                  <w:vAlign w:val="center"/>
                </w:tcPr>
                <w:p w14:paraId="03987E8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1</w:t>
                  </w:r>
                  <w: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9</w:t>
                  </w:r>
                </w:p>
              </w:tc>
              <w:tc>
                <w:tcPr>
                  <w:tcW w:w="907" w:type="pct"/>
                  <w:tcBorders>
                    <w:tl2br w:val="nil"/>
                    <w:tr2bl w:val="nil"/>
                  </w:tcBorders>
                  <w:shd w:val="clear" w:color="auto" w:fill="auto"/>
                  <w:vAlign w:val="center"/>
                </w:tcPr>
                <w:p w14:paraId="4495C3F4">
                  <w:pPr>
                    <w:keepNext w:val="0"/>
                    <w:keepLines w:val="0"/>
                    <w:widowControl/>
                    <w:suppressLineNumbers w:val="0"/>
                    <w:spacing w:before="0" w:beforeAutospacing="0" w:after="0" w:afterAutospacing="0"/>
                    <w:ind w:left="0" w:right="0"/>
                    <w:jc w:val="center"/>
                    <w:textAlignment w:val="center"/>
                    <w:rPr>
                      <w:rFonts w:hint="default" w:cs="Times New Roman"/>
                      <w:i w:val="0"/>
                      <w:iCs w:val="0"/>
                      <w:color w:val="000000" w:themeColor="text1"/>
                      <w:kern w:val="0"/>
                      <w:sz w:val="20"/>
                      <w:szCs w:val="20"/>
                      <w:u w:val="none"/>
                      <w:lang w:val="en-US" w:eastAsia="zh-CN" w:bidi="ar"/>
                      <w14:textFill>
                        <w14:solidFill>
                          <w14:schemeClr w14:val="tx1"/>
                        </w14:solidFill>
                      </w14:textFill>
                    </w:rPr>
                  </w:pPr>
                  <w:r>
                    <w:rPr>
                      <w:rFonts w:hint="eastAsia" w:cs="Times New Roman"/>
                      <w:i w:val="0"/>
                      <w:iCs w:val="0"/>
                      <w:color w:val="000000" w:themeColor="text1"/>
                      <w:kern w:val="0"/>
                      <w:sz w:val="20"/>
                      <w:szCs w:val="20"/>
                      <w:u w:val="none"/>
                      <w:lang w:val="en-US" w:eastAsia="zh-CN" w:bidi="ar"/>
                      <w14:textFill>
                        <w14:solidFill>
                          <w14:schemeClr w14:val="tx1"/>
                        </w14:solidFill>
                      </w14:textFill>
                    </w:rPr>
                    <w:t>氮氢混合气</w:t>
                  </w:r>
                </w:p>
              </w:tc>
              <w:tc>
                <w:tcPr>
                  <w:tcW w:w="718" w:type="pct"/>
                  <w:tcBorders>
                    <w:tl2br w:val="nil"/>
                    <w:tr2bl w:val="nil"/>
                  </w:tcBorders>
                  <w:shd w:val="clear" w:color="auto" w:fill="auto"/>
                  <w:vAlign w:val="center"/>
                </w:tcPr>
                <w:p w14:paraId="224D0AF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eastAsia" w:cs="Times New Roman"/>
                      <w:i w:val="0"/>
                      <w:iCs w:val="0"/>
                      <w:color w:val="000000" w:themeColor="text1"/>
                      <w:kern w:val="0"/>
                      <w:sz w:val="20"/>
                      <w:szCs w:val="20"/>
                      <w:u w:val="none"/>
                      <w:lang w:val="en-US" w:eastAsia="zh-CN" w:bidi="ar"/>
                      <w14:textFill>
                        <w14:solidFill>
                          <w14:schemeClr w14:val="tx1"/>
                        </w14:solidFill>
                      </w14:textFill>
                    </w:rPr>
                    <w:t>m</w:t>
                  </w:r>
                  <w:r>
                    <w:rPr>
                      <w:rFonts w:hint="eastAsia" w:cs="Times New Roman"/>
                      <w:i w:val="0"/>
                      <w:iCs w:val="0"/>
                      <w:color w:val="000000" w:themeColor="text1"/>
                      <w:kern w:val="0"/>
                      <w:sz w:val="20"/>
                      <w:szCs w:val="20"/>
                      <w:u w:val="none"/>
                      <w:vertAlign w:val="superscript"/>
                      <w:lang w:val="en-US" w:eastAsia="zh-CN" w:bidi="ar"/>
                      <w14:textFill>
                        <w14:solidFill>
                          <w14:schemeClr w14:val="tx1"/>
                        </w14:solidFill>
                      </w14:textFill>
                    </w:rPr>
                    <w:t>3</w:t>
                  </w:r>
                  <w:r>
                    <w:rPr>
                      <w:rFonts w:hint="eastAsia" w:cs="Times New Roman"/>
                      <w:i w:val="0"/>
                      <w:iCs w:val="0"/>
                      <w:color w:val="000000" w:themeColor="text1"/>
                      <w:kern w:val="0"/>
                      <w:sz w:val="20"/>
                      <w:szCs w:val="20"/>
                      <w:u w:val="none"/>
                      <w:lang w:val="en-US" w:eastAsia="zh-CN" w:bidi="ar"/>
                      <w14:textFill>
                        <w14:solidFill>
                          <w14:schemeClr w14:val="tx1"/>
                        </w14:solidFill>
                      </w14:textFill>
                    </w:rPr>
                    <w:t>/a</w:t>
                  </w:r>
                </w:p>
              </w:tc>
              <w:tc>
                <w:tcPr>
                  <w:tcW w:w="651" w:type="pct"/>
                  <w:tcBorders>
                    <w:tl2br w:val="nil"/>
                    <w:tr2bl w:val="nil"/>
                  </w:tcBorders>
                  <w:shd w:val="clear" w:color="auto" w:fill="auto"/>
                  <w:vAlign w:val="center"/>
                </w:tcPr>
                <w:p w14:paraId="296B76FA">
                  <w:pPr>
                    <w:keepNext w:val="0"/>
                    <w:keepLines w:val="0"/>
                    <w:widowControl/>
                    <w:suppressLineNumbers w:val="0"/>
                    <w:spacing w:before="0" w:beforeAutospacing="0" w:after="0" w:afterAutospacing="0"/>
                    <w:ind w:left="0" w:right="0"/>
                    <w:jc w:val="center"/>
                    <w:textAlignment w:val="center"/>
                    <w:rPr>
                      <w:rFonts w:hint="default" w:cs="Times New Roman"/>
                      <w:i w:val="0"/>
                      <w:iCs w:val="0"/>
                      <w:color w:val="000000" w:themeColor="text1"/>
                      <w:kern w:val="0"/>
                      <w:sz w:val="20"/>
                      <w:szCs w:val="20"/>
                      <w:u w:val="none"/>
                      <w:lang w:val="en-US" w:eastAsia="zh-CN" w:bidi="ar"/>
                      <w14:textFill>
                        <w14:solidFill>
                          <w14:schemeClr w14:val="tx1"/>
                        </w14:solidFill>
                      </w14:textFill>
                    </w:rPr>
                  </w:pPr>
                  <w:r>
                    <w:rPr>
                      <w:rFonts w:hint="eastAsia" w:cs="Times New Roman"/>
                      <w:i w:val="0"/>
                      <w:iCs w:val="0"/>
                      <w:color w:val="000000" w:themeColor="text1"/>
                      <w:kern w:val="0"/>
                      <w:sz w:val="20"/>
                      <w:szCs w:val="20"/>
                      <w:u w:val="none"/>
                      <w:lang w:val="en-US" w:eastAsia="zh-CN" w:bidi="ar"/>
                      <w14:textFill>
                        <w14:solidFill>
                          <w14:schemeClr w14:val="tx1"/>
                        </w14:solidFill>
                      </w14:textFill>
                    </w:rPr>
                    <w:t>5.4万</w:t>
                  </w:r>
                </w:p>
              </w:tc>
              <w:tc>
                <w:tcPr>
                  <w:tcW w:w="935" w:type="pct"/>
                  <w:tcBorders>
                    <w:tl2br w:val="nil"/>
                    <w:tr2bl w:val="nil"/>
                  </w:tcBorders>
                  <w:shd w:val="clear" w:color="auto" w:fill="auto"/>
                  <w:vAlign w:val="center"/>
                </w:tcPr>
                <w:p w14:paraId="524C5D45">
                  <w:pPr>
                    <w:keepNext w:val="0"/>
                    <w:keepLines w:val="0"/>
                    <w:suppressLineNumbers w:val="0"/>
                    <w:spacing w:before="0" w:beforeAutospacing="0" w:after="0" w:afterAutospacing="0"/>
                    <w:ind w:left="0" w:right="0"/>
                    <w:jc w:val="center"/>
                    <w:rPr>
                      <w:rFonts w:hint="eastAsia" w:cs="Times New Roman"/>
                      <w:i w:val="0"/>
                      <w:iCs w:val="0"/>
                      <w:color w:val="000000" w:themeColor="text1"/>
                      <w:kern w:val="2"/>
                      <w:sz w:val="20"/>
                      <w:szCs w:val="20"/>
                      <w:u w:val="none"/>
                      <w:lang w:val="en-US" w:eastAsia="zh-CN" w:bidi="ar-SA"/>
                      <w14:textFill>
                        <w14:solidFill>
                          <w14:schemeClr w14:val="tx1"/>
                        </w14:solidFill>
                      </w14:textFill>
                    </w:rPr>
                  </w:pPr>
                </w:p>
              </w:tc>
              <w:tc>
                <w:tcPr>
                  <w:tcW w:w="1385" w:type="pct"/>
                  <w:tcBorders>
                    <w:tl2br w:val="nil"/>
                    <w:tr2bl w:val="nil"/>
                  </w:tcBorders>
                  <w:shd w:val="clear" w:color="auto" w:fill="auto"/>
                  <w:noWrap/>
                  <w:vAlign w:val="center"/>
                </w:tcPr>
                <w:p w14:paraId="4BBD018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eastAsia" w:cs="Times New Roman"/>
                      <w:i w:val="0"/>
                      <w:iCs w:val="0"/>
                      <w:color w:val="000000" w:themeColor="text1"/>
                      <w:kern w:val="0"/>
                      <w:sz w:val="20"/>
                      <w:szCs w:val="20"/>
                      <w:u w:val="none"/>
                      <w:lang w:val="en-US" w:eastAsia="zh-CN" w:bidi="ar"/>
                      <w14:textFill>
                        <w14:solidFill>
                          <w14:schemeClr w14:val="tx1"/>
                        </w14:solidFill>
                      </w14:textFill>
                    </w:rPr>
                    <w:t>40L高压钢瓶组</w:t>
                  </w:r>
                </w:p>
              </w:tc>
            </w:tr>
            <w:tr w14:paraId="5C696D31">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jc w:val="center"/>
              </w:trPr>
              <w:tc>
                <w:tcPr>
                  <w:tcW w:w="401" w:type="pct"/>
                  <w:tcBorders>
                    <w:tl2br w:val="nil"/>
                    <w:tr2bl w:val="nil"/>
                  </w:tcBorders>
                  <w:shd w:val="clear" w:color="auto" w:fill="auto"/>
                  <w:vAlign w:val="center"/>
                </w:tcPr>
                <w:p w14:paraId="5608588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20</w:t>
                  </w:r>
                </w:p>
              </w:tc>
              <w:tc>
                <w:tcPr>
                  <w:tcW w:w="907" w:type="pct"/>
                  <w:tcBorders>
                    <w:tl2br w:val="nil"/>
                    <w:tr2bl w:val="nil"/>
                  </w:tcBorders>
                  <w:shd w:val="clear" w:color="auto" w:fill="auto"/>
                  <w:vAlign w:val="center"/>
                </w:tcPr>
                <w:p w14:paraId="085CBB4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活性炭</w:t>
                  </w:r>
                </w:p>
              </w:tc>
              <w:tc>
                <w:tcPr>
                  <w:tcW w:w="718" w:type="pct"/>
                  <w:tcBorders>
                    <w:tl2br w:val="nil"/>
                    <w:tr2bl w:val="nil"/>
                  </w:tcBorders>
                  <w:shd w:val="clear" w:color="auto" w:fill="auto"/>
                  <w:vAlign w:val="center"/>
                </w:tcPr>
                <w:p w14:paraId="1E8A35E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t/a</w:t>
                  </w:r>
                </w:p>
              </w:tc>
              <w:tc>
                <w:tcPr>
                  <w:tcW w:w="651" w:type="pct"/>
                  <w:tcBorders>
                    <w:tl2br w:val="nil"/>
                    <w:tr2bl w:val="nil"/>
                  </w:tcBorders>
                  <w:shd w:val="clear" w:color="auto" w:fill="auto"/>
                  <w:vAlign w:val="center"/>
                </w:tcPr>
                <w:p w14:paraId="7C193B4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cs="Times New Roman"/>
                      <w:i w:val="0"/>
                      <w:iCs w:val="0"/>
                      <w:color w:val="000000" w:themeColor="text1"/>
                      <w:kern w:val="2"/>
                      <w:sz w:val="20"/>
                      <w:szCs w:val="20"/>
                      <w:u w:val="none"/>
                      <w:lang w:val="en-US" w:eastAsia="zh-CN" w:bidi="ar-SA"/>
                      <w14:textFill>
                        <w14:solidFill>
                          <w14:schemeClr w14:val="tx1"/>
                        </w14:solidFill>
                      </w14:textFill>
                    </w:rPr>
                    <w:t>0.87</w:t>
                  </w:r>
                </w:p>
              </w:tc>
              <w:tc>
                <w:tcPr>
                  <w:tcW w:w="935" w:type="pct"/>
                  <w:tcBorders>
                    <w:tl2br w:val="nil"/>
                    <w:tr2bl w:val="nil"/>
                  </w:tcBorders>
                  <w:shd w:val="clear" w:color="auto" w:fill="auto"/>
                  <w:vAlign w:val="center"/>
                </w:tcPr>
                <w:p w14:paraId="7D4AF6FC">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eastAsia" w:ascii="Times New Roman" w:hAnsi="Times New Roman" w:cs="Times New Roman"/>
                      <w:i w:val="0"/>
                      <w:iCs w:val="0"/>
                      <w:color w:val="000000" w:themeColor="text1"/>
                      <w:kern w:val="2"/>
                      <w:sz w:val="20"/>
                      <w:szCs w:val="20"/>
                      <w:u w:val="none"/>
                      <w:lang w:val="en-US" w:eastAsia="zh-CN" w:bidi="ar-SA"/>
                      <w14:textFill>
                        <w14:solidFill>
                          <w14:schemeClr w14:val="tx1"/>
                        </w14:solidFill>
                      </w14:textFill>
                    </w:rPr>
                    <w:t>/</w:t>
                  </w:r>
                </w:p>
              </w:tc>
              <w:tc>
                <w:tcPr>
                  <w:tcW w:w="1385" w:type="pct"/>
                  <w:tcBorders>
                    <w:tl2br w:val="nil"/>
                    <w:tr2bl w:val="nil"/>
                  </w:tcBorders>
                  <w:shd w:val="clear" w:color="auto" w:fill="auto"/>
                  <w:noWrap/>
                  <w:vAlign w:val="center"/>
                </w:tcPr>
                <w:p w14:paraId="374B4FF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碘值大于800</w:t>
                  </w:r>
                  <w:r>
                    <w:rPr>
                      <w:rFonts w:hint="eastAsia" w:cs="Times New Roman"/>
                      <w:i w:val="0"/>
                      <w:iCs w:val="0"/>
                      <w:color w:val="000000" w:themeColor="text1"/>
                      <w:kern w:val="0"/>
                      <w:sz w:val="20"/>
                      <w:szCs w:val="20"/>
                      <w:u w:val="none"/>
                      <w:lang w:val="en-US" w:eastAsia="zh-CN" w:bidi="ar"/>
                      <w14:textFill>
                        <w14:solidFill>
                          <w14:schemeClr w14:val="tx1"/>
                        </w14:solidFill>
                      </w14:textFill>
                    </w:rPr>
                    <w:t>mg/g</w:t>
                  </w:r>
                </w:p>
              </w:tc>
            </w:tr>
            <w:tr w14:paraId="5010E4F3">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jc w:val="center"/>
              </w:trPr>
              <w:tc>
                <w:tcPr>
                  <w:tcW w:w="401" w:type="pct"/>
                  <w:tcBorders>
                    <w:tl2br w:val="nil"/>
                    <w:tr2bl w:val="nil"/>
                  </w:tcBorders>
                  <w:shd w:val="clear" w:color="auto" w:fill="auto"/>
                  <w:vAlign w:val="center"/>
                </w:tcPr>
                <w:p w14:paraId="2B6ECF6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eastAsia" w:cs="Times New Roman"/>
                      <w:i w:val="0"/>
                      <w:iCs w:val="0"/>
                      <w:color w:val="000000" w:themeColor="text1"/>
                      <w:sz w:val="20"/>
                      <w:szCs w:val="20"/>
                      <w:u w:val="none"/>
                      <w:lang w:val="en-US" w:eastAsia="zh-CN"/>
                      <w14:textFill>
                        <w14:solidFill>
                          <w14:schemeClr w14:val="tx1"/>
                        </w14:solidFill>
                      </w14:textFill>
                    </w:rPr>
                    <w:t>21</w:t>
                  </w:r>
                </w:p>
              </w:tc>
              <w:tc>
                <w:tcPr>
                  <w:tcW w:w="907" w:type="pct"/>
                  <w:tcBorders>
                    <w:tl2br w:val="nil"/>
                    <w:tr2bl w:val="nil"/>
                  </w:tcBorders>
                  <w:shd w:val="clear" w:color="auto" w:fill="auto"/>
                  <w:vAlign w:val="center"/>
                </w:tcPr>
                <w:p w14:paraId="684FFBC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过滤棉</w:t>
                  </w:r>
                </w:p>
              </w:tc>
              <w:tc>
                <w:tcPr>
                  <w:tcW w:w="718" w:type="pct"/>
                  <w:tcBorders>
                    <w:tl2br w:val="nil"/>
                    <w:tr2bl w:val="nil"/>
                  </w:tcBorders>
                  <w:shd w:val="clear" w:color="auto" w:fill="auto"/>
                  <w:vAlign w:val="center"/>
                </w:tcPr>
                <w:p w14:paraId="25E72AE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t/a</w:t>
                  </w:r>
                </w:p>
              </w:tc>
              <w:tc>
                <w:tcPr>
                  <w:tcW w:w="651" w:type="pct"/>
                  <w:tcBorders>
                    <w:tl2br w:val="nil"/>
                    <w:tr2bl w:val="nil"/>
                  </w:tcBorders>
                  <w:shd w:val="clear" w:color="auto" w:fill="auto"/>
                  <w:vAlign w:val="center"/>
                </w:tcPr>
                <w:p w14:paraId="4C1B05A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cs="Times New Roman"/>
                      <w:i w:val="0"/>
                      <w:iCs w:val="0"/>
                      <w:color w:val="000000" w:themeColor="text1"/>
                      <w:kern w:val="2"/>
                      <w:sz w:val="20"/>
                      <w:szCs w:val="20"/>
                      <w:u w:val="none"/>
                      <w:lang w:val="en-US" w:eastAsia="zh-CN" w:bidi="ar-SA"/>
                      <w14:textFill>
                        <w14:solidFill>
                          <w14:schemeClr w14:val="tx1"/>
                        </w14:solidFill>
                      </w14:textFill>
                    </w:rPr>
                    <w:t>0.5</w:t>
                  </w:r>
                </w:p>
              </w:tc>
              <w:tc>
                <w:tcPr>
                  <w:tcW w:w="935" w:type="pct"/>
                  <w:tcBorders>
                    <w:tl2br w:val="nil"/>
                    <w:tr2bl w:val="nil"/>
                  </w:tcBorders>
                  <w:shd w:val="clear" w:color="auto" w:fill="auto"/>
                  <w:vAlign w:val="center"/>
                </w:tcPr>
                <w:p w14:paraId="30E30052">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eastAsia" w:ascii="Times New Roman" w:hAnsi="Times New Roman" w:cs="Times New Roman"/>
                      <w:i w:val="0"/>
                      <w:iCs w:val="0"/>
                      <w:color w:val="000000" w:themeColor="text1"/>
                      <w:kern w:val="2"/>
                      <w:sz w:val="20"/>
                      <w:szCs w:val="20"/>
                      <w:u w:val="none"/>
                      <w:lang w:val="en-US" w:eastAsia="zh-CN" w:bidi="ar-SA"/>
                      <w14:textFill>
                        <w14:solidFill>
                          <w14:schemeClr w14:val="tx1"/>
                        </w14:solidFill>
                      </w14:textFill>
                    </w:rPr>
                    <w:t>/</w:t>
                  </w:r>
                </w:p>
              </w:tc>
              <w:tc>
                <w:tcPr>
                  <w:tcW w:w="1385" w:type="pct"/>
                  <w:tcBorders>
                    <w:tl2br w:val="nil"/>
                    <w:tr2bl w:val="nil"/>
                  </w:tcBorders>
                  <w:shd w:val="clear" w:color="auto" w:fill="auto"/>
                  <w:noWrap/>
                  <w:vAlign w:val="center"/>
                </w:tcPr>
                <w:p w14:paraId="1C2F9A4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w:t>
                  </w:r>
                </w:p>
              </w:tc>
            </w:tr>
            <w:tr w14:paraId="681C555B">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jc w:val="center"/>
              </w:trPr>
              <w:tc>
                <w:tcPr>
                  <w:tcW w:w="401" w:type="pct"/>
                  <w:tcBorders>
                    <w:tl2br w:val="nil"/>
                    <w:tr2bl w:val="nil"/>
                  </w:tcBorders>
                  <w:shd w:val="clear" w:color="auto" w:fill="auto"/>
                  <w:vAlign w:val="center"/>
                </w:tcPr>
                <w:p w14:paraId="395BACC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eastAsia" w:cs="Times New Roman"/>
                      <w:i w:val="0"/>
                      <w:iCs w:val="0"/>
                      <w:color w:val="000000" w:themeColor="text1"/>
                      <w:sz w:val="20"/>
                      <w:szCs w:val="20"/>
                      <w:u w:val="none"/>
                      <w:lang w:val="en-US" w:eastAsia="zh-CN"/>
                      <w14:textFill>
                        <w14:solidFill>
                          <w14:schemeClr w14:val="tx1"/>
                        </w14:solidFill>
                      </w14:textFill>
                    </w:rPr>
                    <w:t>22</w:t>
                  </w:r>
                </w:p>
              </w:tc>
              <w:tc>
                <w:tcPr>
                  <w:tcW w:w="907" w:type="pct"/>
                  <w:tcBorders>
                    <w:tl2br w:val="nil"/>
                    <w:tr2bl w:val="nil"/>
                  </w:tcBorders>
                  <w:shd w:val="clear" w:color="auto" w:fill="auto"/>
                  <w:vAlign w:val="center"/>
                </w:tcPr>
                <w:p w14:paraId="465D4EED">
                  <w:pPr>
                    <w:keepNext w:val="0"/>
                    <w:keepLines w:val="0"/>
                    <w:widowControl/>
                    <w:suppressLineNumbers w:val="0"/>
                    <w:spacing w:before="0" w:beforeAutospacing="0" w:after="0" w:afterAutospacing="0"/>
                    <w:ind w:left="0" w:right="0" w:firstLine="200" w:firstLineChars="10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电</w:t>
                  </w:r>
                </w:p>
              </w:tc>
              <w:tc>
                <w:tcPr>
                  <w:tcW w:w="718" w:type="pct"/>
                  <w:tcBorders>
                    <w:tl2br w:val="nil"/>
                    <w:tr2bl w:val="nil"/>
                  </w:tcBorders>
                  <w:shd w:val="clear" w:color="auto" w:fill="auto"/>
                  <w:vAlign w:val="center"/>
                </w:tcPr>
                <w:p w14:paraId="23C738E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万kWh/a</w:t>
                  </w:r>
                </w:p>
              </w:tc>
              <w:tc>
                <w:tcPr>
                  <w:tcW w:w="651" w:type="pct"/>
                  <w:tcBorders>
                    <w:tl2br w:val="nil"/>
                    <w:tr2bl w:val="nil"/>
                  </w:tcBorders>
                  <w:shd w:val="clear" w:color="auto" w:fill="auto"/>
                  <w:vAlign w:val="center"/>
                </w:tcPr>
                <w:p w14:paraId="6BBD040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eastAsia" w:ascii="Times New Roman" w:hAnsi="Times New Roman" w:cs="Times New Roman"/>
                      <w:i w:val="0"/>
                      <w:iCs w:val="0"/>
                      <w:color w:val="000000" w:themeColor="text1"/>
                      <w:kern w:val="2"/>
                      <w:sz w:val="20"/>
                      <w:szCs w:val="20"/>
                      <w:u w:val="none"/>
                      <w:lang w:val="en-US" w:eastAsia="zh-CN" w:bidi="ar-SA"/>
                      <w14:textFill>
                        <w14:solidFill>
                          <w14:schemeClr w14:val="tx1"/>
                        </w14:solidFill>
                      </w14:textFill>
                    </w:rPr>
                    <w:t>69</w:t>
                  </w:r>
                </w:p>
              </w:tc>
              <w:tc>
                <w:tcPr>
                  <w:tcW w:w="935" w:type="pct"/>
                  <w:tcBorders>
                    <w:tl2br w:val="nil"/>
                    <w:tr2bl w:val="nil"/>
                  </w:tcBorders>
                  <w:shd w:val="clear" w:color="auto" w:fill="auto"/>
                  <w:vAlign w:val="center"/>
                </w:tcPr>
                <w:p w14:paraId="509EE754">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eastAsia" w:ascii="Times New Roman" w:hAnsi="Times New Roman" w:cs="Times New Roman"/>
                      <w:i w:val="0"/>
                      <w:iCs w:val="0"/>
                      <w:color w:val="000000" w:themeColor="text1"/>
                      <w:kern w:val="2"/>
                      <w:sz w:val="20"/>
                      <w:szCs w:val="20"/>
                      <w:u w:val="none"/>
                      <w:lang w:val="en-US" w:eastAsia="zh-CN" w:bidi="ar-SA"/>
                      <w14:textFill>
                        <w14:solidFill>
                          <w14:schemeClr w14:val="tx1"/>
                        </w14:solidFill>
                      </w14:textFill>
                    </w:rPr>
                    <w:t>/</w:t>
                  </w:r>
                </w:p>
              </w:tc>
              <w:tc>
                <w:tcPr>
                  <w:tcW w:w="1385" w:type="pct"/>
                  <w:tcBorders>
                    <w:tl2br w:val="nil"/>
                    <w:tr2bl w:val="nil"/>
                  </w:tcBorders>
                  <w:shd w:val="clear" w:color="auto" w:fill="auto"/>
                  <w:noWrap/>
                  <w:vAlign w:val="center"/>
                </w:tcPr>
                <w:p w14:paraId="6AED593C">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themeColor="text1"/>
                      <w:kern w:val="2"/>
                      <w:sz w:val="22"/>
                      <w:szCs w:val="22"/>
                      <w:u w:val="none"/>
                      <w:lang w:val="en-US" w:eastAsia="zh-CN" w:bidi="ar-SA"/>
                      <w14:textFill>
                        <w14:solidFill>
                          <w14:schemeClr w14:val="tx1"/>
                        </w14:solidFill>
                      </w14:textFill>
                    </w:rPr>
                  </w:pPr>
                  <w:r>
                    <w:rPr>
                      <w:rFonts w:hint="eastAsia" w:ascii="Times New Roman" w:hAnsi="Times New Roman" w:cs="Times New Roman"/>
                      <w:i w:val="0"/>
                      <w:iCs w:val="0"/>
                      <w:color w:val="000000" w:themeColor="text1"/>
                      <w:kern w:val="2"/>
                      <w:sz w:val="22"/>
                      <w:szCs w:val="22"/>
                      <w:u w:val="none"/>
                      <w:lang w:val="en-US" w:eastAsia="zh-CN" w:bidi="ar-SA"/>
                      <w14:textFill>
                        <w14:solidFill>
                          <w14:schemeClr w14:val="tx1"/>
                        </w14:solidFill>
                      </w14:textFill>
                    </w:rPr>
                    <w:t>/</w:t>
                  </w:r>
                </w:p>
              </w:tc>
            </w:tr>
            <w:tr w14:paraId="050FBC74">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jc w:val="center"/>
              </w:trPr>
              <w:tc>
                <w:tcPr>
                  <w:tcW w:w="401" w:type="pct"/>
                  <w:tcBorders>
                    <w:tl2br w:val="nil"/>
                    <w:tr2bl w:val="nil"/>
                  </w:tcBorders>
                  <w:shd w:val="clear" w:color="auto" w:fill="auto"/>
                  <w:vAlign w:val="center"/>
                </w:tcPr>
                <w:p w14:paraId="77D62F3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sz w:val="20"/>
                      <w:szCs w:val="20"/>
                      <w:u w:val="none"/>
                      <w:lang w:val="en-US" w:eastAsia="zh-CN"/>
                      <w14:textFill>
                        <w14:solidFill>
                          <w14:schemeClr w14:val="tx1"/>
                        </w14:solidFill>
                      </w14:textFill>
                    </w:rPr>
                  </w:pPr>
                  <w:r>
                    <w:rPr>
                      <w:rFonts w:hint="eastAsia" w:cs="Times New Roman"/>
                      <w:i w:val="0"/>
                      <w:iCs w:val="0"/>
                      <w:color w:val="000000" w:themeColor="text1"/>
                      <w:sz w:val="20"/>
                      <w:szCs w:val="20"/>
                      <w:u w:val="none"/>
                      <w:lang w:val="en-US" w:eastAsia="zh-CN"/>
                      <w14:textFill>
                        <w14:solidFill>
                          <w14:schemeClr w14:val="tx1"/>
                        </w14:solidFill>
                      </w14:textFill>
                    </w:rPr>
                    <w:t>23</w:t>
                  </w:r>
                </w:p>
              </w:tc>
              <w:tc>
                <w:tcPr>
                  <w:tcW w:w="907" w:type="pct"/>
                  <w:tcBorders>
                    <w:tl2br w:val="nil"/>
                    <w:tr2bl w:val="nil"/>
                  </w:tcBorders>
                  <w:shd w:val="clear" w:color="auto" w:fill="auto"/>
                  <w:vAlign w:val="center"/>
                </w:tcPr>
                <w:p w14:paraId="10AFA964">
                  <w:pPr>
                    <w:keepNext w:val="0"/>
                    <w:keepLines w:val="0"/>
                    <w:widowControl/>
                    <w:suppressLineNumbers w:val="0"/>
                    <w:spacing w:before="0" w:beforeAutospacing="0" w:after="0" w:afterAutospacing="0"/>
                    <w:ind w:left="0" w:right="0" w:firstLine="200" w:firstLineChars="100"/>
                    <w:jc w:val="center"/>
                    <w:textAlignment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水</w:t>
                  </w:r>
                </w:p>
              </w:tc>
              <w:tc>
                <w:tcPr>
                  <w:tcW w:w="718" w:type="pct"/>
                  <w:tcBorders>
                    <w:tl2br w:val="nil"/>
                    <w:tr2bl w:val="nil"/>
                  </w:tcBorders>
                  <w:shd w:val="clear" w:color="auto" w:fill="auto"/>
                  <w:vAlign w:val="center"/>
                </w:tcPr>
                <w:p w14:paraId="41A7CC0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m</w:t>
                  </w:r>
                  <w:r>
                    <w:rPr>
                      <w:rFonts w:hint="default" w:ascii="Times New Roman" w:hAnsi="Times New Roman" w:eastAsia="宋体" w:cs="Times New Roman"/>
                      <w:i w:val="0"/>
                      <w:iCs w:val="0"/>
                      <w:color w:val="000000" w:themeColor="text1"/>
                      <w:kern w:val="0"/>
                      <w:sz w:val="24"/>
                      <w:szCs w:val="24"/>
                      <w:u w:val="none"/>
                      <w:vertAlign w:val="superscript"/>
                      <w:lang w:val="en-US" w:eastAsia="zh-CN" w:bidi="ar"/>
                      <w14:textFill>
                        <w14:solidFill>
                          <w14:schemeClr w14:val="tx1"/>
                        </w14:solidFill>
                      </w14:textFill>
                    </w:rPr>
                    <w:t>3</w:t>
                  </w: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/a</w:t>
                  </w:r>
                </w:p>
              </w:tc>
              <w:tc>
                <w:tcPr>
                  <w:tcW w:w="651" w:type="pct"/>
                  <w:tcBorders>
                    <w:tl2br w:val="nil"/>
                    <w:tr2bl w:val="nil"/>
                  </w:tcBorders>
                  <w:shd w:val="clear" w:color="auto" w:fill="auto"/>
                  <w:vAlign w:val="center"/>
                </w:tcPr>
                <w:p w14:paraId="2B14851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eastAsia" w:cs="Times New Roman"/>
                      <w:i w:val="0"/>
                      <w:iCs w:val="0"/>
                      <w:color w:val="000000" w:themeColor="text1"/>
                      <w:sz w:val="20"/>
                      <w:szCs w:val="20"/>
                      <w:u w:val="none"/>
                      <w:lang w:val="en-US" w:eastAsia="zh-CN"/>
                      <w14:textFill>
                        <w14:solidFill>
                          <w14:schemeClr w14:val="tx1"/>
                        </w14:solidFill>
                      </w14:textFill>
                    </w:rPr>
                    <w:t>1400.74</w:t>
                  </w:r>
                </w:p>
              </w:tc>
              <w:tc>
                <w:tcPr>
                  <w:tcW w:w="935" w:type="pct"/>
                  <w:tcBorders>
                    <w:tl2br w:val="nil"/>
                    <w:tr2bl w:val="nil"/>
                  </w:tcBorders>
                  <w:shd w:val="clear" w:color="auto" w:fill="auto"/>
                  <w:vAlign w:val="center"/>
                </w:tcPr>
                <w:p w14:paraId="16BB54D0">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themeColor="text1"/>
                      <w:kern w:val="2"/>
                      <w:sz w:val="20"/>
                      <w:szCs w:val="20"/>
                      <w:u w:val="none"/>
                      <w:lang w:val="en-US" w:eastAsia="zh-CN" w:bidi="ar-SA"/>
                      <w14:textFill>
                        <w14:solidFill>
                          <w14:schemeClr w14:val="tx1"/>
                        </w14:solidFill>
                      </w14:textFill>
                    </w:rPr>
                  </w:pPr>
                  <w:r>
                    <w:rPr>
                      <w:rFonts w:hint="eastAsia" w:ascii="Times New Roman" w:hAnsi="Times New Roman" w:cs="Times New Roman"/>
                      <w:i w:val="0"/>
                      <w:iCs w:val="0"/>
                      <w:color w:val="000000" w:themeColor="text1"/>
                      <w:kern w:val="2"/>
                      <w:sz w:val="20"/>
                      <w:szCs w:val="20"/>
                      <w:u w:val="none"/>
                      <w:lang w:val="en-US" w:eastAsia="zh-CN" w:bidi="ar-SA"/>
                      <w14:textFill>
                        <w14:solidFill>
                          <w14:schemeClr w14:val="tx1"/>
                        </w14:solidFill>
                      </w14:textFill>
                    </w:rPr>
                    <w:t>/</w:t>
                  </w:r>
                </w:p>
              </w:tc>
              <w:tc>
                <w:tcPr>
                  <w:tcW w:w="1385" w:type="pct"/>
                  <w:tcBorders>
                    <w:tl2br w:val="nil"/>
                    <w:tr2bl w:val="nil"/>
                  </w:tcBorders>
                  <w:shd w:val="clear" w:color="auto" w:fill="auto"/>
                  <w:noWrap/>
                  <w:vAlign w:val="center"/>
                </w:tcPr>
                <w:p w14:paraId="211F5644">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themeColor="text1"/>
                      <w:kern w:val="2"/>
                      <w:sz w:val="22"/>
                      <w:szCs w:val="22"/>
                      <w:u w:val="none"/>
                      <w:lang w:val="en-US" w:eastAsia="zh-CN" w:bidi="ar-SA"/>
                      <w14:textFill>
                        <w14:solidFill>
                          <w14:schemeClr w14:val="tx1"/>
                        </w14:solidFill>
                      </w14:textFill>
                    </w:rPr>
                  </w:pPr>
                  <w:r>
                    <w:rPr>
                      <w:rFonts w:hint="eastAsia" w:ascii="Times New Roman" w:hAnsi="Times New Roman" w:cs="Times New Roman"/>
                      <w:i w:val="0"/>
                      <w:iCs w:val="0"/>
                      <w:color w:val="000000" w:themeColor="text1"/>
                      <w:kern w:val="2"/>
                      <w:sz w:val="22"/>
                      <w:szCs w:val="22"/>
                      <w:u w:val="none"/>
                      <w:lang w:val="en-US" w:eastAsia="zh-CN" w:bidi="ar-SA"/>
                      <w14:textFill>
                        <w14:solidFill>
                          <w14:schemeClr w14:val="tx1"/>
                        </w14:solidFill>
                      </w14:textFill>
                    </w:rPr>
                    <w:t>/</w:t>
                  </w:r>
                </w:p>
              </w:tc>
            </w:tr>
          </w:tbl>
          <w:p w14:paraId="6AA0B4AC">
            <w:pPr>
              <w:spacing w:line="440" w:lineRule="exact"/>
              <w:rPr>
                <w:rFonts w:hint="default" w:ascii="Times New Roman" w:hAnsi="Times New Roman" w:cs="Times New Roman"/>
                <w:b/>
                <w:color w:val="000000" w:themeColor="text1"/>
                <w:sz w:val="24"/>
                <w14:textFill>
                  <w14:solidFill>
                    <w14:schemeClr w14:val="tx1"/>
                  </w14:solidFill>
                </w14:textFill>
              </w:rPr>
            </w:pPr>
            <w:r>
              <w:rPr>
                <w:rFonts w:hint="default" w:ascii="Times New Roman" w:hAnsi="Times New Roman" w:cs="Times New Roman"/>
                <w:b/>
                <w:color w:val="000000" w:themeColor="text1"/>
                <w:sz w:val="24"/>
                <w14:textFill>
                  <w14:solidFill>
                    <w14:schemeClr w14:val="tx1"/>
                  </w14:solidFill>
                </w14:textFill>
              </w:rPr>
              <w:t>原辅材料理化性质：</w:t>
            </w:r>
          </w:p>
          <w:p w14:paraId="1920EC2F">
            <w:pPr>
              <w:keepNext w:val="0"/>
              <w:keepLines w:val="0"/>
              <w:widowControl/>
              <w:suppressLineNumbers w:val="0"/>
              <w:ind w:firstLine="422" w:firstLineChars="20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宋体" w:cs="Times New Roman"/>
                <w:b/>
                <w:i w:val="0"/>
                <w:iCs w:val="0"/>
                <w:color w:val="000000" w:themeColor="text1"/>
                <w:kern w:val="2"/>
                <w:sz w:val="21"/>
                <w:szCs w:val="24"/>
                <w:u w:val="none"/>
                <w:lang w:val="en-US" w:eastAsia="zh-CN" w:bidi="ar"/>
                <w14:textFill>
                  <w14:solidFill>
                    <w14:schemeClr w14:val="tx1"/>
                  </w14:solidFill>
                </w14:textFill>
              </w:rPr>
              <w:t>氧化铝</w:t>
            </w:r>
            <w:r>
              <w:rPr>
                <w:rFonts w:hint="default" w:ascii="Times New Roman" w:hAnsi="Times New Roman" w:cs="Times New Roman"/>
                <w:b/>
                <w:i w:val="0"/>
                <w:iCs w:val="0"/>
                <w:color w:val="000000" w:themeColor="text1"/>
                <w:kern w:val="2"/>
                <w:sz w:val="21"/>
                <w:szCs w:val="24"/>
                <w:u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分子式Al</w:t>
            </w:r>
            <w:r>
              <w:rPr>
                <w:rFonts w:hint="default" w:ascii="Times New Roman" w:hAnsi="Times New Roman" w:eastAsia="宋体" w:cs="Times New Roman"/>
                <w:color w:val="000000" w:themeColor="text1"/>
                <w:kern w:val="0"/>
                <w:sz w:val="11"/>
                <w:szCs w:val="11"/>
                <w:lang w:val="en-US" w:eastAsia="zh-CN" w:bidi="ar"/>
                <w14:textFill>
                  <w14:solidFill>
                    <w14:schemeClr w14:val="tx1"/>
                  </w14:solidFill>
                </w14:textFill>
              </w:rPr>
              <w:t>2</w:t>
            </w: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O</w:t>
            </w:r>
            <w:r>
              <w:rPr>
                <w:rFonts w:hint="default" w:ascii="Times New Roman" w:hAnsi="Times New Roman" w:eastAsia="宋体" w:cs="Times New Roman"/>
                <w:color w:val="000000" w:themeColor="text1"/>
                <w:kern w:val="0"/>
                <w:sz w:val="11"/>
                <w:szCs w:val="11"/>
                <w:lang w:val="en-US" w:eastAsia="zh-CN" w:bidi="ar"/>
                <w14:textFill>
                  <w14:solidFill>
                    <w14:schemeClr w14:val="tx1"/>
                  </w14:solidFill>
                </w14:textFill>
              </w:rPr>
              <w:t>3</w:t>
            </w: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 xml:space="preserve">，分子量：101.961；白色粉末；密度（g/mL,25/4℃）：3.5-3.9； </w:t>
            </w:r>
          </w:p>
          <w:p w14:paraId="57153AC1">
            <w:pPr>
              <w:keepNext w:val="0"/>
              <w:keepLines w:val="0"/>
              <w:widowControl/>
              <w:suppressLineNumbers w:val="0"/>
              <w:jc w:val="left"/>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沸点（ºC,5.2kPa）：2980；不溶于水、醇、和醚，微溶于碱和酸。 不然，在皮肤上面可能引起发炎。</w:t>
            </w:r>
          </w:p>
          <w:p w14:paraId="6739EB4F">
            <w:pPr>
              <w:keepNext w:val="0"/>
              <w:keepLines w:val="0"/>
              <w:suppressLineNumbers w:val="0"/>
              <w:spacing w:before="0" w:beforeAutospacing="0" w:after="0" w:afterAutospacing="0" w:line="240" w:lineRule="auto"/>
              <w:ind w:left="0" w:right="0" w:firstLine="422" w:firstLineChars="200"/>
              <w:jc w:val="both"/>
              <w:rPr>
                <w:rFonts w:hint="default" w:ascii="Times New Roman" w:hAnsi="Times New Roman" w:cs="Times New Roman"/>
                <w:color w:val="000000" w:themeColor="text1"/>
                <w:lang w:eastAsia="zh-CN"/>
                <w14:textFill>
                  <w14:solidFill>
                    <w14:schemeClr w14:val="tx1"/>
                  </w14:solidFill>
                </w14:textFill>
              </w:rPr>
            </w:pPr>
            <w:r>
              <w:rPr>
                <w:rFonts w:hint="default" w:ascii="Times New Roman" w:hAnsi="Times New Roman" w:cs="Times New Roman"/>
                <w:b/>
                <w:color w:val="000000" w:themeColor="text1"/>
                <w:lang w:eastAsia="zh-CN"/>
                <w14:textFill>
                  <w14:solidFill>
                    <w14:schemeClr w14:val="tx1"/>
                  </w14:solidFill>
                </w14:textFill>
              </w:rPr>
              <w:t>氧化锌：</w:t>
            </w:r>
            <w:r>
              <w:rPr>
                <w:rFonts w:hint="default" w:ascii="Times New Roman" w:hAnsi="Times New Roman" w:cs="Times New Roman"/>
                <w:color w:val="000000" w:themeColor="text1"/>
                <w:lang w:eastAsia="zh-CN"/>
                <w14:textFill>
                  <w14:solidFill>
                    <w14:schemeClr w14:val="tx1"/>
                  </w14:solidFill>
                </w14:textFill>
              </w:rPr>
              <w:t>别名锌白粉，是锌的一种氧化物，化学式ZnO，相对分子质量为81.38，熔点1975℃，沸点2360℃。氧化锌外观为白色粉末或六角晶系结晶体，无嗅无味，无砂性，受热变为黄色，冷却后重又变为白色，加热至1800℃时升华。氧化锌难溶于水，可溶于酸和强碱，高温下不分解。</w:t>
            </w:r>
          </w:p>
          <w:p w14:paraId="221E2F66">
            <w:pPr>
              <w:keepNext w:val="0"/>
              <w:keepLines w:val="0"/>
              <w:suppressLineNumbers w:val="0"/>
              <w:spacing w:before="0" w:beforeAutospacing="0" w:after="0" w:afterAutospacing="0" w:line="240" w:lineRule="auto"/>
              <w:ind w:left="0" w:right="0" w:firstLine="420" w:firstLineChars="200"/>
              <w:jc w:val="both"/>
              <w:rPr>
                <w:rFonts w:hint="default" w:ascii="Times New Roman" w:hAnsi="Times New Roman" w:cs="Times New Roman"/>
                <w:b/>
                <w:color w:val="000000" w:themeColor="text1"/>
                <w:lang w:eastAsia="zh-CN"/>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氧化锌是一种常用的化学添加剂，广泛地应用于塑料、硅酸盐制品、合成橡胶、润滑油、油漆涂料、药膏、粘合剂、食品、电池、阻燃剂等产品的制作中。氧化锌的能带隙和激子束缚能较大，透明度高，有优异的常温发光性能，在半导体领域的液晶显示器、薄膜晶体管、发光二极管等产品中均有应用。此外，微颗粒的氧化锌作为一种纳米材料也开始在相关领域发挥作用。</w:t>
            </w:r>
          </w:p>
          <w:p w14:paraId="279F2A0E">
            <w:pPr>
              <w:keepNext w:val="0"/>
              <w:keepLines w:val="0"/>
              <w:suppressLineNumbers w:val="0"/>
              <w:spacing w:before="0" w:beforeAutospacing="0" w:after="0" w:afterAutospacing="0" w:line="240" w:lineRule="auto"/>
              <w:ind w:left="0" w:right="0" w:firstLine="422" w:firstLineChars="200"/>
              <w:jc w:val="both"/>
              <w:rPr>
                <w:rFonts w:hint="default" w:ascii="Times New Roman" w:hAnsi="Times New Roman" w:cs="Times New Roman"/>
                <w:color w:val="000000" w:themeColor="text1"/>
                <w:lang w:eastAsia="zh-CN"/>
                <w14:textFill>
                  <w14:solidFill>
                    <w14:schemeClr w14:val="tx1"/>
                  </w14:solidFill>
                </w14:textFill>
              </w:rPr>
            </w:pPr>
            <w:r>
              <w:rPr>
                <w:rFonts w:hint="default" w:ascii="Times New Roman" w:hAnsi="Times New Roman" w:cs="Times New Roman"/>
                <w:b/>
                <w:color w:val="000000" w:themeColor="text1"/>
                <w:lang w:eastAsia="zh-CN"/>
                <w14:textFill>
                  <w14:solidFill>
                    <w14:schemeClr w14:val="tx1"/>
                  </w14:solidFill>
                </w14:textFill>
              </w:rPr>
              <w:t>氧化钴：</w:t>
            </w:r>
            <w:r>
              <w:rPr>
                <w:rFonts w:hint="default" w:ascii="Times New Roman" w:hAnsi="Times New Roman" w:cs="Times New Roman"/>
                <w:color w:val="000000" w:themeColor="text1"/>
                <w:lang w:eastAsia="zh-CN"/>
                <w14:textFill>
                  <w14:solidFill>
                    <w14:schemeClr w14:val="tx1"/>
                  </w14:solidFill>
                </w14:textFill>
              </w:rPr>
              <w:t>氧化钴又称三氧化二钴，化学式Co</w:t>
            </w:r>
            <w:r>
              <w:rPr>
                <w:rFonts w:hint="default" w:ascii="Times New Roman" w:hAnsi="Times New Roman" w:cs="Times New Roman"/>
                <w:color w:val="000000" w:themeColor="text1"/>
                <w:vertAlign w:val="subscript"/>
                <w:lang w:eastAsia="zh-CN"/>
                <w14:textFill>
                  <w14:solidFill>
                    <w14:schemeClr w14:val="tx1"/>
                  </w14:solidFill>
                </w14:textFill>
              </w:rPr>
              <w:t>2</w:t>
            </w:r>
            <w:r>
              <w:rPr>
                <w:rFonts w:hint="default" w:ascii="Times New Roman" w:hAnsi="Times New Roman" w:cs="Times New Roman"/>
                <w:color w:val="000000" w:themeColor="text1"/>
                <w:lang w:eastAsia="zh-CN"/>
                <w14:textFill>
                  <w14:solidFill>
                    <w14:schemeClr w14:val="tx1"/>
                  </w14:solidFill>
                </w14:textFill>
              </w:rPr>
              <w:t>O</w:t>
            </w:r>
            <w:r>
              <w:rPr>
                <w:rFonts w:hint="default" w:ascii="Times New Roman" w:hAnsi="Times New Roman" w:cs="Times New Roman"/>
                <w:color w:val="000000" w:themeColor="text1"/>
                <w:vertAlign w:val="subscript"/>
                <w:lang w:eastAsia="zh-CN"/>
                <w14:textFill>
                  <w14:solidFill>
                    <w14:schemeClr w14:val="tx1"/>
                  </w14:solidFill>
                </w14:textFill>
              </w:rPr>
              <w:t>3</w:t>
            </w:r>
            <w:r>
              <w:rPr>
                <w:rFonts w:hint="default" w:ascii="Times New Roman" w:hAnsi="Times New Roman" w:cs="Times New Roman"/>
                <w:color w:val="000000" w:themeColor="text1"/>
                <w:lang w:eastAsia="zh-CN"/>
                <w14:textFill>
                  <w14:solidFill>
                    <w14:schemeClr w14:val="tx1"/>
                  </w14:solidFill>
                </w14:textFill>
              </w:rPr>
              <w:t>，相对分子质量为166，外观一般为灰色粉末或黑灰色粉末，熔点1935℃，加热时会生成四氧化三钴（Co</w:t>
            </w:r>
            <w:r>
              <w:rPr>
                <w:rFonts w:hint="default" w:ascii="Times New Roman" w:hAnsi="Times New Roman" w:cs="Times New Roman"/>
                <w:color w:val="000000" w:themeColor="text1"/>
                <w:vertAlign w:val="subscript"/>
                <w:lang w:eastAsia="zh-CN"/>
                <w14:textFill>
                  <w14:solidFill>
                    <w14:schemeClr w14:val="tx1"/>
                  </w14:solidFill>
                </w14:textFill>
              </w:rPr>
              <w:t>3</w:t>
            </w:r>
            <w:r>
              <w:rPr>
                <w:rFonts w:hint="default" w:ascii="Times New Roman" w:hAnsi="Times New Roman" w:cs="Times New Roman"/>
                <w:color w:val="000000" w:themeColor="text1"/>
                <w:lang w:eastAsia="zh-CN"/>
                <w14:textFill>
                  <w14:solidFill>
                    <w14:schemeClr w14:val="tx1"/>
                  </w14:solidFill>
                </w14:textFill>
              </w:rPr>
              <w:t>O</w:t>
            </w:r>
            <w:r>
              <w:rPr>
                <w:rFonts w:hint="default" w:ascii="Times New Roman" w:hAnsi="Times New Roman" w:cs="Times New Roman"/>
                <w:color w:val="000000" w:themeColor="text1"/>
                <w:vertAlign w:val="subscript"/>
                <w:lang w:eastAsia="zh-CN"/>
                <w14:textFill>
                  <w14:solidFill>
                    <w14:schemeClr w14:val="tx1"/>
                  </w14:solidFill>
                </w14:textFill>
              </w:rPr>
              <w:t>4</w:t>
            </w:r>
            <w:r>
              <w:rPr>
                <w:rFonts w:hint="default" w:ascii="Times New Roman" w:hAnsi="Times New Roman" w:cs="Times New Roman"/>
                <w:color w:val="000000" w:themeColor="text1"/>
                <w:lang w:eastAsia="zh-CN"/>
                <w14:textFill>
                  <w14:solidFill>
                    <w14:schemeClr w14:val="tx1"/>
                  </w14:solidFill>
                </w14:textFill>
              </w:rPr>
              <w:t>），高温加热不分解。氧化钴不溶于水、醇、氨水，可溶于酸、热浓氢氧化钠。食入氧化钴可能引起咽粘膜刺激症状，继而出现胃肠道刺激症状，可有呕吐和腹绞痛，体温升高，小腿无力等。非职业接触引起红细胞增多症、心肌病和甲状腺肿大，可引起皮炎。</w:t>
            </w:r>
          </w:p>
          <w:p w14:paraId="6F9B8581">
            <w:pPr>
              <w:keepNext w:val="0"/>
              <w:keepLines w:val="0"/>
              <w:suppressLineNumbers w:val="0"/>
              <w:spacing w:before="0" w:beforeAutospacing="0" w:after="0" w:afterAutospacing="0" w:line="240" w:lineRule="auto"/>
              <w:ind w:left="0" w:right="0" w:firstLine="420" w:firstLineChars="200"/>
              <w:jc w:val="both"/>
              <w:rPr>
                <w:rFonts w:hint="default" w:ascii="Times New Roman" w:hAnsi="Times New Roman"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氧化钴是一种重要的过渡金属氧化物，通常作为生产硬质合金、超耐热合金、绝缘材料和磁性材料的主要原料以及化学工业中的催化剂和染料，应用于压敏电阻、热敏电阻、氧化锌避雷器、显像管玻壳、锂离子电池等行业。用于制油漆颜料、陶瓷釉料和钴催化剂等。在制造各种油漆时加入氧化钴，生产的油漆性能有所提高，特别是在油漆中起着催干剂的作用，即在油漆使用中易于快速晾干，以提高应用速率；搪瓷材料中加入氧化钴后，可耐腐蚀和提高耐磨度。在各种建材和日用陶瓷中，用氧化钴制成蓝色的颜料或釉料涂于陶瓷制品，经焙烧后呈现了鲜艳的陶瓷品，更具有艺术性。</w:t>
            </w:r>
          </w:p>
          <w:p w14:paraId="42A249C3">
            <w:pPr>
              <w:keepNext w:val="0"/>
              <w:keepLines w:val="0"/>
              <w:suppressLineNumbers w:val="0"/>
              <w:spacing w:before="0" w:beforeAutospacing="0" w:after="0" w:afterAutospacing="0" w:line="240" w:lineRule="auto"/>
              <w:ind w:left="0" w:right="0" w:firstLine="422" w:firstLineChars="200"/>
              <w:jc w:val="both"/>
              <w:rPr>
                <w:rFonts w:hint="default" w:ascii="Times New Roman" w:hAnsi="Times New Roman" w:cs="Times New Roman"/>
                <w:color w:val="000000" w:themeColor="text1"/>
                <w:lang w:eastAsia="zh-CN"/>
                <w14:textFill>
                  <w14:solidFill>
                    <w14:schemeClr w14:val="tx1"/>
                  </w14:solidFill>
                </w14:textFill>
              </w:rPr>
            </w:pPr>
            <w:r>
              <w:rPr>
                <w:rFonts w:hint="default" w:ascii="Times New Roman" w:hAnsi="Times New Roman" w:cs="Times New Roman"/>
                <w:b/>
                <w:bCs/>
                <w:color w:val="000000" w:themeColor="text1"/>
                <w:lang w:eastAsia="zh-CN"/>
                <w14:textFill>
                  <w14:solidFill>
                    <w14:schemeClr w14:val="tx1"/>
                  </w14:solidFill>
                </w14:textFill>
              </w:rPr>
              <w:t>银浆：</w:t>
            </w:r>
            <w:r>
              <w:rPr>
                <w:rFonts w:hint="default" w:ascii="Times New Roman" w:hAnsi="Times New Roman" w:cs="Times New Roman"/>
                <w:color w:val="000000" w:themeColor="text1"/>
                <w:lang w:eastAsia="zh-CN"/>
                <w14:textFill>
                  <w14:solidFill>
                    <w14:schemeClr w14:val="tx1"/>
                  </w14:solidFill>
                </w14:textFill>
              </w:rPr>
              <w:t>银浆系由高纯度的（99.9%）金属银的微粒、粘合剂、溶剂、助剂所组成的一种机械混和物的粘稠状的浆料，</w:t>
            </w:r>
            <w:r>
              <w:rPr>
                <w:rFonts w:hint="default" w:ascii="Times New Roman" w:hAnsi="Times New Roman" w:cs="Times New Roman"/>
                <w:color w:val="000000" w:themeColor="text1"/>
                <w:u w:val="none"/>
                <w:lang w:eastAsia="zh-CN"/>
                <w14:textFill>
                  <w14:solidFill>
                    <w14:schemeClr w14:val="tx1"/>
                  </w14:solidFill>
                </w14:textFill>
              </w:rPr>
              <w:t>其中</w:t>
            </w:r>
            <w:r>
              <w:rPr>
                <w:rFonts w:hint="default" w:ascii="Times New Roman" w:hAnsi="Times New Roman" w:cs="Times New Roman"/>
                <w:color w:val="000000" w:themeColor="text1"/>
                <w:kern w:val="2"/>
                <w:sz w:val="21"/>
                <w:szCs w:val="24"/>
                <w:u w:val="none"/>
                <w:lang w:val="en-US" w:eastAsia="zh-CN" w:bidi="ar"/>
                <w14:textFill>
                  <w14:solidFill>
                    <w14:schemeClr w14:val="tx1"/>
                  </w14:solidFill>
                </w14:textFill>
              </w:rPr>
              <w:t>银浆中含有少量的松油醇、丁基卡必醇。</w:t>
            </w:r>
            <w:r>
              <w:rPr>
                <w:rFonts w:hint="default" w:ascii="Times New Roman" w:hAnsi="Times New Roman" w:cs="Times New Roman"/>
                <w:color w:val="000000" w:themeColor="text1"/>
                <w:lang w:eastAsia="zh-CN"/>
                <w14:textFill>
                  <w14:solidFill>
                    <w14:schemeClr w14:val="tx1"/>
                  </w14:solidFill>
                </w14:textFill>
              </w:rPr>
              <w:t>导电银浆对其组成物质要求是十分严格的，其品质的高低、含量的多少，以及形状、大小对银浆性能都有着密切关系。</w:t>
            </w:r>
          </w:p>
          <w:p w14:paraId="01CA0556">
            <w:pPr>
              <w:pStyle w:val="2"/>
              <w:rPr>
                <w:rFonts w:hint="default"/>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铜浆：</w:t>
            </w:r>
          </w:p>
          <w:p w14:paraId="734DEB28">
            <w:pPr>
              <w:keepNext w:val="0"/>
              <w:keepLines w:val="0"/>
              <w:suppressLineNumbers w:val="0"/>
              <w:spacing w:before="0" w:beforeAutospacing="0" w:after="0" w:afterAutospacing="0" w:line="240" w:lineRule="auto"/>
              <w:ind w:left="0" w:right="0" w:firstLine="422" w:firstLineChars="200"/>
              <w:jc w:val="both"/>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cs="Times New Roman"/>
                <w:b/>
                <w:color w:val="000000" w:themeColor="text1"/>
                <w:lang w:val="en-US" w:eastAsia="zh-CN"/>
                <w14:textFill>
                  <w14:solidFill>
                    <w14:schemeClr w14:val="tx1"/>
                  </w14:solidFill>
                </w14:textFill>
              </w:rPr>
              <w:t>粘合剂：</w:t>
            </w:r>
            <w:r>
              <w:rPr>
                <w:rFonts w:hint="default" w:ascii="Times New Roman" w:hAnsi="Times New Roman" w:eastAsia="宋体" w:cs="Times New Roman"/>
                <w:color w:val="000000" w:themeColor="text1"/>
                <w:lang w:val="en-US" w:eastAsia="zh-CN"/>
                <w14:textFill>
                  <w14:solidFill>
                    <w14:schemeClr w14:val="tx1"/>
                  </w14:solidFill>
                </w14:textFill>
              </w:rPr>
              <w:t>为聚乙烯醇，乳白色粉末，无味。</w:t>
            </w:r>
            <w:r>
              <w:rPr>
                <w:rFonts w:hint="default" w:ascii="Times New Roman" w:hAnsi="Times New Roman" w:cs="Times New Roman"/>
                <w:color w:val="000000" w:themeColor="text1"/>
                <w:lang w:eastAsia="zh-CN"/>
                <w14:textFill>
                  <w14:solidFill>
                    <w14:schemeClr w14:val="tx1"/>
                  </w14:solidFill>
                </w14:textFill>
              </w:rPr>
              <w:t>可溶于水（95℃以上），微溶于二甲基亚砜，</w:t>
            </w:r>
            <w:r>
              <w:rPr>
                <w:rFonts w:hint="default" w:ascii="Times New Roman" w:hAnsi="Times New Roman" w:eastAsia="宋体" w:cs="Times New Roman"/>
                <w:color w:val="000000" w:themeColor="text1"/>
                <w:lang w:val="en-US" w:eastAsia="zh-CN"/>
                <w14:textFill>
                  <w14:solidFill>
                    <w14:schemeClr w14:val="tx1"/>
                  </w14:solidFill>
                </w14:textFill>
              </w:rPr>
              <w:t>不溶于汽油、煤油、植物油、苯、甲苯、二氯乙烷、四氯化碳、丙酮、甲醇、乙二醇等。</w:t>
            </w:r>
            <w:r>
              <w:rPr>
                <w:rFonts w:hint="default" w:ascii="Times New Roman" w:hAnsi="Times New Roman" w:eastAsia="宋体" w:cs="Times New Roman"/>
                <w:i w:val="0"/>
                <w:iCs w:val="0"/>
                <w:caps w:val="0"/>
                <w:color w:val="000000" w:themeColor="text1"/>
                <w:spacing w:val="0"/>
                <w:sz w:val="21"/>
                <w:szCs w:val="24"/>
                <w:shd w:val="clear" w:fill="auto"/>
                <w14:textFill>
                  <w14:solidFill>
                    <w14:schemeClr w14:val="tx1"/>
                  </w14:solidFill>
                </w14:textFill>
              </w:rPr>
              <w:t>熔点230 ℃，加热至160~170℃脱水醚化，失去溶解性，加热到200 ℃开始分解。超过250℃变成含有</w:t>
            </w:r>
            <w:r>
              <w:rPr>
                <w:rFonts w:hint="default" w:ascii="Times New Roman" w:hAnsi="Times New Roman" w:eastAsia="宋体" w:cs="Times New Roman"/>
                <w:i w:val="0"/>
                <w:iCs w:val="0"/>
                <w:caps w:val="0"/>
                <w:color w:val="000000" w:themeColor="text1"/>
                <w:spacing w:val="0"/>
                <w:sz w:val="21"/>
                <w:szCs w:val="24"/>
                <w:u w:val="none"/>
                <w:shd w:val="clear" w:fill="auto"/>
                <w14:textFill>
                  <w14:solidFill>
                    <w14:schemeClr w14:val="tx1"/>
                  </w14:solidFill>
                </w14:textFill>
              </w:rPr>
              <w:fldChar w:fldCharType="begin"/>
            </w:r>
            <w:r>
              <w:rPr>
                <w:rFonts w:hint="default" w:ascii="Times New Roman" w:hAnsi="Times New Roman" w:eastAsia="宋体" w:cs="Times New Roman"/>
                <w:i w:val="0"/>
                <w:iCs w:val="0"/>
                <w:caps w:val="0"/>
                <w:color w:val="000000" w:themeColor="text1"/>
                <w:spacing w:val="0"/>
                <w:sz w:val="21"/>
                <w:szCs w:val="24"/>
                <w:u w:val="none"/>
                <w:shd w:val="clear" w:fill="auto"/>
                <w14:textFill>
                  <w14:solidFill>
                    <w14:schemeClr w14:val="tx1"/>
                  </w14:solidFill>
                </w14:textFill>
              </w:rPr>
              <w:instrText xml:space="preserve"> HYPERLINK "https://baike.so.com/doc/194298-205334.html" \t "https://baike.so.com/doc/_blank" </w:instrText>
            </w:r>
            <w:r>
              <w:rPr>
                <w:rFonts w:hint="default" w:ascii="Times New Roman" w:hAnsi="Times New Roman" w:eastAsia="宋体" w:cs="Times New Roman"/>
                <w:i w:val="0"/>
                <w:iCs w:val="0"/>
                <w:caps w:val="0"/>
                <w:color w:val="000000" w:themeColor="text1"/>
                <w:spacing w:val="0"/>
                <w:sz w:val="21"/>
                <w:szCs w:val="24"/>
                <w:u w:val="none"/>
                <w:shd w:val="clear" w:fill="auto"/>
                <w14:textFill>
                  <w14:solidFill>
                    <w14:schemeClr w14:val="tx1"/>
                  </w14:solidFill>
                </w14:textFill>
              </w:rPr>
              <w:fldChar w:fldCharType="separate"/>
            </w:r>
            <w:r>
              <w:rPr>
                <w:rStyle w:val="38"/>
                <w:rFonts w:hint="default" w:ascii="Times New Roman" w:hAnsi="Times New Roman" w:eastAsia="宋体" w:cs="Times New Roman"/>
                <w:i w:val="0"/>
                <w:iCs w:val="0"/>
                <w:caps w:val="0"/>
                <w:color w:val="000000" w:themeColor="text1"/>
                <w:spacing w:val="0"/>
                <w:sz w:val="21"/>
                <w:szCs w:val="24"/>
                <w:u w:val="none"/>
                <w:shd w:val="clear" w:fill="FFFFFF"/>
                <w14:textFill>
                  <w14:solidFill>
                    <w14:schemeClr w14:val="tx1"/>
                  </w14:solidFill>
                </w14:textFill>
              </w:rPr>
              <w:t>共轭双键</w:t>
            </w:r>
            <w:r>
              <w:rPr>
                <w:rFonts w:hint="default" w:ascii="Times New Roman" w:hAnsi="Times New Roman" w:eastAsia="宋体" w:cs="Times New Roman"/>
                <w:i w:val="0"/>
                <w:iCs w:val="0"/>
                <w:caps w:val="0"/>
                <w:color w:val="000000" w:themeColor="text1"/>
                <w:spacing w:val="0"/>
                <w:sz w:val="21"/>
                <w:szCs w:val="24"/>
                <w:u w:val="none"/>
                <w:shd w:val="clear" w:fill="auto"/>
                <w14:textFill>
                  <w14:solidFill>
                    <w14:schemeClr w14:val="tx1"/>
                  </w14:solidFill>
                </w14:textFill>
              </w:rPr>
              <w:fldChar w:fldCharType="end"/>
            </w:r>
            <w:r>
              <w:rPr>
                <w:rFonts w:hint="default" w:ascii="Times New Roman" w:hAnsi="Times New Roman" w:eastAsia="宋体" w:cs="Times New Roman"/>
                <w:i w:val="0"/>
                <w:iCs w:val="0"/>
                <w:caps w:val="0"/>
                <w:color w:val="000000" w:themeColor="text1"/>
                <w:spacing w:val="0"/>
                <w:sz w:val="21"/>
                <w:szCs w:val="24"/>
                <w:shd w:val="clear" w:fill="auto"/>
                <w14:textFill>
                  <w14:solidFill>
                    <w14:schemeClr w14:val="tx1"/>
                  </w14:solidFill>
                </w14:textFill>
              </w:rPr>
              <w:t>的聚合物。</w:t>
            </w:r>
            <w:r>
              <w:rPr>
                <w:rFonts w:hint="default" w:ascii="Times New Roman" w:hAnsi="Times New Roman" w:eastAsia="宋体" w:cs="Times New Roman"/>
                <w:color w:val="000000" w:themeColor="text1"/>
                <w:lang w:val="en-US" w:eastAsia="zh-CN"/>
                <w14:textFill>
                  <w14:solidFill>
                    <w14:schemeClr w14:val="tx1"/>
                  </w14:solidFill>
                </w14:textFill>
              </w:rPr>
              <w:t>在正常环境下存储和使用，稳定。用于制造聚乙烯醇缩醛、耐汽油管道和维尼纶合成纤维、织物处理剂、乳化剂、纸张涂层、粘合剂、胶水等。吸入或摄入聚乙烯醇对人体有害，对眼睛有刺激作用，不慎食入应立即饮足量温水，催吐。</w:t>
            </w:r>
          </w:p>
          <w:p w14:paraId="0D7E1E33">
            <w:pPr>
              <w:keepNext w:val="0"/>
              <w:keepLines w:val="0"/>
              <w:suppressLineNumbers w:val="0"/>
              <w:spacing w:before="0" w:beforeAutospacing="0" w:after="0" w:afterAutospacing="0" w:line="240" w:lineRule="auto"/>
              <w:ind w:left="0" w:right="0" w:firstLine="422" w:firstLineChars="200"/>
              <w:jc w:val="both"/>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包封材料：</w:t>
            </w:r>
            <w:r>
              <w:rPr>
                <w:rFonts w:hint="default" w:ascii="Times New Roman" w:hAnsi="Times New Roman" w:eastAsia="宋体" w:cs="Times New Roman"/>
                <w:color w:val="000000" w:themeColor="text1"/>
                <w:lang w:val="en-US" w:eastAsia="zh-CN"/>
                <w14:textFill>
                  <w14:solidFill>
                    <w14:schemeClr w14:val="tx1"/>
                  </w14:solidFill>
                </w14:textFill>
              </w:rPr>
              <w:t>环氧</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酚醛树脂</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粉末涂料</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是一种无毒涂料</w:t>
            </w:r>
            <w:r>
              <w:rPr>
                <w:rFonts w:hint="default" w:ascii="Times New Roman" w:hAnsi="Times New Roman" w:eastAsia="宋体" w:cs="Times New Roman"/>
                <w:i w:val="0"/>
                <w:iCs w:val="0"/>
                <w:caps w:val="0"/>
                <w:color w:val="000000" w:themeColor="text1"/>
                <w:spacing w:val="0"/>
                <w:sz w:val="21"/>
                <w:szCs w:val="24"/>
                <w:shd w:val="clear"/>
                <w14:textFill>
                  <w14:solidFill>
                    <w14:schemeClr w14:val="tx1"/>
                  </w14:solidFill>
                </w14:textFill>
              </w:rPr>
              <w:t>，具有良好的物理机械性能</w:t>
            </w:r>
            <w:r>
              <w:rPr>
                <w:rFonts w:hint="default" w:ascii="Times New Roman" w:hAnsi="Times New Roman" w:eastAsia="宋体" w:cs="Times New Roman"/>
                <w:color w:val="000000" w:themeColor="text1"/>
                <w:lang w:val="en-US" w:eastAsia="zh-CN"/>
                <w14:textFill>
                  <w14:solidFill>
                    <w14:schemeClr w14:val="tx1"/>
                  </w14:solidFill>
                </w14:textFill>
              </w:rPr>
              <w:t>。热固性酚醛树脂为粘结剂生产的电子包封料</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其粘结性</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触变性良好</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干燥速度快</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适用于大规模连续化生产</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主要用于陶瓷电容器</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热敏电阻</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压电陶瓷</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厚膜电路等电子元器件的外包封</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起防潮</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绝缘</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机械防护等作用</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环保型酚醛电子包封料耐热性好</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抗击穿强度好</w:t>
            </w:r>
            <w:r>
              <w:rPr>
                <w:rFonts w:hint="default" w:ascii="Times New Roman" w:hAnsi="Times New Roman" w:cs="Times New Roman"/>
                <w:color w:val="000000" w:themeColor="text1"/>
                <w:lang w:val="en-US" w:eastAsia="zh-CN"/>
                <w14:textFill>
                  <w14:solidFill>
                    <w14:schemeClr w14:val="tx1"/>
                  </w14:solidFill>
                </w14:textFill>
              </w:rPr>
              <w:t>。</w:t>
            </w:r>
          </w:p>
          <w:p w14:paraId="397EAB5A">
            <w:pPr>
              <w:keepNext w:val="0"/>
              <w:keepLines w:val="0"/>
              <w:suppressLineNumbers w:val="0"/>
              <w:spacing w:before="0" w:beforeAutospacing="0" w:after="0" w:afterAutospacing="0" w:line="360" w:lineRule="auto"/>
              <w:ind w:left="0" w:right="0" w:firstLine="0" w:firstLineChars="0"/>
              <w:rPr>
                <w:rFonts w:hint="default" w:ascii="Times New Roman" w:hAnsi="Times New Roman" w:eastAsia="宋体" w:cs="Times New Roman"/>
                <w:b w:val="0"/>
                <w:bCs/>
                <w:color w:val="000000" w:themeColor="text1"/>
                <w:sz w:val="24"/>
                <w:lang w:eastAsia="zh-CN"/>
                <w14:textFill>
                  <w14:solidFill>
                    <w14:schemeClr w14:val="tx1"/>
                  </w14:solidFill>
                </w14:textFill>
              </w:rPr>
            </w:pPr>
            <w:r>
              <w:rPr>
                <w:rFonts w:hint="default" w:ascii="Times New Roman" w:hAnsi="Times New Roman" w:eastAsia="宋体" w:cs="Times New Roman"/>
                <w:b w:val="0"/>
                <w:bCs/>
                <w:color w:val="000000" w:themeColor="text1"/>
                <w:sz w:val="24"/>
                <w:lang w:val="en-US" w:eastAsia="zh-CN"/>
                <w14:textFill>
                  <w14:solidFill>
                    <w14:schemeClr w14:val="tx1"/>
                  </w14:solidFill>
                </w14:textFill>
              </w:rPr>
              <w:t>6、</w:t>
            </w:r>
            <w:r>
              <w:rPr>
                <w:rFonts w:hint="default" w:ascii="Times New Roman" w:hAnsi="Times New Roman" w:eastAsia="宋体" w:cs="Times New Roman"/>
                <w:b w:val="0"/>
                <w:bCs/>
                <w:color w:val="000000" w:themeColor="text1"/>
                <w:sz w:val="24"/>
                <w14:textFill>
                  <w14:solidFill>
                    <w14:schemeClr w14:val="tx1"/>
                  </w14:solidFill>
                </w14:textFill>
              </w:rPr>
              <w:t>项目物料平衡</w:t>
            </w:r>
            <w:r>
              <w:rPr>
                <w:rFonts w:hint="default" w:ascii="Times New Roman" w:hAnsi="Times New Roman" w:eastAsia="宋体" w:cs="Times New Roman"/>
                <w:b w:val="0"/>
                <w:bCs/>
                <w:color w:val="000000" w:themeColor="text1"/>
                <w:sz w:val="24"/>
                <w:lang w:eastAsia="zh-CN"/>
                <w14:textFill>
                  <w14:solidFill>
                    <w14:schemeClr w14:val="tx1"/>
                  </w14:solidFill>
                </w14:textFill>
              </w:rPr>
              <w:t>分析</w:t>
            </w:r>
          </w:p>
          <w:p w14:paraId="1042DB13">
            <w:pPr>
              <w:keepNext w:val="0"/>
              <w:keepLines w:val="0"/>
              <w:widowControl/>
              <w:suppressLineNumbers w:val="0"/>
              <w:spacing w:before="0" w:beforeAutospacing="0" w:after="0" w:afterAutospacing="0" w:line="240" w:lineRule="atLeast"/>
              <w:ind w:left="0" w:right="0"/>
              <w:jc w:val="center"/>
              <w:rPr>
                <w:rFonts w:hint="default" w:ascii="Times New Roman" w:hAnsi="Times New Roman" w:eastAsia="宋体" w:cs="Times New Roman"/>
                <w:b/>
                <w:color w:val="000000" w:themeColor="text1"/>
                <w:kern w:val="0"/>
                <w:szCs w:val="20"/>
                <w14:textFill>
                  <w14:solidFill>
                    <w14:schemeClr w14:val="tx1"/>
                  </w14:solidFill>
                </w14:textFill>
              </w:rPr>
            </w:pPr>
            <w:r>
              <w:rPr>
                <w:rFonts w:hint="default" w:ascii="Times New Roman" w:hAnsi="Times New Roman" w:eastAsia="宋体" w:cs="Times New Roman"/>
                <w:b/>
                <w:color w:val="000000" w:themeColor="text1"/>
                <w:kern w:val="0"/>
                <w:szCs w:val="20"/>
                <w14:textFill>
                  <w14:solidFill>
                    <w14:schemeClr w14:val="tx1"/>
                  </w14:solidFill>
                </w14:textFill>
              </w:rPr>
              <w:t>表</w:t>
            </w:r>
            <w:r>
              <w:rPr>
                <w:rFonts w:hint="default" w:ascii="Times New Roman" w:hAnsi="Times New Roman" w:cs="Times New Roman"/>
                <w:b/>
                <w:color w:val="000000" w:themeColor="text1"/>
                <w:kern w:val="0"/>
                <w:szCs w:val="20"/>
                <w:lang w:val="en-US" w:eastAsia="zh-CN"/>
                <w14:textFill>
                  <w14:solidFill>
                    <w14:schemeClr w14:val="tx1"/>
                  </w14:solidFill>
                </w14:textFill>
              </w:rPr>
              <w:t>2-7</w:t>
            </w:r>
            <w:r>
              <w:rPr>
                <w:rFonts w:hint="default" w:ascii="Times New Roman" w:hAnsi="Times New Roman" w:eastAsia="宋体" w:cs="Times New Roman"/>
                <w:b/>
                <w:color w:val="000000" w:themeColor="text1"/>
                <w:kern w:val="0"/>
                <w:szCs w:val="20"/>
                <w14:textFill>
                  <w14:solidFill>
                    <w14:schemeClr w14:val="tx1"/>
                  </w14:solidFill>
                </w14:textFill>
              </w:rPr>
              <w:t>项目物料平衡一览表</w:t>
            </w:r>
          </w:p>
          <w:tbl>
            <w:tblPr>
              <w:tblStyle w:val="36"/>
              <w:tblW w:w="4949" w:type="pct"/>
              <w:jc w:val="center"/>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Layout w:type="autofit"/>
              <w:tblCellMar>
                <w:top w:w="15" w:type="dxa"/>
                <w:left w:w="15" w:type="dxa"/>
                <w:bottom w:w="15" w:type="dxa"/>
                <w:right w:w="15" w:type="dxa"/>
              </w:tblCellMar>
            </w:tblPr>
            <w:tblGrid>
              <w:gridCol w:w="2179"/>
              <w:gridCol w:w="1588"/>
              <w:gridCol w:w="2140"/>
              <w:gridCol w:w="2570"/>
            </w:tblGrid>
            <w:tr w14:paraId="7F9B18B5">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15" w:type="dxa"/>
                  <w:left w:w="15" w:type="dxa"/>
                  <w:bottom w:w="15" w:type="dxa"/>
                  <w:right w:w="15" w:type="dxa"/>
                </w:tblCellMar>
              </w:tblPrEx>
              <w:trPr>
                <w:trHeight w:val="340" w:hRule="atLeast"/>
                <w:jc w:val="center"/>
              </w:trPr>
              <w:tc>
                <w:tcPr>
                  <w:tcW w:w="3768" w:type="dxa"/>
                  <w:gridSpan w:val="2"/>
                  <w:tcBorders>
                    <w:tl2br w:val="nil"/>
                    <w:tr2bl w:val="nil"/>
                  </w:tcBorders>
                  <w:noWrap w:val="0"/>
                  <w:vAlign w:val="center"/>
                </w:tcPr>
                <w:p w14:paraId="4CB54FF7">
                  <w:pPr>
                    <w:keepNext w:val="0"/>
                    <w:keepLines w:val="0"/>
                    <w:widowControl/>
                    <w:suppressLineNumbers w:val="0"/>
                    <w:jc w:val="center"/>
                    <w:textAlignment w:val="center"/>
                    <w:rPr>
                      <w:rFonts w:hint="default" w:ascii="Times New Roman" w:hAnsi="Times New Roman" w:cs="Times New Roman"/>
                      <w:color w:val="000000" w:themeColor="text1"/>
                      <w:kern w:val="0"/>
                      <w:sz w:val="20"/>
                      <w:szCs w:val="20"/>
                      <w:u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投入物料（</w:t>
                  </w:r>
                  <w:r>
                    <w:rPr>
                      <w:rStyle w:val="188"/>
                      <w:rFonts w:eastAsia="宋体"/>
                      <w:color w:val="000000" w:themeColor="text1"/>
                      <w:lang w:val="en-US" w:eastAsia="zh-CN" w:bidi="ar"/>
                      <w14:textFill>
                        <w14:solidFill>
                          <w14:schemeClr w14:val="tx1"/>
                        </w14:solidFill>
                      </w14:textFill>
                    </w:rPr>
                    <w:t>t/a</w:t>
                  </w:r>
                  <w:r>
                    <w:rPr>
                      <w:rStyle w:val="189"/>
                      <w:color w:val="000000" w:themeColor="text1"/>
                      <w:lang w:val="en-US" w:eastAsia="zh-CN" w:bidi="ar"/>
                      <w14:textFill>
                        <w14:solidFill>
                          <w14:schemeClr w14:val="tx1"/>
                        </w14:solidFill>
                      </w14:textFill>
                    </w:rPr>
                    <w:t>）</w:t>
                  </w:r>
                </w:p>
              </w:tc>
              <w:tc>
                <w:tcPr>
                  <w:tcW w:w="4710" w:type="dxa"/>
                  <w:gridSpan w:val="2"/>
                  <w:tcBorders>
                    <w:tl2br w:val="nil"/>
                    <w:tr2bl w:val="nil"/>
                  </w:tcBorders>
                  <w:noWrap w:val="0"/>
                  <w:vAlign w:val="center"/>
                </w:tcPr>
                <w:p w14:paraId="56C923B8">
                  <w:pPr>
                    <w:keepNext w:val="0"/>
                    <w:keepLines w:val="0"/>
                    <w:widowControl/>
                    <w:suppressLineNumbers w:val="0"/>
                    <w:jc w:val="center"/>
                    <w:textAlignment w:val="center"/>
                    <w:rPr>
                      <w:rFonts w:hint="default" w:ascii="Times New Roman" w:hAnsi="Times New Roman" w:cs="Times New Roman"/>
                      <w:color w:val="000000" w:themeColor="text1"/>
                      <w:kern w:val="0"/>
                      <w:sz w:val="20"/>
                      <w:szCs w:val="20"/>
                      <w:u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产出物质（</w:t>
                  </w:r>
                  <w:r>
                    <w:rPr>
                      <w:rStyle w:val="188"/>
                      <w:rFonts w:eastAsia="宋体"/>
                      <w:color w:val="000000" w:themeColor="text1"/>
                      <w:lang w:val="en-US" w:eastAsia="zh-CN" w:bidi="ar"/>
                      <w14:textFill>
                        <w14:solidFill>
                          <w14:schemeClr w14:val="tx1"/>
                        </w14:solidFill>
                      </w14:textFill>
                    </w:rPr>
                    <w:t>t/a</w:t>
                  </w:r>
                  <w:r>
                    <w:rPr>
                      <w:rStyle w:val="189"/>
                      <w:color w:val="000000" w:themeColor="text1"/>
                      <w:lang w:val="en-US" w:eastAsia="zh-CN" w:bidi="ar"/>
                      <w14:textFill>
                        <w14:solidFill>
                          <w14:schemeClr w14:val="tx1"/>
                        </w14:solidFill>
                      </w14:textFill>
                    </w:rPr>
                    <w:t>）</w:t>
                  </w:r>
                </w:p>
              </w:tc>
            </w:tr>
            <w:tr w14:paraId="2E4B69BA">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15" w:type="dxa"/>
                  <w:left w:w="15" w:type="dxa"/>
                  <w:bottom w:w="15" w:type="dxa"/>
                  <w:right w:w="15" w:type="dxa"/>
                </w:tblCellMar>
              </w:tblPrEx>
              <w:trPr>
                <w:trHeight w:val="340" w:hRule="atLeast"/>
                <w:jc w:val="center"/>
              </w:trPr>
              <w:tc>
                <w:tcPr>
                  <w:tcW w:w="2180" w:type="dxa"/>
                  <w:tcBorders>
                    <w:tl2br w:val="nil"/>
                    <w:tr2bl w:val="nil"/>
                  </w:tcBorders>
                  <w:noWrap w:val="0"/>
                  <w:vAlign w:val="center"/>
                </w:tcPr>
                <w:p w14:paraId="08C2EF2F">
                  <w:pPr>
                    <w:keepNext w:val="0"/>
                    <w:keepLines w:val="0"/>
                    <w:widowControl/>
                    <w:suppressLineNumbers w:val="0"/>
                    <w:jc w:val="center"/>
                    <w:textAlignment w:val="center"/>
                    <w:rPr>
                      <w:rFonts w:hint="default" w:ascii="Times New Roman" w:hAnsi="Times New Roman" w:cs="Times New Roman"/>
                      <w:color w:val="000000" w:themeColor="text1"/>
                      <w:kern w:val="0"/>
                      <w:sz w:val="20"/>
                      <w:szCs w:val="20"/>
                      <w:u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氧化锌</w:t>
                  </w:r>
                </w:p>
              </w:tc>
              <w:tc>
                <w:tcPr>
                  <w:tcW w:w="1588" w:type="dxa"/>
                  <w:tcBorders>
                    <w:tl2br w:val="nil"/>
                    <w:tr2bl w:val="nil"/>
                  </w:tcBorders>
                  <w:noWrap w:val="0"/>
                  <w:vAlign w:val="center"/>
                </w:tcPr>
                <w:p w14:paraId="0E9462D4">
                  <w:pPr>
                    <w:keepNext w:val="0"/>
                    <w:keepLines w:val="0"/>
                    <w:widowControl/>
                    <w:suppressLineNumbers w:val="0"/>
                    <w:jc w:val="center"/>
                    <w:textAlignment w:val="center"/>
                    <w:rPr>
                      <w:rFonts w:hint="default" w:ascii="Times New Roman" w:hAnsi="Times New Roman" w:eastAsia="宋体" w:cs="Times New Roman"/>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100</w:t>
                  </w:r>
                </w:p>
              </w:tc>
              <w:tc>
                <w:tcPr>
                  <w:tcW w:w="2140" w:type="dxa"/>
                  <w:tcBorders>
                    <w:tl2br w:val="nil"/>
                    <w:tr2bl w:val="nil"/>
                  </w:tcBorders>
                  <w:noWrap w:val="0"/>
                  <w:vAlign w:val="center"/>
                </w:tcPr>
                <w:p w14:paraId="5E0B63C1">
                  <w:pPr>
                    <w:keepNext w:val="0"/>
                    <w:keepLines w:val="0"/>
                    <w:widowControl/>
                    <w:suppressLineNumbers w:val="0"/>
                    <w:jc w:val="center"/>
                    <w:textAlignment w:val="center"/>
                    <w:rPr>
                      <w:rFonts w:hint="default" w:ascii="Times New Roman" w:hAnsi="Times New Roman" w:eastAsia="宋体" w:cs="Times New Roman"/>
                      <w:color w:val="000000" w:themeColor="text1"/>
                      <w:kern w:val="0"/>
                      <w:sz w:val="20"/>
                      <w:szCs w:val="20"/>
                      <w:u w:val="none"/>
                      <w:lang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压敏</w:t>
                  </w:r>
                  <w:r>
                    <w:rPr>
                      <w:rStyle w:val="189"/>
                      <w:color w:val="000000" w:themeColor="text1"/>
                      <w:lang w:val="en-US" w:eastAsia="zh-CN" w:bidi="ar"/>
                      <w14:textFill>
                        <w14:solidFill>
                          <w14:schemeClr w14:val="tx1"/>
                        </w14:solidFill>
                      </w14:textFill>
                    </w:rPr>
                    <w:t>电阻器芯片</w:t>
                  </w:r>
                </w:p>
              </w:tc>
              <w:tc>
                <w:tcPr>
                  <w:tcW w:w="2570" w:type="dxa"/>
                  <w:tcBorders>
                    <w:tl2br w:val="nil"/>
                    <w:tr2bl w:val="nil"/>
                  </w:tcBorders>
                  <w:noWrap w:val="0"/>
                  <w:vAlign w:val="center"/>
                </w:tcPr>
                <w:p w14:paraId="15B60B9C">
                  <w:pPr>
                    <w:keepNext w:val="0"/>
                    <w:keepLines w:val="0"/>
                    <w:widowControl/>
                    <w:suppressLineNumbers w:val="0"/>
                    <w:jc w:val="center"/>
                    <w:textAlignment w:val="center"/>
                    <w:rPr>
                      <w:rFonts w:hint="default" w:ascii="Times New Roman" w:hAnsi="Times New Roman" w:eastAsia="宋体" w:cs="Times New Roman"/>
                      <w:color w:val="000000" w:themeColor="text1"/>
                      <w:kern w:val="0"/>
                      <w:sz w:val="20"/>
                      <w:szCs w:val="20"/>
                      <w:u w:val="none"/>
                      <w:lang w:val="en-US" w:eastAsia="zh-CN" w:bidi="ar"/>
                      <w14:textFill>
                        <w14:solidFill>
                          <w14:schemeClr w14:val="tx1"/>
                        </w14:solidFill>
                      </w14:textFill>
                    </w:rPr>
                  </w:pPr>
                  <w:r>
                    <w:rPr>
                      <w:rFonts w:hint="eastAsia" w:cs="Times New Roman"/>
                      <w:i w:val="0"/>
                      <w:iCs w:val="0"/>
                      <w:color w:val="000000" w:themeColor="text1"/>
                      <w:kern w:val="0"/>
                      <w:sz w:val="20"/>
                      <w:szCs w:val="20"/>
                      <w:u w:val="none"/>
                      <w:lang w:val="en-US" w:eastAsia="zh-CN" w:bidi="ar"/>
                      <w14:textFill>
                        <w14:solidFill>
                          <w14:schemeClr w14:val="tx1"/>
                        </w14:solidFill>
                      </w14:textFill>
                    </w:rPr>
                    <w:t>100.22596</w:t>
                  </w:r>
                </w:p>
              </w:tc>
            </w:tr>
            <w:tr w14:paraId="2A32DA8C">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15" w:type="dxa"/>
                  <w:left w:w="15" w:type="dxa"/>
                  <w:bottom w:w="15" w:type="dxa"/>
                  <w:right w:w="15" w:type="dxa"/>
                </w:tblCellMar>
              </w:tblPrEx>
              <w:trPr>
                <w:trHeight w:val="340" w:hRule="atLeast"/>
                <w:jc w:val="center"/>
              </w:trPr>
              <w:tc>
                <w:tcPr>
                  <w:tcW w:w="2180" w:type="dxa"/>
                  <w:tcBorders>
                    <w:tl2br w:val="nil"/>
                    <w:tr2bl w:val="nil"/>
                  </w:tcBorders>
                  <w:noWrap w:val="0"/>
                  <w:vAlign w:val="center"/>
                </w:tcPr>
                <w:p w14:paraId="39DD17E2">
                  <w:pPr>
                    <w:keepNext w:val="0"/>
                    <w:keepLines w:val="0"/>
                    <w:widowControl/>
                    <w:suppressLineNumbers w:val="0"/>
                    <w:jc w:val="center"/>
                    <w:textAlignment w:val="center"/>
                    <w:rPr>
                      <w:rFonts w:hint="default" w:ascii="Times New Roman" w:hAnsi="Times New Roman" w:cs="Times New Roman"/>
                      <w:color w:val="000000" w:themeColor="text1"/>
                      <w:kern w:val="0"/>
                      <w:sz w:val="20"/>
                      <w:szCs w:val="20"/>
                      <w:u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氧化钴</w:t>
                  </w:r>
                </w:p>
              </w:tc>
              <w:tc>
                <w:tcPr>
                  <w:tcW w:w="1588" w:type="dxa"/>
                  <w:tcBorders>
                    <w:tl2br w:val="nil"/>
                    <w:tr2bl w:val="nil"/>
                  </w:tcBorders>
                  <w:noWrap w:val="0"/>
                  <w:vAlign w:val="center"/>
                </w:tcPr>
                <w:p w14:paraId="44C46ABB">
                  <w:pPr>
                    <w:keepNext w:val="0"/>
                    <w:keepLines w:val="0"/>
                    <w:widowControl/>
                    <w:suppressLineNumbers w:val="0"/>
                    <w:jc w:val="center"/>
                    <w:textAlignment w:val="center"/>
                    <w:rPr>
                      <w:rFonts w:hint="default" w:ascii="Times New Roman" w:hAnsi="Times New Roman" w:eastAsia="宋体" w:cs="Times New Roman"/>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5</w:t>
                  </w:r>
                </w:p>
              </w:tc>
              <w:tc>
                <w:tcPr>
                  <w:tcW w:w="2140" w:type="dxa"/>
                  <w:tcBorders>
                    <w:tl2br w:val="nil"/>
                    <w:tr2bl w:val="nil"/>
                  </w:tcBorders>
                  <w:noWrap w:val="0"/>
                  <w:vAlign w:val="center"/>
                </w:tcPr>
                <w:p w14:paraId="040228E1">
                  <w:pPr>
                    <w:keepNext w:val="0"/>
                    <w:keepLines w:val="0"/>
                    <w:widowControl/>
                    <w:suppressLineNumbers w:val="0"/>
                    <w:jc w:val="center"/>
                    <w:textAlignment w:val="center"/>
                    <w:rPr>
                      <w:rFonts w:hint="default" w:ascii="Times New Roman" w:hAnsi="Times New Roman" w:eastAsia="宋体" w:cs="Times New Roman"/>
                      <w:b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压敏电阻器</w:t>
                  </w:r>
                </w:p>
              </w:tc>
              <w:tc>
                <w:tcPr>
                  <w:tcW w:w="2570" w:type="dxa"/>
                  <w:tcBorders>
                    <w:tl2br w:val="nil"/>
                    <w:tr2bl w:val="nil"/>
                  </w:tcBorders>
                  <w:noWrap w:val="0"/>
                  <w:vAlign w:val="center"/>
                </w:tcPr>
                <w:p w14:paraId="11E2C1D1">
                  <w:pPr>
                    <w:keepNext w:val="0"/>
                    <w:keepLines w:val="0"/>
                    <w:widowControl/>
                    <w:suppressLineNumbers w:val="0"/>
                    <w:jc w:val="center"/>
                    <w:textAlignment w:val="center"/>
                    <w:rPr>
                      <w:rFonts w:hint="default" w:ascii="Times New Roman" w:hAnsi="Times New Roman" w:eastAsia="宋体" w:cs="Times New Roman"/>
                      <w:bCs w:val="0"/>
                      <w:color w:val="000000" w:themeColor="text1"/>
                      <w:kern w:val="0"/>
                      <w:sz w:val="20"/>
                      <w:szCs w:val="20"/>
                      <w:u w:val="none"/>
                      <w:lang w:val="en-US" w:eastAsia="zh-CN" w:bidi="ar"/>
                      <w14:textFill>
                        <w14:solidFill>
                          <w14:schemeClr w14:val="tx1"/>
                        </w14:solidFill>
                      </w14:textFill>
                    </w:rPr>
                  </w:pPr>
                  <w:r>
                    <w:rPr>
                      <w:rFonts w:hint="eastAsia" w:cs="Times New Roman"/>
                      <w:i w:val="0"/>
                      <w:iCs w:val="0"/>
                      <w:color w:val="000000" w:themeColor="text1"/>
                      <w:kern w:val="0"/>
                      <w:sz w:val="20"/>
                      <w:szCs w:val="20"/>
                      <w:u w:val="none"/>
                      <w:lang w:val="en-US" w:eastAsia="zh-CN" w:bidi="ar"/>
                      <w14:textFill>
                        <w14:solidFill>
                          <w14:schemeClr w14:val="tx1"/>
                        </w14:solidFill>
                      </w14:textFill>
                    </w:rPr>
                    <w:t>54.20159</w:t>
                  </w:r>
                </w:p>
              </w:tc>
            </w:tr>
            <w:tr w14:paraId="1EDD0ADE">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15" w:type="dxa"/>
                  <w:left w:w="15" w:type="dxa"/>
                  <w:bottom w:w="15" w:type="dxa"/>
                  <w:right w:w="15" w:type="dxa"/>
                </w:tblCellMar>
              </w:tblPrEx>
              <w:trPr>
                <w:trHeight w:val="340" w:hRule="atLeast"/>
                <w:jc w:val="center"/>
              </w:trPr>
              <w:tc>
                <w:tcPr>
                  <w:tcW w:w="2180" w:type="dxa"/>
                  <w:tcBorders>
                    <w:tl2br w:val="nil"/>
                    <w:tr2bl w:val="nil"/>
                  </w:tcBorders>
                  <w:noWrap w:val="0"/>
                  <w:vAlign w:val="center"/>
                </w:tcPr>
                <w:p w14:paraId="2EDE881E">
                  <w:pPr>
                    <w:keepNext w:val="0"/>
                    <w:keepLines w:val="0"/>
                    <w:widowControl/>
                    <w:suppressLineNumbers w:val="0"/>
                    <w:jc w:val="center"/>
                    <w:textAlignment w:val="center"/>
                    <w:rPr>
                      <w:rFonts w:hint="default" w:ascii="Times New Roman" w:hAnsi="Times New Roman" w:cs="Times New Roman"/>
                      <w:color w:val="000000" w:themeColor="text1"/>
                      <w:kern w:val="0"/>
                      <w:sz w:val="20"/>
                      <w:szCs w:val="20"/>
                      <w:u w:val="none"/>
                      <w:lang w:val="en-US"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氧化锆</w:t>
                  </w:r>
                </w:p>
              </w:tc>
              <w:tc>
                <w:tcPr>
                  <w:tcW w:w="1588" w:type="dxa"/>
                  <w:tcBorders>
                    <w:tl2br w:val="nil"/>
                    <w:tr2bl w:val="nil"/>
                  </w:tcBorders>
                  <w:noWrap w:val="0"/>
                  <w:vAlign w:val="center"/>
                </w:tcPr>
                <w:p w14:paraId="6779972A">
                  <w:pPr>
                    <w:keepNext w:val="0"/>
                    <w:keepLines w:val="0"/>
                    <w:widowControl/>
                    <w:suppressLineNumbers w:val="0"/>
                    <w:jc w:val="center"/>
                    <w:textAlignment w:val="center"/>
                    <w:rPr>
                      <w:rFonts w:hint="default" w:ascii="Times New Roman" w:hAnsi="Times New Roman" w:cs="Times New Roman"/>
                      <w:color w:val="000000" w:themeColor="text1"/>
                      <w:kern w:val="0"/>
                      <w:sz w:val="20"/>
                      <w:szCs w:val="20"/>
                      <w:u w:val="none"/>
                      <w:lang w:bidi="ar"/>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3</w:t>
                  </w:r>
                </w:p>
              </w:tc>
              <w:tc>
                <w:tcPr>
                  <w:tcW w:w="2140" w:type="dxa"/>
                  <w:tcBorders>
                    <w:tl2br w:val="nil"/>
                    <w:tr2bl w:val="nil"/>
                  </w:tcBorders>
                  <w:noWrap w:val="0"/>
                  <w:vAlign w:val="center"/>
                </w:tcPr>
                <w:p w14:paraId="164B195B">
                  <w:pPr>
                    <w:keepNext w:val="0"/>
                    <w:keepLines w:val="0"/>
                    <w:widowControl/>
                    <w:suppressLineNumbers w:val="0"/>
                    <w:jc w:val="center"/>
                    <w:textAlignment w:val="center"/>
                    <w:rPr>
                      <w:rFonts w:hint="default" w:ascii="Times New Roman" w:hAnsi="Times New Roman" w:eastAsia="宋体" w:cs="Times New Roman"/>
                      <w:b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粉尘</w:t>
                  </w:r>
                </w:p>
              </w:tc>
              <w:tc>
                <w:tcPr>
                  <w:tcW w:w="2570" w:type="dxa"/>
                  <w:tcBorders>
                    <w:tl2br w:val="nil"/>
                    <w:tr2bl w:val="nil"/>
                  </w:tcBorders>
                  <w:noWrap w:val="0"/>
                  <w:vAlign w:val="center"/>
                </w:tcPr>
                <w:p w14:paraId="3ED9A67E">
                  <w:pPr>
                    <w:keepNext w:val="0"/>
                    <w:keepLines w:val="0"/>
                    <w:widowControl/>
                    <w:suppressLineNumbers w:val="0"/>
                    <w:jc w:val="center"/>
                    <w:textAlignment w:val="center"/>
                    <w:rPr>
                      <w:rFonts w:hint="default" w:ascii="Times New Roman" w:hAnsi="Times New Roman" w:eastAsia="宋体" w:cs="Times New Roman"/>
                      <w:b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0.</w:t>
                  </w:r>
                  <w:r>
                    <w:rPr>
                      <w:rFonts w:hint="eastAsia" w:cs="Times New Roman"/>
                      <w:i w:val="0"/>
                      <w:iCs w:val="0"/>
                      <w:color w:val="000000" w:themeColor="text1"/>
                      <w:kern w:val="0"/>
                      <w:sz w:val="20"/>
                      <w:szCs w:val="20"/>
                      <w:u w:val="none"/>
                      <w:lang w:val="en-US" w:eastAsia="zh-CN" w:bidi="ar"/>
                      <w14:textFill>
                        <w14:solidFill>
                          <w14:schemeClr w14:val="tx1"/>
                        </w14:solidFill>
                      </w14:textFill>
                    </w:rPr>
                    <w:t>0583</w:t>
                  </w:r>
                </w:p>
              </w:tc>
            </w:tr>
            <w:tr w14:paraId="6317EF74">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15" w:type="dxa"/>
                  <w:left w:w="15" w:type="dxa"/>
                  <w:bottom w:w="15" w:type="dxa"/>
                  <w:right w:w="15" w:type="dxa"/>
                </w:tblCellMar>
              </w:tblPrEx>
              <w:trPr>
                <w:trHeight w:val="340" w:hRule="atLeast"/>
                <w:jc w:val="center"/>
              </w:trPr>
              <w:tc>
                <w:tcPr>
                  <w:tcW w:w="2180" w:type="dxa"/>
                  <w:tcBorders>
                    <w:tl2br w:val="nil"/>
                    <w:tr2bl w:val="nil"/>
                  </w:tcBorders>
                  <w:noWrap w:val="0"/>
                  <w:vAlign w:val="center"/>
                </w:tcPr>
                <w:p w14:paraId="36D69992">
                  <w:pPr>
                    <w:keepNext w:val="0"/>
                    <w:keepLines w:val="0"/>
                    <w:widowControl/>
                    <w:suppressLineNumbers w:val="0"/>
                    <w:jc w:val="center"/>
                    <w:textAlignment w:val="center"/>
                    <w:rPr>
                      <w:rFonts w:hint="default" w:ascii="Times New Roman" w:hAnsi="Times New Roman" w:cs="Times New Roman"/>
                      <w:color w:val="000000" w:themeColor="text1"/>
                      <w:kern w:val="0"/>
                      <w:sz w:val="20"/>
                      <w:szCs w:val="20"/>
                      <w:u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氧化硅</w:t>
                  </w:r>
                </w:p>
              </w:tc>
              <w:tc>
                <w:tcPr>
                  <w:tcW w:w="1588" w:type="dxa"/>
                  <w:tcBorders>
                    <w:tl2br w:val="nil"/>
                    <w:tr2bl w:val="nil"/>
                  </w:tcBorders>
                  <w:noWrap w:val="0"/>
                  <w:vAlign w:val="center"/>
                </w:tcPr>
                <w:p w14:paraId="2264D622">
                  <w:pPr>
                    <w:keepNext w:val="0"/>
                    <w:keepLines w:val="0"/>
                    <w:widowControl/>
                    <w:suppressLineNumbers w:val="0"/>
                    <w:jc w:val="center"/>
                    <w:textAlignment w:val="center"/>
                    <w:rPr>
                      <w:rFonts w:hint="default" w:ascii="Times New Roman" w:hAnsi="Times New Roman" w:eastAsia="宋体" w:cs="Times New Roman"/>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5</w:t>
                  </w:r>
                </w:p>
              </w:tc>
              <w:tc>
                <w:tcPr>
                  <w:tcW w:w="2140" w:type="dxa"/>
                  <w:tcBorders>
                    <w:tl2br w:val="nil"/>
                    <w:tr2bl w:val="nil"/>
                  </w:tcBorders>
                  <w:noWrap w:val="0"/>
                  <w:vAlign w:val="center"/>
                </w:tcPr>
                <w:p w14:paraId="14133713">
                  <w:pPr>
                    <w:keepNext w:val="0"/>
                    <w:keepLines w:val="0"/>
                    <w:widowControl/>
                    <w:suppressLineNumbers w:val="0"/>
                    <w:jc w:val="center"/>
                    <w:textAlignment w:val="center"/>
                    <w:rPr>
                      <w:rFonts w:hint="default" w:ascii="Times New Roman" w:hAnsi="Times New Roman" w:eastAsia="宋体" w:cs="Times New Roman"/>
                      <w:b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有机废气</w:t>
                  </w:r>
                </w:p>
              </w:tc>
              <w:tc>
                <w:tcPr>
                  <w:tcW w:w="2570" w:type="dxa"/>
                  <w:tcBorders>
                    <w:tl2br w:val="nil"/>
                    <w:tr2bl w:val="nil"/>
                  </w:tcBorders>
                  <w:noWrap w:val="0"/>
                  <w:vAlign w:val="center"/>
                </w:tcPr>
                <w:p w14:paraId="30C53DB0">
                  <w:pPr>
                    <w:keepNext w:val="0"/>
                    <w:keepLines w:val="0"/>
                    <w:widowControl/>
                    <w:suppressLineNumbers w:val="0"/>
                    <w:jc w:val="center"/>
                    <w:textAlignment w:val="center"/>
                    <w:rPr>
                      <w:rFonts w:hint="default" w:ascii="Times New Roman" w:hAnsi="Times New Roman" w:eastAsia="宋体" w:cs="Times New Roman"/>
                      <w:b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 xml:space="preserve">0.138 </w:t>
                  </w:r>
                </w:p>
              </w:tc>
            </w:tr>
            <w:tr w14:paraId="07903F6D">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15" w:type="dxa"/>
                  <w:left w:w="15" w:type="dxa"/>
                  <w:bottom w:w="15" w:type="dxa"/>
                  <w:right w:w="15" w:type="dxa"/>
                </w:tblCellMar>
              </w:tblPrEx>
              <w:trPr>
                <w:trHeight w:val="340" w:hRule="atLeast"/>
                <w:jc w:val="center"/>
              </w:trPr>
              <w:tc>
                <w:tcPr>
                  <w:tcW w:w="2180" w:type="dxa"/>
                  <w:tcBorders>
                    <w:tl2br w:val="nil"/>
                    <w:tr2bl w:val="nil"/>
                  </w:tcBorders>
                  <w:noWrap w:val="0"/>
                  <w:vAlign w:val="center"/>
                </w:tcPr>
                <w:p w14:paraId="0F5898D9">
                  <w:pPr>
                    <w:keepNext w:val="0"/>
                    <w:keepLines w:val="0"/>
                    <w:widowControl/>
                    <w:suppressLineNumbers w:val="0"/>
                    <w:jc w:val="center"/>
                    <w:textAlignment w:val="center"/>
                    <w:rPr>
                      <w:rFonts w:hint="default" w:ascii="Times New Roman" w:hAnsi="Times New Roman" w:cs="Times New Roman"/>
                      <w:color w:val="000000" w:themeColor="text1"/>
                      <w:kern w:val="0"/>
                      <w:sz w:val="20"/>
                      <w:szCs w:val="20"/>
                      <w:u w:val="none"/>
                      <w:lang w:val="en-US"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氧化铝</w:t>
                  </w:r>
                </w:p>
              </w:tc>
              <w:tc>
                <w:tcPr>
                  <w:tcW w:w="1588" w:type="dxa"/>
                  <w:tcBorders>
                    <w:tl2br w:val="nil"/>
                    <w:tr2bl w:val="nil"/>
                  </w:tcBorders>
                  <w:noWrap w:val="0"/>
                  <w:vAlign w:val="center"/>
                </w:tcPr>
                <w:p w14:paraId="6370B5A1">
                  <w:pPr>
                    <w:keepNext w:val="0"/>
                    <w:keepLines w:val="0"/>
                    <w:widowControl/>
                    <w:suppressLineNumbers w:val="0"/>
                    <w:jc w:val="center"/>
                    <w:textAlignment w:val="center"/>
                    <w:rPr>
                      <w:rFonts w:hint="default" w:ascii="Times New Roman" w:hAnsi="Times New Roman" w:eastAsia="宋体" w:cs="Times New Roman"/>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10</w:t>
                  </w:r>
                </w:p>
              </w:tc>
              <w:tc>
                <w:tcPr>
                  <w:tcW w:w="2140" w:type="dxa"/>
                  <w:tcBorders>
                    <w:tl2br w:val="nil"/>
                    <w:tr2bl w:val="nil"/>
                  </w:tcBorders>
                  <w:noWrap w:val="0"/>
                  <w:vAlign w:val="center"/>
                </w:tcPr>
                <w:p w14:paraId="0B19A3A0">
                  <w:pPr>
                    <w:keepNext w:val="0"/>
                    <w:keepLines w:val="0"/>
                    <w:widowControl/>
                    <w:suppressLineNumbers w:val="0"/>
                    <w:jc w:val="center"/>
                    <w:textAlignment w:val="cente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锡及其化合物</w:t>
                  </w:r>
                </w:p>
              </w:tc>
              <w:tc>
                <w:tcPr>
                  <w:tcW w:w="2570" w:type="dxa"/>
                  <w:tcBorders>
                    <w:tl2br w:val="nil"/>
                    <w:tr2bl w:val="nil"/>
                  </w:tcBorders>
                  <w:noWrap w:val="0"/>
                  <w:vAlign w:val="center"/>
                </w:tcPr>
                <w:p w14:paraId="3C580686">
                  <w:pPr>
                    <w:keepNext w:val="0"/>
                    <w:keepLines w:val="0"/>
                    <w:widowControl/>
                    <w:suppressLineNumbers w:val="0"/>
                    <w:jc w:val="center"/>
                    <w:textAlignment w:val="center"/>
                    <w:rPr>
                      <w:rFonts w:hint="default" w:ascii="Times New Roman" w:hAnsi="Times New Roman" w:eastAsia="宋体" w:cs="Times New Roman"/>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0.000</w:t>
                  </w:r>
                  <w:r>
                    <w:rPr>
                      <w:rFonts w:hint="eastAsia" w:cs="Times New Roman"/>
                      <w:i w:val="0"/>
                      <w:iCs w:val="0"/>
                      <w:color w:val="000000" w:themeColor="text1"/>
                      <w:kern w:val="0"/>
                      <w:sz w:val="20"/>
                      <w:szCs w:val="20"/>
                      <w:u w:val="none"/>
                      <w:lang w:val="en-US" w:eastAsia="zh-CN" w:bidi="ar"/>
                      <w14:textFill>
                        <w14:solidFill>
                          <w14:schemeClr w14:val="tx1"/>
                        </w14:solidFill>
                      </w14:textFill>
                    </w:rPr>
                    <w:t>15</w:t>
                  </w:r>
                </w:p>
              </w:tc>
            </w:tr>
            <w:tr w14:paraId="2ECDFA44">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15" w:type="dxa"/>
                  <w:left w:w="15" w:type="dxa"/>
                  <w:bottom w:w="15" w:type="dxa"/>
                  <w:right w:w="15" w:type="dxa"/>
                </w:tblCellMar>
              </w:tblPrEx>
              <w:trPr>
                <w:trHeight w:val="287" w:hRule="atLeast"/>
                <w:jc w:val="center"/>
              </w:trPr>
              <w:tc>
                <w:tcPr>
                  <w:tcW w:w="2180" w:type="dxa"/>
                  <w:tcBorders>
                    <w:tl2br w:val="nil"/>
                    <w:tr2bl w:val="nil"/>
                  </w:tcBorders>
                  <w:noWrap w:val="0"/>
                  <w:vAlign w:val="center"/>
                </w:tcPr>
                <w:p w14:paraId="7E904D7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聚乙烯醇（粘合剂）</w:t>
                  </w:r>
                </w:p>
              </w:tc>
              <w:tc>
                <w:tcPr>
                  <w:tcW w:w="1588" w:type="dxa"/>
                  <w:tcBorders>
                    <w:tl2br w:val="nil"/>
                    <w:tr2bl w:val="nil"/>
                  </w:tcBorders>
                  <w:noWrap w:val="0"/>
                  <w:vAlign w:val="center"/>
                </w:tcPr>
                <w:p w14:paraId="7A81F195">
                  <w:pPr>
                    <w:keepNext w:val="0"/>
                    <w:keepLines w:val="0"/>
                    <w:widowControl/>
                    <w:suppressLineNumbers w:val="0"/>
                    <w:jc w:val="center"/>
                    <w:textAlignment w:val="center"/>
                    <w:rPr>
                      <w:rFonts w:hint="default" w:ascii="Times New Roman" w:hAnsi="Times New Roman" w:eastAsia="宋体" w:cs="Times New Roman"/>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0.5</w:t>
                  </w:r>
                </w:p>
              </w:tc>
              <w:tc>
                <w:tcPr>
                  <w:tcW w:w="2140" w:type="dxa"/>
                  <w:tcBorders>
                    <w:tl2br w:val="nil"/>
                    <w:tr2bl w:val="nil"/>
                  </w:tcBorders>
                  <w:noWrap w:val="0"/>
                  <w:vAlign w:val="center"/>
                </w:tcPr>
                <w:p w14:paraId="7EE9D7B1">
                  <w:pPr>
                    <w:keepNext w:val="0"/>
                    <w:keepLines w:val="0"/>
                    <w:widowControl/>
                    <w:suppressLineNumbers w:val="0"/>
                    <w:jc w:val="center"/>
                    <w:textAlignment w:val="cente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废边角料</w:t>
                  </w:r>
                </w:p>
              </w:tc>
              <w:tc>
                <w:tcPr>
                  <w:tcW w:w="2570" w:type="dxa"/>
                  <w:tcBorders>
                    <w:tl2br w:val="nil"/>
                    <w:tr2bl w:val="nil"/>
                  </w:tcBorders>
                  <w:noWrap w:val="0"/>
                  <w:vAlign w:val="center"/>
                </w:tcPr>
                <w:p w14:paraId="15E8071B">
                  <w:pPr>
                    <w:keepNext w:val="0"/>
                    <w:keepLines w:val="0"/>
                    <w:widowControl/>
                    <w:suppressLineNumbers w:val="0"/>
                    <w:jc w:val="center"/>
                    <w:textAlignment w:val="center"/>
                    <w:rPr>
                      <w:rFonts w:hint="default" w:ascii="Times New Roman" w:hAnsi="Times New Roman" w:eastAsia="宋体" w:cs="Times New Roman"/>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0.0</w:t>
                  </w:r>
                  <w:r>
                    <w:rPr>
                      <w:rFonts w:hint="eastAsia" w:cs="Times New Roman"/>
                      <w:i w:val="0"/>
                      <w:iCs w:val="0"/>
                      <w:color w:val="000000" w:themeColor="text1"/>
                      <w:kern w:val="0"/>
                      <w:sz w:val="20"/>
                      <w:szCs w:val="20"/>
                      <w:u w:val="none"/>
                      <w:lang w:val="en-US" w:eastAsia="zh-CN" w:bidi="ar"/>
                      <w14:textFill>
                        <w14:solidFill>
                          <w14:schemeClr w14:val="tx1"/>
                        </w14:solidFill>
                      </w14:textFill>
                    </w:rPr>
                    <w:t>4</w:t>
                  </w: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 xml:space="preserve">5 </w:t>
                  </w:r>
                </w:p>
              </w:tc>
            </w:tr>
            <w:tr w14:paraId="4DE720CD">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15" w:type="dxa"/>
                  <w:left w:w="15" w:type="dxa"/>
                  <w:bottom w:w="15" w:type="dxa"/>
                  <w:right w:w="15" w:type="dxa"/>
                </w:tblCellMar>
              </w:tblPrEx>
              <w:trPr>
                <w:trHeight w:val="382" w:hRule="atLeast"/>
                <w:jc w:val="center"/>
              </w:trPr>
              <w:tc>
                <w:tcPr>
                  <w:tcW w:w="2180" w:type="dxa"/>
                  <w:tcBorders>
                    <w:tl2br w:val="nil"/>
                    <w:tr2bl w:val="nil"/>
                  </w:tcBorders>
                  <w:noWrap w:val="0"/>
                  <w:vAlign w:val="center"/>
                </w:tcPr>
                <w:p w14:paraId="62842D7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银浆</w:t>
                  </w:r>
                </w:p>
              </w:tc>
              <w:tc>
                <w:tcPr>
                  <w:tcW w:w="1588" w:type="dxa"/>
                  <w:tcBorders>
                    <w:tl2br w:val="nil"/>
                    <w:tr2bl w:val="nil"/>
                  </w:tcBorders>
                  <w:noWrap w:val="0"/>
                  <w:vAlign w:val="center"/>
                </w:tcPr>
                <w:p w14:paraId="30332451">
                  <w:pPr>
                    <w:keepNext w:val="0"/>
                    <w:keepLines w:val="0"/>
                    <w:widowControl/>
                    <w:suppressLineNumbers w:val="0"/>
                    <w:jc w:val="center"/>
                    <w:textAlignment w:val="center"/>
                    <w:rPr>
                      <w:rFonts w:hint="default" w:ascii="Times New Roman" w:hAnsi="Times New Roman" w:eastAsia="宋体" w:cs="Times New Roman"/>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0.125</w:t>
                  </w:r>
                </w:p>
              </w:tc>
              <w:tc>
                <w:tcPr>
                  <w:tcW w:w="2140" w:type="dxa"/>
                  <w:tcBorders>
                    <w:tl2br w:val="nil"/>
                    <w:tr2bl w:val="nil"/>
                  </w:tcBorders>
                  <w:noWrap w:val="0"/>
                  <w:vAlign w:val="center"/>
                </w:tcPr>
                <w:p w14:paraId="35914563">
                  <w:pPr>
                    <w:keepNext w:val="0"/>
                    <w:keepLines w:val="0"/>
                    <w:widowControl/>
                    <w:suppressLineNumbers w:val="0"/>
                    <w:jc w:val="center"/>
                    <w:textAlignment w:val="center"/>
                    <w:rPr>
                      <w:rFonts w:hint="default" w:ascii="Times New Roman" w:hAnsi="Times New Roman" w:eastAsia="宋体" w:cs="Times New Roman"/>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收尘灰</w:t>
                  </w:r>
                </w:p>
              </w:tc>
              <w:tc>
                <w:tcPr>
                  <w:tcW w:w="2570" w:type="dxa"/>
                  <w:tcBorders>
                    <w:tl2br w:val="nil"/>
                    <w:tr2bl w:val="nil"/>
                  </w:tcBorders>
                  <w:noWrap w:val="0"/>
                  <w:vAlign w:val="center"/>
                </w:tcPr>
                <w:p w14:paraId="2A74E31C">
                  <w:pPr>
                    <w:keepNext w:val="0"/>
                    <w:keepLines w:val="0"/>
                    <w:widowControl/>
                    <w:suppressLineNumbers w:val="0"/>
                    <w:jc w:val="center"/>
                    <w:textAlignment w:val="center"/>
                    <w:rPr>
                      <w:rFonts w:hint="default" w:ascii="Times New Roman" w:hAnsi="Times New Roman" w:cs="Times New Roman"/>
                      <w:color w:val="000000" w:themeColor="text1"/>
                      <w:kern w:val="0"/>
                      <w:sz w:val="20"/>
                      <w:szCs w:val="20"/>
                      <w:u w:val="none"/>
                      <w:lang w:val="en-US" w:bidi="ar"/>
                      <w14:textFill>
                        <w14:solidFill>
                          <w14:schemeClr w14:val="tx1"/>
                        </w14:solidFill>
                      </w14:textFill>
                    </w:rPr>
                  </w:pPr>
                  <w:r>
                    <w:rPr>
                      <w:rFonts w:hint="eastAsia" w:cs="Times New Roman"/>
                      <w:i w:val="0"/>
                      <w:iCs w:val="0"/>
                      <w:color w:val="000000" w:themeColor="text1"/>
                      <w:kern w:val="0"/>
                      <w:sz w:val="20"/>
                      <w:szCs w:val="20"/>
                      <w:u w:val="none"/>
                      <w:lang w:val="en-US" w:eastAsia="zh-CN" w:bidi="ar"/>
                      <w14:textFill>
                        <w14:solidFill>
                          <w14:schemeClr w14:val="tx1"/>
                        </w14:solidFill>
                      </w14:textFill>
                    </w:rPr>
                    <w:t>0.66</w:t>
                  </w:r>
                </w:p>
              </w:tc>
            </w:tr>
            <w:tr w14:paraId="05BDB0B4">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15" w:type="dxa"/>
                  <w:left w:w="15" w:type="dxa"/>
                  <w:bottom w:w="15" w:type="dxa"/>
                  <w:right w:w="15" w:type="dxa"/>
                </w:tblCellMar>
              </w:tblPrEx>
              <w:trPr>
                <w:trHeight w:val="340" w:hRule="atLeast"/>
                <w:jc w:val="center"/>
              </w:trPr>
              <w:tc>
                <w:tcPr>
                  <w:tcW w:w="2180" w:type="dxa"/>
                  <w:tcBorders>
                    <w:tl2br w:val="nil"/>
                    <w:tr2bl w:val="nil"/>
                  </w:tcBorders>
                  <w:vAlign w:val="center"/>
                </w:tcPr>
                <w:p w14:paraId="2EF74E0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铜浆</w:t>
                  </w:r>
                </w:p>
              </w:tc>
              <w:tc>
                <w:tcPr>
                  <w:tcW w:w="1588" w:type="dxa"/>
                  <w:tcBorders>
                    <w:tl2br w:val="nil"/>
                    <w:tr2bl w:val="nil"/>
                  </w:tcBorders>
                  <w:vAlign w:val="center"/>
                </w:tcPr>
                <w:p w14:paraId="6E3E010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0.075</w:t>
                  </w:r>
                </w:p>
              </w:tc>
              <w:tc>
                <w:tcPr>
                  <w:tcW w:w="2140" w:type="dxa"/>
                  <w:tcBorders>
                    <w:tl2br w:val="nil"/>
                    <w:tr2bl w:val="nil"/>
                  </w:tcBorders>
                  <w:vAlign w:val="center"/>
                </w:tcPr>
                <w:p w14:paraId="416BC68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吸附废气量</w:t>
                  </w:r>
                </w:p>
              </w:tc>
              <w:tc>
                <w:tcPr>
                  <w:tcW w:w="2570" w:type="dxa"/>
                  <w:tcBorders>
                    <w:tl2br w:val="nil"/>
                    <w:tr2bl w:val="nil"/>
                  </w:tcBorders>
                  <w:vAlign w:val="center"/>
                </w:tcPr>
                <w:p w14:paraId="6BB7BD56">
                  <w:pPr>
                    <w:keepNext w:val="0"/>
                    <w:keepLines w:val="0"/>
                    <w:widowControl/>
                    <w:suppressLineNumbers w:val="0"/>
                    <w:jc w:val="center"/>
                    <w:textAlignment w:val="center"/>
                    <w:rPr>
                      <w:rFonts w:hint="default" w:ascii="Times New Roman" w:hAnsi="Times New Roman" w:eastAsia="宋体" w:cs="Times New Roman"/>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 xml:space="preserve">0.071 </w:t>
                  </w:r>
                </w:p>
              </w:tc>
            </w:tr>
            <w:tr w14:paraId="05274426">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15" w:type="dxa"/>
                  <w:left w:w="15" w:type="dxa"/>
                  <w:bottom w:w="15" w:type="dxa"/>
                  <w:right w:w="15" w:type="dxa"/>
                </w:tblCellMar>
              </w:tblPrEx>
              <w:trPr>
                <w:trHeight w:val="340" w:hRule="atLeast"/>
                <w:jc w:val="center"/>
              </w:trPr>
              <w:tc>
                <w:tcPr>
                  <w:tcW w:w="2180" w:type="dxa"/>
                  <w:tcBorders>
                    <w:tl2br w:val="nil"/>
                    <w:tr2bl w:val="nil"/>
                  </w:tcBorders>
                  <w:vAlign w:val="center"/>
                </w:tcPr>
                <w:p w14:paraId="7D5451C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金属线材</w:t>
                  </w:r>
                </w:p>
              </w:tc>
              <w:tc>
                <w:tcPr>
                  <w:tcW w:w="1588" w:type="dxa"/>
                  <w:tcBorders>
                    <w:tl2br w:val="nil"/>
                    <w:tr2bl w:val="nil"/>
                  </w:tcBorders>
                  <w:vAlign w:val="center"/>
                </w:tcPr>
                <w:p w14:paraId="5569338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1.5</w:t>
                  </w:r>
                </w:p>
              </w:tc>
              <w:tc>
                <w:tcPr>
                  <w:tcW w:w="2140" w:type="dxa"/>
                  <w:tcBorders>
                    <w:tl2br w:val="nil"/>
                    <w:tr2bl w:val="nil"/>
                  </w:tcBorders>
                  <w:vAlign w:val="center"/>
                </w:tcPr>
                <w:p w14:paraId="06EEB630">
                  <w:pPr>
                    <w:jc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eastAsia" w:cs="Times New Roman"/>
                      <w:i w:val="0"/>
                      <w:iCs w:val="0"/>
                      <w:color w:val="000000" w:themeColor="text1"/>
                      <w:kern w:val="0"/>
                      <w:sz w:val="20"/>
                      <w:szCs w:val="20"/>
                      <w:u w:val="none"/>
                      <w:lang w:val="en-US" w:eastAsia="zh-CN" w:bidi="ar"/>
                      <w14:textFill>
                        <w14:solidFill>
                          <w14:schemeClr w14:val="tx1"/>
                        </w14:solidFill>
                      </w14:textFill>
                    </w:rPr>
                    <w:t>不合格产品</w:t>
                  </w:r>
                </w:p>
              </w:tc>
              <w:tc>
                <w:tcPr>
                  <w:tcW w:w="2570" w:type="dxa"/>
                  <w:tcBorders>
                    <w:tl2br w:val="nil"/>
                    <w:tr2bl w:val="nil"/>
                  </w:tcBorders>
                  <w:vAlign w:val="center"/>
                </w:tcPr>
                <w:p w14:paraId="3EB7F753">
                  <w:pPr>
                    <w:jc w:val="center"/>
                    <w:rPr>
                      <w:rFonts w:hint="default" w:ascii="Times New Roman" w:hAnsi="Times New Roman" w:eastAsia="宋体" w:cs="Times New Roman"/>
                      <w:color w:val="000000" w:themeColor="text1"/>
                      <w:kern w:val="0"/>
                      <w:sz w:val="20"/>
                      <w:szCs w:val="20"/>
                      <w:u w:val="none"/>
                      <w:lang w:val="en-US" w:eastAsia="zh-CN" w:bidi="ar"/>
                      <w14:textFill>
                        <w14:solidFill>
                          <w14:schemeClr w14:val="tx1"/>
                        </w14:solidFill>
                      </w14:textFill>
                    </w:rPr>
                  </w:pPr>
                  <w:r>
                    <w:rPr>
                      <w:rFonts w:hint="eastAsia" w:cs="Times New Roman"/>
                      <w:color w:val="000000" w:themeColor="text1"/>
                      <w:kern w:val="0"/>
                      <w:sz w:val="20"/>
                      <w:szCs w:val="20"/>
                      <w:u w:val="none"/>
                      <w:lang w:val="en-US" w:eastAsia="zh-CN" w:bidi="ar"/>
                      <w14:textFill>
                        <w14:solidFill>
                          <w14:schemeClr w14:val="tx1"/>
                        </w14:solidFill>
                      </w14:textFill>
                    </w:rPr>
                    <w:t>1.4</w:t>
                  </w:r>
                </w:p>
              </w:tc>
            </w:tr>
            <w:tr w14:paraId="6B3E4223">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15" w:type="dxa"/>
                  <w:left w:w="15" w:type="dxa"/>
                  <w:bottom w:w="15" w:type="dxa"/>
                  <w:right w:w="15" w:type="dxa"/>
                </w:tblCellMar>
              </w:tblPrEx>
              <w:trPr>
                <w:trHeight w:val="340" w:hRule="atLeast"/>
                <w:jc w:val="center"/>
              </w:trPr>
              <w:tc>
                <w:tcPr>
                  <w:tcW w:w="2180" w:type="dxa"/>
                  <w:tcBorders>
                    <w:tl2br w:val="nil"/>
                    <w:tr2bl w:val="nil"/>
                  </w:tcBorders>
                  <w:vAlign w:val="center"/>
                </w:tcPr>
                <w:p w14:paraId="41BE046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纯锡锡条</w:t>
                  </w:r>
                </w:p>
              </w:tc>
              <w:tc>
                <w:tcPr>
                  <w:tcW w:w="1588" w:type="dxa"/>
                  <w:tcBorders>
                    <w:tl2br w:val="nil"/>
                    <w:tr2bl w:val="nil"/>
                  </w:tcBorders>
                  <w:vAlign w:val="center"/>
                </w:tcPr>
                <w:p w14:paraId="0FC15E3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2</w:t>
                  </w:r>
                </w:p>
              </w:tc>
              <w:tc>
                <w:tcPr>
                  <w:tcW w:w="2140" w:type="dxa"/>
                  <w:tcBorders>
                    <w:tl2br w:val="nil"/>
                    <w:tr2bl w:val="nil"/>
                  </w:tcBorders>
                  <w:vAlign w:val="center"/>
                </w:tcPr>
                <w:p w14:paraId="76804DAC">
                  <w:pPr>
                    <w:jc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eastAsia" w:cs="Times New Roman"/>
                      <w:i w:val="0"/>
                      <w:iCs w:val="0"/>
                      <w:color w:val="000000" w:themeColor="text1"/>
                      <w:kern w:val="0"/>
                      <w:sz w:val="20"/>
                      <w:szCs w:val="20"/>
                      <w:u w:val="none"/>
                      <w:lang w:val="en-US" w:eastAsia="zh-CN" w:bidi="ar"/>
                      <w14:textFill>
                        <w14:solidFill>
                          <w14:schemeClr w14:val="tx1"/>
                        </w14:solidFill>
                      </w14:textFill>
                    </w:rPr>
                    <w:t>沉渣</w:t>
                  </w:r>
                </w:p>
              </w:tc>
              <w:tc>
                <w:tcPr>
                  <w:tcW w:w="2570" w:type="dxa"/>
                  <w:tcBorders>
                    <w:tl2br w:val="nil"/>
                    <w:tr2bl w:val="nil"/>
                  </w:tcBorders>
                  <w:vAlign w:val="center"/>
                </w:tcPr>
                <w:p w14:paraId="7B5EE116">
                  <w:pPr>
                    <w:jc w:val="center"/>
                    <w:rPr>
                      <w:rFonts w:hint="default" w:ascii="Times New Roman" w:hAnsi="Times New Roman" w:eastAsia="宋体" w:cs="Times New Roman"/>
                      <w:color w:val="000000" w:themeColor="text1"/>
                      <w:kern w:val="0"/>
                      <w:sz w:val="20"/>
                      <w:szCs w:val="20"/>
                      <w:u w:val="none"/>
                      <w:lang w:val="en-US" w:eastAsia="zh-CN" w:bidi="ar"/>
                      <w14:textFill>
                        <w14:solidFill>
                          <w14:schemeClr w14:val="tx1"/>
                        </w14:solidFill>
                      </w14:textFill>
                    </w:rPr>
                  </w:pPr>
                  <w:r>
                    <w:rPr>
                      <w:rFonts w:hint="eastAsia" w:cs="Times New Roman"/>
                      <w:color w:val="000000" w:themeColor="text1"/>
                      <w:kern w:val="0"/>
                      <w:sz w:val="20"/>
                      <w:szCs w:val="20"/>
                      <w:u w:val="none"/>
                      <w:lang w:val="en-US" w:eastAsia="zh-CN" w:bidi="ar"/>
                      <w14:textFill>
                        <w14:solidFill>
                          <w14:schemeClr w14:val="tx1"/>
                        </w14:solidFill>
                      </w14:textFill>
                    </w:rPr>
                    <w:t>0.4</w:t>
                  </w:r>
                </w:p>
              </w:tc>
            </w:tr>
            <w:tr w14:paraId="4ACB62EC">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15" w:type="dxa"/>
                  <w:left w:w="15" w:type="dxa"/>
                  <w:bottom w:w="15" w:type="dxa"/>
                  <w:right w:w="15" w:type="dxa"/>
                </w:tblCellMar>
              </w:tblPrEx>
              <w:trPr>
                <w:trHeight w:val="340" w:hRule="atLeast"/>
                <w:jc w:val="center"/>
              </w:trPr>
              <w:tc>
                <w:tcPr>
                  <w:tcW w:w="2180" w:type="dxa"/>
                  <w:tcBorders>
                    <w:tl2br w:val="nil"/>
                    <w:tr2bl w:val="nil"/>
                  </w:tcBorders>
                  <w:vAlign w:val="center"/>
                </w:tcPr>
                <w:p w14:paraId="2F79C68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包封材料</w:t>
                  </w:r>
                </w:p>
              </w:tc>
              <w:tc>
                <w:tcPr>
                  <w:tcW w:w="1588" w:type="dxa"/>
                  <w:tcBorders>
                    <w:tl2br w:val="nil"/>
                    <w:tr2bl w:val="nil"/>
                  </w:tcBorders>
                  <w:vAlign w:val="center"/>
                </w:tcPr>
                <w:p w14:paraId="14B412F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15</w:t>
                  </w:r>
                </w:p>
              </w:tc>
              <w:tc>
                <w:tcPr>
                  <w:tcW w:w="2140" w:type="dxa"/>
                  <w:tcBorders>
                    <w:tl2br w:val="nil"/>
                    <w:tr2bl w:val="nil"/>
                  </w:tcBorders>
                  <w:vAlign w:val="center"/>
                </w:tcPr>
                <w:p w14:paraId="2F6B743B">
                  <w:pPr>
                    <w:jc w:val="cente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pPr>
                </w:p>
              </w:tc>
              <w:tc>
                <w:tcPr>
                  <w:tcW w:w="2570" w:type="dxa"/>
                  <w:tcBorders>
                    <w:tl2br w:val="nil"/>
                    <w:tr2bl w:val="nil"/>
                  </w:tcBorders>
                  <w:vAlign w:val="center"/>
                </w:tcPr>
                <w:p w14:paraId="336558E1">
                  <w:pPr>
                    <w:jc w:val="center"/>
                    <w:rPr>
                      <w:rFonts w:hint="default" w:ascii="Times New Roman" w:hAnsi="Times New Roman" w:eastAsia="宋体" w:cs="Times New Roman"/>
                      <w:color w:val="000000" w:themeColor="text1"/>
                      <w:kern w:val="0"/>
                      <w:sz w:val="20"/>
                      <w:szCs w:val="20"/>
                      <w:u w:val="none"/>
                      <w:lang w:val="en-US" w:eastAsia="zh-CN" w:bidi="ar"/>
                      <w14:textFill>
                        <w14:solidFill>
                          <w14:schemeClr w14:val="tx1"/>
                        </w14:solidFill>
                      </w14:textFill>
                    </w:rPr>
                  </w:pPr>
                </w:p>
              </w:tc>
            </w:tr>
            <w:tr w14:paraId="34A96124">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15" w:type="dxa"/>
                  <w:left w:w="15" w:type="dxa"/>
                  <w:bottom w:w="15" w:type="dxa"/>
                  <w:right w:w="15" w:type="dxa"/>
                </w:tblCellMar>
              </w:tblPrEx>
              <w:trPr>
                <w:trHeight w:val="340" w:hRule="atLeast"/>
                <w:jc w:val="center"/>
              </w:trPr>
              <w:tc>
                <w:tcPr>
                  <w:tcW w:w="2180" w:type="dxa"/>
                  <w:tcBorders>
                    <w:tl2br w:val="nil"/>
                    <w:tr2bl w:val="nil"/>
                  </w:tcBorders>
                  <w:vAlign w:val="center"/>
                </w:tcPr>
                <w:p w14:paraId="6BC5A053">
                  <w:pPr>
                    <w:keepNext w:val="0"/>
                    <w:keepLines w:val="0"/>
                    <w:widowControl/>
                    <w:suppressLineNumbers w:val="0"/>
                    <w:jc w:val="center"/>
                    <w:textAlignment w:val="center"/>
                    <w:rPr>
                      <w:rFonts w:hint="default" w:ascii="Times New Roman" w:hAnsi="Times New Roman" w:eastAsia="宋体" w:cs="Times New Roman"/>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合计</w:t>
                  </w:r>
                </w:p>
              </w:tc>
              <w:tc>
                <w:tcPr>
                  <w:tcW w:w="1588" w:type="dxa"/>
                  <w:tcBorders>
                    <w:tl2br w:val="nil"/>
                    <w:tr2bl w:val="nil"/>
                  </w:tcBorders>
                  <w:vAlign w:val="center"/>
                </w:tcPr>
                <w:p w14:paraId="0EA09B98">
                  <w:pPr>
                    <w:keepNext w:val="0"/>
                    <w:keepLines w:val="0"/>
                    <w:widowControl/>
                    <w:suppressLineNumbers w:val="0"/>
                    <w:jc w:val="center"/>
                    <w:textAlignment w:val="center"/>
                    <w:rPr>
                      <w:rFonts w:hint="default" w:ascii="Times New Roman" w:hAnsi="Times New Roman" w:eastAsia="宋体" w:cs="Times New Roman"/>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1</w:t>
                  </w:r>
                  <w:r>
                    <w:rPr>
                      <w:rFonts w:hint="eastAsia" w:cs="Times New Roman"/>
                      <w:i w:val="0"/>
                      <w:iCs w:val="0"/>
                      <w:color w:val="000000" w:themeColor="text1"/>
                      <w:kern w:val="0"/>
                      <w:sz w:val="20"/>
                      <w:szCs w:val="20"/>
                      <w:u w:val="none"/>
                      <w:lang w:val="en-US" w:eastAsia="zh-CN" w:bidi="ar"/>
                      <w14:textFill>
                        <w14:solidFill>
                          <w14:schemeClr w14:val="tx1"/>
                        </w14:solidFill>
                      </w14:textFill>
                    </w:rPr>
                    <w:t>57</w:t>
                  </w: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.2</w:t>
                  </w:r>
                </w:p>
              </w:tc>
              <w:tc>
                <w:tcPr>
                  <w:tcW w:w="2140" w:type="dxa"/>
                  <w:tcBorders>
                    <w:tl2br w:val="nil"/>
                    <w:tr2bl w:val="nil"/>
                  </w:tcBorders>
                  <w:vAlign w:val="center"/>
                </w:tcPr>
                <w:p w14:paraId="65285E74">
                  <w:pPr>
                    <w:keepNext w:val="0"/>
                    <w:keepLines w:val="0"/>
                    <w:widowControl/>
                    <w:suppressLineNumbers w:val="0"/>
                    <w:jc w:val="center"/>
                    <w:textAlignment w:val="center"/>
                    <w:rPr>
                      <w:rFonts w:hint="default" w:ascii="Times New Roman" w:hAnsi="Times New Roman" w:eastAsia="宋体" w:cs="Times New Roman"/>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合计</w:t>
                  </w:r>
                </w:p>
              </w:tc>
              <w:tc>
                <w:tcPr>
                  <w:tcW w:w="2570" w:type="dxa"/>
                  <w:tcBorders>
                    <w:tl2br w:val="nil"/>
                    <w:tr2bl w:val="nil"/>
                  </w:tcBorders>
                  <w:vAlign w:val="center"/>
                </w:tcPr>
                <w:p w14:paraId="71A6143D">
                  <w:pPr>
                    <w:jc w:val="center"/>
                    <w:rPr>
                      <w:rFonts w:hint="default" w:ascii="Times New Roman" w:hAnsi="Times New Roman" w:eastAsia="宋体" w:cs="Times New Roman"/>
                      <w:color w:val="000000" w:themeColor="text1"/>
                      <w:kern w:val="0"/>
                      <w:sz w:val="20"/>
                      <w:szCs w:val="20"/>
                      <w:u w:val="none"/>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0"/>
                      <w:szCs w:val="20"/>
                      <w:u w:val="none"/>
                      <w:lang w:val="en-US" w:eastAsia="zh-CN" w:bidi="ar"/>
                      <w14:textFill>
                        <w14:solidFill>
                          <w14:schemeClr w14:val="tx1"/>
                        </w14:solidFill>
                      </w14:textFill>
                    </w:rPr>
                    <w:t xml:space="preserve">157.2 </w:t>
                  </w:r>
                </w:p>
              </w:tc>
            </w:tr>
          </w:tbl>
          <w:p w14:paraId="100E7937">
            <w:pPr>
              <w:widowControl/>
              <w:adjustRightInd w:val="0"/>
              <w:snapToGrid w:val="0"/>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lang w:eastAsia="zh-CN"/>
                <w14:textFill>
                  <w14:solidFill>
                    <w14:schemeClr w14:val="tx1"/>
                  </w14:solidFill>
                </w14:textFill>
              </w:rPr>
              <w:t>6.</w:t>
            </w:r>
            <w:r>
              <w:rPr>
                <w:rFonts w:hint="default" w:ascii="Times New Roman" w:hAnsi="Times New Roman" w:cs="Times New Roman"/>
                <w:color w:val="000000" w:themeColor="text1"/>
                <w:sz w:val="24"/>
                <w14:textFill>
                  <w14:solidFill>
                    <w14:schemeClr w14:val="tx1"/>
                  </w14:solidFill>
                </w14:textFill>
              </w:rPr>
              <w:t>供水</w:t>
            </w:r>
          </w:p>
          <w:p w14:paraId="14D388A0">
            <w:pPr>
              <w:spacing w:line="360" w:lineRule="auto"/>
              <w:ind w:firstLine="480" w:firstLineChars="200"/>
              <w:rPr>
                <w:rFonts w:hint="default" w:ascii="Times New Roman" w:hAnsi="Times New Roman" w:cs="Times New Roman"/>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lang w:val="en-US" w:eastAsia="zh-CN"/>
                <w14:textFill>
                  <w14:solidFill>
                    <w14:schemeClr w14:val="tx1"/>
                  </w14:solidFill>
                </w14:textFill>
              </w:rPr>
              <w:t>1</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lang w:val="en-US" w:eastAsia="zh-CN"/>
                <w14:textFill>
                  <w14:solidFill>
                    <w14:schemeClr w14:val="tx1"/>
                  </w14:solidFill>
                </w14:textFill>
              </w:rPr>
              <w:t>给水</w:t>
            </w:r>
          </w:p>
          <w:p w14:paraId="6C7C372A">
            <w:pPr>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本项目供水由</w:t>
            </w:r>
            <w:r>
              <w:rPr>
                <w:rFonts w:hint="default" w:ascii="Times New Roman" w:hAnsi="Times New Roman" w:cs="Times New Roman"/>
                <w:color w:val="000000" w:themeColor="text1"/>
                <w:sz w:val="24"/>
                <w:szCs w:val="24"/>
                <w:lang w:val="zh-CN"/>
                <w14:textFill>
                  <w14:solidFill>
                    <w14:schemeClr w14:val="tx1"/>
                  </w14:solidFill>
                </w14:textFill>
              </w:rPr>
              <w:t>由市政</w:t>
            </w:r>
            <w:r>
              <w:rPr>
                <w:rFonts w:hint="default" w:ascii="Times New Roman" w:hAnsi="Times New Roman" w:cs="Times New Roman"/>
                <w:color w:val="000000" w:themeColor="text1"/>
                <w:sz w:val="24"/>
                <w:szCs w:val="24"/>
                <w:lang w:val="en-US" w:eastAsia="zh-CN"/>
                <w14:textFill>
                  <w14:solidFill>
                    <w14:schemeClr w14:val="tx1"/>
                  </w14:solidFill>
                </w14:textFill>
              </w:rPr>
              <w:t>供水</w:t>
            </w:r>
            <w:r>
              <w:rPr>
                <w:rFonts w:hint="default" w:ascii="Times New Roman" w:hAnsi="Times New Roman" w:cs="Times New Roman"/>
                <w:color w:val="000000" w:themeColor="text1"/>
                <w:sz w:val="24"/>
                <w:szCs w:val="24"/>
                <w:lang w:val="zh-CN"/>
                <w14:textFill>
                  <w14:solidFill>
                    <w14:schemeClr w14:val="tx1"/>
                  </w14:solidFill>
                </w14:textFill>
              </w:rPr>
              <w:t>管网供应，</w:t>
            </w:r>
            <w:r>
              <w:rPr>
                <w:rFonts w:hint="default" w:ascii="Times New Roman" w:hAnsi="Times New Roman" w:cs="Times New Roman"/>
                <w:color w:val="000000" w:themeColor="text1"/>
                <w:sz w:val="24"/>
                <w14:textFill>
                  <w14:solidFill>
                    <w14:schemeClr w14:val="tx1"/>
                  </w14:solidFill>
                </w14:textFill>
              </w:rPr>
              <w:t>本项目用水主要为</w:t>
            </w:r>
            <w:r>
              <w:rPr>
                <w:rFonts w:hint="default" w:ascii="Times New Roman" w:hAnsi="Times New Roman" w:cs="Times New Roman"/>
                <w:color w:val="000000" w:themeColor="text1"/>
                <w:sz w:val="24"/>
                <w:lang w:val="en-US" w:eastAsia="zh-CN"/>
                <w14:textFill>
                  <w14:solidFill>
                    <w14:schemeClr w14:val="tx1"/>
                  </w14:solidFill>
                </w14:textFill>
              </w:rPr>
              <w:t>生活用水和生产用水</w:t>
            </w:r>
            <w:r>
              <w:rPr>
                <w:rFonts w:hint="default" w:ascii="Times New Roman" w:hAnsi="Times New Roman" w:cs="Times New Roman"/>
                <w:color w:val="000000" w:themeColor="text1"/>
                <w:sz w:val="24"/>
                <w14:textFill>
                  <w14:solidFill>
                    <w14:schemeClr w14:val="tx1"/>
                  </w14:solidFill>
                </w14:textFill>
              </w:rPr>
              <w:t>。</w:t>
            </w:r>
          </w:p>
          <w:p w14:paraId="0DE33470">
            <w:pPr>
              <w:spacing w:line="360" w:lineRule="auto"/>
              <w:ind w:firstLine="480" w:firstLineChars="200"/>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1）生活用水</w:t>
            </w:r>
          </w:p>
          <w:p w14:paraId="25E9E70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eastAsia="zh-CN"/>
                <w14:textFill>
                  <w14:solidFill>
                    <w14:schemeClr w14:val="tx1"/>
                  </w14:solidFill>
                </w14:textFill>
              </w:rPr>
              <w:t>本</w:t>
            </w:r>
            <w:r>
              <w:rPr>
                <w:rFonts w:hint="default" w:ascii="Times New Roman" w:hAnsi="Times New Roman" w:eastAsia="宋体" w:cs="Times New Roman"/>
                <w:color w:val="000000" w:themeColor="text1"/>
                <w:sz w:val="24"/>
                <w:szCs w:val="24"/>
                <w14:textFill>
                  <w14:solidFill>
                    <w14:schemeClr w14:val="tx1"/>
                  </w14:solidFill>
                </w14:textFill>
              </w:rPr>
              <w:t>项目劳动定员</w:t>
            </w:r>
            <w:r>
              <w:rPr>
                <w:rFonts w:hint="default" w:ascii="Times New Roman" w:hAnsi="Times New Roman" w:cs="Times New Roman"/>
                <w:color w:val="000000" w:themeColor="text1"/>
                <w:sz w:val="24"/>
                <w:szCs w:val="24"/>
                <w:lang w:val="en-US" w:eastAsia="zh-CN"/>
                <w14:textFill>
                  <w14:solidFill>
                    <w14:schemeClr w14:val="tx1"/>
                  </w14:solidFill>
                </w14:textFill>
              </w:rPr>
              <w:t>30</w:t>
            </w:r>
            <w:r>
              <w:rPr>
                <w:rFonts w:hint="default" w:ascii="Times New Roman" w:hAnsi="Times New Roman" w:eastAsia="宋体" w:cs="Times New Roman"/>
                <w:color w:val="000000" w:themeColor="text1"/>
                <w:sz w:val="24"/>
                <w:szCs w:val="24"/>
                <w14:textFill>
                  <w14:solidFill>
                    <w14:schemeClr w14:val="tx1"/>
                  </w14:solidFill>
                </w14:textFill>
              </w:rPr>
              <w:t>人，厂区</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不</w:t>
            </w:r>
            <w:r>
              <w:rPr>
                <w:rFonts w:hint="default" w:ascii="Times New Roman" w:hAnsi="Times New Roman" w:eastAsia="宋体" w:cs="Times New Roman"/>
                <w:color w:val="000000" w:themeColor="text1"/>
                <w:sz w:val="24"/>
                <w:szCs w:val="24"/>
                <w14:textFill>
                  <w14:solidFill>
                    <w14:schemeClr w14:val="tx1"/>
                  </w14:solidFill>
                </w14:textFill>
              </w:rPr>
              <w:t>提供食宿，根据《行业用水定额》（陕西省地方标准 2020修订版），本项目营运期员工用水量按</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表B.17行政办公及科研院所通用值25m</w:t>
            </w:r>
            <w:r>
              <w:rPr>
                <w:rFonts w:hint="default" w:ascii="Times New Roman" w:hAnsi="Times New Roman" w:eastAsia="宋体" w:cs="Times New Roman"/>
                <w:color w:val="000000" w:themeColor="text1"/>
                <w:sz w:val="24"/>
                <w:szCs w:val="24"/>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/（人•a）</w:t>
            </w:r>
            <w:r>
              <w:rPr>
                <w:rFonts w:hint="default" w:ascii="Times New Roman" w:hAnsi="Times New Roman" w:eastAsia="宋体" w:cs="Times New Roman"/>
                <w:color w:val="000000" w:themeColor="text1"/>
                <w:sz w:val="24"/>
                <w:szCs w:val="24"/>
                <w14:textFill>
                  <w14:solidFill>
                    <w14:schemeClr w14:val="tx1"/>
                  </w14:solidFill>
                </w14:textFill>
              </w:rPr>
              <w:t>计</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项目年运行300天，则本项目员工生活用水量为</w:t>
            </w:r>
            <w:r>
              <w:rPr>
                <w:rFonts w:hint="default" w:ascii="Times New Roman" w:hAnsi="Times New Roman" w:cs="Times New Roman"/>
                <w:color w:val="000000" w:themeColor="text1"/>
                <w:sz w:val="24"/>
                <w:szCs w:val="24"/>
                <w:lang w:val="en-US" w:eastAsia="zh-CN"/>
                <w14:textFill>
                  <w14:solidFill>
                    <w14:schemeClr w14:val="tx1"/>
                  </w14:solidFill>
                </w14:textFill>
              </w:rPr>
              <w:t>2.50</w:t>
            </w:r>
            <w:r>
              <w:rPr>
                <w:rFonts w:hint="default" w:ascii="Times New Roman" w:hAnsi="Times New Roman" w:eastAsia="宋体" w:cs="Times New Roman"/>
                <w:color w:val="000000" w:themeColor="text1"/>
                <w:sz w:val="24"/>
                <w:szCs w:val="24"/>
                <w14:textFill>
                  <w14:solidFill>
                    <w14:schemeClr w14:val="tx1"/>
                  </w14:solidFill>
                </w14:textFill>
              </w:rPr>
              <w:t>m</w:t>
            </w:r>
            <w:r>
              <w:rPr>
                <w:rFonts w:hint="default" w:ascii="Times New Roman" w:hAnsi="Times New Roman" w:eastAsia="宋体" w:cs="Times New Roman"/>
                <w:color w:val="000000" w:themeColor="text1"/>
                <w:sz w:val="24"/>
                <w:szCs w:val="24"/>
                <w:vertAlign w:val="superscript"/>
                <w14:textFill>
                  <w14:solidFill>
                    <w14:schemeClr w14:val="tx1"/>
                  </w14:solidFill>
                </w14:textFill>
              </w:rPr>
              <w:t>3</w:t>
            </w:r>
            <w:r>
              <w:rPr>
                <w:rFonts w:hint="default" w:ascii="Times New Roman" w:hAnsi="Times New Roman" w:eastAsia="宋体" w:cs="Times New Roman"/>
                <w:color w:val="000000" w:themeColor="text1"/>
                <w:sz w:val="24"/>
                <w:szCs w:val="24"/>
                <w14:textFill>
                  <w14:solidFill>
                    <w14:schemeClr w14:val="tx1"/>
                  </w14:solidFill>
                </w14:textFill>
              </w:rPr>
              <w:t>/d、</w:t>
            </w:r>
            <w:r>
              <w:rPr>
                <w:rFonts w:hint="default" w:ascii="Times New Roman" w:hAnsi="Times New Roman" w:cs="Times New Roman"/>
                <w:color w:val="000000" w:themeColor="text1"/>
                <w:sz w:val="24"/>
                <w:szCs w:val="24"/>
                <w:lang w:val="en-US" w:eastAsia="zh-CN"/>
                <w14:textFill>
                  <w14:solidFill>
                    <w14:schemeClr w14:val="tx1"/>
                  </w14:solidFill>
                </w14:textFill>
              </w:rPr>
              <w:t>750</w:t>
            </w:r>
            <w:r>
              <w:rPr>
                <w:rFonts w:hint="default" w:ascii="Times New Roman" w:hAnsi="Times New Roman" w:eastAsia="宋体" w:cs="Times New Roman"/>
                <w:color w:val="000000" w:themeColor="text1"/>
                <w:sz w:val="24"/>
                <w:szCs w:val="24"/>
                <w14:textFill>
                  <w14:solidFill>
                    <w14:schemeClr w14:val="tx1"/>
                  </w14:solidFill>
                </w14:textFill>
              </w:rPr>
              <w:t>m</w:t>
            </w:r>
            <w:r>
              <w:rPr>
                <w:rFonts w:hint="default" w:ascii="Times New Roman" w:hAnsi="Times New Roman" w:eastAsia="宋体" w:cs="Times New Roman"/>
                <w:color w:val="000000" w:themeColor="text1"/>
                <w:sz w:val="24"/>
                <w:szCs w:val="24"/>
                <w:vertAlign w:val="superscript"/>
                <w14:textFill>
                  <w14:solidFill>
                    <w14:schemeClr w14:val="tx1"/>
                  </w14:solidFill>
                </w14:textFill>
              </w:rPr>
              <w:t>3</w:t>
            </w:r>
            <w:r>
              <w:rPr>
                <w:rFonts w:hint="default" w:ascii="Times New Roman" w:hAnsi="Times New Roman" w:eastAsia="宋体" w:cs="Times New Roman"/>
                <w:color w:val="000000" w:themeColor="text1"/>
                <w:sz w:val="24"/>
                <w:szCs w:val="24"/>
                <w14:textFill>
                  <w14:solidFill>
                    <w14:schemeClr w14:val="tx1"/>
                  </w14:solidFill>
                </w14:textFill>
              </w:rPr>
              <w:t>/a。废水</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产生</w:t>
            </w:r>
            <w:r>
              <w:rPr>
                <w:rFonts w:hint="default" w:ascii="Times New Roman" w:hAnsi="Times New Roman" w:eastAsia="宋体" w:cs="Times New Roman"/>
                <w:color w:val="000000" w:themeColor="text1"/>
                <w:sz w:val="24"/>
                <w:szCs w:val="24"/>
                <w14:textFill>
                  <w14:solidFill>
                    <w14:schemeClr w14:val="tx1"/>
                  </w14:solidFill>
                </w14:textFill>
              </w:rPr>
              <w:t>量按用水量的85%</w:t>
            </w:r>
            <w:r>
              <w:rPr>
                <w:rFonts w:hint="default" w:ascii="Times New Roman" w:hAnsi="Times New Roman" w:cs="Times New Roman"/>
                <w:color w:val="000000" w:themeColor="text1"/>
                <w:sz w:val="24"/>
                <w:szCs w:val="24"/>
                <w:lang w:eastAsia="zh-CN"/>
                <w14:textFill>
                  <w14:solidFill>
                    <w14:schemeClr w14:val="tx1"/>
                  </w14:solidFill>
                </w14:textFill>
              </w:rPr>
              <w:t>计算</w:t>
            </w:r>
            <w:r>
              <w:rPr>
                <w:rFonts w:hint="default" w:ascii="Times New Roman" w:hAnsi="Times New Roman" w:eastAsia="宋体" w:cs="Times New Roman"/>
                <w:bCs/>
                <w:color w:val="000000" w:themeColor="text1"/>
                <w:sz w:val="24"/>
                <w:szCs w:val="24"/>
                <w14:textFill>
                  <w14:solidFill>
                    <w14:schemeClr w14:val="tx1"/>
                  </w14:solidFill>
                </w14:textFill>
              </w:rPr>
              <w:t>，则员工生活污水产生量为</w:t>
            </w:r>
            <w:r>
              <w:rPr>
                <w:rFonts w:hint="default" w:ascii="Times New Roman" w:hAnsi="Times New Roman" w:cs="Times New Roman"/>
                <w:bCs/>
                <w:color w:val="000000" w:themeColor="text1"/>
                <w:sz w:val="24"/>
                <w:szCs w:val="24"/>
                <w:lang w:val="en-US" w:eastAsia="zh-CN"/>
                <w14:textFill>
                  <w14:solidFill>
                    <w14:schemeClr w14:val="tx1"/>
                  </w14:solidFill>
                </w14:textFill>
              </w:rPr>
              <w:t>2.13</w:t>
            </w:r>
            <w:r>
              <w:rPr>
                <w:rFonts w:hint="default" w:ascii="Times New Roman" w:hAnsi="Times New Roman" w:eastAsia="宋体" w:cs="Times New Roman"/>
                <w:bCs/>
                <w:color w:val="000000" w:themeColor="text1"/>
                <w:sz w:val="24"/>
                <w:szCs w:val="24"/>
                <w14:textFill>
                  <w14:solidFill>
                    <w14:schemeClr w14:val="tx1"/>
                  </w14:solidFill>
                </w14:textFill>
              </w:rPr>
              <w:t>m</w:t>
            </w:r>
            <w:r>
              <w:rPr>
                <w:rFonts w:hint="default" w:ascii="Times New Roman" w:hAnsi="Times New Roman" w:eastAsia="宋体" w:cs="Times New Roman"/>
                <w:bCs/>
                <w:color w:val="000000" w:themeColor="text1"/>
                <w:sz w:val="24"/>
                <w:szCs w:val="24"/>
                <w:vertAlign w:val="superscript"/>
                <w14:textFill>
                  <w14:solidFill>
                    <w14:schemeClr w14:val="tx1"/>
                  </w14:solidFill>
                </w14:textFill>
              </w:rPr>
              <w:t>3</w:t>
            </w:r>
            <w:r>
              <w:rPr>
                <w:rFonts w:hint="default" w:ascii="Times New Roman" w:hAnsi="Times New Roman" w:eastAsia="宋体" w:cs="Times New Roman"/>
                <w:bCs/>
                <w:color w:val="000000" w:themeColor="text1"/>
                <w:sz w:val="24"/>
                <w:szCs w:val="24"/>
                <w14:textFill>
                  <w14:solidFill>
                    <w14:schemeClr w14:val="tx1"/>
                  </w14:solidFill>
                </w14:textFill>
              </w:rPr>
              <w:t>/d，</w:t>
            </w:r>
            <w:r>
              <w:rPr>
                <w:rFonts w:hint="default" w:ascii="Times New Roman" w:hAnsi="Times New Roman" w:cs="Times New Roman"/>
                <w:bCs/>
                <w:color w:val="000000" w:themeColor="text1"/>
                <w:sz w:val="24"/>
                <w:szCs w:val="24"/>
                <w:lang w:val="en-US" w:eastAsia="zh-CN"/>
                <w14:textFill>
                  <w14:solidFill>
                    <w14:schemeClr w14:val="tx1"/>
                  </w14:solidFill>
                </w14:textFill>
              </w:rPr>
              <w:t>638</w:t>
            </w:r>
            <w:r>
              <w:rPr>
                <w:rFonts w:hint="default" w:ascii="Times New Roman" w:hAnsi="Times New Roman" w:eastAsia="宋体" w:cs="Times New Roman"/>
                <w:bCs/>
                <w:color w:val="000000" w:themeColor="text1"/>
                <w:sz w:val="24"/>
                <w:szCs w:val="24"/>
                <w14:textFill>
                  <w14:solidFill>
                    <w14:schemeClr w14:val="tx1"/>
                  </w14:solidFill>
                </w14:textFill>
              </w:rPr>
              <w:t>m</w:t>
            </w:r>
            <w:r>
              <w:rPr>
                <w:rFonts w:hint="default" w:ascii="Times New Roman" w:hAnsi="Times New Roman" w:eastAsia="宋体" w:cs="Times New Roman"/>
                <w:bCs/>
                <w:color w:val="000000" w:themeColor="text1"/>
                <w:sz w:val="24"/>
                <w:szCs w:val="24"/>
                <w:vertAlign w:val="superscript"/>
                <w14:textFill>
                  <w14:solidFill>
                    <w14:schemeClr w14:val="tx1"/>
                  </w14:solidFill>
                </w14:textFill>
              </w:rPr>
              <w:t>3</w:t>
            </w:r>
            <w:r>
              <w:rPr>
                <w:rFonts w:hint="default" w:ascii="Times New Roman" w:hAnsi="Times New Roman" w:eastAsia="宋体" w:cs="Times New Roman"/>
                <w:bCs/>
                <w:color w:val="000000" w:themeColor="text1"/>
                <w:sz w:val="24"/>
                <w:szCs w:val="24"/>
                <w14:textFill>
                  <w14:solidFill>
                    <w14:schemeClr w14:val="tx1"/>
                  </w14:solidFill>
                </w14:textFill>
              </w:rPr>
              <w:t>/a</w:t>
            </w:r>
            <w:r>
              <w:rPr>
                <w:rFonts w:hint="default" w:ascii="Times New Roman" w:hAnsi="Times New Roman" w:eastAsia="宋体" w:cs="Times New Roman"/>
                <w:color w:val="000000" w:themeColor="text1"/>
                <w:sz w:val="24"/>
                <w:szCs w:val="24"/>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本项目生活污水经园区公用化粪池处理后沿市</w:t>
            </w:r>
            <w:r>
              <w:rPr>
                <w:rFonts w:hint="default" w:ascii="Times New Roman" w:hAnsi="Times New Roman" w:cs="Times New Roman"/>
                <w:color w:val="000000" w:themeColor="text1"/>
                <w:sz w:val="24"/>
                <w:szCs w:val="24"/>
                <w:lang w:val="en-US" w:eastAsia="zh-CN"/>
                <w14:textFill>
                  <w14:solidFill>
                    <w14:schemeClr w14:val="tx1"/>
                  </w14:solidFill>
                </w14:textFill>
              </w:rPr>
              <w:t>政</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污水管网排入凤翔区第二污水处理厂。</w:t>
            </w:r>
          </w:p>
          <w:p w14:paraId="52771970">
            <w:pPr>
              <w:keepNext w:val="0"/>
              <w:keepLines w:val="0"/>
              <w:numPr>
                <w:ilvl w:val="0"/>
                <w:numId w:val="1"/>
              </w:numPr>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color w:val="000000" w:themeColor="text1"/>
                <w:sz w:val="24"/>
                <w:szCs w:val="24"/>
                <w:lang w:eastAsia="zh-CN"/>
                <w14:textFill>
                  <w14:solidFill>
                    <w14:schemeClr w14:val="tx1"/>
                  </w14:solidFill>
                </w14:textFill>
              </w:rPr>
              <w:t>生产用水（</w:t>
            </w:r>
            <w:r>
              <w:rPr>
                <w:rFonts w:hint="eastAsia" w:cs="Times New Roman"/>
                <w:color w:val="000000" w:themeColor="text1"/>
                <w:sz w:val="24"/>
                <w:szCs w:val="24"/>
                <w:lang w:val="en-US" w:eastAsia="zh-CN"/>
                <w14:textFill>
                  <w14:solidFill>
                    <w14:schemeClr w14:val="tx1"/>
                  </w14:solidFill>
                </w14:textFill>
              </w:rPr>
              <w:t>去离子水</w:t>
            </w:r>
            <w:r>
              <w:rPr>
                <w:rFonts w:hint="default" w:ascii="Times New Roman" w:hAnsi="Times New Roman" w:eastAsia="宋体" w:cs="Times New Roman"/>
                <w:color w:val="000000" w:themeColor="text1"/>
                <w:sz w:val="24"/>
                <w:szCs w:val="24"/>
                <w:lang w:eastAsia="zh-CN"/>
                <w14:textFill>
                  <w14:solidFill>
                    <w14:schemeClr w14:val="tx1"/>
                  </w14:solidFill>
                </w14:textFill>
              </w:rPr>
              <w:t>制备）：</w:t>
            </w:r>
          </w:p>
          <w:p w14:paraId="7240DEB6">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right="0" w:rightChars="0"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eastAsia="zh-CN"/>
                <w14:textFill>
                  <w14:solidFill>
                    <w14:schemeClr w14:val="tx1"/>
                  </w14:solidFill>
                </w14:textFill>
              </w:rPr>
              <w:t>根据建设单位提供资料，</w:t>
            </w:r>
            <w:r>
              <w:rPr>
                <w:rFonts w:hint="default" w:ascii="Times New Roman" w:hAnsi="Times New Roman" w:cs="Times New Roman"/>
                <w:color w:val="000000" w:themeColor="text1"/>
                <w:sz w:val="24"/>
                <w:szCs w:val="24"/>
                <w:lang w:val="en-US" w:eastAsia="zh-CN"/>
                <w14:textFill>
                  <w14:solidFill>
                    <w14:schemeClr w14:val="tx1"/>
                  </w14:solidFill>
                </w14:textFill>
              </w:rPr>
              <w:t>本</w:t>
            </w:r>
            <w:r>
              <w:rPr>
                <w:rFonts w:hint="default" w:ascii="Times New Roman" w:hAnsi="Times New Roman" w:eastAsia="宋体" w:cs="Times New Roman"/>
                <w:color w:val="000000" w:themeColor="text1"/>
                <w:sz w:val="24"/>
                <w:szCs w:val="24"/>
                <w:lang w:eastAsia="zh-CN"/>
                <w14:textFill>
                  <w14:solidFill>
                    <w14:schemeClr w14:val="tx1"/>
                  </w14:solidFill>
                </w14:textFill>
              </w:rPr>
              <w:t>项目压敏电阻器生产过程中配料、研磨</w:t>
            </w:r>
            <w:r>
              <w:rPr>
                <w:rFonts w:hint="eastAsia" w:cs="Times New Roman"/>
                <w:color w:val="000000" w:themeColor="text1"/>
                <w:sz w:val="24"/>
                <w:szCs w:val="24"/>
                <w:lang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造粒、设备冲洗及膜冲洗</w:t>
            </w:r>
            <w:r>
              <w:rPr>
                <w:rFonts w:hint="default" w:ascii="Times New Roman" w:hAnsi="Times New Roman" w:eastAsia="宋体" w:cs="Times New Roman"/>
                <w:color w:val="000000" w:themeColor="text1"/>
                <w:sz w:val="24"/>
                <w:szCs w:val="24"/>
                <w:lang w:eastAsia="zh-CN"/>
                <w14:textFill>
                  <w14:solidFill>
                    <w14:schemeClr w14:val="tx1"/>
                  </w14:solidFill>
                </w14:textFill>
              </w:rPr>
              <w:t>工序</w:t>
            </w:r>
            <w:r>
              <w:rPr>
                <w:rFonts w:hint="eastAsia" w:cs="Times New Roman"/>
                <w:color w:val="000000" w:themeColor="text1"/>
                <w:sz w:val="24"/>
                <w:szCs w:val="24"/>
                <w:lang w:val="en-US" w:eastAsia="zh-CN"/>
                <w14:textFill>
                  <w14:solidFill>
                    <w14:schemeClr w14:val="tx1"/>
                  </w14:solidFill>
                </w14:textFill>
              </w:rPr>
              <w:t>均需使用</w:t>
            </w:r>
            <w:r>
              <w:rPr>
                <w:rFonts w:hint="default" w:ascii="Times New Roman" w:hAnsi="Times New Roman" w:eastAsia="宋体" w:cs="Times New Roman"/>
                <w:color w:val="000000" w:themeColor="text1"/>
                <w:sz w:val="24"/>
                <w:szCs w:val="24"/>
                <w:lang w:eastAsia="zh-CN"/>
                <w14:textFill>
                  <w14:solidFill>
                    <w14:schemeClr w14:val="tx1"/>
                  </w14:solidFill>
                </w14:textFill>
              </w:rPr>
              <w:t>去离子水。</w:t>
            </w:r>
            <w:r>
              <w:rPr>
                <w:rFonts w:hint="default" w:ascii="Times New Roman" w:hAnsi="Times New Roman" w:eastAsia="宋体" w:cs="Times New Roman"/>
                <w:color w:val="000000" w:themeColor="text1"/>
                <w:sz w:val="24"/>
                <w:szCs w:val="24"/>
                <w:lang w:val="en-US"/>
                <w14:textFill>
                  <w14:solidFill>
                    <w14:schemeClr w14:val="tx1"/>
                  </w14:solidFill>
                </w14:textFill>
              </w:rPr>
              <w:t>普通自来水呈碱性，水质较硬，</w:t>
            </w:r>
            <w:r>
              <w:rPr>
                <w:rFonts w:hint="default" w:ascii="Times New Roman" w:hAnsi="Times New Roman" w:cs="Times New Roman"/>
                <w:color w:val="000000" w:themeColor="text1"/>
                <w:sz w:val="24"/>
                <w:szCs w:val="24"/>
                <w:lang w:val="en-US" w:eastAsia="zh-CN"/>
                <w14:textFill>
                  <w14:solidFill>
                    <w14:schemeClr w14:val="tx1"/>
                  </w14:solidFill>
                </w14:textFill>
              </w:rPr>
              <w:t>本</w:t>
            </w:r>
            <w:r>
              <w:rPr>
                <w:rFonts w:hint="default" w:ascii="Times New Roman" w:hAnsi="Times New Roman" w:eastAsia="宋体" w:cs="Times New Roman"/>
                <w:color w:val="000000" w:themeColor="text1"/>
                <w:sz w:val="24"/>
                <w:szCs w:val="24"/>
                <w:lang w:val="en-US"/>
                <w14:textFill>
                  <w14:solidFill>
                    <w14:schemeClr w14:val="tx1"/>
                  </w14:solidFill>
                </w14:textFill>
              </w:rPr>
              <w:t>项目</w:t>
            </w:r>
            <w:r>
              <w:rPr>
                <w:rFonts w:hint="eastAsia" w:cs="Times New Roman"/>
                <w:color w:val="000000" w:themeColor="text1"/>
                <w:sz w:val="24"/>
                <w:szCs w:val="24"/>
                <w:lang w:val="en-US" w:eastAsia="zh-CN"/>
                <w14:textFill>
                  <w14:solidFill>
                    <w14:schemeClr w14:val="tx1"/>
                  </w14:solidFill>
                </w14:textFill>
              </w:rPr>
              <w:t>去离子</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水</w:t>
            </w:r>
            <w:r>
              <w:rPr>
                <w:rFonts w:hint="default" w:ascii="Times New Roman" w:hAnsi="Times New Roman" w:eastAsia="宋体" w:cs="Times New Roman"/>
                <w:color w:val="000000" w:themeColor="text1"/>
                <w:sz w:val="24"/>
                <w:szCs w:val="24"/>
                <w:lang w:val="en-US"/>
                <w14:textFill>
                  <w14:solidFill>
                    <w14:schemeClr w14:val="tx1"/>
                  </w14:solidFill>
                </w14:textFill>
              </w:rPr>
              <w:t>采用</w:t>
            </w:r>
            <w:r>
              <w:rPr>
                <w:rFonts w:hint="eastAsia" w:cs="Times New Roman"/>
                <w:color w:val="000000" w:themeColor="text1"/>
                <w:sz w:val="24"/>
                <w:szCs w:val="24"/>
                <w:lang w:val="en-US" w:eastAsia="zh-CN"/>
                <w14:textFill>
                  <w14:solidFill>
                    <w14:schemeClr w14:val="tx1"/>
                  </w14:solidFill>
                </w14:textFill>
              </w:rPr>
              <w:t>反渗透膜工艺</w:t>
            </w:r>
            <w:r>
              <w:rPr>
                <w:rFonts w:hint="default" w:ascii="Times New Roman" w:hAnsi="Times New Roman" w:eastAsia="宋体" w:cs="Times New Roman"/>
                <w:color w:val="000000" w:themeColor="text1"/>
                <w:sz w:val="24"/>
                <w:szCs w:val="24"/>
                <w:lang w:val="en-US"/>
                <w14:textFill>
                  <w14:solidFill>
                    <w14:schemeClr w14:val="tx1"/>
                  </w14:solidFill>
                </w14:textFill>
              </w:rPr>
              <w:t>，将水质中的</w:t>
            </w:r>
            <w:r>
              <w:rPr>
                <w:rFonts w:hint="eastAsia" w:cs="Times New Roman"/>
                <w:color w:val="000000" w:themeColor="text1"/>
                <w:sz w:val="24"/>
                <w:szCs w:val="24"/>
                <w:lang w:val="en-US" w:eastAsia="zh-CN"/>
                <w14:textFill>
                  <w14:solidFill>
                    <w14:schemeClr w14:val="tx1"/>
                  </w14:solidFill>
                </w14:textFill>
              </w:rPr>
              <w:t>阴阳</w:t>
            </w:r>
            <w:r>
              <w:rPr>
                <w:rFonts w:hint="default" w:ascii="Times New Roman" w:hAnsi="Times New Roman" w:eastAsia="宋体" w:cs="Times New Roman"/>
                <w:color w:val="000000" w:themeColor="text1"/>
                <w:sz w:val="24"/>
                <w:szCs w:val="24"/>
                <w:lang w:val="en-US"/>
                <w14:textFill>
                  <w14:solidFill>
                    <w14:schemeClr w14:val="tx1"/>
                  </w14:solidFill>
                </w14:textFill>
              </w:rPr>
              <w:t>离子除去后，即为</w:t>
            </w:r>
            <w:r>
              <w:rPr>
                <w:rFonts w:hint="eastAsia" w:cs="Times New Roman"/>
                <w:color w:val="000000" w:themeColor="text1"/>
                <w:sz w:val="24"/>
                <w:szCs w:val="24"/>
                <w:lang w:val="en-US" w:eastAsia="zh-CN"/>
                <w14:textFill>
                  <w14:solidFill>
                    <w14:schemeClr w14:val="tx1"/>
                  </w14:solidFill>
                </w14:textFill>
              </w:rPr>
              <w:t>去离子水</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p>
          <w:p w14:paraId="34B70CA6">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right="0" w:rightChars="0"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①配料用水：本项目配料过程，原料与去离子水</w:t>
            </w:r>
            <w:r>
              <w:rPr>
                <w:rFonts w:hint="default" w:ascii="Times New Roman" w:hAnsi="Times New Roman" w:cs="Times New Roman"/>
                <w:color w:val="000000" w:themeColor="text1"/>
                <w:sz w:val="24"/>
                <w:szCs w:val="24"/>
                <w:lang w:val="en-US" w:eastAsia="zh-CN"/>
                <w14:textFill>
                  <w14:solidFill>
                    <w14:schemeClr w14:val="tx1"/>
                  </w14:solidFill>
                </w14:textFill>
              </w:rPr>
              <w:t>加水比例为1</w:t>
            </w:r>
            <w:r>
              <w:rPr>
                <w:rFonts w:hint="eastAsia" w:cs="Times New Roman"/>
                <w:color w:val="000000" w:themeColor="text1"/>
                <w:sz w:val="24"/>
                <w:szCs w:val="24"/>
                <w:lang w:val="en-US" w:eastAsia="zh-CN"/>
                <w14:textFill>
                  <w14:solidFill>
                    <w14:schemeClr w14:val="tx1"/>
                  </w14:solidFill>
                </w14:textFill>
              </w:rPr>
              <w:t>：1.32，则配料过程需要去离子水163.02</w:t>
            </w:r>
            <w:r>
              <w:rPr>
                <w:rFonts w:hint="default" w:ascii="Times New Roman" w:hAnsi="Times New Roman" w:cs="Times New Roman"/>
                <w:color w:val="000000" w:themeColor="text1"/>
                <w:sz w:val="24"/>
                <w:szCs w:val="24"/>
                <w:lang w:eastAsia="zh-CN"/>
                <w14:textFill>
                  <w14:solidFill>
                    <w14:schemeClr w14:val="tx1"/>
                  </w14:solidFill>
                </w14:textFill>
              </w:rPr>
              <w:t>m</w:t>
            </w:r>
            <w:r>
              <w:rPr>
                <w:rFonts w:hint="default" w:ascii="Times New Roman" w:hAnsi="Times New Roman" w:cs="Times New Roman"/>
                <w:color w:val="000000" w:themeColor="text1"/>
                <w:sz w:val="24"/>
                <w:szCs w:val="24"/>
                <w:vertAlign w:val="superscript"/>
                <w:lang w:eastAsia="zh-CN"/>
                <w14:textFill>
                  <w14:solidFill>
                    <w14:schemeClr w14:val="tx1"/>
                  </w14:solidFill>
                </w14:textFill>
              </w:rPr>
              <w:t>3</w:t>
            </w:r>
            <w:r>
              <w:rPr>
                <w:rFonts w:hint="default" w:ascii="Times New Roman" w:hAnsi="Times New Roman" w:cs="Times New Roman"/>
                <w:color w:val="000000" w:themeColor="text1"/>
                <w:sz w:val="24"/>
                <w:szCs w:val="24"/>
                <w:lang w:eastAsia="zh-CN"/>
                <w14:textFill>
                  <w14:solidFill>
                    <w14:schemeClr w14:val="tx1"/>
                  </w14:solidFill>
                </w14:textFill>
              </w:rPr>
              <w:t>/a</w:t>
            </w: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0.</w:t>
            </w:r>
            <w:r>
              <w:rPr>
                <w:rFonts w:hint="eastAsia" w:cs="Times New Roman"/>
                <w:color w:val="000000" w:themeColor="text1"/>
                <w:sz w:val="24"/>
                <w:szCs w:val="24"/>
                <w:lang w:val="en-US" w:eastAsia="zh-CN"/>
                <w14:textFill>
                  <w14:solidFill>
                    <w14:schemeClr w14:val="tx1"/>
                  </w14:solidFill>
                </w14:textFill>
              </w:rPr>
              <w:t>54</w:t>
            </w:r>
            <w:r>
              <w:rPr>
                <w:rFonts w:hint="eastAsia" w:ascii="Times New Roman" w:hAnsi="Times New Roman" w:cs="Times New Roman"/>
                <w:color w:val="000000" w:themeColor="text1"/>
                <w:sz w:val="24"/>
                <w:szCs w:val="24"/>
                <w:lang w:val="en-US" w:eastAsia="zh-CN"/>
                <w14:textFill>
                  <w14:solidFill>
                    <w14:schemeClr w14:val="tx1"/>
                  </w14:solidFill>
                </w14:textFill>
              </w:rPr>
              <w:t>m</w:t>
            </w:r>
            <w:r>
              <w:rPr>
                <w:rFonts w:hint="eastAsia" w:ascii="Times New Roman" w:hAnsi="Times New Roman" w:cs="Times New Roman"/>
                <w:color w:val="000000" w:themeColor="text1"/>
                <w:sz w:val="24"/>
                <w:szCs w:val="24"/>
                <w:vertAlign w:val="superscript"/>
                <w:lang w:val="en-US" w:eastAsia="zh-CN"/>
                <w14:textFill>
                  <w14:solidFill>
                    <w14:schemeClr w14:val="tx1"/>
                  </w14:solidFill>
                </w14:textFill>
              </w:rPr>
              <w:t>3</w:t>
            </w:r>
            <w:r>
              <w:rPr>
                <w:rFonts w:hint="eastAsia" w:ascii="Times New Roman" w:hAnsi="Times New Roman" w:cs="Times New Roman"/>
                <w:color w:val="000000" w:themeColor="text1"/>
                <w:sz w:val="24"/>
                <w:szCs w:val="24"/>
                <w:lang w:val="en-US" w:eastAsia="zh-CN"/>
                <w14:textFill>
                  <w14:solidFill>
                    <w14:schemeClr w14:val="tx1"/>
                  </w14:solidFill>
                </w14:textFill>
              </w:rPr>
              <w:t>/d</w:t>
            </w: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其中</w:t>
            </w:r>
            <w:r>
              <w:rPr>
                <w:rFonts w:hint="eastAsia" w:cs="Times New Roman"/>
                <w:color w:val="000000" w:themeColor="text1"/>
                <w:sz w:val="24"/>
                <w:szCs w:val="24"/>
                <w:lang w:val="en-US" w:eastAsia="zh-CN"/>
                <w14:textFill>
                  <w14:solidFill>
                    <w14:schemeClr w14:val="tx1"/>
                  </w14:solidFill>
                </w14:textFill>
              </w:rPr>
              <w:t>4</w:t>
            </w:r>
            <w:r>
              <w:rPr>
                <w:rFonts w:hint="default" w:ascii="Times New Roman" w:hAnsi="Times New Roman" w:cs="Times New Roman"/>
                <w:color w:val="000000" w:themeColor="text1"/>
                <w:sz w:val="24"/>
                <w:szCs w:val="24"/>
                <w:lang w:eastAsia="zh-CN"/>
                <w14:textFill>
                  <w14:solidFill>
                    <w14:schemeClr w14:val="tx1"/>
                  </w14:solidFill>
                </w14:textFill>
              </w:rPr>
              <w:t>m</w:t>
            </w:r>
            <w:r>
              <w:rPr>
                <w:rFonts w:hint="default" w:ascii="Times New Roman" w:hAnsi="Times New Roman" w:cs="Times New Roman"/>
                <w:color w:val="000000" w:themeColor="text1"/>
                <w:sz w:val="24"/>
                <w:szCs w:val="24"/>
                <w:vertAlign w:val="superscript"/>
                <w:lang w:eastAsia="zh-CN"/>
                <w14:textFill>
                  <w14:solidFill>
                    <w14:schemeClr w14:val="tx1"/>
                  </w14:solidFill>
                </w14:textFill>
              </w:rPr>
              <w:t>3</w:t>
            </w:r>
            <w:r>
              <w:rPr>
                <w:rFonts w:hint="default" w:ascii="Times New Roman" w:hAnsi="Times New Roman" w:cs="Times New Roman"/>
                <w:color w:val="000000" w:themeColor="text1"/>
                <w:sz w:val="24"/>
                <w:szCs w:val="24"/>
                <w:lang w:eastAsia="zh-CN"/>
                <w14:textFill>
                  <w14:solidFill>
                    <w14:schemeClr w14:val="tx1"/>
                  </w14:solidFill>
                </w14:textFill>
              </w:rPr>
              <w:t>/a</w:t>
            </w:r>
            <w:r>
              <w:rPr>
                <w:rFonts w:hint="eastAsia" w:ascii="Times New Roman" w:hAnsi="Times New Roman" w:cs="Times New Roman"/>
                <w:color w:val="000000" w:themeColor="text1"/>
                <w:sz w:val="24"/>
                <w:szCs w:val="24"/>
                <w:lang w:val="en-US" w:eastAsia="zh-CN"/>
                <w14:textFill>
                  <w14:solidFill>
                    <w14:schemeClr w14:val="tx1"/>
                  </w14:solidFill>
                </w14:textFill>
              </w:rPr>
              <w:t>来自于设备清洗回用水</w:t>
            </w: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eastAsia" w:cs="Times New Roman"/>
                <w:color w:val="000000" w:themeColor="text1"/>
                <w:sz w:val="24"/>
                <w:szCs w:val="24"/>
                <w:lang w:eastAsia="zh-CN"/>
                <w14:textFill>
                  <w14:solidFill>
                    <w14:schemeClr w14:val="tx1"/>
                  </w14:solidFill>
                </w14:textFill>
              </w:rPr>
              <w:t>。</w:t>
            </w:r>
          </w:p>
          <w:p w14:paraId="19877C9A">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right="0" w:rightChars="0" w:firstLine="480" w:firstLineChars="200"/>
              <w:textAlignment w:val="auto"/>
              <w:rPr>
                <w:rFonts w:hint="default"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②研磨用水：本项目研磨过程，原料与去离子水加水比例为</w:t>
            </w:r>
            <w:r>
              <w:rPr>
                <w:rFonts w:hint="default" w:ascii="Times New Roman" w:hAnsi="Times New Roman" w:cs="Times New Roman"/>
                <w:color w:val="000000" w:themeColor="text1"/>
                <w:sz w:val="24"/>
                <w:szCs w:val="24"/>
                <w:lang w:val="en-US" w:eastAsia="zh-CN"/>
                <w14:textFill>
                  <w14:solidFill>
                    <w14:schemeClr w14:val="tx1"/>
                  </w14:solidFill>
                </w14:textFill>
              </w:rPr>
              <w:t>1</w:t>
            </w:r>
            <w:r>
              <w:rPr>
                <w:rFonts w:hint="eastAsia" w:cs="Times New Roman"/>
                <w:color w:val="000000" w:themeColor="text1"/>
                <w:sz w:val="24"/>
                <w:szCs w:val="24"/>
                <w:lang w:val="en-US" w:eastAsia="zh-CN"/>
                <w14:textFill>
                  <w14:solidFill>
                    <w14:schemeClr w14:val="tx1"/>
                  </w14:solidFill>
                </w14:textFill>
              </w:rPr>
              <w:t>：0.9，则研磨过程需要去离子水111</w:t>
            </w:r>
            <w:r>
              <w:rPr>
                <w:rFonts w:hint="default" w:ascii="Times New Roman" w:hAnsi="Times New Roman" w:cs="Times New Roman"/>
                <w:color w:val="000000" w:themeColor="text1"/>
                <w:sz w:val="24"/>
                <w:szCs w:val="24"/>
                <w:lang w:eastAsia="zh-CN"/>
                <w14:textFill>
                  <w14:solidFill>
                    <w14:schemeClr w14:val="tx1"/>
                  </w14:solidFill>
                </w14:textFill>
              </w:rPr>
              <w:t>m</w:t>
            </w:r>
            <w:r>
              <w:rPr>
                <w:rFonts w:hint="default" w:ascii="Times New Roman" w:hAnsi="Times New Roman" w:cs="Times New Roman"/>
                <w:color w:val="000000" w:themeColor="text1"/>
                <w:sz w:val="24"/>
                <w:szCs w:val="24"/>
                <w:vertAlign w:val="superscript"/>
                <w:lang w:eastAsia="zh-CN"/>
                <w14:textFill>
                  <w14:solidFill>
                    <w14:schemeClr w14:val="tx1"/>
                  </w14:solidFill>
                </w14:textFill>
              </w:rPr>
              <w:t>3</w:t>
            </w:r>
            <w:r>
              <w:rPr>
                <w:rFonts w:hint="default" w:ascii="Times New Roman" w:hAnsi="Times New Roman" w:cs="Times New Roman"/>
                <w:color w:val="000000" w:themeColor="text1"/>
                <w:sz w:val="24"/>
                <w:szCs w:val="24"/>
                <w:lang w:eastAsia="zh-CN"/>
                <w14:textFill>
                  <w14:solidFill>
                    <w14:schemeClr w14:val="tx1"/>
                  </w14:solidFill>
                </w14:textFill>
              </w:rPr>
              <w:t>/a</w:t>
            </w: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0.</w:t>
            </w:r>
            <w:r>
              <w:rPr>
                <w:rFonts w:hint="eastAsia" w:cs="Times New Roman"/>
                <w:color w:val="000000" w:themeColor="text1"/>
                <w:sz w:val="24"/>
                <w:szCs w:val="24"/>
                <w:lang w:val="en-US" w:eastAsia="zh-CN"/>
                <w14:textFill>
                  <w14:solidFill>
                    <w14:schemeClr w14:val="tx1"/>
                  </w14:solidFill>
                </w14:textFill>
              </w:rPr>
              <w:t>37</w:t>
            </w:r>
            <w:r>
              <w:rPr>
                <w:rFonts w:hint="eastAsia" w:ascii="Times New Roman" w:hAnsi="Times New Roman" w:cs="Times New Roman"/>
                <w:color w:val="000000" w:themeColor="text1"/>
                <w:sz w:val="24"/>
                <w:szCs w:val="24"/>
                <w:lang w:val="en-US" w:eastAsia="zh-CN"/>
                <w14:textFill>
                  <w14:solidFill>
                    <w14:schemeClr w14:val="tx1"/>
                  </w14:solidFill>
                </w14:textFill>
              </w:rPr>
              <w:t>m</w:t>
            </w:r>
            <w:r>
              <w:rPr>
                <w:rFonts w:hint="eastAsia" w:ascii="Times New Roman" w:hAnsi="Times New Roman" w:cs="Times New Roman"/>
                <w:color w:val="000000" w:themeColor="text1"/>
                <w:sz w:val="24"/>
                <w:szCs w:val="24"/>
                <w:vertAlign w:val="superscript"/>
                <w:lang w:val="en-US" w:eastAsia="zh-CN"/>
                <w14:textFill>
                  <w14:solidFill>
                    <w14:schemeClr w14:val="tx1"/>
                  </w14:solidFill>
                </w14:textFill>
              </w:rPr>
              <w:t>3</w:t>
            </w:r>
            <w:r>
              <w:rPr>
                <w:rFonts w:hint="eastAsia" w:ascii="Times New Roman" w:hAnsi="Times New Roman" w:cs="Times New Roman"/>
                <w:color w:val="000000" w:themeColor="text1"/>
                <w:sz w:val="24"/>
                <w:szCs w:val="24"/>
                <w:lang w:val="en-US" w:eastAsia="zh-CN"/>
                <w14:textFill>
                  <w14:solidFill>
                    <w14:schemeClr w14:val="tx1"/>
                  </w14:solidFill>
                </w14:textFill>
              </w:rPr>
              <w:t>/d</w:t>
            </w: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eastAsia" w:cs="Times New Roman"/>
                <w:color w:val="000000" w:themeColor="text1"/>
                <w:sz w:val="24"/>
                <w:szCs w:val="24"/>
                <w:lang w:eastAsia="zh-CN"/>
                <w14:textFill>
                  <w14:solidFill>
                    <w14:schemeClr w14:val="tx1"/>
                  </w14:solidFill>
                </w14:textFill>
              </w:rPr>
              <w:t>。</w:t>
            </w:r>
          </w:p>
          <w:p w14:paraId="4AB6BA59">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right="0" w:rightChars="0" w:firstLine="480" w:firstLineChars="200"/>
              <w:textAlignment w:val="auto"/>
              <w:rPr>
                <w:rFonts w:hint="default" w:ascii="Times New Roman" w:hAnsi="Times New Roman" w:cs="Times New Roman"/>
                <w:color w:val="000000" w:themeColor="text1"/>
                <w:sz w:val="24"/>
                <w:szCs w:val="24"/>
                <w:lang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③造粒用水：</w:t>
            </w:r>
            <w:r>
              <w:rPr>
                <w:rFonts w:hint="default" w:ascii="Times New Roman" w:hAnsi="Times New Roman" w:cs="Times New Roman"/>
                <w:color w:val="000000" w:themeColor="text1"/>
                <w:sz w:val="24"/>
                <w:szCs w:val="24"/>
                <w:lang w:eastAsia="zh-CN"/>
                <w14:textFill>
                  <w14:solidFill>
                    <w14:schemeClr w14:val="tx1"/>
                  </w14:solidFill>
                </w14:textFill>
              </w:rPr>
              <w:t>造粒工序粘合剂需兑</w:t>
            </w:r>
            <w:r>
              <w:rPr>
                <w:rFonts w:hint="eastAsia" w:cs="Times New Roman"/>
                <w:color w:val="000000" w:themeColor="text1"/>
                <w:sz w:val="24"/>
                <w:szCs w:val="24"/>
                <w:lang w:eastAsia="zh-CN"/>
                <w14:textFill>
                  <w14:solidFill>
                    <w14:schemeClr w14:val="tx1"/>
                  </w14:solidFill>
                </w14:textFill>
              </w:rPr>
              <w:t>去离子水</w:t>
            </w:r>
            <w:r>
              <w:rPr>
                <w:rFonts w:hint="default" w:ascii="Times New Roman" w:hAnsi="Times New Roman" w:cs="Times New Roman"/>
                <w:color w:val="000000" w:themeColor="text1"/>
                <w:sz w:val="24"/>
                <w:szCs w:val="24"/>
                <w:lang w:val="en-US" w:eastAsia="zh-CN"/>
                <w14:textFill>
                  <w14:solidFill>
                    <w14:schemeClr w14:val="tx1"/>
                  </w14:solidFill>
                </w14:textFill>
              </w:rPr>
              <w:t>使用，加水比例分别为1:</w:t>
            </w:r>
            <w:r>
              <w:rPr>
                <w:rFonts w:hint="eastAsia" w:cs="Times New Roman"/>
                <w:color w:val="000000" w:themeColor="text1"/>
                <w:sz w:val="24"/>
                <w:szCs w:val="24"/>
                <w:lang w:val="en-US" w:eastAsia="zh-CN"/>
                <w14:textFill>
                  <w14:solidFill>
                    <w14:schemeClr w14:val="tx1"/>
                  </w14:solidFill>
                </w14:textFill>
              </w:rPr>
              <w:t>100</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则项目所需</w:t>
            </w:r>
            <w:r>
              <w:rPr>
                <w:rFonts w:hint="eastAsia" w:cs="Times New Roman"/>
                <w:color w:val="000000" w:themeColor="text1"/>
                <w:sz w:val="24"/>
                <w:szCs w:val="24"/>
                <w:lang w:val="en-US" w:eastAsia="zh-CN"/>
                <w14:textFill>
                  <w14:solidFill>
                    <w14:schemeClr w14:val="tx1"/>
                  </w14:solidFill>
                </w14:textFill>
              </w:rPr>
              <w:t>去离子水</w:t>
            </w:r>
            <w:r>
              <w:rPr>
                <w:rFonts w:hint="default" w:ascii="Times New Roman" w:hAnsi="Times New Roman" w:cs="Times New Roman"/>
                <w:color w:val="000000" w:themeColor="text1"/>
                <w:sz w:val="24"/>
                <w:szCs w:val="24"/>
                <w:lang w:eastAsia="zh-CN"/>
                <w14:textFill>
                  <w14:solidFill>
                    <w14:schemeClr w14:val="tx1"/>
                  </w14:solidFill>
                </w14:textFill>
              </w:rPr>
              <w:t>量分别为</w:t>
            </w:r>
            <w:r>
              <w:rPr>
                <w:rFonts w:hint="eastAsia" w:cs="Times New Roman"/>
                <w:color w:val="000000" w:themeColor="text1"/>
                <w:sz w:val="24"/>
                <w:szCs w:val="24"/>
                <w:lang w:val="en-US" w:eastAsia="zh-CN"/>
                <w14:textFill>
                  <w14:solidFill>
                    <w14:schemeClr w14:val="tx1"/>
                  </w14:solidFill>
                </w14:textFill>
              </w:rPr>
              <w:t>50</w:t>
            </w:r>
            <w:r>
              <w:rPr>
                <w:rFonts w:hint="default" w:ascii="Times New Roman" w:hAnsi="Times New Roman" w:cs="Times New Roman"/>
                <w:color w:val="000000" w:themeColor="text1"/>
                <w:sz w:val="24"/>
                <w:szCs w:val="24"/>
                <w:lang w:eastAsia="zh-CN"/>
                <w14:textFill>
                  <w14:solidFill>
                    <w14:schemeClr w14:val="tx1"/>
                  </w14:solidFill>
                </w14:textFill>
              </w:rPr>
              <w:t>m</w:t>
            </w:r>
            <w:r>
              <w:rPr>
                <w:rFonts w:hint="default" w:ascii="Times New Roman" w:hAnsi="Times New Roman" w:cs="Times New Roman"/>
                <w:color w:val="000000" w:themeColor="text1"/>
                <w:sz w:val="24"/>
                <w:szCs w:val="24"/>
                <w:vertAlign w:val="superscript"/>
                <w:lang w:eastAsia="zh-CN"/>
                <w14:textFill>
                  <w14:solidFill>
                    <w14:schemeClr w14:val="tx1"/>
                  </w14:solidFill>
                </w14:textFill>
              </w:rPr>
              <w:t>3</w:t>
            </w:r>
            <w:r>
              <w:rPr>
                <w:rFonts w:hint="default" w:ascii="Times New Roman" w:hAnsi="Times New Roman" w:cs="Times New Roman"/>
                <w:color w:val="000000" w:themeColor="text1"/>
                <w:sz w:val="24"/>
                <w:szCs w:val="24"/>
                <w:lang w:eastAsia="zh-CN"/>
                <w14:textFill>
                  <w14:solidFill>
                    <w14:schemeClr w14:val="tx1"/>
                  </w14:solidFill>
                </w14:textFill>
              </w:rPr>
              <w:t>/a</w:t>
            </w: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0.17</w:t>
            </w:r>
            <w:r>
              <w:rPr>
                <w:rFonts w:hint="eastAsia" w:ascii="Times New Roman" w:hAnsi="Times New Roman" w:cs="Times New Roman"/>
                <w:color w:val="000000" w:themeColor="text1"/>
                <w:sz w:val="24"/>
                <w:szCs w:val="24"/>
                <w:lang w:val="en-US" w:eastAsia="zh-CN"/>
                <w14:textFill>
                  <w14:solidFill>
                    <w14:schemeClr w14:val="tx1"/>
                  </w14:solidFill>
                </w14:textFill>
              </w:rPr>
              <w:t>m</w:t>
            </w:r>
            <w:r>
              <w:rPr>
                <w:rFonts w:hint="eastAsia" w:ascii="Times New Roman" w:hAnsi="Times New Roman" w:cs="Times New Roman"/>
                <w:color w:val="000000" w:themeColor="text1"/>
                <w:sz w:val="24"/>
                <w:szCs w:val="24"/>
                <w:vertAlign w:val="superscript"/>
                <w:lang w:val="en-US" w:eastAsia="zh-CN"/>
                <w14:textFill>
                  <w14:solidFill>
                    <w14:schemeClr w14:val="tx1"/>
                  </w14:solidFill>
                </w14:textFill>
              </w:rPr>
              <w:t>3</w:t>
            </w:r>
            <w:r>
              <w:rPr>
                <w:rFonts w:hint="eastAsia" w:ascii="Times New Roman" w:hAnsi="Times New Roman" w:cs="Times New Roman"/>
                <w:color w:val="000000" w:themeColor="text1"/>
                <w:sz w:val="24"/>
                <w:szCs w:val="24"/>
                <w:lang w:val="en-US" w:eastAsia="zh-CN"/>
                <w14:textFill>
                  <w14:solidFill>
                    <w14:schemeClr w14:val="tx1"/>
                  </w14:solidFill>
                </w14:textFill>
              </w:rPr>
              <w:t>/d</w:t>
            </w: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lang w:eastAsia="zh-CN"/>
                <w14:textFill>
                  <w14:solidFill>
                    <w14:schemeClr w14:val="tx1"/>
                  </w14:solidFill>
                </w14:textFill>
              </w:rPr>
              <w:t>；</w:t>
            </w:r>
          </w:p>
          <w:p w14:paraId="104FEEDA">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right="0" w:rightChars="0" w:firstLine="480" w:firstLineChars="200"/>
              <w:textAlignment w:val="auto"/>
              <w:rPr>
                <w:rFonts w:hint="default" w:ascii="Times New Roman" w:hAnsi="Times New Roman" w:cs="Times New Roman"/>
                <w:color w:val="000000" w:themeColor="text1"/>
                <w:sz w:val="24"/>
                <w:szCs w:val="24"/>
                <w:lang w:eastAsia="zh-CN"/>
                <w14:textFill>
                  <w14:solidFill>
                    <w14:schemeClr w14:val="tx1"/>
                  </w14:solidFill>
                </w14:textFill>
              </w:rPr>
            </w:pPr>
            <w:r>
              <w:rPr>
                <w:rFonts w:hint="eastAsia" w:cs="Times New Roman"/>
                <w:color w:val="000000" w:themeColor="text1"/>
                <w:kern w:val="2"/>
                <w:sz w:val="24"/>
                <w:szCs w:val="24"/>
                <w:lang w:val="en-US" w:eastAsia="zh-CN" w:bidi="ar"/>
                <w14:textFill>
                  <w14:solidFill>
                    <w14:schemeClr w14:val="tx1"/>
                  </w14:solidFill>
                </w14:textFill>
              </w:rPr>
              <w:t>④设备冲洗用水：</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项目生产过程中</w:t>
            </w:r>
            <w:r>
              <w:rPr>
                <w:rFonts w:hint="default" w:ascii="Times New Roman" w:hAnsi="Times New Roman" w:cs="Times New Roman"/>
                <w:color w:val="000000" w:themeColor="text1"/>
                <w:kern w:val="2"/>
                <w:sz w:val="24"/>
                <w:szCs w:val="24"/>
                <w:lang w:val="en-US" w:eastAsia="zh-CN" w:bidi="ar"/>
                <w14:textFill>
                  <w14:solidFill>
                    <w14:schemeClr w14:val="tx1"/>
                  </w14:solidFill>
                </w14:textFill>
              </w:rPr>
              <w:t>产品型号变更时需要对生产设备（</w:t>
            </w:r>
            <w:r>
              <w:rPr>
                <w:rFonts w:hint="default" w:ascii="Times New Roman" w:hAnsi="Times New Roman" w:cs="Times New Roman"/>
                <w:color w:val="000000" w:themeColor="text1"/>
                <w:sz w:val="24"/>
                <w:szCs w:val="24"/>
                <w:highlight w:val="none"/>
                <w:lang w:val="zh-CN" w:eastAsia="zh-CN"/>
                <w14:textFill>
                  <w14:solidFill>
                    <w14:schemeClr w14:val="tx1"/>
                  </w14:solidFill>
                </w14:textFill>
              </w:rPr>
              <w:t>砂磨机、研磨机、搅拌机、造粒机等设备的清洗，清洗方式采用人工清洗</w:t>
            </w:r>
            <w:r>
              <w:rPr>
                <w:rFonts w:hint="default" w:ascii="Times New Roman" w:hAnsi="Times New Roman" w:cs="Times New Roman"/>
                <w:color w:val="000000" w:themeColor="text1"/>
                <w:kern w:val="2"/>
                <w:sz w:val="24"/>
                <w:szCs w:val="24"/>
                <w:lang w:val="en-US" w:eastAsia="zh-CN" w:bidi="ar"/>
                <w14:textFill>
                  <w14:solidFill>
                    <w14:schemeClr w14:val="tx1"/>
                  </w14:solidFill>
                </w14:textFill>
              </w:rPr>
              <w:t>）采用</w:t>
            </w:r>
            <w:r>
              <w:rPr>
                <w:rFonts w:hint="eastAsia" w:cs="Times New Roman"/>
                <w:color w:val="000000" w:themeColor="text1"/>
                <w:kern w:val="2"/>
                <w:sz w:val="24"/>
                <w:szCs w:val="24"/>
                <w:lang w:val="en-US" w:eastAsia="zh-CN" w:bidi="ar"/>
                <w14:textFill>
                  <w14:solidFill>
                    <w14:schemeClr w14:val="tx1"/>
                  </w14:solidFill>
                </w14:textFill>
              </w:rPr>
              <w:t>去离子</w:t>
            </w:r>
            <w:r>
              <w:rPr>
                <w:rFonts w:hint="default" w:ascii="Times New Roman" w:hAnsi="Times New Roman" w:cs="Times New Roman"/>
                <w:color w:val="000000" w:themeColor="text1"/>
                <w:kern w:val="2"/>
                <w:sz w:val="24"/>
                <w:szCs w:val="24"/>
                <w:lang w:val="en-US" w:eastAsia="zh-CN" w:bidi="ar"/>
                <w14:textFill>
                  <w14:solidFill>
                    <w14:schemeClr w14:val="tx1"/>
                  </w14:solidFill>
                </w14:textFill>
              </w:rPr>
              <w:t>水清洗，</w:t>
            </w:r>
            <w:r>
              <w:rPr>
                <w:rFonts w:hint="default" w:ascii="Times New Roman" w:hAnsi="Times New Roman" w:cs="Times New Roman"/>
                <w:color w:val="000000" w:themeColor="text1"/>
                <w:kern w:val="2"/>
                <w:sz w:val="24"/>
                <w:szCs w:val="24"/>
                <w:vertAlign w:val="baseline"/>
                <w:lang w:val="en-US" w:eastAsia="zh-CN" w:bidi="ar"/>
                <w14:textFill>
                  <w14:solidFill>
                    <w14:schemeClr w14:val="tx1"/>
                  </w14:solidFill>
                </w14:textFill>
              </w:rPr>
              <w:t>次数约为10次/年，</w:t>
            </w:r>
            <w:r>
              <w:rPr>
                <w:rFonts w:hint="default" w:ascii="Times New Roman" w:hAnsi="Times New Roman" w:cs="Times New Roman"/>
                <w:color w:val="000000" w:themeColor="text1"/>
                <w:kern w:val="2"/>
                <w:sz w:val="24"/>
                <w:szCs w:val="24"/>
                <w:lang w:val="en-US" w:eastAsia="zh-CN" w:bidi="ar"/>
                <w14:textFill>
                  <w14:solidFill>
                    <w14:schemeClr w14:val="tx1"/>
                  </w14:solidFill>
                </w14:textFill>
              </w:rPr>
              <w:t>清洗用水量约</w:t>
            </w:r>
            <w:r>
              <w:rPr>
                <w:rFonts w:hint="eastAsia" w:cs="Times New Roman"/>
                <w:color w:val="000000" w:themeColor="text1"/>
                <w:sz w:val="24"/>
                <w:szCs w:val="24"/>
                <w:lang w:val="en-US" w:eastAsia="zh-CN"/>
                <w14:textFill>
                  <w14:solidFill>
                    <w14:schemeClr w14:val="tx1"/>
                  </w14:solidFill>
                </w14:textFill>
              </w:rPr>
              <w:t>0.5</w:t>
            </w:r>
            <w:r>
              <w:rPr>
                <w:rFonts w:hint="default" w:ascii="Times New Roman" w:hAnsi="Times New Roman" w:cs="Times New Roman"/>
                <w:color w:val="000000" w:themeColor="text1"/>
                <w:sz w:val="24"/>
                <w:szCs w:val="24"/>
                <w:lang w:eastAsia="zh-CN"/>
                <w14:textFill>
                  <w14:solidFill>
                    <w14:schemeClr w14:val="tx1"/>
                  </w14:solidFill>
                </w14:textFill>
              </w:rPr>
              <w:t>m</w:t>
            </w:r>
            <w:r>
              <w:rPr>
                <w:rFonts w:hint="default" w:ascii="Times New Roman" w:hAnsi="Times New Roman" w:cs="Times New Roman"/>
                <w:color w:val="000000" w:themeColor="text1"/>
                <w:sz w:val="24"/>
                <w:szCs w:val="24"/>
                <w:vertAlign w:val="superscript"/>
                <w:lang w:eastAsia="zh-CN"/>
                <w14:textFill>
                  <w14:solidFill>
                    <w14:schemeClr w14:val="tx1"/>
                  </w14:solidFill>
                </w14:textFill>
              </w:rPr>
              <w:t>3</w:t>
            </w:r>
            <w:r>
              <w:rPr>
                <w:rFonts w:hint="default" w:ascii="Times New Roman" w:hAnsi="Times New Roman" w:cs="Times New Roman"/>
                <w:color w:val="000000" w:themeColor="text1"/>
                <w:sz w:val="24"/>
                <w:szCs w:val="24"/>
                <w:lang w:eastAsia="zh-CN"/>
                <w14:textFill>
                  <w14:solidFill>
                    <w14:schemeClr w14:val="tx1"/>
                  </w14:solidFill>
                </w14:textFill>
              </w:rPr>
              <w:t>/次（</w:t>
            </w:r>
            <w:r>
              <w:rPr>
                <w:rFonts w:hint="eastAsia" w:cs="Times New Roman"/>
                <w:color w:val="000000" w:themeColor="text1"/>
                <w:sz w:val="24"/>
                <w:szCs w:val="24"/>
                <w:lang w:val="en-US" w:eastAsia="zh-CN"/>
                <w14:textFill>
                  <w14:solidFill>
                    <w14:schemeClr w14:val="tx1"/>
                  </w14:solidFill>
                </w14:textFill>
              </w:rPr>
              <w:t>5</w:t>
            </w:r>
            <w:r>
              <w:rPr>
                <w:rFonts w:hint="default" w:ascii="Times New Roman" w:hAnsi="Times New Roman" w:cs="Times New Roman"/>
                <w:color w:val="000000" w:themeColor="text1"/>
                <w:sz w:val="24"/>
                <w:szCs w:val="24"/>
                <w:lang w:eastAsia="zh-CN"/>
                <w14:textFill>
                  <w14:solidFill>
                    <w14:schemeClr w14:val="tx1"/>
                  </w14:solidFill>
                </w14:textFill>
              </w:rPr>
              <w:t>m</w:t>
            </w:r>
            <w:r>
              <w:rPr>
                <w:rFonts w:hint="default" w:ascii="Times New Roman" w:hAnsi="Times New Roman" w:cs="Times New Roman"/>
                <w:color w:val="000000" w:themeColor="text1"/>
                <w:sz w:val="24"/>
                <w:szCs w:val="24"/>
                <w:vertAlign w:val="superscript"/>
                <w:lang w:eastAsia="zh-CN"/>
                <w14:textFill>
                  <w14:solidFill>
                    <w14:schemeClr w14:val="tx1"/>
                  </w14:solidFill>
                </w14:textFill>
              </w:rPr>
              <w:t>3</w:t>
            </w:r>
            <w:r>
              <w:rPr>
                <w:rFonts w:hint="default" w:ascii="Times New Roman" w:hAnsi="Times New Roman" w:cs="Times New Roman"/>
                <w:color w:val="000000" w:themeColor="text1"/>
                <w:sz w:val="24"/>
                <w:szCs w:val="24"/>
                <w:lang w:eastAsia="zh-CN"/>
                <w14:textFill>
                  <w14:solidFill>
                    <w14:schemeClr w14:val="tx1"/>
                  </w14:solidFill>
                </w14:textFill>
              </w:rPr>
              <w:t>/a）；</w:t>
            </w:r>
          </w:p>
          <w:p w14:paraId="3094BDD3">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right="0" w:rightChars="0" w:firstLine="480" w:firstLineChars="200"/>
              <w:textAlignment w:val="auto"/>
              <w:rPr>
                <w:rFonts w:hint="default"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⑤膜冲洗用水：本项目去离子水制备过程中每天开关机前均需对反渗透膜用去离子水进行冲洗，每天冲洗约13min，冲洗水的流量为0.013m</w:t>
            </w:r>
            <w:r>
              <w:rPr>
                <w:rFonts w:hint="eastAsia" w:cs="Times New Roman"/>
                <w:color w:val="000000" w:themeColor="text1"/>
                <w:sz w:val="24"/>
                <w:szCs w:val="24"/>
                <w:vertAlign w:val="superscript"/>
                <w:lang w:val="en-US" w:eastAsia="zh-CN"/>
                <w14:textFill>
                  <w14:solidFill>
                    <w14:schemeClr w14:val="tx1"/>
                  </w14:solidFill>
                </w14:textFill>
              </w:rPr>
              <w:t>3</w:t>
            </w:r>
            <w:r>
              <w:rPr>
                <w:rFonts w:hint="eastAsia" w:cs="Times New Roman"/>
                <w:color w:val="000000" w:themeColor="text1"/>
                <w:sz w:val="24"/>
                <w:szCs w:val="24"/>
                <w:lang w:val="en-US" w:eastAsia="zh-CN"/>
                <w14:textFill>
                  <w14:solidFill>
                    <w14:schemeClr w14:val="tx1"/>
                  </w14:solidFill>
                </w14:textFill>
              </w:rPr>
              <w:t>/min，则膜冲洗用水量为50.7m</w:t>
            </w:r>
            <w:r>
              <w:rPr>
                <w:rFonts w:hint="eastAsia" w:cs="Times New Roman"/>
                <w:color w:val="000000" w:themeColor="text1"/>
                <w:sz w:val="24"/>
                <w:szCs w:val="24"/>
                <w:vertAlign w:val="superscript"/>
                <w:lang w:val="en-US" w:eastAsia="zh-CN"/>
                <w14:textFill>
                  <w14:solidFill>
                    <w14:schemeClr w14:val="tx1"/>
                  </w14:solidFill>
                </w14:textFill>
              </w:rPr>
              <w:t>3</w:t>
            </w:r>
            <w:r>
              <w:rPr>
                <w:rFonts w:hint="eastAsia" w:cs="Times New Roman"/>
                <w:color w:val="000000" w:themeColor="text1"/>
                <w:sz w:val="24"/>
                <w:szCs w:val="24"/>
                <w:lang w:val="en-US" w:eastAsia="zh-CN"/>
                <w14:textFill>
                  <w14:solidFill>
                    <w14:schemeClr w14:val="tx1"/>
                  </w14:solidFill>
                </w14:textFill>
              </w:rPr>
              <w:t>/a（0.17m</w:t>
            </w:r>
            <w:r>
              <w:rPr>
                <w:rFonts w:hint="eastAsia" w:cs="Times New Roman"/>
                <w:color w:val="000000" w:themeColor="text1"/>
                <w:sz w:val="24"/>
                <w:szCs w:val="24"/>
                <w:vertAlign w:val="superscript"/>
                <w:lang w:val="en-US" w:eastAsia="zh-CN"/>
                <w14:textFill>
                  <w14:solidFill>
                    <w14:schemeClr w14:val="tx1"/>
                  </w14:solidFill>
                </w14:textFill>
              </w:rPr>
              <w:t>3</w:t>
            </w:r>
            <w:r>
              <w:rPr>
                <w:rFonts w:hint="eastAsia" w:cs="Times New Roman"/>
                <w:color w:val="000000" w:themeColor="text1"/>
                <w:sz w:val="24"/>
                <w:szCs w:val="24"/>
                <w:lang w:val="en-US" w:eastAsia="zh-CN"/>
                <w14:textFill>
                  <w14:solidFill>
                    <w14:schemeClr w14:val="tx1"/>
                  </w14:solidFill>
                </w14:textFill>
              </w:rPr>
              <w:t>/d）。</w:t>
            </w:r>
          </w:p>
          <w:p w14:paraId="2F0F8144">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right="0" w:rightChars="0" w:firstLine="480" w:firstLineChars="200"/>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综上所述，本项目所需去离子水共计约375.87</w:t>
            </w:r>
            <w:r>
              <w:rPr>
                <w:rFonts w:hint="default" w:ascii="Times New Roman" w:hAnsi="Times New Roman" w:cs="Times New Roman"/>
                <w:color w:val="000000" w:themeColor="text1"/>
                <w:sz w:val="24"/>
                <w:szCs w:val="24"/>
                <w:lang w:eastAsia="zh-CN"/>
                <w14:textFill>
                  <w14:solidFill>
                    <w14:schemeClr w14:val="tx1"/>
                  </w14:solidFill>
                </w14:textFill>
              </w:rPr>
              <w:t>m</w:t>
            </w:r>
            <w:r>
              <w:rPr>
                <w:rFonts w:hint="default" w:ascii="Times New Roman" w:hAnsi="Times New Roman" w:cs="Times New Roman"/>
                <w:color w:val="000000" w:themeColor="text1"/>
                <w:sz w:val="24"/>
                <w:szCs w:val="24"/>
                <w:vertAlign w:val="superscript"/>
                <w:lang w:eastAsia="zh-CN"/>
                <w14:textFill>
                  <w14:solidFill>
                    <w14:schemeClr w14:val="tx1"/>
                  </w14:solidFill>
                </w14:textFill>
              </w:rPr>
              <w:t>3</w:t>
            </w:r>
            <w:r>
              <w:rPr>
                <w:rFonts w:hint="default" w:ascii="Times New Roman" w:hAnsi="Times New Roman" w:cs="Times New Roman"/>
                <w:color w:val="000000" w:themeColor="text1"/>
                <w:sz w:val="24"/>
                <w:szCs w:val="24"/>
                <w:lang w:eastAsia="zh-CN"/>
                <w14:textFill>
                  <w14:solidFill>
                    <w14:schemeClr w14:val="tx1"/>
                  </w14:solidFill>
                </w14:textFill>
              </w:rPr>
              <w:t>/a</w:t>
            </w: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1.35</w:t>
            </w:r>
            <w:r>
              <w:rPr>
                <w:rFonts w:hint="eastAsia" w:ascii="Times New Roman" w:hAnsi="Times New Roman" w:cs="Times New Roman"/>
                <w:color w:val="000000" w:themeColor="text1"/>
                <w:sz w:val="24"/>
                <w:szCs w:val="24"/>
                <w:lang w:val="en-US" w:eastAsia="zh-CN"/>
                <w14:textFill>
                  <w14:solidFill>
                    <w14:schemeClr w14:val="tx1"/>
                  </w14:solidFill>
                </w14:textFill>
              </w:rPr>
              <w:t>m</w:t>
            </w:r>
            <w:r>
              <w:rPr>
                <w:rFonts w:hint="eastAsia" w:ascii="Times New Roman" w:hAnsi="Times New Roman" w:cs="Times New Roman"/>
                <w:color w:val="000000" w:themeColor="text1"/>
                <w:sz w:val="24"/>
                <w:szCs w:val="24"/>
                <w:vertAlign w:val="superscript"/>
                <w:lang w:val="en-US" w:eastAsia="zh-CN"/>
                <w14:textFill>
                  <w14:solidFill>
                    <w14:schemeClr w14:val="tx1"/>
                  </w14:solidFill>
                </w14:textFill>
              </w:rPr>
              <w:t>3</w:t>
            </w:r>
            <w:r>
              <w:rPr>
                <w:rFonts w:hint="eastAsia" w:ascii="Times New Roman" w:hAnsi="Times New Roman" w:cs="Times New Roman"/>
                <w:color w:val="000000" w:themeColor="text1"/>
                <w:sz w:val="24"/>
                <w:szCs w:val="24"/>
                <w:lang w:val="en-US" w:eastAsia="zh-CN"/>
                <w14:textFill>
                  <w14:solidFill>
                    <w14:schemeClr w14:val="tx1"/>
                  </w14:solidFill>
                </w14:textFill>
              </w:rPr>
              <w:t>/d</w:t>
            </w: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eastAsia" w:cs="Times New Roman"/>
                <w:color w:val="000000" w:themeColor="text1"/>
                <w:sz w:val="24"/>
                <w:szCs w:val="24"/>
                <w:lang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去离子水</w:t>
            </w:r>
            <w:r>
              <w:rPr>
                <w:rFonts w:hint="default" w:ascii="Times New Roman" w:hAnsi="Times New Roman" w:cs="Times New Roman"/>
                <w:color w:val="000000" w:themeColor="text1"/>
                <w:sz w:val="24"/>
                <w:szCs w:val="24"/>
                <w:lang w:val="en-US" w:eastAsia="zh-CN"/>
                <w14:textFill>
                  <w14:solidFill>
                    <w14:schemeClr w14:val="tx1"/>
                  </w14:solidFill>
                </w14:textFill>
              </w:rPr>
              <w:t>制备率为</w:t>
            </w:r>
            <w:r>
              <w:rPr>
                <w:rFonts w:hint="eastAsia" w:cs="Times New Roman"/>
                <w:color w:val="000000" w:themeColor="text1"/>
                <w:sz w:val="24"/>
                <w:szCs w:val="24"/>
                <w:lang w:val="en-US" w:eastAsia="zh-CN"/>
                <w14:textFill>
                  <w14:solidFill>
                    <w14:schemeClr w14:val="tx1"/>
                  </w14:solidFill>
                </w14:textFill>
              </w:rPr>
              <w:t>60</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则项目所需新鲜水约</w:t>
            </w:r>
            <w:r>
              <w:rPr>
                <w:rFonts w:hint="eastAsia" w:cs="Times New Roman"/>
                <w:color w:val="000000" w:themeColor="text1"/>
                <w:sz w:val="24"/>
                <w:szCs w:val="24"/>
                <w:lang w:val="en-US" w:eastAsia="zh-CN"/>
                <w14:textFill>
                  <w14:solidFill>
                    <w14:schemeClr w14:val="tx1"/>
                  </w14:solidFill>
                </w14:textFill>
              </w:rPr>
              <w:t>626.45</w:t>
            </w:r>
            <w:r>
              <w:rPr>
                <w:rFonts w:hint="default" w:ascii="Times New Roman" w:hAnsi="Times New Roman" w:cs="Times New Roman"/>
                <w:color w:val="000000" w:themeColor="text1"/>
                <w:sz w:val="24"/>
                <w:szCs w:val="24"/>
                <w:lang w:eastAsia="zh-CN"/>
                <w14:textFill>
                  <w14:solidFill>
                    <w14:schemeClr w14:val="tx1"/>
                  </w14:solidFill>
                </w14:textFill>
              </w:rPr>
              <w:t>m</w:t>
            </w:r>
            <w:r>
              <w:rPr>
                <w:rFonts w:hint="default" w:ascii="Times New Roman" w:hAnsi="Times New Roman" w:cs="Times New Roman"/>
                <w:color w:val="000000" w:themeColor="text1"/>
                <w:sz w:val="24"/>
                <w:szCs w:val="24"/>
                <w:vertAlign w:val="superscript"/>
                <w:lang w:eastAsia="zh-CN"/>
                <w14:textFill>
                  <w14:solidFill>
                    <w14:schemeClr w14:val="tx1"/>
                  </w14:solidFill>
                </w14:textFill>
              </w:rPr>
              <w:t>3</w:t>
            </w:r>
            <w:r>
              <w:rPr>
                <w:rFonts w:hint="default" w:ascii="Times New Roman" w:hAnsi="Times New Roman" w:cs="Times New Roman"/>
                <w:color w:val="000000" w:themeColor="text1"/>
                <w:sz w:val="24"/>
                <w:szCs w:val="24"/>
                <w:lang w:eastAsia="zh-CN"/>
                <w14:textFill>
                  <w14:solidFill>
                    <w14:schemeClr w14:val="tx1"/>
                  </w14:solidFill>
                </w14:textFill>
              </w:rPr>
              <w:t>/a</w:t>
            </w:r>
            <w:r>
              <w:rPr>
                <w:rFonts w:hint="eastAsia" w:cs="Times New Roman"/>
                <w:color w:val="000000" w:themeColor="text1"/>
                <w:sz w:val="24"/>
                <w:szCs w:val="24"/>
                <w:lang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2.25</w:t>
            </w:r>
            <w:r>
              <w:rPr>
                <w:rFonts w:hint="eastAsia" w:ascii="Times New Roman" w:hAnsi="Times New Roman" w:cs="Times New Roman"/>
                <w:color w:val="000000" w:themeColor="text1"/>
                <w:sz w:val="24"/>
                <w:szCs w:val="24"/>
                <w:lang w:val="en-US" w:eastAsia="zh-CN"/>
                <w14:textFill>
                  <w14:solidFill>
                    <w14:schemeClr w14:val="tx1"/>
                  </w14:solidFill>
                </w14:textFill>
              </w:rPr>
              <w:t>m</w:t>
            </w:r>
            <w:r>
              <w:rPr>
                <w:rFonts w:hint="eastAsia" w:ascii="Times New Roman" w:hAnsi="Times New Roman" w:cs="Times New Roman"/>
                <w:color w:val="000000" w:themeColor="text1"/>
                <w:sz w:val="24"/>
                <w:szCs w:val="24"/>
                <w:vertAlign w:val="superscript"/>
                <w:lang w:val="en-US" w:eastAsia="zh-CN"/>
                <w14:textFill>
                  <w14:solidFill>
                    <w14:schemeClr w14:val="tx1"/>
                  </w14:solidFill>
                </w14:textFill>
              </w:rPr>
              <w:t>3</w:t>
            </w:r>
            <w:r>
              <w:rPr>
                <w:rFonts w:hint="eastAsia" w:ascii="Times New Roman" w:hAnsi="Times New Roman" w:cs="Times New Roman"/>
                <w:color w:val="000000" w:themeColor="text1"/>
                <w:sz w:val="24"/>
                <w:szCs w:val="24"/>
                <w:lang w:val="en-US" w:eastAsia="zh-CN"/>
                <w14:textFill>
                  <w14:solidFill>
                    <w14:schemeClr w14:val="tx1"/>
                  </w14:solidFill>
                </w14:textFill>
              </w:rPr>
              <w:t>/d</w:t>
            </w:r>
            <w:r>
              <w:rPr>
                <w:rFonts w:hint="eastAsia"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w:t>
            </w:r>
          </w:p>
          <w:p w14:paraId="5487D99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本项目</w:t>
            </w:r>
            <w:r>
              <w:rPr>
                <w:rFonts w:hint="default" w:ascii="Times New Roman" w:hAnsi="Times New Roman" w:eastAsia="宋体" w:cs="Times New Roman"/>
                <w:color w:val="000000" w:themeColor="text1"/>
                <w:sz w:val="24"/>
                <w:lang w:val="en-US" w:eastAsia="zh-CN"/>
                <w14:textFill>
                  <w14:solidFill>
                    <w14:schemeClr w14:val="tx1"/>
                  </w14:solidFill>
                </w14:textFill>
              </w:rPr>
              <w:t>用水及废水产生情况见表2-5。</w:t>
            </w:r>
          </w:p>
          <w:p w14:paraId="1B0462E3">
            <w:pPr>
              <w:spacing w:line="440" w:lineRule="exact"/>
              <w:ind w:firstLine="482" w:firstLineChars="200"/>
              <w:jc w:val="center"/>
              <w:rPr>
                <w:rFonts w:hint="default" w:ascii="Times New Roman" w:hAnsi="Times New Roman" w:cs="Times New Roman"/>
                <w:b/>
                <w:color w:val="000000" w:themeColor="text1"/>
                <w:sz w:val="24"/>
                <w14:textFill>
                  <w14:solidFill>
                    <w14:schemeClr w14:val="tx1"/>
                  </w14:solidFill>
                </w14:textFill>
              </w:rPr>
            </w:pPr>
            <w:r>
              <w:rPr>
                <w:rFonts w:hint="default" w:ascii="Times New Roman" w:hAnsi="Times New Roman" w:cs="Times New Roman"/>
                <w:b/>
                <w:color w:val="000000" w:themeColor="text1"/>
                <w:sz w:val="24"/>
                <w14:textFill>
                  <w14:solidFill>
                    <w14:schemeClr w14:val="tx1"/>
                  </w14:solidFill>
                </w14:textFill>
              </w:rPr>
              <w:t>表2-</w:t>
            </w:r>
            <w:r>
              <w:rPr>
                <w:rFonts w:hint="default" w:ascii="Times New Roman" w:hAnsi="Times New Roman" w:cs="Times New Roman"/>
                <w:b/>
                <w:color w:val="000000" w:themeColor="text1"/>
                <w:sz w:val="24"/>
                <w:lang w:val="en-US" w:eastAsia="zh-CN"/>
                <w14:textFill>
                  <w14:solidFill>
                    <w14:schemeClr w14:val="tx1"/>
                  </w14:solidFill>
                </w14:textFill>
              </w:rPr>
              <w:t>5</w:t>
            </w:r>
            <w:r>
              <w:rPr>
                <w:rFonts w:hint="default" w:ascii="Times New Roman" w:hAnsi="Times New Roman" w:cs="Times New Roman"/>
                <w:b/>
                <w:color w:val="000000" w:themeColor="text1"/>
                <w:sz w:val="24"/>
                <w14:textFill>
                  <w14:solidFill>
                    <w14:schemeClr w14:val="tx1"/>
                  </w14:solidFill>
                </w14:textFill>
              </w:rPr>
              <w:t xml:space="preserve">  项目用水及污水排放情况一览表</w:t>
            </w:r>
          </w:p>
          <w:tbl>
            <w:tblPr>
              <w:tblStyle w:val="36"/>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420"/>
              <w:gridCol w:w="676"/>
              <w:gridCol w:w="1002"/>
              <w:gridCol w:w="1105"/>
              <w:gridCol w:w="1063"/>
              <w:gridCol w:w="545"/>
              <w:gridCol w:w="663"/>
              <w:gridCol w:w="909"/>
              <w:gridCol w:w="596"/>
              <w:gridCol w:w="1600"/>
            </w:tblGrid>
            <w:tr w14:paraId="7CA3EB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83" w:type="pct"/>
                  <w:gridSpan w:val="2"/>
                  <w:vMerge w:val="restart"/>
                  <w:noWrap w:val="0"/>
                  <w:vAlign w:val="center"/>
                </w:tcPr>
                <w:p w14:paraId="3A3B9FC6">
                  <w:pPr>
                    <w:adjustRightInd w:val="0"/>
                    <w:snapToGrid w:val="0"/>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用水单元</w:t>
                  </w:r>
                </w:p>
              </w:tc>
              <w:tc>
                <w:tcPr>
                  <w:tcW w:w="606" w:type="pct"/>
                  <w:vMerge w:val="restart"/>
                  <w:noWrap w:val="0"/>
                  <w:vAlign w:val="center"/>
                </w:tcPr>
                <w:p w14:paraId="0F4A404B">
                  <w:pPr>
                    <w:adjustRightInd w:val="0"/>
                    <w:snapToGrid w:val="0"/>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使用人数</w:t>
                  </w:r>
                </w:p>
                <w:p w14:paraId="6DD31D0B">
                  <w:pPr>
                    <w:adjustRightInd w:val="0"/>
                    <w:snapToGrid w:val="0"/>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或单位数</w:t>
                  </w:r>
                </w:p>
              </w:tc>
              <w:tc>
                <w:tcPr>
                  <w:tcW w:w="644" w:type="pct"/>
                  <w:vMerge w:val="restart"/>
                  <w:noWrap w:val="0"/>
                  <w:vAlign w:val="center"/>
                </w:tcPr>
                <w:p w14:paraId="0FA2B18F">
                  <w:pPr>
                    <w:adjustRightInd w:val="0"/>
                    <w:snapToGrid w:val="0"/>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用水</w:t>
                  </w:r>
                </w:p>
                <w:p w14:paraId="2FB4EEE4">
                  <w:pPr>
                    <w:adjustRightInd w:val="0"/>
                    <w:snapToGrid w:val="0"/>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标准</w:t>
                  </w:r>
                </w:p>
              </w:tc>
              <w:tc>
                <w:tcPr>
                  <w:tcW w:w="641" w:type="pct"/>
                  <w:vMerge w:val="restart"/>
                  <w:noWrap w:val="0"/>
                  <w:vAlign w:val="center"/>
                </w:tcPr>
                <w:p w14:paraId="24DFE158">
                  <w:pPr>
                    <w:adjustRightInd w:val="0"/>
                    <w:snapToGrid w:val="0"/>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年用水</w:t>
                  </w:r>
                </w:p>
                <w:p w14:paraId="1879C6A4">
                  <w:pPr>
                    <w:adjustRightInd w:val="0"/>
                    <w:snapToGrid w:val="0"/>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天数</w:t>
                  </w:r>
                </w:p>
              </w:tc>
              <w:tc>
                <w:tcPr>
                  <w:tcW w:w="747" w:type="pct"/>
                  <w:gridSpan w:val="2"/>
                  <w:noWrap w:val="0"/>
                  <w:vAlign w:val="center"/>
                </w:tcPr>
                <w:p w14:paraId="5B91E5CB">
                  <w:pPr>
                    <w:adjustRightInd w:val="0"/>
                    <w:snapToGrid w:val="0"/>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用水量</w:t>
                  </w:r>
                </w:p>
              </w:tc>
              <w:tc>
                <w:tcPr>
                  <w:tcW w:w="725" w:type="pct"/>
                  <w:gridSpan w:val="2"/>
                  <w:noWrap w:val="0"/>
                  <w:vAlign w:val="center"/>
                </w:tcPr>
                <w:p w14:paraId="4BB8455F">
                  <w:pPr>
                    <w:adjustRightInd w:val="0"/>
                    <w:snapToGrid w:val="0"/>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产生污水量</w:t>
                  </w:r>
                </w:p>
              </w:tc>
              <w:tc>
                <w:tcPr>
                  <w:tcW w:w="952" w:type="pct"/>
                  <w:vMerge w:val="restart"/>
                  <w:noWrap w:val="0"/>
                  <w:vAlign w:val="center"/>
                </w:tcPr>
                <w:p w14:paraId="0842D0C7">
                  <w:pPr>
                    <w:adjustRightInd w:val="0"/>
                    <w:snapToGrid w:val="0"/>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备注</w:t>
                  </w:r>
                </w:p>
              </w:tc>
            </w:tr>
            <w:tr w14:paraId="43B95E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83" w:type="pct"/>
                  <w:gridSpan w:val="2"/>
                  <w:vMerge w:val="continue"/>
                  <w:noWrap w:val="0"/>
                  <w:vAlign w:val="center"/>
                </w:tcPr>
                <w:p w14:paraId="66114642">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p>
              </w:tc>
              <w:tc>
                <w:tcPr>
                  <w:tcW w:w="606" w:type="pct"/>
                  <w:vMerge w:val="continue"/>
                  <w:noWrap w:val="0"/>
                  <w:vAlign w:val="center"/>
                </w:tcPr>
                <w:p w14:paraId="51E17FDE">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p>
              </w:tc>
              <w:tc>
                <w:tcPr>
                  <w:tcW w:w="644" w:type="pct"/>
                  <w:vMerge w:val="continue"/>
                  <w:noWrap w:val="0"/>
                  <w:vAlign w:val="center"/>
                </w:tcPr>
                <w:p w14:paraId="64E96641">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p>
              </w:tc>
              <w:tc>
                <w:tcPr>
                  <w:tcW w:w="641" w:type="pct"/>
                  <w:vMerge w:val="continue"/>
                  <w:noWrap w:val="0"/>
                  <w:vAlign w:val="center"/>
                </w:tcPr>
                <w:p w14:paraId="4BA61097">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p>
              </w:tc>
              <w:tc>
                <w:tcPr>
                  <w:tcW w:w="339" w:type="pct"/>
                  <w:noWrap w:val="0"/>
                  <w:vAlign w:val="center"/>
                </w:tcPr>
                <w:p w14:paraId="2A21472B">
                  <w:pPr>
                    <w:adjustRightInd w:val="0"/>
                    <w:snapToGrid w:val="0"/>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m</w:t>
                  </w:r>
                  <w:r>
                    <w:rPr>
                      <w:rFonts w:hint="default" w:ascii="Times New Roman" w:hAnsi="Times New Roman" w:cs="Times New Roman"/>
                      <w:b/>
                      <w:bCs/>
                      <w:color w:val="000000" w:themeColor="text1"/>
                      <w:szCs w:val="21"/>
                      <w:vertAlign w:val="superscript"/>
                      <w14:textFill>
                        <w14:solidFill>
                          <w14:schemeClr w14:val="tx1"/>
                        </w14:solidFill>
                      </w14:textFill>
                    </w:rPr>
                    <w:t>3/</w:t>
                  </w:r>
                  <w:r>
                    <w:rPr>
                      <w:rFonts w:hint="default" w:ascii="Times New Roman" w:hAnsi="Times New Roman" w:cs="Times New Roman"/>
                      <w:b/>
                      <w:bCs/>
                      <w:color w:val="000000" w:themeColor="text1"/>
                      <w:szCs w:val="21"/>
                      <w14:textFill>
                        <w14:solidFill>
                          <w14:schemeClr w14:val="tx1"/>
                        </w14:solidFill>
                      </w14:textFill>
                    </w:rPr>
                    <w:t>d</w:t>
                  </w:r>
                </w:p>
              </w:tc>
              <w:tc>
                <w:tcPr>
                  <w:tcW w:w="407" w:type="pct"/>
                  <w:noWrap w:val="0"/>
                  <w:vAlign w:val="center"/>
                </w:tcPr>
                <w:p w14:paraId="503CEAE9">
                  <w:pPr>
                    <w:adjustRightInd w:val="0"/>
                    <w:snapToGrid w:val="0"/>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m</w:t>
                  </w:r>
                  <w:r>
                    <w:rPr>
                      <w:rFonts w:hint="default" w:ascii="Times New Roman" w:hAnsi="Times New Roman" w:cs="Times New Roman"/>
                      <w:b/>
                      <w:bCs/>
                      <w:color w:val="000000" w:themeColor="text1"/>
                      <w:szCs w:val="21"/>
                      <w:vertAlign w:val="superscript"/>
                      <w14:textFill>
                        <w14:solidFill>
                          <w14:schemeClr w14:val="tx1"/>
                        </w14:solidFill>
                      </w14:textFill>
                    </w:rPr>
                    <w:t>3</w:t>
                  </w:r>
                  <w:r>
                    <w:rPr>
                      <w:rFonts w:hint="default" w:ascii="Times New Roman" w:hAnsi="Times New Roman" w:cs="Times New Roman"/>
                      <w:b/>
                      <w:bCs/>
                      <w:color w:val="000000" w:themeColor="text1"/>
                      <w:szCs w:val="21"/>
                      <w14:textFill>
                        <w14:solidFill>
                          <w14:schemeClr w14:val="tx1"/>
                        </w14:solidFill>
                      </w14:textFill>
                    </w:rPr>
                    <w:t>/a</w:t>
                  </w:r>
                </w:p>
              </w:tc>
              <w:tc>
                <w:tcPr>
                  <w:tcW w:w="356" w:type="pct"/>
                  <w:noWrap w:val="0"/>
                  <w:vAlign w:val="center"/>
                </w:tcPr>
                <w:p w14:paraId="7C45A79A">
                  <w:pPr>
                    <w:adjustRightInd w:val="0"/>
                    <w:snapToGrid w:val="0"/>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m</w:t>
                  </w:r>
                  <w:r>
                    <w:rPr>
                      <w:rFonts w:hint="default" w:ascii="Times New Roman" w:hAnsi="Times New Roman" w:cs="Times New Roman"/>
                      <w:b/>
                      <w:bCs/>
                      <w:color w:val="000000" w:themeColor="text1"/>
                      <w:szCs w:val="21"/>
                      <w:vertAlign w:val="superscript"/>
                      <w14:textFill>
                        <w14:solidFill>
                          <w14:schemeClr w14:val="tx1"/>
                        </w14:solidFill>
                      </w14:textFill>
                    </w:rPr>
                    <w:t>3</w:t>
                  </w:r>
                  <w:r>
                    <w:rPr>
                      <w:rFonts w:hint="default" w:ascii="Times New Roman" w:hAnsi="Times New Roman" w:cs="Times New Roman"/>
                      <w:b/>
                      <w:bCs/>
                      <w:color w:val="000000" w:themeColor="text1"/>
                      <w:szCs w:val="21"/>
                      <w14:textFill>
                        <w14:solidFill>
                          <w14:schemeClr w14:val="tx1"/>
                        </w14:solidFill>
                      </w14:textFill>
                    </w:rPr>
                    <w:t>/d</w:t>
                  </w:r>
                </w:p>
              </w:tc>
              <w:tc>
                <w:tcPr>
                  <w:tcW w:w="368" w:type="pct"/>
                  <w:noWrap w:val="0"/>
                  <w:vAlign w:val="center"/>
                </w:tcPr>
                <w:p w14:paraId="754EC655">
                  <w:pPr>
                    <w:adjustRightInd w:val="0"/>
                    <w:snapToGrid w:val="0"/>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m</w:t>
                  </w:r>
                  <w:r>
                    <w:rPr>
                      <w:rFonts w:hint="default" w:ascii="Times New Roman" w:hAnsi="Times New Roman" w:cs="Times New Roman"/>
                      <w:b/>
                      <w:bCs/>
                      <w:color w:val="000000" w:themeColor="text1"/>
                      <w:szCs w:val="21"/>
                      <w:vertAlign w:val="superscript"/>
                      <w14:textFill>
                        <w14:solidFill>
                          <w14:schemeClr w14:val="tx1"/>
                        </w14:solidFill>
                      </w14:textFill>
                    </w:rPr>
                    <w:t>3</w:t>
                  </w:r>
                  <w:r>
                    <w:rPr>
                      <w:rFonts w:hint="default" w:ascii="Times New Roman" w:hAnsi="Times New Roman" w:cs="Times New Roman"/>
                      <w:b/>
                      <w:bCs/>
                      <w:color w:val="000000" w:themeColor="text1"/>
                      <w:szCs w:val="21"/>
                      <w14:textFill>
                        <w14:solidFill>
                          <w14:schemeClr w14:val="tx1"/>
                        </w14:solidFill>
                      </w14:textFill>
                    </w:rPr>
                    <w:t>/a</w:t>
                  </w:r>
                </w:p>
              </w:tc>
              <w:tc>
                <w:tcPr>
                  <w:tcW w:w="952" w:type="pct"/>
                  <w:vMerge w:val="continue"/>
                  <w:noWrap w:val="0"/>
                  <w:vAlign w:val="center"/>
                </w:tcPr>
                <w:p w14:paraId="58B318CD">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p>
              </w:tc>
            </w:tr>
            <w:tr w14:paraId="77C1A0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267" w:type="pct"/>
                  <w:tcBorders>
                    <w:right w:val="single" w:color="auto" w:sz="4" w:space="0"/>
                  </w:tcBorders>
                  <w:noWrap w:val="0"/>
                  <w:vAlign w:val="center"/>
                </w:tcPr>
                <w:p w14:paraId="429C87D9">
                  <w:pPr>
                    <w:adjustRightInd w:val="0"/>
                    <w:snapToGrid w:val="0"/>
                    <w:jc w:val="center"/>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新鲜水</w:t>
                  </w:r>
                </w:p>
              </w:tc>
              <w:tc>
                <w:tcPr>
                  <w:tcW w:w="416" w:type="pct"/>
                  <w:tcBorders>
                    <w:left w:val="single" w:color="auto" w:sz="4" w:space="0"/>
                  </w:tcBorders>
                  <w:noWrap w:val="0"/>
                  <w:vAlign w:val="center"/>
                </w:tcPr>
                <w:p w14:paraId="05245C9E">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生活用水</w:t>
                  </w:r>
                </w:p>
              </w:tc>
              <w:tc>
                <w:tcPr>
                  <w:tcW w:w="606" w:type="pct"/>
                  <w:noWrap w:val="0"/>
                  <w:vAlign w:val="center"/>
                </w:tcPr>
                <w:p w14:paraId="142584FC">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30</w:t>
                  </w:r>
                  <w:r>
                    <w:rPr>
                      <w:rFonts w:hint="default" w:ascii="Times New Roman" w:hAnsi="Times New Roman" w:cs="Times New Roman"/>
                      <w:color w:val="000000" w:themeColor="text1"/>
                      <w:szCs w:val="21"/>
                      <w14:textFill>
                        <w14:solidFill>
                          <w14:schemeClr w14:val="tx1"/>
                        </w14:solidFill>
                      </w14:textFill>
                    </w:rPr>
                    <w:t>人</w:t>
                  </w:r>
                </w:p>
              </w:tc>
              <w:tc>
                <w:tcPr>
                  <w:tcW w:w="644" w:type="pct"/>
                  <w:noWrap w:val="0"/>
                  <w:vAlign w:val="center"/>
                </w:tcPr>
                <w:p w14:paraId="20A08579">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25m</w:t>
                  </w:r>
                  <w:r>
                    <w:rPr>
                      <w:rFonts w:hint="default" w:ascii="Times New Roman" w:hAnsi="Times New Roman" w:cs="Times New Roman"/>
                      <w:color w:val="000000" w:themeColor="text1"/>
                      <w:szCs w:val="21"/>
                      <w:vertAlign w:val="superscript"/>
                      <w14:textFill>
                        <w14:solidFill>
                          <w14:schemeClr w14:val="tx1"/>
                        </w14:solidFill>
                      </w14:textFill>
                    </w:rPr>
                    <w:t>3</w:t>
                  </w:r>
                  <w:r>
                    <w:rPr>
                      <w:rFonts w:hint="default" w:ascii="Times New Roman" w:hAnsi="Times New Roman" w:cs="Times New Roman"/>
                      <w:color w:val="000000" w:themeColor="text1"/>
                      <w:szCs w:val="21"/>
                      <w14:textFill>
                        <w14:solidFill>
                          <w14:schemeClr w14:val="tx1"/>
                        </w14:solidFill>
                      </w14:textFill>
                    </w:rPr>
                    <w:t>/（人•a）</w:t>
                  </w:r>
                </w:p>
              </w:tc>
              <w:tc>
                <w:tcPr>
                  <w:tcW w:w="641" w:type="pct"/>
                  <w:noWrap w:val="0"/>
                  <w:vAlign w:val="center"/>
                </w:tcPr>
                <w:p w14:paraId="6AD536B3">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300</w:t>
                  </w:r>
                </w:p>
              </w:tc>
              <w:tc>
                <w:tcPr>
                  <w:tcW w:w="339" w:type="pct"/>
                  <w:noWrap w:val="0"/>
                  <w:vAlign w:val="center"/>
                </w:tcPr>
                <w:p w14:paraId="15286AA0">
                  <w:pPr>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2.5</w:t>
                  </w:r>
                </w:p>
              </w:tc>
              <w:tc>
                <w:tcPr>
                  <w:tcW w:w="407" w:type="pct"/>
                  <w:noWrap w:val="0"/>
                  <w:vAlign w:val="center"/>
                </w:tcPr>
                <w:p w14:paraId="143DBB0C">
                  <w:pPr>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75</w:t>
                  </w:r>
                  <w:r>
                    <w:rPr>
                      <w:rFonts w:hint="default" w:ascii="Times New Roman" w:hAnsi="Times New Roman" w:cs="Times New Roman"/>
                      <w:color w:val="000000" w:themeColor="text1"/>
                      <w:szCs w:val="21"/>
                      <w:lang w:val="en-US" w:eastAsia="zh-CN"/>
                      <w14:textFill>
                        <w14:solidFill>
                          <w14:schemeClr w14:val="tx1"/>
                        </w14:solidFill>
                      </w14:textFill>
                    </w:rPr>
                    <w:t>0</w:t>
                  </w:r>
                </w:p>
              </w:tc>
              <w:tc>
                <w:tcPr>
                  <w:tcW w:w="356" w:type="pct"/>
                  <w:noWrap w:val="0"/>
                  <w:vAlign w:val="center"/>
                </w:tcPr>
                <w:p w14:paraId="44A465D9">
                  <w:pPr>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2.13</w:t>
                  </w:r>
                </w:p>
              </w:tc>
              <w:tc>
                <w:tcPr>
                  <w:tcW w:w="368" w:type="pct"/>
                  <w:noWrap w:val="0"/>
                  <w:vAlign w:val="center"/>
                </w:tcPr>
                <w:p w14:paraId="66758CD5">
                  <w:pPr>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638</w:t>
                  </w:r>
                </w:p>
              </w:tc>
              <w:tc>
                <w:tcPr>
                  <w:tcW w:w="952" w:type="pct"/>
                  <w:noWrap w:val="0"/>
                  <w:vAlign w:val="center"/>
                </w:tcPr>
                <w:p w14:paraId="4BDAFAF4">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产生污水量按用水量的85%计</w:t>
                  </w:r>
                </w:p>
              </w:tc>
            </w:tr>
            <w:tr w14:paraId="42F277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267" w:type="pct"/>
                  <w:vMerge w:val="restart"/>
                  <w:tcBorders>
                    <w:right w:val="single" w:color="auto" w:sz="4" w:space="0"/>
                  </w:tcBorders>
                  <w:noWrap w:val="0"/>
                  <w:vAlign w:val="center"/>
                </w:tcPr>
                <w:p w14:paraId="284B6686">
                  <w:pPr>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去离子水</w:t>
                  </w:r>
                </w:p>
              </w:tc>
              <w:tc>
                <w:tcPr>
                  <w:tcW w:w="416" w:type="pct"/>
                  <w:tcBorders>
                    <w:left w:val="single" w:color="auto" w:sz="4" w:space="0"/>
                  </w:tcBorders>
                  <w:shd w:val="clear" w:color="auto" w:fill="auto"/>
                  <w:noWrap w:val="0"/>
                  <w:vAlign w:val="center"/>
                </w:tcPr>
                <w:p w14:paraId="3D598D39">
                  <w:pPr>
                    <w:adjustRightInd w:val="0"/>
                    <w:snapToGrid w:val="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配料用水</w:t>
                  </w:r>
                </w:p>
              </w:tc>
              <w:tc>
                <w:tcPr>
                  <w:tcW w:w="606" w:type="pct"/>
                  <w:noWrap w:val="0"/>
                  <w:vAlign w:val="center"/>
                </w:tcPr>
                <w:p w14:paraId="0AEA0CEB">
                  <w:pPr>
                    <w:adjustRightInd w:val="0"/>
                    <w:snapToGrid w:val="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123.5t</w:t>
                  </w:r>
                </w:p>
              </w:tc>
              <w:tc>
                <w:tcPr>
                  <w:tcW w:w="644" w:type="pct"/>
                  <w:noWrap w:val="0"/>
                  <w:vAlign w:val="center"/>
                </w:tcPr>
                <w:p w14:paraId="77850AEC">
                  <w:pPr>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1:1.32</w:t>
                  </w:r>
                </w:p>
              </w:tc>
              <w:tc>
                <w:tcPr>
                  <w:tcW w:w="641" w:type="pct"/>
                  <w:noWrap w:val="0"/>
                  <w:vAlign w:val="center"/>
                </w:tcPr>
                <w:p w14:paraId="1B3A6A38">
                  <w:pPr>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300</w:t>
                  </w:r>
                </w:p>
              </w:tc>
              <w:tc>
                <w:tcPr>
                  <w:tcW w:w="339" w:type="pct"/>
                  <w:noWrap w:val="0"/>
                  <w:vAlign w:val="center"/>
                </w:tcPr>
                <w:p w14:paraId="45AD80AC">
                  <w:pPr>
                    <w:adjustRightInd w:val="0"/>
                    <w:snapToGrid w:val="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0.54</w:t>
                  </w:r>
                </w:p>
              </w:tc>
              <w:tc>
                <w:tcPr>
                  <w:tcW w:w="407" w:type="pct"/>
                  <w:noWrap w:val="0"/>
                  <w:vAlign w:val="center"/>
                </w:tcPr>
                <w:p w14:paraId="7F574C40">
                  <w:pPr>
                    <w:adjustRightInd w:val="0"/>
                    <w:snapToGrid w:val="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163.02</w:t>
                  </w:r>
                </w:p>
              </w:tc>
              <w:tc>
                <w:tcPr>
                  <w:tcW w:w="356" w:type="pct"/>
                  <w:noWrap w:val="0"/>
                  <w:vAlign w:val="center"/>
                </w:tcPr>
                <w:p w14:paraId="6B2F8D0B">
                  <w:pPr>
                    <w:adjustRightInd w:val="0"/>
                    <w:snapToGrid w:val="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0</w:t>
                  </w:r>
                </w:p>
              </w:tc>
              <w:tc>
                <w:tcPr>
                  <w:tcW w:w="368" w:type="pct"/>
                  <w:noWrap w:val="0"/>
                  <w:vAlign w:val="center"/>
                </w:tcPr>
                <w:p w14:paraId="3E4B5557">
                  <w:pPr>
                    <w:adjustRightInd w:val="0"/>
                    <w:snapToGrid w:val="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0</w:t>
                  </w:r>
                </w:p>
              </w:tc>
              <w:tc>
                <w:tcPr>
                  <w:tcW w:w="952" w:type="pct"/>
                  <w:noWrap w:val="0"/>
                  <w:vAlign w:val="center"/>
                </w:tcPr>
                <w:p w14:paraId="43D0F5E5">
                  <w:pPr>
                    <w:adjustRightInd w:val="0"/>
                    <w:snapToGrid w:val="0"/>
                    <w:jc w:val="center"/>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w:t>
                  </w:r>
                </w:p>
              </w:tc>
            </w:tr>
            <w:tr w14:paraId="1B3330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267" w:type="pct"/>
                  <w:vMerge w:val="continue"/>
                  <w:tcBorders>
                    <w:right w:val="single" w:color="auto" w:sz="4" w:space="0"/>
                  </w:tcBorders>
                  <w:noWrap w:val="0"/>
                  <w:vAlign w:val="center"/>
                </w:tcPr>
                <w:p w14:paraId="4677FC24">
                  <w:pPr>
                    <w:adjustRightInd w:val="0"/>
                    <w:snapToGrid w:val="0"/>
                    <w:jc w:val="center"/>
                    <w:rPr>
                      <w:rFonts w:hint="eastAsia" w:ascii="Times New Roman" w:hAnsi="Times New Roman" w:eastAsia="宋体" w:cs="Times New Roman"/>
                      <w:color w:val="000000" w:themeColor="text1"/>
                      <w:szCs w:val="21"/>
                      <w:lang w:val="en-US" w:eastAsia="zh-CN"/>
                      <w14:textFill>
                        <w14:solidFill>
                          <w14:schemeClr w14:val="tx1"/>
                        </w14:solidFill>
                      </w14:textFill>
                    </w:rPr>
                  </w:pPr>
                </w:p>
              </w:tc>
              <w:tc>
                <w:tcPr>
                  <w:tcW w:w="416" w:type="pct"/>
                  <w:tcBorders>
                    <w:left w:val="single" w:color="auto" w:sz="4" w:space="0"/>
                  </w:tcBorders>
                  <w:shd w:val="clear" w:color="auto" w:fill="auto"/>
                  <w:noWrap w:val="0"/>
                  <w:vAlign w:val="center"/>
                </w:tcPr>
                <w:p w14:paraId="7DA267C4">
                  <w:pPr>
                    <w:adjustRightInd w:val="0"/>
                    <w:snapToGrid w:val="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研磨用水</w:t>
                  </w:r>
                </w:p>
              </w:tc>
              <w:tc>
                <w:tcPr>
                  <w:tcW w:w="606" w:type="pct"/>
                  <w:noWrap w:val="0"/>
                  <w:vAlign w:val="center"/>
                </w:tcPr>
                <w:p w14:paraId="7EF2F85C">
                  <w:pPr>
                    <w:adjustRightInd w:val="0"/>
                    <w:snapToGrid w:val="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123.5t</w:t>
                  </w:r>
                </w:p>
              </w:tc>
              <w:tc>
                <w:tcPr>
                  <w:tcW w:w="644" w:type="pct"/>
                  <w:noWrap w:val="0"/>
                  <w:vAlign w:val="center"/>
                </w:tcPr>
                <w:p w14:paraId="4E6CFB60">
                  <w:pPr>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1:0.9</w:t>
                  </w:r>
                </w:p>
              </w:tc>
              <w:tc>
                <w:tcPr>
                  <w:tcW w:w="641" w:type="pct"/>
                  <w:noWrap w:val="0"/>
                  <w:vAlign w:val="center"/>
                </w:tcPr>
                <w:p w14:paraId="6D4A2509">
                  <w:pPr>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300</w:t>
                  </w:r>
                </w:p>
              </w:tc>
              <w:tc>
                <w:tcPr>
                  <w:tcW w:w="339" w:type="pct"/>
                  <w:noWrap w:val="0"/>
                  <w:vAlign w:val="center"/>
                </w:tcPr>
                <w:p w14:paraId="32F449F7">
                  <w:pPr>
                    <w:adjustRightInd w:val="0"/>
                    <w:snapToGrid w:val="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0.37</w:t>
                  </w:r>
                </w:p>
              </w:tc>
              <w:tc>
                <w:tcPr>
                  <w:tcW w:w="407" w:type="pct"/>
                  <w:noWrap w:val="0"/>
                  <w:vAlign w:val="center"/>
                </w:tcPr>
                <w:p w14:paraId="24DD6280">
                  <w:pPr>
                    <w:adjustRightInd w:val="0"/>
                    <w:snapToGrid w:val="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111.15</w:t>
                  </w:r>
                </w:p>
              </w:tc>
              <w:tc>
                <w:tcPr>
                  <w:tcW w:w="356" w:type="pct"/>
                  <w:noWrap w:val="0"/>
                  <w:vAlign w:val="center"/>
                </w:tcPr>
                <w:p w14:paraId="5F9930E6">
                  <w:pPr>
                    <w:adjustRightInd w:val="0"/>
                    <w:snapToGrid w:val="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0</w:t>
                  </w:r>
                </w:p>
              </w:tc>
              <w:tc>
                <w:tcPr>
                  <w:tcW w:w="368" w:type="pct"/>
                  <w:noWrap w:val="0"/>
                  <w:vAlign w:val="center"/>
                </w:tcPr>
                <w:p w14:paraId="5E972D0A">
                  <w:pPr>
                    <w:adjustRightInd w:val="0"/>
                    <w:snapToGrid w:val="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0</w:t>
                  </w:r>
                </w:p>
              </w:tc>
              <w:tc>
                <w:tcPr>
                  <w:tcW w:w="952" w:type="pct"/>
                  <w:noWrap w:val="0"/>
                  <w:vAlign w:val="center"/>
                </w:tcPr>
                <w:p w14:paraId="4B321045">
                  <w:pPr>
                    <w:adjustRightInd w:val="0"/>
                    <w:snapToGrid w:val="0"/>
                    <w:jc w:val="center"/>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w:t>
                  </w:r>
                </w:p>
              </w:tc>
            </w:tr>
            <w:tr w14:paraId="755DEE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267" w:type="pct"/>
                  <w:vMerge w:val="continue"/>
                  <w:tcBorders>
                    <w:right w:val="single" w:color="auto" w:sz="4" w:space="0"/>
                  </w:tcBorders>
                  <w:noWrap w:val="0"/>
                  <w:vAlign w:val="center"/>
                </w:tcPr>
                <w:p w14:paraId="017DB4CB">
                  <w:pPr>
                    <w:adjustRightInd w:val="0"/>
                    <w:snapToGrid w:val="0"/>
                    <w:jc w:val="center"/>
                    <w:rPr>
                      <w:rFonts w:hint="default" w:cs="Times New Roman"/>
                      <w:color w:val="000000" w:themeColor="text1"/>
                      <w:szCs w:val="21"/>
                      <w:lang w:val="en-US" w:eastAsia="zh-CN"/>
                      <w14:textFill>
                        <w14:solidFill>
                          <w14:schemeClr w14:val="tx1"/>
                        </w14:solidFill>
                      </w14:textFill>
                    </w:rPr>
                  </w:pPr>
                </w:p>
              </w:tc>
              <w:tc>
                <w:tcPr>
                  <w:tcW w:w="416" w:type="pct"/>
                  <w:tcBorders>
                    <w:left w:val="single" w:color="auto" w:sz="4" w:space="0"/>
                  </w:tcBorders>
                  <w:shd w:val="clear" w:color="auto" w:fill="auto"/>
                  <w:noWrap w:val="0"/>
                  <w:vAlign w:val="center"/>
                </w:tcPr>
                <w:p w14:paraId="0BD7D2D6">
                  <w:pPr>
                    <w:adjustRightInd w:val="0"/>
                    <w:snapToGrid w:val="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造粒用水</w:t>
                  </w:r>
                </w:p>
              </w:tc>
              <w:tc>
                <w:tcPr>
                  <w:tcW w:w="606" w:type="pct"/>
                  <w:noWrap w:val="0"/>
                  <w:vAlign w:val="center"/>
                </w:tcPr>
                <w:p w14:paraId="40759179">
                  <w:pPr>
                    <w:adjustRightInd w:val="0"/>
                    <w:snapToGrid w:val="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0.5t</w:t>
                  </w:r>
                </w:p>
              </w:tc>
              <w:tc>
                <w:tcPr>
                  <w:tcW w:w="644" w:type="pct"/>
                  <w:noWrap w:val="0"/>
                  <w:vAlign w:val="center"/>
                </w:tcPr>
                <w:p w14:paraId="50C41918">
                  <w:pPr>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1:100</w:t>
                  </w:r>
                </w:p>
              </w:tc>
              <w:tc>
                <w:tcPr>
                  <w:tcW w:w="641" w:type="pct"/>
                  <w:noWrap w:val="0"/>
                  <w:vAlign w:val="center"/>
                </w:tcPr>
                <w:p w14:paraId="7C6E5FCA">
                  <w:pPr>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300</w:t>
                  </w:r>
                </w:p>
              </w:tc>
              <w:tc>
                <w:tcPr>
                  <w:tcW w:w="339" w:type="pct"/>
                  <w:noWrap w:val="0"/>
                  <w:vAlign w:val="center"/>
                </w:tcPr>
                <w:p w14:paraId="756403EF">
                  <w:pPr>
                    <w:adjustRightInd w:val="0"/>
                    <w:snapToGrid w:val="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0.17</w:t>
                  </w:r>
                </w:p>
              </w:tc>
              <w:tc>
                <w:tcPr>
                  <w:tcW w:w="407" w:type="pct"/>
                  <w:noWrap w:val="0"/>
                  <w:vAlign w:val="center"/>
                </w:tcPr>
                <w:p w14:paraId="17C279D8">
                  <w:pPr>
                    <w:adjustRightInd w:val="0"/>
                    <w:snapToGrid w:val="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50</w:t>
                  </w:r>
                </w:p>
              </w:tc>
              <w:tc>
                <w:tcPr>
                  <w:tcW w:w="356" w:type="pct"/>
                  <w:noWrap w:val="0"/>
                  <w:vAlign w:val="center"/>
                </w:tcPr>
                <w:p w14:paraId="256F8C9F">
                  <w:pPr>
                    <w:adjustRightInd w:val="0"/>
                    <w:snapToGrid w:val="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0</w:t>
                  </w:r>
                </w:p>
              </w:tc>
              <w:tc>
                <w:tcPr>
                  <w:tcW w:w="368" w:type="pct"/>
                  <w:noWrap w:val="0"/>
                  <w:vAlign w:val="center"/>
                </w:tcPr>
                <w:p w14:paraId="16324888">
                  <w:pPr>
                    <w:adjustRightInd w:val="0"/>
                    <w:snapToGrid w:val="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0</w:t>
                  </w:r>
                </w:p>
              </w:tc>
              <w:tc>
                <w:tcPr>
                  <w:tcW w:w="952" w:type="pct"/>
                  <w:noWrap w:val="0"/>
                  <w:vAlign w:val="center"/>
                </w:tcPr>
                <w:p w14:paraId="09665F9F">
                  <w:pPr>
                    <w:adjustRightInd w:val="0"/>
                    <w:snapToGrid w:val="0"/>
                    <w:jc w:val="center"/>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w:t>
                  </w:r>
                </w:p>
              </w:tc>
            </w:tr>
            <w:tr w14:paraId="5C0892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267" w:type="pct"/>
                  <w:vMerge w:val="continue"/>
                  <w:tcBorders>
                    <w:right w:val="single" w:color="auto" w:sz="4" w:space="0"/>
                  </w:tcBorders>
                  <w:noWrap w:val="0"/>
                  <w:vAlign w:val="center"/>
                </w:tcPr>
                <w:p w14:paraId="0170570F">
                  <w:pPr>
                    <w:adjustRightInd w:val="0"/>
                    <w:snapToGrid w:val="0"/>
                    <w:jc w:val="center"/>
                    <w:rPr>
                      <w:rFonts w:hint="default" w:cs="Times New Roman"/>
                      <w:color w:val="000000" w:themeColor="text1"/>
                      <w:szCs w:val="21"/>
                      <w:lang w:val="en-US" w:eastAsia="zh-CN"/>
                      <w14:textFill>
                        <w14:solidFill>
                          <w14:schemeClr w14:val="tx1"/>
                        </w14:solidFill>
                      </w14:textFill>
                    </w:rPr>
                  </w:pPr>
                </w:p>
              </w:tc>
              <w:tc>
                <w:tcPr>
                  <w:tcW w:w="416" w:type="pct"/>
                  <w:tcBorders>
                    <w:left w:val="single" w:color="auto" w:sz="4" w:space="0"/>
                  </w:tcBorders>
                  <w:shd w:val="clear" w:color="auto" w:fill="auto"/>
                  <w:noWrap w:val="0"/>
                  <w:vAlign w:val="center"/>
                </w:tcPr>
                <w:p w14:paraId="222E8292">
                  <w:pPr>
                    <w:adjustRightInd w:val="0"/>
                    <w:snapToGrid w:val="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设备冲洗用水</w:t>
                  </w:r>
                </w:p>
              </w:tc>
              <w:tc>
                <w:tcPr>
                  <w:tcW w:w="606" w:type="pct"/>
                  <w:noWrap w:val="0"/>
                  <w:vAlign w:val="center"/>
                </w:tcPr>
                <w:p w14:paraId="40D0C271">
                  <w:pPr>
                    <w:adjustRightInd w:val="0"/>
                    <w:snapToGrid w:val="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10次/a</w:t>
                  </w:r>
                </w:p>
              </w:tc>
              <w:tc>
                <w:tcPr>
                  <w:tcW w:w="644" w:type="pct"/>
                  <w:noWrap w:val="0"/>
                  <w:vAlign w:val="center"/>
                </w:tcPr>
                <w:p w14:paraId="6382C697">
                  <w:pPr>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0.5m</w:t>
                  </w:r>
                  <w:r>
                    <w:rPr>
                      <w:rFonts w:hint="eastAsia" w:cs="Times New Roman"/>
                      <w:color w:val="000000" w:themeColor="text1"/>
                      <w:szCs w:val="21"/>
                      <w:vertAlign w:val="superscript"/>
                      <w:lang w:val="en-US" w:eastAsia="zh-CN"/>
                      <w14:textFill>
                        <w14:solidFill>
                          <w14:schemeClr w14:val="tx1"/>
                        </w14:solidFill>
                      </w14:textFill>
                    </w:rPr>
                    <w:t>3</w:t>
                  </w:r>
                  <w:r>
                    <w:rPr>
                      <w:rFonts w:hint="eastAsia" w:cs="Times New Roman"/>
                      <w:color w:val="000000" w:themeColor="text1"/>
                      <w:szCs w:val="21"/>
                      <w:lang w:val="en-US" w:eastAsia="zh-CN"/>
                      <w14:textFill>
                        <w14:solidFill>
                          <w14:schemeClr w14:val="tx1"/>
                        </w14:solidFill>
                      </w14:textFill>
                    </w:rPr>
                    <w:t>/次</w:t>
                  </w:r>
                </w:p>
              </w:tc>
              <w:tc>
                <w:tcPr>
                  <w:tcW w:w="641" w:type="pct"/>
                  <w:noWrap w:val="0"/>
                  <w:vAlign w:val="center"/>
                </w:tcPr>
                <w:p w14:paraId="3FFBDEA0">
                  <w:pPr>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300</w:t>
                  </w:r>
                </w:p>
              </w:tc>
              <w:tc>
                <w:tcPr>
                  <w:tcW w:w="339" w:type="pct"/>
                  <w:noWrap w:val="0"/>
                  <w:vAlign w:val="center"/>
                </w:tcPr>
                <w:p w14:paraId="2EEE5388">
                  <w:pPr>
                    <w:adjustRightInd w:val="0"/>
                    <w:snapToGrid w:val="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0.017</w:t>
                  </w:r>
                </w:p>
              </w:tc>
              <w:tc>
                <w:tcPr>
                  <w:tcW w:w="407" w:type="pct"/>
                  <w:noWrap w:val="0"/>
                  <w:vAlign w:val="center"/>
                </w:tcPr>
                <w:p w14:paraId="4B2DF244">
                  <w:pPr>
                    <w:adjustRightInd w:val="0"/>
                    <w:snapToGrid w:val="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5</w:t>
                  </w:r>
                </w:p>
              </w:tc>
              <w:tc>
                <w:tcPr>
                  <w:tcW w:w="356" w:type="pct"/>
                  <w:noWrap w:val="0"/>
                  <w:vAlign w:val="center"/>
                </w:tcPr>
                <w:p w14:paraId="598E8D93">
                  <w:pPr>
                    <w:adjustRightInd w:val="0"/>
                    <w:snapToGrid w:val="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（0.013）</w:t>
                  </w:r>
                </w:p>
              </w:tc>
              <w:tc>
                <w:tcPr>
                  <w:tcW w:w="368" w:type="pct"/>
                  <w:noWrap w:val="0"/>
                  <w:vAlign w:val="center"/>
                </w:tcPr>
                <w:p w14:paraId="2778E4D0">
                  <w:pPr>
                    <w:adjustRightInd w:val="0"/>
                    <w:snapToGrid w:val="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（4）</w:t>
                  </w:r>
                </w:p>
              </w:tc>
              <w:tc>
                <w:tcPr>
                  <w:tcW w:w="952" w:type="pct"/>
                  <w:noWrap w:val="0"/>
                  <w:vAlign w:val="center"/>
                </w:tcPr>
                <w:p w14:paraId="47D73C48">
                  <w:pPr>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（）表示设备冲洗废水回用于配料用水</w:t>
                  </w:r>
                </w:p>
              </w:tc>
            </w:tr>
            <w:tr w14:paraId="57A4AA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267" w:type="pct"/>
                  <w:vMerge w:val="continue"/>
                  <w:tcBorders>
                    <w:right w:val="single" w:color="auto" w:sz="4" w:space="0"/>
                  </w:tcBorders>
                  <w:noWrap w:val="0"/>
                  <w:vAlign w:val="center"/>
                </w:tcPr>
                <w:p w14:paraId="0A421C67">
                  <w:pPr>
                    <w:adjustRightInd w:val="0"/>
                    <w:snapToGrid w:val="0"/>
                    <w:jc w:val="center"/>
                    <w:rPr>
                      <w:rFonts w:hint="eastAsia" w:cs="Times New Roman"/>
                      <w:color w:val="000000" w:themeColor="text1"/>
                      <w:szCs w:val="21"/>
                      <w:lang w:val="en-US" w:eastAsia="zh-CN"/>
                      <w14:textFill>
                        <w14:solidFill>
                          <w14:schemeClr w14:val="tx1"/>
                        </w14:solidFill>
                      </w14:textFill>
                    </w:rPr>
                  </w:pPr>
                </w:p>
              </w:tc>
              <w:tc>
                <w:tcPr>
                  <w:tcW w:w="416" w:type="pct"/>
                  <w:tcBorders>
                    <w:left w:val="single" w:color="auto" w:sz="4" w:space="0"/>
                  </w:tcBorders>
                  <w:noWrap w:val="0"/>
                  <w:vAlign w:val="center"/>
                </w:tcPr>
                <w:p w14:paraId="53C36C96">
                  <w:pPr>
                    <w:adjustRightInd w:val="0"/>
                    <w:snapToGrid w:val="0"/>
                    <w:jc w:val="center"/>
                    <w:rPr>
                      <w:rFonts w:hint="eastAsia"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膜冲洗用水</w:t>
                  </w:r>
                </w:p>
              </w:tc>
              <w:tc>
                <w:tcPr>
                  <w:tcW w:w="606" w:type="pct"/>
                  <w:noWrap w:val="0"/>
                  <w:vAlign w:val="center"/>
                </w:tcPr>
                <w:p w14:paraId="1A1E6700">
                  <w:pPr>
                    <w:adjustRightInd w:val="0"/>
                    <w:snapToGrid w:val="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13min/天</w:t>
                  </w:r>
                </w:p>
              </w:tc>
              <w:tc>
                <w:tcPr>
                  <w:tcW w:w="644" w:type="pct"/>
                  <w:noWrap w:val="0"/>
                  <w:vAlign w:val="center"/>
                </w:tcPr>
                <w:p w14:paraId="7A8C1312">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0.013m</w:t>
                  </w:r>
                  <w:r>
                    <w:rPr>
                      <w:rFonts w:hint="eastAsia" w:ascii="Times New Roman" w:hAnsi="Times New Roman" w:eastAsia="宋体" w:cs="Times New Roman"/>
                      <w:color w:val="000000" w:themeColor="text1"/>
                      <w:szCs w:val="21"/>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szCs w:val="21"/>
                      <w:lang w:val="en-US" w:eastAsia="zh-CN"/>
                      <w14:textFill>
                        <w14:solidFill>
                          <w14:schemeClr w14:val="tx1"/>
                        </w14:solidFill>
                      </w14:textFill>
                    </w:rPr>
                    <w:t>/min</w:t>
                  </w:r>
                </w:p>
              </w:tc>
              <w:tc>
                <w:tcPr>
                  <w:tcW w:w="641" w:type="pct"/>
                  <w:noWrap w:val="0"/>
                  <w:vAlign w:val="center"/>
                </w:tcPr>
                <w:p w14:paraId="735A63C3">
                  <w:pPr>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300</w:t>
                  </w:r>
                </w:p>
              </w:tc>
              <w:tc>
                <w:tcPr>
                  <w:tcW w:w="339" w:type="pct"/>
                  <w:noWrap w:val="0"/>
                  <w:vAlign w:val="center"/>
                </w:tcPr>
                <w:p w14:paraId="085881F1">
                  <w:pPr>
                    <w:adjustRightInd w:val="0"/>
                    <w:snapToGrid w:val="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0.17</w:t>
                  </w:r>
                </w:p>
              </w:tc>
              <w:tc>
                <w:tcPr>
                  <w:tcW w:w="407" w:type="pct"/>
                  <w:noWrap w:val="0"/>
                  <w:vAlign w:val="center"/>
                </w:tcPr>
                <w:p w14:paraId="08E0F208">
                  <w:pPr>
                    <w:adjustRightInd w:val="0"/>
                    <w:snapToGrid w:val="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50.7</w:t>
                  </w:r>
                </w:p>
              </w:tc>
              <w:tc>
                <w:tcPr>
                  <w:tcW w:w="356" w:type="pct"/>
                  <w:noWrap w:val="0"/>
                  <w:vAlign w:val="center"/>
                </w:tcPr>
                <w:p w14:paraId="39C5515A">
                  <w:pPr>
                    <w:adjustRightInd w:val="0"/>
                    <w:snapToGrid w:val="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0.17</w:t>
                  </w:r>
                </w:p>
              </w:tc>
              <w:tc>
                <w:tcPr>
                  <w:tcW w:w="368" w:type="pct"/>
                  <w:noWrap w:val="0"/>
                  <w:vAlign w:val="center"/>
                </w:tcPr>
                <w:p w14:paraId="6C15BCE0">
                  <w:pPr>
                    <w:adjustRightInd w:val="0"/>
                    <w:snapToGrid w:val="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50.7</w:t>
                  </w:r>
                </w:p>
              </w:tc>
              <w:tc>
                <w:tcPr>
                  <w:tcW w:w="952" w:type="pct"/>
                  <w:noWrap w:val="0"/>
                  <w:vAlign w:val="center"/>
                </w:tcPr>
                <w:p w14:paraId="733A5B2D">
                  <w:pPr>
                    <w:adjustRightInd w:val="0"/>
                    <w:snapToGrid w:val="0"/>
                    <w:jc w:val="center"/>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w:t>
                  </w:r>
                </w:p>
              </w:tc>
            </w:tr>
            <w:tr w14:paraId="654F3A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267" w:type="pct"/>
                  <w:vMerge w:val="continue"/>
                  <w:tcBorders>
                    <w:right w:val="single" w:color="auto" w:sz="4" w:space="0"/>
                  </w:tcBorders>
                  <w:noWrap w:val="0"/>
                  <w:vAlign w:val="center"/>
                </w:tcPr>
                <w:p w14:paraId="42F4EEE9">
                  <w:pPr>
                    <w:adjustRightInd w:val="0"/>
                    <w:snapToGrid w:val="0"/>
                    <w:jc w:val="center"/>
                    <w:rPr>
                      <w:rFonts w:hint="eastAsia" w:cs="Times New Roman"/>
                      <w:color w:val="000000" w:themeColor="text1"/>
                      <w:szCs w:val="21"/>
                      <w:lang w:val="en-US" w:eastAsia="zh-CN"/>
                      <w14:textFill>
                        <w14:solidFill>
                          <w14:schemeClr w14:val="tx1"/>
                        </w14:solidFill>
                      </w14:textFill>
                    </w:rPr>
                  </w:pPr>
                </w:p>
              </w:tc>
              <w:tc>
                <w:tcPr>
                  <w:tcW w:w="2307" w:type="pct"/>
                  <w:gridSpan w:val="4"/>
                  <w:tcBorders>
                    <w:left w:val="single" w:color="auto" w:sz="4" w:space="0"/>
                  </w:tcBorders>
                  <w:noWrap w:val="0"/>
                  <w:vAlign w:val="center"/>
                </w:tcPr>
                <w:p w14:paraId="360286F7">
                  <w:pPr>
                    <w:adjustRightInd w:val="0"/>
                    <w:snapToGrid w:val="0"/>
                    <w:jc w:val="center"/>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合计</w:t>
                  </w:r>
                </w:p>
              </w:tc>
              <w:tc>
                <w:tcPr>
                  <w:tcW w:w="339" w:type="pct"/>
                  <w:noWrap w:val="0"/>
                  <w:vAlign w:val="center"/>
                </w:tcPr>
                <w:p w14:paraId="38F7F0D3">
                  <w:pPr>
                    <w:adjustRightInd w:val="0"/>
                    <w:snapToGrid w:val="0"/>
                    <w:jc w:val="center"/>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1.254</w:t>
                  </w:r>
                </w:p>
              </w:tc>
              <w:tc>
                <w:tcPr>
                  <w:tcW w:w="407" w:type="pct"/>
                  <w:noWrap w:val="0"/>
                  <w:vAlign w:val="center"/>
                </w:tcPr>
                <w:p w14:paraId="076E8EC4">
                  <w:pPr>
                    <w:adjustRightInd w:val="0"/>
                    <w:snapToGrid w:val="0"/>
                    <w:jc w:val="center"/>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375.87</w:t>
                  </w:r>
                </w:p>
              </w:tc>
              <w:tc>
                <w:tcPr>
                  <w:tcW w:w="356" w:type="pct"/>
                  <w:noWrap w:val="0"/>
                  <w:vAlign w:val="center"/>
                </w:tcPr>
                <w:p w14:paraId="73A49100">
                  <w:pPr>
                    <w:adjustRightInd w:val="0"/>
                    <w:snapToGrid w:val="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2.30</w:t>
                  </w:r>
                </w:p>
              </w:tc>
              <w:tc>
                <w:tcPr>
                  <w:tcW w:w="368" w:type="pct"/>
                  <w:noWrap w:val="0"/>
                  <w:vAlign w:val="center"/>
                </w:tcPr>
                <w:p w14:paraId="4010D778">
                  <w:pPr>
                    <w:adjustRightInd w:val="0"/>
                    <w:snapToGrid w:val="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688.7</w:t>
                  </w:r>
                </w:p>
              </w:tc>
              <w:tc>
                <w:tcPr>
                  <w:tcW w:w="952" w:type="pct"/>
                  <w:noWrap w:val="0"/>
                  <w:vAlign w:val="center"/>
                </w:tcPr>
                <w:p w14:paraId="1EC25E1D">
                  <w:pPr>
                    <w:adjustRightInd w:val="0"/>
                    <w:snapToGrid w:val="0"/>
                    <w:jc w:val="center"/>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w:t>
                  </w:r>
                </w:p>
              </w:tc>
            </w:tr>
            <w:tr w14:paraId="7C388C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10"/>
                  <w:noWrap w:val="0"/>
                  <w:vAlign w:val="center"/>
                </w:tcPr>
                <w:p w14:paraId="1A92F437">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备注：用水指标来自《行业用水定额》（陕西省地方标准 2020</w:t>
                  </w:r>
                  <w:r>
                    <w:rPr>
                      <w:rFonts w:hint="default" w:ascii="Times New Roman" w:hAnsi="Times New Roman" w:cs="Times New Roman"/>
                      <w:color w:val="000000" w:themeColor="text1"/>
                      <w:szCs w:val="21"/>
                      <w:lang w:eastAsia="zh-CN"/>
                      <w14:textFill>
                        <w14:solidFill>
                          <w14:schemeClr w14:val="tx1"/>
                        </w14:solidFill>
                      </w14:textFill>
                    </w:rPr>
                    <w:t>年</w:t>
                  </w:r>
                  <w:r>
                    <w:rPr>
                      <w:rFonts w:hint="default" w:ascii="Times New Roman" w:hAnsi="Times New Roman" w:cs="Times New Roman"/>
                      <w:color w:val="000000" w:themeColor="text1"/>
                      <w:szCs w:val="21"/>
                      <w14:textFill>
                        <w14:solidFill>
                          <w14:schemeClr w14:val="tx1"/>
                        </w14:solidFill>
                      </w14:textFill>
                    </w:rPr>
                    <w:t>修订版）</w:t>
                  </w:r>
                </w:p>
              </w:tc>
            </w:tr>
          </w:tbl>
          <w:p w14:paraId="34C263F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object>
                <v:shape id="_x0000_i1025" o:spt="75" type="#_x0000_t75" style="height:332.25pt;width:412.5pt;" o:ole="t" filled="f" o:preferrelative="t" stroked="f" coordsize="21600,21600">
                  <v:path/>
                  <v:fill on="f" focussize="0,0"/>
                  <v:stroke on="f"/>
                  <v:imagedata r:id="rId12" o:title=""/>
                  <o:lock v:ext="edit" aspectratio="f"/>
                  <w10:wrap type="none"/>
                  <w10:anchorlock/>
                </v:shape>
                <o:OLEObject Type="Embed" ProgID="Visio.Drawing.11" ShapeID="_x0000_i1025" DrawAspect="Content" ObjectID="_1468075725" r:id="rId11">
                  <o:LockedField>false</o:LockedField>
                </o:OLEObject>
              </w:object>
            </w:r>
          </w:p>
          <w:p w14:paraId="23EA02B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图2-1  项目水平衡图（m</w:t>
            </w:r>
            <w:r>
              <w:rPr>
                <w:rFonts w:hint="default" w:ascii="Times New Roman" w:hAnsi="Times New Roman" w:eastAsia="宋体" w:cs="Times New Roman"/>
                <w:b/>
                <w:bCs/>
                <w:color w:val="000000" w:themeColor="text1"/>
                <w:sz w:val="21"/>
                <w:szCs w:val="21"/>
                <w:highlight w:val="none"/>
                <w:vertAlign w:val="superscript"/>
                <w:lang w:val="en-US" w:eastAsia="zh-CN"/>
                <w14:textFill>
                  <w14:solidFill>
                    <w14:schemeClr w14:val="tx1"/>
                  </w14:solidFill>
                </w14:textFill>
              </w:rPr>
              <w:t>3</w:t>
            </w: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/d）</w:t>
            </w:r>
          </w:p>
          <w:p w14:paraId="2FE4D790">
            <w:pPr>
              <w:widowControl/>
              <w:adjustRightInd w:val="0"/>
              <w:snapToGrid w:val="0"/>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（2）排水</w:t>
            </w:r>
          </w:p>
          <w:p w14:paraId="2C197161">
            <w:pPr>
              <w:pStyle w:val="11"/>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本项目排水实行雨污分流</w:t>
            </w:r>
            <w:r>
              <w:rPr>
                <w:rFonts w:hint="default" w:ascii="Times New Roman" w:hAnsi="Times New Roman" w:cs="Times New Roman"/>
                <w:color w:val="000000" w:themeColor="text1"/>
                <w:sz w:val="24"/>
                <w:lang w:val="zh-CN"/>
                <w14:textFill>
                  <w14:solidFill>
                    <w14:schemeClr w14:val="tx1"/>
                  </w14:solidFill>
                </w14:textFill>
              </w:rPr>
              <w:t>制。</w:t>
            </w:r>
            <w:r>
              <w:rPr>
                <w:rFonts w:hint="default" w:ascii="Times New Roman" w:hAnsi="Times New Roman" w:cs="Times New Roman"/>
                <w:color w:val="000000" w:themeColor="text1"/>
                <w:sz w:val="24"/>
                <w:lang w:val="en-US" w:eastAsia="zh-CN"/>
                <w14:textFill>
                  <w14:solidFill>
                    <w14:schemeClr w14:val="tx1"/>
                  </w14:solidFill>
                </w14:textFill>
              </w:rPr>
              <w:t>雨水沿园区雨水管网排至厂外雨水渠。</w:t>
            </w:r>
          </w:p>
          <w:p w14:paraId="20FB3D60">
            <w:pPr>
              <w:pStyle w:val="11"/>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生活污水：</w:t>
            </w:r>
            <w:r>
              <w:rPr>
                <w:rFonts w:hint="default" w:ascii="Times New Roman" w:hAnsi="Times New Roman" w:cs="Times New Roman"/>
                <w:color w:val="000000" w:themeColor="text1"/>
                <w:sz w:val="24"/>
                <w14:textFill>
                  <w14:solidFill>
                    <w14:schemeClr w14:val="tx1"/>
                  </w14:solidFill>
                </w14:textFill>
              </w:rPr>
              <w:t>经化粪池处理后</w:t>
            </w:r>
            <w:r>
              <w:rPr>
                <w:rFonts w:hint="default" w:ascii="Times New Roman" w:hAnsi="Times New Roman" w:cs="Times New Roman"/>
                <w:color w:val="000000" w:themeColor="text1"/>
                <w:sz w:val="24"/>
                <w:lang w:val="en-US" w:eastAsia="zh-CN"/>
                <w14:textFill>
                  <w14:solidFill>
                    <w14:schemeClr w14:val="tx1"/>
                  </w14:solidFill>
                </w14:textFill>
              </w:rPr>
              <w:t>沿市政污水管网排入凤翔区第二污水处理厂</w:t>
            </w:r>
            <w:r>
              <w:rPr>
                <w:rFonts w:hint="default" w:ascii="Times New Roman" w:hAnsi="Times New Roman" w:cs="Times New Roman"/>
                <w:color w:val="000000" w:themeColor="text1"/>
                <w:sz w:val="24"/>
                <w14:textFill>
                  <w14:solidFill>
                    <w14:schemeClr w14:val="tx1"/>
                  </w14:solidFill>
                </w14:textFill>
              </w:rPr>
              <w:t>。</w:t>
            </w:r>
          </w:p>
          <w:p w14:paraId="65BD0E97">
            <w:pPr>
              <w:keepNext w:val="0"/>
              <w:keepLines w:val="0"/>
              <w:suppressLineNumbers w:val="0"/>
              <w:adjustRightInd w:val="0"/>
              <w:snapToGrid w:val="0"/>
              <w:spacing w:before="0" w:beforeAutospacing="0" w:after="0" w:afterAutospacing="0" w:line="360" w:lineRule="auto"/>
              <w:ind w:left="239" w:leftChars="114" w:right="0" w:firstLine="240" w:firstLineChars="100"/>
              <w:rPr>
                <w:rFonts w:hint="default" w:ascii="Times New Roman" w:hAnsi="Times New Roman" w:cs="Times New Roman"/>
                <w:color w:val="000000" w:themeColor="text1"/>
                <w:sz w:val="24"/>
                <w:szCs w:val="24"/>
                <w:highlight w:val="none"/>
                <w:lang w:val="zh-CN" w:eastAsia="zh-CN"/>
                <w14:textFill>
                  <w14:solidFill>
                    <w14:schemeClr w14:val="tx1"/>
                  </w14:solidFill>
                </w14:textFill>
              </w:rPr>
            </w:pPr>
            <w:r>
              <w:rPr>
                <w:rFonts w:hint="default" w:ascii="Times New Roman" w:hAnsi="Times New Roman" w:cs="Times New Roman"/>
                <w:color w:val="000000" w:themeColor="text1"/>
                <w:sz w:val="24"/>
                <w:szCs w:val="24"/>
                <w:highlight w:val="none"/>
                <w:lang w:val="zh-CN" w:eastAsia="zh-CN"/>
                <w14:textFill>
                  <w14:solidFill>
                    <w14:schemeClr w14:val="tx1"/>
                  </w14:solidFill>
                </w14:textFill>
              </w:rPr>
              <w:t>生产废水</w:t>
            </w:r>
            <w:r>
              <w:rPr>
                <w:rFonts w:hint="eastAsia" w:cs="Times New Roman"/>
                <w:color w:val="000000" w:themeColor="text1"/>
                <w:sz w:val="24"/>
                <w:szCs w:val="24"/>
                <w:highlight w:val="none"/>
                <w:lang w:val="en-US" w:eastAsia="zh-CN"/>
                <w14:textFill>
                  <w14:solidFill>
                    <w14:schemeClr w14:val="tx1"/>
                  </w14:solidFill>
                </w14:textFill>
              </w:rPr>
              <w:t>为去离子水</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制备废水</w:t>
            </w:r>
            <w:r>
              <w:rPr>
                <w:rFonts w:hint="eastAsia" w:cs="Times New Roman"/>
                <w:color w:val="000000" w:themeColor="text1"/>
                <w:sz w:val="24"/>
                <w:szCs w:val="24"/>
                <w:highlight w:val="none"/>
                <w:lang w:val="en-US" w:eastAsia="zh-CN"/>
                <w14:textFill>
                  <w14:solidFill>
                    <w14:schemeClr w14:val="tx1"/>
                  </w14:solidFill>
                </w14:textFill>
              </w:rPr>
              <w:t>、膜冲洗废水和</w:t>
            </w:r>
            <w:r>
              <w:rPr>
                <w:rFonts w:hint="default" w:ascii="Times New Roman" w:hAnsi="Times New Roman" w:cs="Times New Roman"/>
                <w:color w:val="000000" w:themeColor="text1"/>
                <w:sz w:val="24"/>
                <w:szCs w:val="24"/>
                <w:highlight w:val="none"/>
                <w:lang w:val="zh-CN" w:eastAsia="zh-CN"/>
                <w14:textFill>
                  <w14:solidFill>
                    <w14:schemeClr w14:val="tx1"/>
                  </w14:solidFill>
                </w14:textFill>
              </w:rPr>
              <w:t>设备清洗废水：</w:t>
            </w:r>
          </w:p>
          <w:p w14:paraId="763ADB2E">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cs="Times New Roman"/>
                <w:color w:val="000000" w:themeColor="text1"/>
                <w:sz w:val="24"/>
                <w:szCs w:val="24"/>
                <w:lang w:eastAsia="zh-CN"/>
                <w14:textFill>
                  <w14:solidFill>
                    <w14:schemeClr w14:val="tx1"/>
                  </w14:solidFill>
                </w14:textFill>
              </w:rPr>
            </w:pPr>
            <w:r>
              <w:rPr>
                <w:rFonts w:hint="eastAsia" w:cs="Times New Roman"/>
                <w:color w:val="000000" w:themeColor="text1"/>
                <w:sz w:val="24"/>
                <w:szCs w:val="24"/>
                <w:highlight w:val="none"/>
                <w:lang w:val="zh-CN" w:eastAsia="zh-CN"/>
                <w14:textFill>
                  <w14:solidFill>
                    <w14:schemeClr w14:val="tx1"/>
                  </w14:solidFill>
                </w14:textFill>
              </w:rPr>
              <w:t>去离子水</w:t>
            </w:r>
            <w:r>
              <w:rPr>
                <w:rFonts w:hint="eastAsia" w:cs="Times New Roman"/>
                <w:color w:val="000000" w:themeColor="text1"/>
                <w:sz w:val="24"/>
                <w:szCs w:val="24"/>
                <w:highlight w:val="none"/>
                <w:lang w:val="en-US" w:eastAsia="zh-CN"/>
                <w14:textFill>
                  <w14:solidFill>
                    <w14:schemeClr w14:val="tx1"/>
                  </w14:solidFill>
                </w14:textFill>
              </w:rPr>
              <w:t>制备废水</w:t>
            </w:r>
            <w:r>
              <w:rPr>
                <w:rFonts w:hint="default" w:ascii="Times New Roman" w:hAnsi="Times New Roman" w:cs="Times New Roman"/>
                <w:color w:val="000000" w:themeColor="text1"/>
                <w:sz w:val="24"/>
                <w:szCs w:val="24"/>
                <w:highlight w:val="none"/>
                <w:lang w:val="zh-CN" w:eastAsia="zh-CN"/>
                <w14:textFill>
                  <w14:solidFill>
                    <w14:schemeClr w14:val="tx1"/>
                  </w14:solidFill>
                </w14:textFill>
              </w:rPr>
              <w:t>：</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本项目</w:t>
            </w:r>
            <w:r>
              <w:rPr>
                <w:rFonts w:hint="eastAsia" w:cs="Times New Roman"/>
                <w:color w:val="000000" w:themeColor="text1"/>
                <w:sz w:val="24"/>
                <w:szCs w:val="24"/>
                <w:highlight w:val="none"/>
                <w:lang w:val="en-US" w:eastAsia="zh-CN"/>
                <w14:textFill>
                  <w14:solidFill>
                    <w14:schemeClr w14:val="tx1"/>
                  </w14:solidFill>
                </w14:textFill>
              </w:rPr>
              <w:t>去离子水</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制备废水产生量为</w:t>
            </w:r>
            <w:r>
              <w:rPr>
                <w:rFonts w:hint="eastAsia" w:cs="Times New Roman"/>
                <w:color w:val="000000" w:themeColor="text1"/>
                <w:sz w:val="24"/>
                <w:szCs w:val="24"/>
                <w:highlight w:val="none"/>
                <w:lang w:val="en-US" w:eastAsia="zh-CN"/>
                <w14:textFill>
                  <w14:solidFill>
                    <w14:schemeClr w14:val="tx1"/>
                  </w14:solidFill>
                </w14:textFill>
              </w:rPr>
              <w:t>250.58</w:t>
            </w:r>
            <w:r>
              <w:rPr>
                <w:rFonts w:hint="default" w:ascii="Times New Roman" w:hAnsi="Times New Roman" w:cs="Times New Roman"/>
                <w:color w:val="000000" w:themeColor="text1"/>
                <w:sz w:val="24"/>
                <w:szCs w:val="24"/>
                <w:lang w:eastAsia="zh-CN"/>
                <w14:textFill>
                  <w14:solidFill>
                    <w14:schemeClr w14:val="tx1"/>
                  </w14:solidFill>
                </w14:textFill>
              </w:rPr>
              <w:t>m</w:t>
            </w:r>
            <w:r>
              <w:rPr>
                <w:rFonts w:hint="default" w:ascii="Times New Roman" w:hAnsi="Times New Roman" w:cs="Times New Roman"/>
                <w:color w:val="000000" w:themeColor="text1"/>
                <w:sz w:val="24"/>
                <w:szCs w:val="24"/>
                <w:vertAlign w:val="superscript"/>
                <w:lang w:eastAsia="zh-CN"/>
                <w14:textFill>
                  <w14:solidFill>
                    <w14:schemeClr w14:val="tx1"/>
                  </w14:solidFill>
                </w14:textFill>
              </w:rPr>
              <w:t>3</w:t>
            </w:r>
            <w:r>
              <w:rPr>
                <w:rFonts w:hint="default" w:ascii="Times New Roman" w:hAnsi="Times New Roman" w:cs="Times New Roman"/>
                <w:color w:val="000000" w:themeColor="text1"/>
                <w:sz w:val="24"/>
                <w:szCs w:val="24"/>
                <w:lang w:eastAsia="zh-CN"/>
                <w14:textFill>
                  <w14:solidFill>
                    <w14:schemeClr w14:val="tx1"/>
                  </w14:solidFill>
                </w14:textFill>
              </w:rPr>
              <w:t>/a</w:t>
            </w: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水质简单</w:t>
            </w:r>
            <w:r>
              <w:rPr>
                <w:rFonts w:hint="eastAsia" w:cs="Times New Roman"/>
                <w:color w:val="000000" w:themeColor="text1"/>
                <w:sz w:val="24"/>
                <w:szCs w:val="24"/>
                <w:lang w:val="en-US" w:eastAsia="zh-CN"/>
                <w14:textFill>
                  <w14:solidFill>
                    <w14:schemeClr w14:val="tx1"/>
                  </w14:solidFill>
                </w14:textFill>
              </w:rPr>
              <w:t>，主要是水中的阴阳离子含量较高，经反渗透浓水处理系统进行处理，处理后</w:t>
            </w:r>
            <w:r>
              <w:rPr>
                <w:rFonts w:hint="eastAsia" w:ascii="Times New Roman" w:hAnsi="Times New Roman" w:cs="Times New Roman"/>
                <w:color w:val="000000" w:themeColor="text1"/>
                <w:sz w:val="24"/>
                <w:szCs w:val="24"/>
                <w:lang w:val="en-US" w:eastAsia="zh-CN"/>
                <w14:textFill>
                  <w14:solidFill>
                    <w14:schemeClr w14:val="tx1"/>
                  </w14:solidFill>
                </w14:textFill>
              </w:rPr>
              <w:t>与园区其他生活污水一起排入市政污水管网</w:t>
            </w:r>
            <w:r>
              <w:rPr>
                <w:rFonts w:hint="default" w:ascii="Times New Roman" w:hAnsi="Times New Roman" w:cs="Times New Roman"/>
                <w:color w:val="000000" w:themeColor="text1"/>
                <w:sz w:val="24"/>
                <w:szCs w:val="24"/>
                <w:lang w:eastAsia="zh-CN"/>
                <w14:textFill>
                  <w14:solidFill>
                    <w14:schemeClr w14:val="tx1"/>
                  </w14:solidFill>
                </w14:textFill>
              </w:rPr>
              <w:t>。</w:t>
            </w:r>
          </w:p>
          <w:p w14:paraId="4E59EC4F">
            <w:pPr>
              <w:keepNext w:val="0"/>
              <w:keepLines w:val="0"/>
              <w:suppressLineNumbers w:val="0"/>
              <w:adjustRightInd w:val="0"/>
              <w:snapToGrid w:val="0"/>
              <w:spacing w:before="0" w:beforeAutospacing="0" w:after="0" w:afterAutospacing="0" w:line="360" w:lineRule="auto"/>
              <w:ind w:left="0" w:right="0" w:firstLine="480" w:firstLineChars="200"/>
              <w:rPr>
                <w:rFonts w:hint="default"/>
                <w:color w:val="000000" w:themeColor="text1"/>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膜冲洗废水：反渗透膜需</w:t>
            </w:r>
            <w:r>
              <w:rPr>
                <w:rFonts w:hint="eastAsia" w:cs="Times New Roman"/>
                <w:color w:val="000000" w:themeColor="text1"/>
                <w:sz w:val="24"/>
                <w:szCs w:val="24"/>
                <w:lang w:val="en-US" w:eastAsia="zh-CN"/>
                <w14:textFill>
                  <w14:solidFill>
                    <w14:schemeClr w14:val="tx1"/>
                  </w14:solidFill>
                </w14:textFill>
              </w:rPr>
              <w:t>每日进行冲洗，膜冲洗废水量为50.7m</w:t>
            </w:r>
            <w:r>
              <w:rPr>
                <w:rFonts w:hint="eastAsia" w:cs="Times New Roman"/>
                <w:color w:val="000000" w:themeColor="text1"/>
                <w:sz w:val="24"/>
                <w:szCs w:val="24"/>
                <w:vertAlign w:val="superscript"/>
                <w:lang w:val="en-US" w:eastAsia="zh-CN"/>
                <w14:textFill>
                  <w14:solidFill>
                    <w14:schemeClr w14:val="tx1"/>
                  </w14:solidFill>
                </w14:textFill>
              </w:rPr>
              <w:t>3</w:t>
            </w:r>
            <w:r>
              <w:rPr>
                <w:rFonts w:hint="eastAsia" w:cs="Times New Roman"/>
                <w:color w:val="000000" w:themeColor="text1"/>
                <w:sz w:val="24"/>
                <w:szCs w:val="24"/>
                <w:lang w:val="en-US" w:eastAsia="zh-CN"/>
                <w14:textFill>
                  <w14:solidFill>
                    <w14:schemeClr w14:val="tx1"/>
                  </w14:solidFill>
                </w14:textFill>
              </w:rPr>
              <w:t>/a（0.17m</w:t>
            </w:r>
            <w:r>
              <w:rPr>
                <w:rFonts w:hint="eastAsia" w:cs="Times New Roman"/>
                <w:color w:val="000000" w:themeColor="text1"/>
                <w:sz w:val="24"/>
                <w:szCs w:val="24"/>
                <w:vertAlign w:val="superscript"/>
                <w:lang w:val="en-US" w:eastAsia="zh-CN"/>
                <w14:textFill>
                  <w14:solidFill>
                    <w14:schemeClr w14:val="tx1"/>
                  </w14:solidFill>
                </w14:textFill>
              </w:rPr>
              <w:t>3</w:t>
            </w:r>
            <w:r>
              <w:rPr>
                <w:rFonts w:hint="eastAsia" w:cs="Times New Roman"/>
                <w:color w:val="000000" w:themeColor="text1"/>
                <w:sz w:val="24"/>
                <w:szCs w:val="24"/>
                <w:lang w:val="en-US" w:eastAsia="zh-CN"/>
                <w14:textFill>
                  <w14:solidFill>
                    <w14:schemeClr w14:val="tx1"/>
                  </w14:solidFill>
                </w14:textFill>
              </w:rPr>
              <w:t>/d），经反渗透浓水处理系统进行处理，处理后</w:t>
            </w:r>
            <w:r>
              <w:rPr>
                <w:rFonts w:hint="eastAsia" w:ascii="Times New Roman" w:hAnsi="Times New Roman" w:cs="Times New Roman"/>
                <w:color w:val="000000" w:themeColor="text1"/>
                <w:sz w:val="24"/>
                <w:szCs w:val="24"/>
                <w:lang w:val="en-US" w:eastAsia="zh-CN"/>
                <w14:textFill>
                  <w14:solidFill>
                    <w14:schemeClr w14:val="tx1"/>
                  </w14:solidFill>
                </w14:textFill>
              </w:rPr>
              <w:t>与园区其他生活污水一起排入市政污水管网</w:t>
            </w:r>
            <w:r>
              <w:rPr>
                <w:rFonts w:hint="default" w:ascii="Times New Roman" w:hAnsi="Times New Roman" w:cs="Times New Roman"/>
                <w:color w:val="000000" w:themeColor="text1"/>
                <w:sz w:val="24"/>
                <w:szCs w:val="24"/>
                <w:lang w:eastAsia="zh-CN"/>
                <w14:textFill>
                  <w14:solidFill>
                    <w14:schemeClr w14:val="tx1"/>
                  </w14:solidFill>
                </w14:textFill>
              </w:rPr>
              <w:t>。</w:t>
            </w:r>
          </w:p>
          <w:p w14:paraId="379F554F">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设备清洗采用人工清洗，</w:t>
            </w:r>
            <w:r>
              <w:rPr>
                <w:rFonts w:hint="default" w:ascii="Times New Roman" w:hAnsi="Times New Roman" w:cs="Times New Roman"/>
                <w:color w:val="000000" w:themeColor="text1"/>
                <w:sz w:val="24"/>
                <w:szCs w:val="24"/>
                <w:highlight w:val="none"/>
                <w:lang w:val="zh-CN" w:eastAsia="zh-CN"/>
                <w14:textFill>
                  <w14:solidFill>
                    <w14:schemeClr w14:val="tx1"/>
                  </w14:solidFill>
                </w14:textFill>
              </w:rPr>
              <w:t>根据建设单位提供资料，人工清洗过程损耗水量约为</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20%。则损耗水量约为1</w:t>
            </w:r>
            <w:r>
              <w:rPr>
                <w:rFonts w:hint="default" w:ascii="Times New Roman" w:hAnsi="Times New Roman" w:cs="Times New Roman"/>
                <w:color w:val="000000" w:themeColor="text1"/>
                <w:sz w:val="24"/>
                <w:szCs w:val="24"/>
                <w:lang w:eastAsia="zh-CN"/>
                <w14:textFill>
                  <w14:solidFill>
                    <w14:schemeClr w14:val="tx1"/>
                  </w14:solidFill>
                </w14:textFill>
              </w:rPr>
              <w:t>m</w:t>
            </w:r>
            <w:r>
              <w:rPr>
                <w:rFonts w:hint="default" w:ascii="Times New Roman" w:hAnsi="Times New Roman" w:cs="Times New Roman"/>
                <w:color w:val="000000" w:themeColor="text1"/>
                <w:sz w:val="24"/>
                <w:szCs w:val="24"/>
                <w:vertAlign w:val="superscript"/>
                <w:lang w:eastAsia="zh-CN"/>
                <w14:textFill>
                  <w14:solidFill>
                    <w14:schemeClr w14:val="tx1"/>
                  </w14:solidFill>
                </w14:textFill>
              </w:rPr>
              <w:t>3</w:t>
            </w:r>
            <w:r>
              <w:rPr>
                <w:rFonts w:hint="default" w:ascii="Times New Roman" w:hAnsi="Times New Roman" w:cs="Times New Roman"/>
                <w:color w:val="000000" w:themeColor="text1"/>
                <w:sz w:val="24"/>
                <w:szCs w:val="24"/>
                <w:lang w:eastAsia="zh-CN"/>
                <w14:textFill>
                  <w14:solidFill>
                    <w14:schemeClr w14:val="tx1"/>
                  </w14:solidFill>
                </w14:textFill>
              </w:rPr>
              <w:t>/a</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设备</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清洗废水产生量为</w:t>
            </w:r>
            <w:r>
              <w:rPr>
                <w:rFonts w:hint="eastAsia" w:cs="Times New Roman"/>
                <w:color w:val="000000" w:themeColor="text1"/>
                <w:sz w:val="24"/>
                <w:szCs w:val="24"/>
                <w:highlight w:val="none"/>
                <w:lang w:val="en-US" w:eastAsia="zh-CN"/>
                <w14:textFill>
                  <w14:solidFill>
                    <w14:schemeClr w14:val="tx1"/>
                  </w14:solidFill>
                </w14:textFill>
              </w:rPr>
              <w:t>4</w:t>
            </w:r>
            <w:r>
              <w:rPr>
                <w:rFonts w:hint="default" w:ascii="Times New Roman" w:hAnsi="Times New Roman" w:cs="Times New Roman"/>
                <w:color w:val="000000" w:themeColor="text1"/>
                <w:sz w:val="24"/>
                <w:szCs w:val="24"/>
                <w:lang w:eastAsia="zh-CN"/>
                <w14:textFill>
                  <w14:solidFill>
                    <w14:schemeClr w14:val="tx1"/>
                  </w14:solidFill>
                </w14:textFill>
              </w:rPr>
              <w:t>m</w:t>
            </w:r>
            <w:r>
              <w:rPr>
                <w:rFonts w:hint="default" w:ascii="Times New Roman" w:hAnsi="Times New Roman" w:cs="Times New Roman"/>
                <w:color w:val="000000" w:themeColor="text1"/>
                <w:sz w:val="24"/>
                <w:szCs w:val="24"/>
                <w:vertAlign w:val="superscript"/>
                <w:lang w:eastAsia="zh-CN"/>
                <w14:textFill>
                  <w14:solidFill>
                    <w14:schemeClr w14:val="tx1"/>
                  </w14:solidFill>
                </w14:textFill>
              </w:rPr>
              <w:t>3</w:t>
            </w:r>
            <w:r>
              <w:rPr>
                <w:rFonts w:hint="default" w:ascii="Times New Roman" w:hAnsi="Times New Roman" w:cs="Times New Roman"/>
                <w:color w:val="000000" w:themeColor="text1"/>
                <w:sz w:val="24"/>
                <w:szCs w:val="24"/>
                <w:lang w:eastAsia="zh-CN"/>
                <w14:textFill>
                  <w14:solidFill>
                    <w14:schemeClr w14:val="tx1"/>
                  </w14:solidFill>
                </w14:textFill>
              </w:rPr>
              <w:t>/a</w:t>
            </w: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highlight w:val="none"/>
                <w:lang w:val="zh-CN" w:eastAsia="zh-CN"/>
                <w14:textFill>
                  <w14:solidFill>
                    <w14:schemeClr w14:val="tx1"/>
                  </w14:solidFill>
                </w14:textFill>
              </w:rPr>
              <w:t>清洗</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废</w:t>
            </w:r>
            <w:r>
              <w:rPr>
                <w:rFonts w:hint="default" w:ascii="Times New Roman" w:hAnsi="Times New Roman" w:cs="Times New Roman"/>
                <w:color w:val="000000" w:themeColor="text1"/>
                <w:sz w:val="24"/>
                <w:szCs w:val="24"/>
                <w:highlight w:val="none"/>
                <w:lang w:val="zh-CN" w:eastAsia="zh-CN"/>
                <w14:textFill>
                  <w14:solidFill>
                    <w14:schemeClr w14:val="tx1"/>
                  </w14:solidFill>
                </w14:textFill>
              </w:rPr>
              <w:t>水收集于专用水桶</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沉淀</w:t>
            </w:r>
            <w:r>
              <w:rPr>
                <w:rFonts w:hint="default" w:ascii="Times New Roman" w:hAnsi="Times New Roman" w:cs="Times New Roman"/>
                <w:color w:val="000000" w:themeColor="text1"/>
                <w:sz w:val="24"/>
                <w:szCs w:val="24"/>
                <w:highlight w:val="none"/>
                <w:lang w:val="zh-CN" w:eastAsia="zh-CN"/>
                <w14:textFill>
                  <w14:solidFill>
                    <w14:schemeClr w14:val="tx1"/>
                  </w14:solidFill>
                </w14:textFill>
              </w:rPr>
              <w:t>，</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上清液</w:t>
            </w:r>
            <w:r>
              <w:rPr>
                <w:rFonts w:hint="default" w:ascii="Times New Roman" w:hAnsi="Times New Roman" w:cs="Times New Roman"/>
                <w:color w:val="000000" w:themeColor="text1"/>
                <w:sz w:val="24"/>
                <w:szCs w:val="24"/>
                <w:highlight w:val="none"/>
                <w:lang w:val="zh-CN" w:eastAsia="zh-CN"/>
                <w14:textFill>
                  <w14:solidFill>
                    <w14:schemeClr w14:val="tx1"/>
                  </w14:solidFill>
                </w14:textFill>
              </w:rPr>
              <w:t>可继续回用于产品配料。</w:t>
            </w:r>
          </w:p>
          <w:p w14:paraId="3CF162DB">
            <w:pPr>
              <w:widowControl/>
              <w:adjustRightInd w:val="0"/>
              <w:snapToGrid w:val="0"/>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lang w:eastAsia="zh-CN"/>
                <w14:textFill>
                  <w14:solidFill>
                    <w14:schemeClr w14:val="tx1"/>
                  </w14:solidFill>
                </w14:textFill>
              </w:rPr>
              <w:t>7.</w:t>
            </w:r>
            <w:r>
              <w:rPr>
                <w:rFonts w:hint="default" w:ascii="Times New Roman" w:hAnsi="Times New Roman" w:cs="Times New Roman"/>
                <w:color w:val="000000" w:themeColor="text1"/>
                <w:sz w:val="24"/>
                <w14:textFill>
                  <w14:solidFill>
                    <w14:schemeClr w14:val="tx1"/>
                  </w14:solidFill>
                </w14:textFill>
              </w:rPr>
              <w:t>供电</w:t>
            </w:r>
          </w:p>
          <w:p w14:paraId="18E6AB8C">
            <w:pPr>
              <w:widowControl/>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项目用电由</w:t>
            </w:r>
            <w:r>
              <w:rPr>
                <w:rFonts w:hint="default" w:ascii="Times New Roman" w:hAnsi="Times New Roman" w:cs="Times New Roman"/>
                <w:color w:val="000000" w:themeColor="text1"/>
                <w:sz w:val="24"/>
                <w:lang w:val="en-US" w:eastAsia="zh-CN"/>
                <w14:textFill>
                  <w14:solidFill>
                    <w14:schemeClr w14:val="tx1"/>
                  </w14:solidFill>
                </w14:textFill>
              </w:rPr>
              <w:t>城关镇</w:t>
            </w:r>
            <w:r>
              <w:rPr>
                <w:rFonts w:hint="default" w:ascii="Times New Roman" w:hAnsi="Times New Roman" w:cs="Times New Roman"/>
                <w:color w:val="000000" w:themeColor="text1"/>
                <w:sz w:val="24"/>
                <w14:textFill>
                  <w14:solidFill>
                    <w14:schemeClr w14:val="tx1"/>
                  </w14:solidFill>
                </w14:textFill>
              </w:rPr>
              <w:t>供电站供给，能满足项目生产、生活的要求。</w:t>
            </w:r>
          </w:p>
          <w:p w14:paraId="56C81F67">
            <w:pPr>
              <w:widowControl/>
              <w:autoSpaceDE w:val="0"/>
              <w:adjustRightInd w:val="0"/>
              <w:snapToGrid w:val="0"/>
              <w:spacing w:line="360" w:lineRule="auto"/>
              <w:ind w:firstLine="480" w:firstLineChars="200"/>
              <w:jc w:val="left"/>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lang w:eastAsia="zh-CN"/>
                <w14:textFill>
                  <w14:solidFill>
                    <w14:schemeClr w14:val="tx1"/>
                  </w14:solidFill>
                </w14:textFill>
              </w:rPr>
              <w:t>8.</w:t>
            </w:r>
            <w:r>
              <w:rPr>
                <w:rFonts w:hint="default" w:ascii="Times New Roman" w:hAnsi="Times New Roman" w:cs="Times New Roman"/>
                <w:color w:val="000000" w:themeColor="text1"/>
                <w:sz w:val="24"/>
                <w14:textFill>
                  <w14:solidFill>
                    <w14:schemeClr w14:val="tx1"/>
                  </w14:solidFill>
                </w14:textFill>
              </w:rPr>
              <w:t>平面</w:t>
            </w:r>
            <w:r>
              <w:rPr>
                <w:rFonts w:hint="default" w:ascii="Times New Roman" w:hAnsi="Times New Roman" w:cs="Times New Roman"/>
                <w:color w:val="000000" w:themeColor="text1"/>
                <w:sz w:val="24"/>
                <w:lang w:val="en-US" w:eastAsia="zh-CN"/>
                <w14:textFill>
                  <w14:solidFill>
                    <w14:schemeClr w14:val="tx1"/>
                  </w14:solidFill>
                </w14:textFill>
              </w:rPr>
              <w:t>布局</w:t>
            </w:r>
            <w:r>
              <w:rPr>
                <w:rFonts w:hint="default" w:ascii="Times New Roman" w:hAnsi="Times New Roman" w:cs="Times New Roman"/>
                <w:color w:val="000000" w:themeColor="text1"/>
                <w:sz w:val="24"/>
                <w14:textFill>
                  <w14:solidFill>
                    <w14:schemeClr w14:val="tx1"/>
                  </w14:solidFill>
                </w14:textFill>
              </w:rPr>
              <w:t>合理性</w:t>
            </w:r>
          </w:p>
          <w:p w14:paraId="6BDC39DD">
            <w:pPr>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总平面布置原则：结合场地现状条件，合理布置建、构筑物，使工艺流程合理，管线短捷，人货流畅，符合防火、安全、卫生等有关规范的要求。</w:t>
            </w:r>
          </w:p>
          <w:p w14:paraId="68E317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按使工艺流程顺畅、生产管理方便、最大限度节约厂房的原则进行布置。</w:t>
            </w:r>
            <w:r>
              <w:rPr>
                <w:rFonts w:hint="eastAsia" w:cs="Times New Roman"/>
                <w:color w:val="000000" w:themeColor="text1"/>
                <w:sz w:val="24"/>
                <w:lang w:val="en-US" w:eastAsia="zh-CN"/>
                <w14:textFill>
                  <w14:solidFill>
                    <w14:schemeClr w14:val="tx1"/>
                  </w14:solidFill>
                </w14:textFill>
              </w:rPr>
              <w:t>车间</w:t>
            </w:r>
            <w:r>
              <w:rPr>
                <w:rFonts w:hint="default" w:ascii="Times New Roman" w:hAnsi="Times New Roman" w:cs="Times New Roman"/>
                <w:color w:val="000000" w:themeColor="text1"/>
                <w:sz w:val="24"/>
                <w14:textFill>
                  <w14:solidFill>
                    <w14:schemeClr w14:val="tx1"/>
                  </w14:solidFill>
                </w14:textFill>
              </w:rPr>
              <w:t>大门位于</w:t>
            </w:r>
            <w:r>
              <w:rPr>
                <w:rFonts w:hint="eastAsia" w:cs="Times New Roman"/>
                <w:color w:val="000000" w:themeColor="text1"/>
                <w:sz w:val="24"/>
                <w:lang w:val="en-US" w:eastAsia="zh-CN"/>
                <w14:textFill>
                  <w14:solidFill>
                    <w14:schemeClr w14:val="tx1"/>
                  </w14:solidFill>
                </w14:textFill>
              </w:rPr>
              <w:t>车间</w:t>
            </w:r>
            <w:r>
              <w:rPr>
                <w:rFonts w:hint="default" w:ascii="Times New Roman" w:hAnsi="Times New Roman" w:cs="Times New Roman"/>
                <w:color w:val="000000" w:themeColor="text1"/>
                <w:sz w:val="24"/>
                <w:lang w:val="en-US" w:eastAsia="zh-CN"/>
                <w14:textFill>
                  <w14:solidFill>
                    <w14:schemeClr w14:val="tx1"/>
                  </w14:solidFill>
                </w14:textFill>
              </w:rPr>
              <w:t>东侧</w:t>
            </w:r>
            <w:r>
              <w:rPr>
                <w:rFonts w:hint="default" w:ascii="Times New Roman" w:hAnsi="Times New Roman" w:cs="Times New Roman"/>
                <w:color w:val="000000" w:themeColor="text1"/>
                <w:sz w:val="24"/>
                <w14:textFill>
                  <w14:solidFill>
                    <w14:schemeClr w14:val="tx1"/>
                  </w14:solidFill>
                </w14:textFill>
              </w:rPr>
              <w:t>，</w:t>
            </w:r>
            <w:r>
              <w:rPr>
                <w:rFonts w:hint="eastAsia" w:cs="Times New Roman"/>
                <w:color w:val="000000" w:themeColor="text1"/>
                <w:sz w:val="24"/>
                <w:lang w:val="en-US" w:eastAsia="zh-CN"/>
                <w14:textFill>
                  <w14:solidFill>
                    <w14:schemeClr w14:val="tx1"/>
                  </w14:solidFill>
                </w14:textFill>
              </w:rPr>
              <w:t>原料进场后暂存于原料库，由西向东按工艺流程一次布设造粒间、压片区、烧结区，然后由东往西布设刷银车间、压敏焊接间及固化间</w:t>
            </w:r>
            <w:r>
              <w:rPr>
                <w:rFonts w:hint="eastAsia"/>
                <w:color w:val="000000" w:themeColor="text1"/>
                <w:sz w:val="24"/>
                <w:szCs w:val="24"/>
                <w:lang w:val="en-US" w:eastAsia="zh-CN"/>
                <w14:textFill>
                  <w14:solidFill>
                    <w14:schemeClr w14:val="tx1"/>
                  </w14:solidFill>
                </w14:textFill>
              </w:rPr>
              <w:t>，办公室布设在二楼（平面布置详情见附图）。项目各功能分区明确、工艺流程顺畅、厂区布局满足工艺流程，也满足功能分区要求。</w:t>
            </w:r>
          </w:p>
          <w:p w14:paraId="1E74E765">
            <w:pPr>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项目平面</w:t>
            </w:r>
            <w:r>
              <w:rPr>
                <w:rFonts w:hint="default" w:ascii="Times New Roman" w:hAnsi="Times New Roman" w:cs="Times New Roman"/>
                <w:color w:val="000000" w:themeColor="text1"/>
                <w:sz w:val="24"/>
                <w:lang w:val="en-GB"/>
                <w14:textFill>
                  <w14:solidFill>
                    <w14:schemeClr w14:val="tx1"/>
                  </w14:solidFill>
                </w14:textFill>
              </w:rPr>
              <w:t>布置图见附图2。</w:t>
            </w:r>
          </w:p>
          <w:p w14:paraId="1B98BBD3">
            <w:pPr>
              <w:widowControl/>
              <w:adjustRightInd w:val="0"/>
              <w:snapToGrid w:val="0"/>
              <w:spacing w:line="360" w:lineRule="auto"/>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lang w:eastAsia="zh-CN"/>
                <w14:textFill>
                  <w14:solidFill>
                    <w14:schemeClr w14:val="tx1"/>
                  </w14:solidFill>
                </w14:textFill>
              </w:rPr>
              <w:t>9.</w:t>
            </w:r>
            <w:r>
              <w:rPr>
                <w:rFonts w:hint="default" w:ascii="Times New Roman" w:hAnsi="Times New Roman" w:cs="Times New Roman"/>
                <w:color w:val="000000" w:themeColor="text1"/>
                <w:sz w:val="24"/>
                <w14:textFill>
                  <w14:solidFill>
                    <w14:schemeClr w14:val="tx1"/>
                  </w14:solidFill>
                </w14:textFill>
              </w:rPr>
              <w:t>劳动定员及工作制度</w:t>
            </w:r>
          </w:p>
          <w:p w14:paraId="27DBFEC3">
            <w:pPr>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劳动定员：本项目</w:t>
            </w:r>
            <w:r>
              <w:rPr>
                <w:rFonts w:hint="default" w:ascii="Times New Roman" w:hAnsi="Times New Roman" w:cs="Times New Roman"/>
                <w:color w:val="000000" w:themeColor="text1"/>
                <w:sz w:val="24"/>
                <w:lang w:val="en-US" w:eastAsia="zh-CN"/>
                <w14:textFill>
                  <w14:solidFill>
                    <w14:schemeClr w14:val="tx1"/>
                  </w14:solidFill>
                </w14:textFill>
              </w:rPr>
              <w:t>运营期</w:t>
            </w:r>
            <w:r>
              <w:rPr>
                <w:rFonts w:hint="default" w:ascii="Times New Roman" w:hAnsi="Times New Roman" w:cs="Times New Roman"/>
                <w:color w:val="000000" w:themeColor="text1"/>
                <w:sz w:val="24"/>
                <w14:textFill>
                  <w14:solidFill>
                    <w14:schemeClr w14:val="tx1"/>
                  </w14:solidFill>
                </w14:textFill>
              </w:rPr>
              <w:t>劳动定员</w:t>
            </w:r>
            <w:r>
              <w:rPr>
                <w:rFonts w:hint="default" w:ascii="Times New Roman" w:hAnsi="Times New Roman" w:cs="Times New Roman"/>
                <w:color w:val="000000" w:themeColor="text1"/>
                <w:sz w:val="24"/>
                <w:lang w:val="en-US" w:eastAsia="zh-CN"/>
                <w14:textFill>
                  <w14:solidFill>
                    <w14:schemeClr w14:val="tx1"/>
                  </w14:solidFill>
                </w14:textFill>
              </w:rPr>
              <w:t>30人</w:t>
            </w:r>
            <w:r>
              <w:rPr>
                <w:rFonts w:hint="default" w:ascii="Times New Roman" w:hAnsi="Times New Roman" w:cs="Times New Roman"/>
                <w:color w:val="000000" w:themeColor="text1"/>
                <w:sz w:val="24"/>
                <w14:textFill>
                  <w14:solidFill>
                    <w14:schemeClr w14:val="tx1"/>
                  </w14:solidFill>
                </w14:textFill>
              </w:rPr>
              <w:t>。</w:t>
            </w:r>
          </w:p>
          <w:p w14:paraId="2876D418">
            <w:pPr>
              <w:adjustRightInd w:val="0"/>
              <w:snapToGrid w:val="0"/>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工作制度：本项目年工作300天，工作制度采用</w:t>
            </w:r>
            <w:r>
              <w:rPr>
                <w:rFonts w:hint="default" w:ascii="Times New Roman" w:hAnsi="Times New Roman" w:cs="Times New Roman"/>
                <w:color w:val="000000" w:themeColor="text1"/>
                <w:sz w:val="24"/>
                <w:lang w:val="en-US" w:eastAsia="zh-CN"/>
                <w14:textFill>
                  <w14:solidFill>
                    <w14:schemeClr w14:val="tx1"/>
                  </w14:solidFill>
                </w14:textFill>
              </w:rPr>
              <w:t>三</w:t>
            </w:r>
            <w:r>
              <w:rPr>
                <w:rFonts w:hint="default" w:ascii="Times New Roman" w:hAnsi="Times New Roman" w:cs="Times New Roman"/>
                <w:color w:val="000000" w:themeColor="text1"/>
                <w:sz w:val="24"/>
                <w14:textFill>
                  <w14:solidFill>
                    <w14:schemeClr w14:val="tx1"/>
                  </w14:solidFill>
                </w14:textFill>
              </w:rPr>
              <w:t>班制，每班</w:t>
            </w:r>
            <w:r>
              <w:rPr>
                <w:rFonts w:hint="default" w:ascii="Times New Roman" w:hAnsi="Times New Roman" w:cs="Times New Roman"/>
                <w:color w:val="000000" w:themeColor="text1"/>
                <w:sz w:val="24"/>
                <w:lang w:val="en-US" w:eastAsia="zh-CN"/>
                <w14:textFill>
                  <w14:solidFill>
                    <w14:schemeClr w14:val="tx1"/>
                  </w14:solidFill>
                </w14:textFill>
              </w:rPr>
              <w:t>有效</w:t>
            </w:r>
            <w:r>
              <w:rPr>
                <w:rFonts w:hint="default" w:ascii="Times New Roman" w:hAnsi="Times New Roman" w:cs="Times New Roman"/>
                <w:color w:val="000000" w:themeColor="text1"/>
                <w:sz w:val="24"/>
                <w14:textFill>
                  <w14:solidFill>
                    <w14:schemeClr w14:val="tx1"/>
                  </w14:solidFill>
                </w14:textFill>
              </w:rPr>
              <w:t>工作</w:t>
            </w:r>
            <w:r>
              <w:rPr>
                <w:rFonts w:hint="default" w:ascii="Times New Roman" w:hAnsi="Times New Roman" w:cs="Times New Roman"/>
                <w:color w:val="000000" w:themeColor="text1"/>
                <w:sz w:val="24"/>
                <w:lang w:val="en-US" w:eastAsia="zh-CN"/>
                <w14:textFill>
                  <w14:solidFill>
                    <w14:schemeClr w14:val="tx1"/>
                  </w14:solidFill>
                </w14:textFill>
              </w:rPr>
              <w:t>8</w:t>
            </w:r>
            <w:r>
              <w:rPr>
                <w:rFonts w:hint="default" w:ascii="Times New Roman" w:hAnsi="Times New Roman" w:cs="Times New Roman"/>
                <w:color w:val="000000" w:themeColor="text1"/>
                <w:sz w:val="24"/>
                <w14:textFill>
                  <w14:solidFill>
                    <w14:schemeClr w14:val="tx1"/>
                  </w14:solidFill>
                </w14:textFill>
              </w:rPr>
              <w:t>小时。</w:t>
            </w:r>
          </w:p>
        </w:tc>
      </w:tr>
      <w:tr w14:paraId="42EC57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34" w:type="dxa"/>
            <w:noWrap w:val="0"/>
            <w:vAlign w:val="center"/>
          </w:tcPr>
          <w:p w14:paraId="3304630D">
            <w:pPr>
              <w:pStyle w:val="31"/>
              <w:adjustRightInd w:val="0"/>
              <w:snapToGrid w:val="0"/>
              <w:spacing w:before="0" w:beforeAutospacing="0" w:after="0" w:afterAutospacing="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工艺流程和产排污环节</w:t>
            </w:r>
          </w:p>
        </w:tc>
        <w:tc>
          <w:tcPr>
            <w:tcW w:w="8825" w:type="dxa"/>
            <w:noWrap w:val="0"/>
            <w:vAlign w:val="top"/>
          </w:tcPr>
          <w:p w14:paraId="36EDC445">
            <w:pPr>
              <w:keepNext/>
              <w:keepLines/>
              <w:widowControl/>
              <w:adjustRightInd w:val="0"/>
              <w:snapToGrid w:val="0"/>
              <w:spacing w:line="360" w:lineRule="auto"/>
              <w:jc w:val="left"/>
              <w:outlineLvl w:val="0"/>
              <w:rPr>
                <w:rFonts w:hint="default" w:ascii="Times New Roman" w:hAnsi="Times New Roman" w:eastAsia="黑体" w:cs="Times New Roman"/>
                <w:bCs/>
                <w:color w:val="000000" w:themeColor="text1"/>
                <w:kern w:val="44"/>
                <w:sz w:val="24"/>
                <w:szCs w:val="28"/>
                <w14:textFill>
                  <w14:solidFill>
                    <w14:schemeClr w14:val="tx1"/>
                  </w14:solidFill>
                </w14:textFill>
              </w:rPr>
            </w:pPr>
            <w:r>
              <w:rPr>
                <w:rFonts w:hint="default" w:ascii="Times New Roman" w:hAnsi="Times New Roman" w:eastAsia="黑体" w:cs="Times New Roman"/>
                <w:bCs/>
                <w:color w:val="000000" w:themeColor="text1"/>
                <w:kern w:val="44"/>
                <w:sz w:val="24"/>
                <w:szCs w:val="28"/>
                <w:lang w:eastAsia="zh-CN"/>
                <w14:textFill>
                  <w14:solidFill>
                    <w14:schemeClr w14:val="tx1"/>
                  </w14:solidFill>
                </w14:textFill>
              </w:rPr>
              <w:t>1.</w:t>
            </w:r>
            <w:r>
              <w:rPr>
                <w:rFonts w:hint="default" w:ascii="Times New Roman" w:hAnsi="Times New Roman" w:eastAsia="黑体" w:cs="Times New Roman"/>
                <w:bCs/>
                <w:color w:val="000000" w:themeColor="text1"/>
                <w:kern w:val="44"/>
                <w:sz w:val="24"/>
                <w:szCs w:val="28"/>
                <w:lang w:val="en-US" w:eastAsia="zh-CN"/>
                <w14:textFill>
                  <w14:solidFill>
                    <w14:schemeClr w14:val="tx1"/>
                  </w14:solidFill>
                </w14:textFill>
              </w:rPr>
              <w:t>压敏电阻器制造工艺</w:t>
            </w:r>
            <w:r>
              <w:rPr>
                <w:rFonts w:hint="default" w:ascii="Times New Roman" w:hAnsi="Times New Roman" w:eastAsia="黑体" w:cs="Times New Roman"/>
                <w:bCs/>
                <w:color w:val="000000" w:themeColor="text1"/>
                <w:kern w:val="44"/>
                <w:sz w:val="24"/>
                <w:szCs w:val="28"/>
                <w14:textFill>
                  <w14:solidFill>
                    <w14:schemeClr w14:val="tx1"/>
                  </w14:solidFill>
                </w14:textFill>
              </w:rPr>
              <w:t>流程图</w:t>
            </w:r>
          </w:p>
          <w:p w14:paraId="640668AF">
            <w:pPr>
              <w:keepNext/>
              <w:keepLines/>
              <w:widowControl/>
              <w:tabs>
                <w:tab w:val="center" w:pos="4364"/>
                <w:tab w:val="left" w:pos="7851"/>
              </w:tabs>
              <w:adjustRightInd w:val="0"/>
              <w:snapToGrid w:val="0"/>
              <w:spacing w:line="360" w:lineRule="auto"/>
              <w:jc w:val="center"/>
              <w:outlineLvl w:val="0"/>
              <w:rPr>
                <w:rFonts w:hint="default" w:ascii="Times New Roman" w:hAnsi="Times New Roman" w:cs="Times New Roman"/>
                <w:bCs/>
                <w:color w:val="000000" w:themeColor="text1"/>
                <w:kern w:val="44"/>
                <w:sz w:val="28"/>
                <w:szCs w:val="32"/>
                <w:lang w:eastAsia="zh-CN"/>
                <w14:textFill>
                  <w14:solidFill>
                    <w14:schemeClr w14:val="tx1"/>
                  </w14:solidFill>
                </w14:textFill>
              </w:rPr>
            </w:pPr>
            <w:r>
              <w:rPr>
                <w:rFonts w:hint="default" w:ascii="Times New Roman" w:hAnsi="Times New Roman" w:cs="Times New Roman"/>
                <w:bCs/>
                <w:color w:val="000000" w:themeColor="text1"/>
                <w:kern w:val="44"/>
                <w:sz w:val="28"/>
                <w:szCs w:val="32"/>
                <w:lang w:eastAsia="zh-CN"/>
                <w14:textFill>
                  <w14:solidFill>
                    <w14:schemeClr w14:val="tx1"/>
                  </w14:solidFill>
                </w14:textFill>
              </w:rPr>
              <w:object>
                <v:shape id="_x0000_i1026" o:spt="75" type="#_x0000_t75" style="height:671.3pt;width:337.9pt;" o:ole="t" filled="f" o:preferrelative="t" stroked="f" coordsize="21600,21600">
                  <v:path/>
                  <v:fill on="f" focussize="0,0"/>
                  <v:stroke on="f"/>
                  <v:imagedata r:id="rId14" o:title=""/>
                  <o:lock v:ext="edit" aspectratio="f"/>
                  <w10:wrap type="none"/>
                  <w10:anchorlock/>
                </v:shape>
                <o:OLEObject Type="Embed" ProgID="Visio.Drawing.11" ShapeID="_x0000_i1026" DrawAspect="Content" ObjectID="_1468075726" r:id="rId13">
                  <o:LockedField>false</o:LockedField>
                </o:OLEObject>
              </w:object>
            </w:r>
          </w:p>
          <w:p w14:paraId="495E9DA3">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项目生产的电阻器由于规格型号不同，所用原料的种类和比例略有不同。</w:t>
            </w:r>
          </w:p>
          <w:p w14:paraId="2EB75BEF">
            <w:pPr>
              <w:keepNext/>
              <w:keepLines/>
              <w:widowControl/>
              <w:adjustRightInd w:val="0"/>
              <w:snapToGrid w:val="0"/>
              <w:spacing w:line="360" w:lineRule="auto"/>
              <w:jc w:val="both"/>
              <w:outlineLvl w:val="0"/>
              <w:rPr>
                <w:rFonts w:hint="default" w:ascii="Times New Roman" w:hAnsi="Times New Roman" w:cs="Times New Roman"/>
                <w:b/>
                <w:color w:val="000000" w:themeColor="text1"/>
                <w:sz w:val="24"/>
                <w:lang w:val="en-US"/>
                <w14:textFill>
                  <w14:solidFill>
                    <w14:schemeClr w14:val="tx1"/>
                  </w14:solidFill>
                </w14:textFill>
              </w:rPr>
            </w:pPr>
            <w:r>
              <w:rPr>
                <w:rFonts w:hint="default" w:ascii="Times New Roman" w:hAnsi="Times New Roman" w:cs="Times New Roman"/>
                <w:b/>
                <w:color w:val="000000" w:themeColor="text1"/>
                <w:sz w:val="24"/>
                <w:lang w:val="en-US" w:eastAsia="zh-CN"/>
                <w14:textFill>
                  <w14:solidFill>
                    <w14:schemeClr w14:val="tx1"/>
                  </w14:solidFill>
                </w14:textFill>
              </w:rPr>
              <w:t>工艺流程简述：</w:t>
            </w:r>
          </w:p>
          <w:p w14:paraId="7755B37A">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（1）配料</w:t>
            </w:r>
          </w:p>
          <w:p w14:paraId="2A5880DA">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按所需电阻器的生产配方经过原料人工称取投入球磨机中混料，加入去离子水，进行配料。</w:t>
            </w:r>
            <w:r>
              <w:rPr>
                <w:rFonts w:hint="default" w:ascii="Times New Roman" w:hAnsi="Times New Roman" w:cs="Times New Roman"/>
                <w:color w:val="000000" w:themeColor="text1"/>
                <w:sz w:val="24"/>
                <w:szCs w:val="24"/>
                <w:lang w:eastAsia="zh-CN"/>
                <w14:textFill>
                  <w14:solidFill>
                    <w14:schemeClr w14:val="tx1"/>
                  </w14:solidFill>
                </w14:textFill>
              </w:rPr>
              <w:t>因此会产生少量粉尘。配料工序每天工作8h。</w:t>
            </w:r>
          </w:p>
          <w:p w14:paraId="50DD16CC">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（2）砂磨、研磨</w:t>
            </w:r>
          </w:p>
          <w:p w14:paraId="23ABA0DA">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配好的</w:t>
            </w:r>
            <w:r>
              <w:rPr>
                <w:rFonts w:hint="default" w:ascii="Times New Roman" w:hAnsi="Times New Roman" w:cs="Times New Roman"/>
                <w:color w:val="000000" w:themeColor="text1"/>
                <w:sz w:val="24"/>
                <w:szCs w:val="24"/>
                <w:lang w:val="en-US" w:eastAsia="zh-CN"/>
                <w14:textFill>
                  <w14:solidFill>
                    <w14:schemeClr w14:val="tx1"/>
                  </w14:solidFill>
                </w14:textFill>
              </w:rPr>
              <w:t>浆料通过软管进入密闭砂磨机磨成</w:t>
            </w:r>
            <w:r>
              <w:rPr>
                <w:rFonts w:hint="default" w:ascii="Times New Roman" w:hAnsi="Times New Roman" w:cs="Times New Roman"/>
                <w:color w:val="000000" w:themeColor="text1"/>
                <w:sz w:val="24"/>
                <w:lang w:eastAsia="zh-CN"/>
                <w14:textFill>
                  <w14:solidFill>
                    <w14:schemeClr w14:val="tx1"/>
                  </w14:solidFill>
                </w14:textFill>
              </w:rPr>
              <w:t>小粒径</w:t>
            </w:r>
            <w:r>
              <w:rPr>
                <w:rFonts w:hint="default" w:ascii="Times New Roman" w:hAnsi="Times New Roman" w:cs="Times New Roman"/>
                <w:color w:val="000000" w:themeColor="text1"/>
                <w:sz w:val="24"/>
                <w:szCs w:val="24"/>
                <w:lang w:val="en-US" w:eastAsia="zh-CN"/>
                <w14:textFill>
                  <w14:solidFill>
                    <w14:schemeClr w14:val="tx1"/>
                  </w14:solidFill>
                </w14:textFill>
              </w:rPr>
              <w:t>泥状。砂磨时间为4h，砂磨后进入球磨机继续球磨，球磨时间为4h。</w:t>
            </w:r>
          </w:p>
          <w:p w14:paraId="2DE42005">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（3）搅拌</w:t>
            </w:r>
          </w:p>
          <w:p w14:paraId="434CABF0">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为使各种物料混合均匀，物料进入搅拌桶充分搅拌，搅拌桶密闭，搅拌时间</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为24h。</w:t>
            </w:r>
          </w:p>
          <w:p w14:paraId="195708E6">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（4）喷雾造粒</w:t>
            </w:r>
          </w:p>
          <w:p w14:paraId="213423A0">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浆料通过软管吸入离心造粒喷雾干燥塔内（约</w:t>
            </w:r>
            <w:r>
              <w:rPr>
                <w:rFonts w:hint="default" w:ascii="Times New Roman" w:hAnsi="Times New Roman" w:cs="Times New Roman"/>
                <w:color w:val="000000" w:themeColor="text1"/>
                <w:sz w:val="24"/>
                <w:szCs w:val="24"/>
                <w:lang w:val="en-US" w:eastAsia="zh-CN"/>
                <w14:textFill>
                  <w14:solidFill>
                    <w14:schemeClr w14:val="tx1"/>
                  </w14:solidFill>
                </w14:textFill>
              </w:rPr>
              <w:t>150℃，采用电加热</w:t>
            </w:r>
            <w:r>
              <w:rPr>
                <w:rFonts w:hint="default" w:ascii="Times New Roman" w:hAnsi="Times New Roman" w:cs="Times New Roman"/>
                <w:color w:val="000000" w:themeColor="text1"/>
                <w:sz w:val="24"/>
                <w:szCs w:val="24"/>
                <w:lang w:eastAsia="zh-CN"/>
                <w14:textFill>
                  <w14:solidFill>
                    <w14:schemeClr w14:val="tx1"/>
                  </w14:solidFill>
                </w14:textFill>
              </w:rPr>
              <w:t>），与配制好的粘合剂</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由</w:t>
            </w:r>
            <w:r>
              <w:rPr>
                <w:rFonts w:hint="default" w:ascii="Times New Roman" w:hAnsi="Times New Roman" w:cs="Times New Roman"/>
                <w:color w:val="000000" w:themeColor="text1"/>
                <w:kern w:val="0"/>
                <w:sz w:val="24"/>
                <w:szCs w:val="24"/>
                <w:lang w:val="en-US" w:eastAsia="zh-CN" w:bidi="ar"/>
                <w14:textFill>
                  <w14:solidFill>
                    <w14:schemeClr w14:val="tx1"/>
                  </w14:solidFill>
                </w14:textFill>
              </w:rPr>
              <w:t>加压</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设备送到雾化喷嘴，雾化后涂布于流化颗粒表面或使颗粒相互粘结，经不断地流化、涂布、干燥，颗粒逐渐长大，达到所要求的粒度后从</w:t>
            </w:r>
            <w:r>
              <w:rPr>
                <w:rFonts w:hint="default" w:ascii="Times New Roman" w:hAnsi="Times New Roman" w:cs="Times New Roman"/>
                <w:color w:val="000000" w:themeColor="text1"/>
                <w:sz w:val="24"/>
                <w:szCs w:val="24"/>
                <w:lang w:eastAsia="zh-CN"/>
                <w14:textFill>
                  <w14:solidFill>
                    <w14:schemeClr w14:val="tx1"/>
                  </w14:solidFill>
                </w14:textFill>
              </w:rPr>
              <w:t>干燥塔底部出口出料，废气从干燥塔</w:t>
            </w:r>
            <w:r>
              <w:rPr>
                <w:rFonts w:hint="default" w:ascii="Times New Roman" w:hAnsi="Times New Roman" w:cs="Times New Roman"/>
                <w:color w:val="000000" w:themeColor="text1"/>
                <w:sz w:val="24"/>
                <w:szCs w:val="24"/>
                <w:lang w:val="en-US" w:eastAsia="zh-CN"/>
                <w14:textFill>
                  <w14:solidFill>
                    <w14:schemeClr w14:val="tx1"/>
                  </w14:solidFill>
                </w14:textFill>
              </w:rPr>
              <w:t>顶部</w:t>
            </w:r>
            <w:r>
              <w:rPr>
                <w:rFonts w:hint="default" w:ascii="Times New Roman" w:hAnsi="Times New Roman" w:cs="Times New Roman"/>
                <w:color w:val="000000" w:themeColor="text1"/>
                <w:sz w:val="24"/>
                <w:szCs w:val="24"/>
                <w:lang w:eastAsia="zh-CN"/>
                <w14:textFill>
                  <w14:solidFill>
                    <w14:schemeClr w14:val="tx1"/>
                  </w14:solidFill>
                </w14:textFill>
              </w:rPr>
              <w:t>排出，经过布袋收尘器收尘后引至车间顶部排放。该工序产生的废气中含有少量粉尘，离心造粒喷雾干燥塔运作时会产生噪声。</w:t>
            </w:r>
          </w:p>
          <w:p w14:paraId="22DC4BB8">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5</w:t>
            </w:r>
            <w:r>
              <w:rPr>
                <w:rFonts w:hint="default" w:ascii="Times New Roman" w:hAnsi="Times New Roman" w:cs="Times New Roman"/>
                <w:color w:val="000000" w:themeColor="text1"/>
                <w:sz w:val="24"/>
                <w:szCs w:val="24"/>
                <w:lang w:eastAsia="zh-CN"/>
                <w14:textFill>
                  <w14:solidFill>
                    <w14:schemeClr w14:val="tx1"/>
                  </w14:solidFill>
                </w14:textFill>
              </w:rPr>
              <w:t>）振动筛选</w:t>
            </w:r>
          </w:p>
          <w:p w14:paraId="38B8D46F">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 xml:space="preserve">成品颗粒经过120目与260目的振动筛筛选后，合格的原料（粒径为：120目与260目）用于后续芯片器件的制造。不合格粒径原料进入砂磨工序后继续回用于生产。 </w:t>
            </w:r>
          </w:p>
          <w:p w14:paraId="318B1D68">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6</w:t>
            </w:r>
            <w:r>
              <w:rPr>
                <w:rFonts w:hint="default" w:ascii="Times New Roman" w:hAnsi="Times New Roman" w:cs="Times New Roman"/>
                <w:color w:val="000000" w:themeColor="text1"/>
                <w:sz w:val="24"/>
                <w:szCs w:val="24"/>
                <w:lang w:eastAsia="zh-CN"/>
                <w14:textFill>
                  <w14:solidFill>
                    <w14:schemeClr w14:val="tx1"/>
                  </w14:solidFill>
                </w14:textFill>
              </w:rPr>
              <w:t>）压片</w:t>
            </w:r>
          </w:p>
          <w:p w14:paraId="449CC541">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lang w:eastAsia="zh-CN"/>
                <w14:textFill>
                  <w14:solidFill>
                    <w14:schemeClr w14:val="tx1"/>
                  </w14:solidFill>
                </w14:textFill>
              </w:rPr>
              <w:t>筛选后的</w:t>
            </w:r>
            <w:r>
              <w:rPr>
                <w:rFonts w:hint="default" w:ascii="Times New Roman" w:hAnsi="Times New Roman" w:cs="Times New Roman"/>
                <w:color w:val="000000" w:themeColor="text1"/>
                <w:sz w:val="24"/>
                <w:szCs w:val="24"/>
                <w:lang w:eastAsia="zh-CN"/>
                <w14:textFill>
                  <w14:solidFill>
                    <w14:schemeClr w14:val="tx1"/>
                  </w14:solidFill>
                </w14:textFill>
              </w:rPr>
              <w:t>颗粒添加在压片机的</w:t>
            </w:r>
            <w:r>
              <w:rPr>
                <w:rFonts w:hint="default" w:ascii="Times New Roman" w:hAnsi="Times New Roman" w:cs="Times New Roman"/>
                <w:color w:val="000000" w:themeColor="text1"/>
                <w:sz w:val="24"/>
                <w:szCs w:val="24"/>
                <w:lang w:val="en-US" w:eastAsia="zh-CN"/>
                <w14:textFill>
                  <w14:solidFill>
                    <w14:schemeClr w14:val="tx1"/>
                  </w14:solidFill>
                </w14:textFill>
              </w:rPr>
              <w:t>自动吸料口</w:t>
            </w:r>
            <w:r>
              <w:rPr>
                <w:rFonts w:hint="default" w:ascii="Times New Roman" w:hAnsi="Times New Roman" w:cs="Times New Roman"/>
                <w:color w:val="000000" w:themeColor="text1"/>
                <w:sz w:val="24"/>
                <w:szCs w:val="24"/>
                <w:lang w:eastAsia="zh-CN"/>
                <w14:textFill>
                  <w14:solidFill>
                    <w14:schemeClr w14:val="tx1"/>
                  </w14:solidFill>
                </w14:textFill>
              </w:rPr>
              <w:t>，压片机即可自动</w:t>
            </w:r>
            <w:r>
              <w:rPr>
                <w:rFonts w:hint="default" w:ascii="Times New Roman" w:hAnsi="Times New Roman" w:cs="Times New Roman"/>
                <w:color w:val="000000" w:themeColor="text1"/>
                <w:sz w:val="24"/>
                <w:szCs w:val="24"/>
                <w:lang w:val="en-US" w:eastAsia="zh-CN"/>
                <w14:textFill>
                  <w14:solidFill>
                    <w14:schemeClr w14:val="tx1"/>
                  </w14:solidFill>
                </w14:textFill>
              </w:rPr>
              <w:t>吸料</w:t>
            </w:r>
            <w:r>
              <w:rPr>
                <w:rFonts w:hint="default" w:ascii="Times New Roman" w:hAnsi="Times New Roman" w:cs="Times New Roman"/>
                <w:color w:val="000000" w:themeColor="text1"/>
                <w:sz w:val="24"/>
                <w:szCs w:val="24"/>
                <w:lang w:eastAsia="zh-CN"/>
                <w14:textFill>
                  <w14:solidFill>
                    <w14:schemeClr w14:val="tx1"/>
                  </w14:solidFill>
                </w14:textFill>
              </w:rPr>
              <w:t>、自动压片成型、自动出片，操作工人手工排片，</w:t>
            </w:r>
            <w:r>
              <w:rPr>
                <w:rFonts w:hint="default" w:ascii="Times New Roman" w:hAnsi="Times New Roman" w:cs="Times New Roman"/>
                <w:color w:val="000000" w:themeColor="text1"/>
                <w:sz w:val="24"/>
                <w:szCs w:val="24"/>
                <w:lang w:val="en-US" w:eastAsia="zh-CN"/>
                <w14:textFill>
                  <w14:solidFill>
                    <w14:schemeClr w14:val="tx1"/>
                  </w14:solidFill>
                </w14:textFill>
              </w:rPr>
              <w:t>将生坯整齐地放置匣钵内</w:t>
            </w:r>
            <w:r>
              <w:rPr>
                <w:rFonts w:hint="default" w:ascii="Times New Roman" w:hAnsi="Times New Roman" w:cs="Times New Roman"/>
                <w:color w:val="000000" w:themeColor="text1"/>
                <w:sz w:val="24"/>
                <w:szCs w:val="24"/>
                <w:lang w:eastAsia="zh-CN"/>
                <w14:textFill>
                  <w14:solidFill>
                    <w14:schemeClr w14:val="tx1"/>
                  </w14:solidFill>
                </w14:textFill>
              </w:rPr>
              <w:t>，方便运输和后续工序进行。该工序会产生噪声。</w:t>
            </w:r>
          </w:p>
          <w:p w14:paraId="47C432A7">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7</w:t>
            </w:r>
            <w:r>
              <w:rPr>
                <w:rFonts w:hint="default" w:ascii="Times New Roman" w:hAnsi="Times New Roman" w:cs="Times New Roman"/>
                <w:color w:val="000000" w:themeColor="text1"/>
                <w:sz w:val="24"/>
                <w:szCs w:val="24"/>
                <w:lang w:eastAsia="zh-CN"/>
                <w14:textFill>
                  <w14:solidFill>
                    <w14:schemeClr w14:val="tx1"/>
                  </w14:solidFill>
                </w14:textFill>
              </w:rPr>
              <w:t>）烧结</w:t>
            </w:r>
          </w:p>
          <w:p w14:paraId="79873C8B">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匣钵内的生坯，</w:t>
            </w:r>
            <w:r>
              <w:rPr>
                <w:rFonts w:hint="default" w:ascii="Times New Roman" w:hAnsi="Times New Roman" w:cs="Times New Roman"/>
                <w:color w:val="000000" w:themeColor="text1"/>
                <w:sz w:val="24"/>
                <w:szCs w:val="24"/>
                <w:lang w:eastAsia="zh-CN"/>
                <w14:textFill>
                  <w14:solidFill>
                    <w14:schemeClr w14:val="tx1"/>
                  </w14:solidFill>
                </w14:textFill>
              </w:rPr>
              <w:t>通过高温烧结炉（</w:t>
            </w:r>
            <w:r>
              <w:rPr>
                <w:rFonts w:hint="default" w:ascii="Times New Roman" w:hAnsi="Times New Roman" w:cs="Times New Roman"/>
                <w:color w:val="000000" w:themeColor="text1"/>
                <w:sz w:val="24"/>
                <w:szCs w:val="24"/>
                <w:lang w:val="en-US" w:eastAsia="zh-CN"/>
                <w14:textFill>
                  <w14:solidFill>
                    <w14:schemeClr w14:val="tx1"/>
                  </w14:solidFill>
                </w14:textFill>
              </w:rPr>
              <w:t>隧道炉</w:t>
            </w:r>
            <w:r>
              <w:rPr>
                <w:rFonts w:hint="default" w:ascii="Times New Roman" w:hAnsi="Times New Roman" w:cs="Times New Roman"/>
                <w:color w:val="000000" w:themeColor="text1"/>
                <w:sz w:val="24"/>
                <w:szCs w:val="24"/>
                <w:lang w:eastAsia="zh-CN"/>
                <w14:textFill>
                  <w14:solidFill>
                    <w14:schemeClr w14:val="tx1"/>
                  </w14:solidFill>
                </w14:textFill>
              </w:rPr>
              <w:t>）将产品烧成黑片，高温烧结炉温度约</w:t>
            </w:r>
            <w:r>
              <w:rPr>
                <w:rFonts w:hint="default" w:ascii="Times New Roman" w:hAnsi="Times New Roman" w:cs="Times New Roman"/>
                <w:color w:val="000000" w:themeColor="text1"/>
                <w:sz w:val="24"/>
                <w:szCs w:val="24"/>
                <w:lang w:val="en-US" w:eastAsia="zh-CN"/>
                <w14:textFill>
                  <w14:solidFill>
                    <w14:schemeClr w14:val="tx1"/>
                  </w14:solidFill>
                </w14:textFill>
              </w:rPr>
              <w:t>1300℃，烧结分为升温、恒温、降温三个过程，工作时间约为18h，烧结炉采用电加热，烧结炉由程序控制，烧结过程无需人工干预。</w:t>
            </w:r>
          </w:p>
          <w:p w14:paraId="5750EC0A">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烧结时粘合剂（聚乙烯醇）在加热到200-250℃时存在一定的分解，产生非甲烷总烃。超过250℃变成含有共轭双键的聚合物，不分解。</w:t>
            </w:r>
          </w:p>
          <w:p w14:paraId="384B7B2B">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8</w:t>
            </w:r>
            <w:r>
              <w:rPr>
                <w:rFonts w:hint="default" w:ascii="Times New Roman" w:hAnsi="Times New Roman" w:cs="Times New Roman"/>
                <w:color w:val="000000" w:themeColor="text1"/>
                <w:sz w:val="24"/>
                <w:szCs w:val="24"/>
                <w:lang w:eastAsia="zh-CN"/>
                <w14:textFill>
                  <w14:solidFill>
                    <w14:schemeClr w14:val="tx1"/>
                  </w14:solidFill>
                </w14:textFill>
              </w:rPr>
              <w:t>）剥离</w:t>
            </w:r>
            <w:r>
              <w:rPr>
                <w:rFonts w:hint="default" w:ascii="Times New Roman" w:hAnsi="Times New Roman" w:cs="Times New Roman"/>
                <w:color w:val="000000" w:themeColor="text1"/>
                <w:sz w:val="24"/>
                <w:szCs w:val="24"/>
                <w:lang w:val="en-US" w:eastAsia="zh-CN"/>
                <w14:textFill>
                  <w14:solidFill>
                    <w14:schemeClr w14:val="tx1"/>
                  </w14:solidFill>
                </w14:textFill>
              </w:rPr>
              <w:t>/分选</w:t>
            </w:r>
          </w:p>
          <w:p w14:paraId="3D8036A6">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烧结后的黑片会产生部分粘连，人工放入剥离机内进行剥离分片；或烧结出来的部分黑片弯曲，放入弯曲分选机内进行分选。此工序产生部分固废。</w:t>
            </w:r>
          </w:p>
          <w:p w14:paraId="1E5A9B71">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9</w:t>
            </w:r>
            <w:r>
              <w:rPr>
                <w:rFonts w:hint="default" w:ascii="Times New Roman" w:hAnsi="Times New Roman" w:cs="Times New Roman"/>
                <w:color w:val="000000" w:themeColor="text1"/>
                <w:sz w:val="24"/>
                <w:szCs w:val="24"/>
                <w:lang w:eastAsia="zh-CN"/>
                <w14:textFill>
                  <w14:solidFill>
                    <w14:schemeClr w14:val="tx1"/>
                  </w14:solidFill>
                </w14:textFill>
              </w:rPr>
              <w:t>）涂</w:t>
            </w:r>
            <w:r>
              <w:rPr>
                <w:rFonts w:hint="eastAsia" w:cs="Times New Roman"/>
                <w:color w:val="000000" w:themeColor="text1"/>
                <w:sz w:val="24"/>
                <w:szCs w:val="24"/>
                <w:lang w:val="en-US" w:eastAsia="zh-CN"/>
                <w14:textFill>
                  <w14:solidFill>
                    <w14:schemeClr w14:val="tx1"/>
                  </w14:solidFill>
                </w14:textFill>
              </w:rPr>
              <w:t>浆</w:t>
            </w:r>
          </w:p>
          <w:p w14:paraId="2023BFDB">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将黑片在</w:t>
            </w:r>
            <w:r>
              <w:rPr>
                <w:rFonts w:hint="default" w:ascii="Times New Roman" w:hAnsi="Times New Roman" w:cs="Times New Roman"/>
                <w:color w:val="000000" w:themeColor="text1"/>
                <w:sz w:val="24"/>
                <w:szCs w:val="24"/>
                <w:lang w:val="en-US" w:eastAsia="zh-CN"/>
                <w14:textFill>
                  <w14:solidFill>
                    <w14:schemeClr w14:val="tx1"/>
                  </w14:solidFill>
                </w14:textFill>
              </w:rPr>
              <w:t>自动刷银机上面进行涂银工序，使黑片粘上银浆</w:t>
            </w:r>
            <w:r>
              <w:rPr>
                <w:rFonts w:hint="eastAsia" w:cs="Times New Roman"/>
                <w:color w:val="000000" w:themeColor="text1"/>
                <w:sz w:val="24"/>
                <w:szCs w:val="24"/>
                <w:lang w:val="en-US" w:eastAsia="zh-CN"/>
                <w14:textFill>
                  <w14:solidFill>
                    <w14:schemeClr w14:val="tx1"/>
                  </w14:solidFill>
                </w14:textFill>
              </w:rPr>
              <w:t>/铜浆</w:t>
            </w:r>
            <w:r>
              <w:rPr>
                <w:rFonts w:hint="default" w:ascii="Times New Roman" w:hAnsi="Times New Roman" w:cs="Times New Roman"/>
                <w:color w:val="000000" w:themeColor="text1"/>
                <w:sz w:val="24"/>
                <w:szCs w:val="24"/>
                <w:lang w:val="en-US" w:eastAsia="zh-CN"/>
                <w14:textFill>
                  <w14:solidFill>
                    <w14:schemeClr w14:val="tx1"/>
                  </w14:solidFill>
                </w14:textFill>
              </w:rPr>
              <w:t>。</w:t>
            </w:r>
          </w:p>
          <w:p w14:paraId="44154D1A">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（10）烘</w:t>
            </w:r>
            <w:r>
              <w:rPr>
                <w:rFonts w:hint="eastAsia" w:cs="Times New Roman"/>
                <w:color w:val="000000" w:themeColor="text1"/>
                <w:sz w:val="24"/>
                <w:szCs w:val="24"/>
                <w:lang w:val="en-US" w:eastAsia="zh-CN"/>
                <w14:textFill>
                  <w14:solidFill>
                    <w14:schemeClr w14:val="tx1"/>
                  </w14:solidFill>
                </w14:textFill>
              </w:rPr>
              <w:t>干</w:t>
            </w:r>
          </w:p>
          <w:p w14:paraId="6FC86DEA">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将刷了银浆的黑片在干燥炉（电炉、炉内温度200℃）上进行烘干。烘干过程银浆中挥发物完全挥发，该工序会产生少量的有机废气和噪声。</w:t>
            </w:r>
          </w:p>
          <w:p w14:paraId="0593C467">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（11）</w:t>
            </w:r>
            <w:r>
              <w:rPr>
                <w:rFonts w:hint="eastAsia" w:cs="Times New Roman"/>
                <w:color w:val="000000" w:themeColor="text1"/>
                <w:sz w:val="24"/>
                <w:szCs w:val="24"/>
                <w:lang w:val="en-US" w:eastAsia="zh-CN"/>
                <w14:textFill>
                  <w14:solidFill>
                    <w14:schemeClr w14:val="tx1"/>
                  </w14:solidFill>
                </w14:textFill>
              </w:rPr>
              <w:t>还原</w:t>
            </w:r>
          </w:p>
          <w:p w14:paraId="58E8B0E9">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烘干后的黑片进入烧银炉加热至470℃，使得银浆中氧化银还原成银电极。</w:t>
            </w:r>
          </w:p>
          <w:p w14:paraId="272575D7">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（12）</w:t>
            </w:r>
            <w:r>
              <w:rPr>
                <w:rFonts w:hint="eastAsia" w:cs="Times New Roman"/>
                <w:color w:val="000000" w:themeColor="text1"/>
                <w:sz w:val="24"/>
                <w:szCs w:val="24"/>
                <w:lang w:val="en-US" w:eastAsia="zh-CN"/>
                <w14:textFill>
                  <w14:solidFill>
                    <w14:schemeClr w14:val="tx1"/>
                  </w14:solidFill>
                </w14:textFill>
              </w:rPr>
              <w:t>烧渗</w:t>
            </w:r>
          </w:p>
          <w:p w14:paraId="702C2DA5">
            <w:pPr>
              <w:keepNext w:val="0"/>
              <w:keepLines w:val="0"/>
              <w:suppressLineNumbers w:val="0"/>
              <w:spacing w:before="0" w:beforeAutospacing="0" w:after="0" w:afterAutospacing="0" w:line="360" w:lineRule="auto"/>
              <w:ind w:left="0" w:right="0" w:firstLine="480" w:firstLineChars="200"/>
              <w:rPr>
                <w:rFonts w:hint="eastAsia"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空气烧渗：刷了银浆后的氧化锌压敏芯片送入空气烧渗炉，炉膛内为常压空气环境，升温至780～850℃保温15～30min；浆料内玻璃粉熔融，银相渗入陶瓷基体表层形成导电电极。工艺无需保护气体。</w:t>
            </w:r>
          </w:p>
          <w:p w14:paraId="377B27D1">
            <w:pPr>
              <w:keepNext w:val="0"/>
              <w:keepLines w:val="0"/>
              <w:suppressLineNumbers w:val="0"/>
              <w:spacing w:before="0" w:beforeAutospacing="0" w:after="0" w:afterAutospacing="0" w:line="360" w:lineRule="auto"/>
              <w:ind w:left="0" w:right="0" w:firstLine="480" w:firstLineChars="200"/>
              <w:rPr>
                <w:rFonts w:hint="default"/>
                <w:color w:val="000000" w:themeColor="text1"/>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气氛烧渗：刷了铜浆工件进入密闭气氛烧渗炉，通入氮氢混合还原保护气隔绝氧气，烧制温度控制在820～900℃恒温保温20～35min；熔融铜渗入瓷体形成导电层，还原性气氛可防止铜高温氧化，保证电极导电性能。</w:t>
            </w:r>
          </w:p>
          <w:p w14:paraId="3310FAA6">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（13）</w:t>
            </w:r>
            <w:r>
              <w:rPr>
                <w:rFonts w:hint="default" w:ascii="Times New Roman" w:hAnsi="Times New Roman" w:cs="Times New Roman"/>
                <w:color w:val="000000" w:themeColor="text1"/>
                <w:sz w:val="24"/>
                <w:szCs w:val="24"/>
                <w:lang w:val="en-US" w:eastAsia="zh-CN"/>
                <w14:textFill>
                  <w14:solidFill>
                    <w14:schemeClr w14:val="tx1"/>
                  </w14:solidFill>
                </w14:textFill>
              </w:rPr>
              <w:t>分选</w:t>
            </w:r>
          </w:p>
          <w:p w14:paraId="627F6B30">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还原后的黑片（芯片）进入外观分选机进行分选，</w:t>
            </w:r>
            <w:r>
              <w:rPr>
                <w:rFonts w:hint="eastAsia" w:cs="Times New Roman"/>
                <w:color w:val="000000" w:themeColor="text1"/>
                <w:sz w:val="24"/>
                <w:szCs w:val="24"/>
                <w:lang w:val="en-US" w:eastAsia="zh-CN"/>
                <w14:textFill>
                  <w14:solidFill>
                    <w14:schemeClr w14:val="tx1"/>
                  </w14:solidFill>
                </w14:textFill>
              </w:rPr>
              <w:t>选出不同规格的产品</w:t>
            </w:r>
            <w:r>
              <w:rPr>
                <w:rFonts w:hint="default" w:ascii="Times New Roman" w:hAnsi="Times New Roman" w:cs="Times New Roman"/>
                <w:color w:val="000000" w:themeColor="text1"/>
                <w:sz w:val="24"/>
                <w:szCs w:val="24"/>
                <w:lang w:val="en-US" w:eastAsia="zh-CN"/>
                <w14:textFill>
                  <w14:solidFill>
                    <w14:schemeClr w14:val="tx1"/>
                  </w14:solidFill>
                </w14:textFill>
              </w:rPr>
              <w:t>。</w:t>
            </w:r>
          </w:p>
          <w:p w14:paraId="3315C8F8">
            <w:pPr>
              <w:keepNext w:val="0"/>
              <w:keepLines w:val="0"/>
              <w:widowControl/>
              <w:suppressLineNumbers w:val="0"/>
              <w:spacing w:before="0" w:beforeAutospacing="0" w:after="0" w:afterAutospacing="0" w:line="360" w:lineRule="auto"/>
              <w:ind w:left="0" w:right="0" w:firstLine="480" w:firstLineChars="200"/>
              <w:jc w:val="left"/>
              <w:rPr>
                <w:rFonts w:hint="default" w:ascii="Times New Roman" w:hAnsi="Times New Roman" w:cs="Times New Roman"/>
                <w:color w:val="000000" w:themeColor="text1"/>
                <w:sz w:val="24"/>
                <w:szCs w:val="24"/>
                <w:lang w:bidi="ar"/>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（1</w:t>
            </w:r>
            <w:r>
              <w:rPr>
                <w:rFonts w:hint="eastAsia" w:cs="Times New Roman"/>
                <w:color w:val="000000" w:themeColor="text1"/>
                <w:sz w:val="24"/>
                <w:szCs w:val="24"/>
                <w:lang w:val="en-US" w:eastAsia="zh-CN"/>
                <w14:textFill>
                  <w14:solidFill>
                    <w14:schemeClr w14:val="tx1"/>
                  </w14:solidFill>
                </w14:textFill>
              </w:rPr>
              <w:t>4</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焊接：</w:t>
            </w:r>
            <w:r>
              <w:rPr>
                <w:rFonts w:hint="default" w:ascii="Times New Roman" w:hAnsi="Times New Roman" w:cs="Times New Roman"/>
                <w:color w:val="000000" w:themeColor="text1"/>
                <w:sz w:val="24"/>
                <w:szCs w:val="24"/>
                <w:lang w:val="en-US" w:eastAsia="zh-CN"/>
                <w14:textFill>
                  <w14:solidFill>
                    <w14:schemeClr w14:val="tx1"/>
                  </w14:solidFill>
                </w14:textFill>
              </w:rPr>
              <w:t>芯片与外购线材经自动一体机进行焊接预热（焊接采用波峰焊</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方式，</w:t>
            </w:r>
            <w:r>
              <w:rPr>
                <w:rFonts w:hint="default" w:ascii="Times New Roman" w:hAnsi="Times New Roman" w:cs="Times New Roman"/>
                <w:color w:val="000000" w:themeColor="text1"/>
                <w:sz w:val="24"/>
                <w:szCs w:val="24"/>
                <w:lang w:val="en-US" w:eastAsia="zh-CN"/>
                <w14:textFill>
                  <w14:solidFill>
                    <w14:schemeClr w14:val="tx1"/>
                  </w14:solidFill>
                </w14:textFill>
              </w:rPr>
              <w:t>焊丝为纯锡锡条，</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焊锡温度为</w:t>
            </w:r>
            <w:r>
              <w:rPr>
                <w:rFonts w:hint="default" w:ascii="Times New Roman" w:hAnsi="Times New Roman" w:eastAsia="宋体" w:cs="Times New Roman"/>
                <w:i w:val="0"/>
                <w:iCs w:val="0"/>
                <w:caps w:val="0"/>
                <w:color w:val="000000" w:themeColor="text1"/>
                <w:spacing w:val="0"/>
                <w:kern w:val="2"/>
                <w:sz w:val="24"/>
                <w:szCs w:val="24"/>
                <w:shd w:val="clear"/>
                <w:lang w:bidi="ar"/>
                <w14:textFill>
                  <w14:solidFill>
                    <w14:schemeClr w14:val="tx1"/>
                  </w14:solidFill>
                </w14:textFill>
              </w:rPr>
              <w:t>260-280</w:t>
            </w:r>
            <w:r>
              <w:rPr>
                <w:rFonts w:hint="default" w:ascii="Times New Roman" w:hAnsi="Times New Roman" w:cs="Times New Roman"/>
                <w:color w:val="000000" w:themeColor="text1"/>
                <w:kern w:val="2"/>
                <w:sz w:val="24"/>
                <w:szCs w:val="24"/>
                <w:lang w:val="en-US" w:eastAsia="zh-CN" w:bidi="ar"/>
                <w14:textFill>
                  <w14:solidFill>
                    <w14:schemeClr w14:val="tx1"/>
                  </w14:solidFill>
                </w14:textFill>
              </w:rPr>
              <w:t>℃</w:t>
            </w:r>
            <w:r>
              <w:rPr>
                <w:rFonts w:hint="default" w:ascii="Times New Roman" w:hAnsi="Times New Roman" w:cs="Times New Roman"/>
                <w:color w:val="000000" w:themeColor="text1"/>
                <w:sz w:val="24"/>
                <w:szCs w:val="24"/>
                <w:lang w:val="en-US" w:eastAsia="zh-CN" w:bidi="ar"/>
                <w14:textFill>
                  <w14:solidFill>
                    <w14:schemeClr w14:val="tx1"/>
                  </w14:solidFill>
                </w14:textFill>
              </w:rPr>
              <w:t>，完成焊锡后</w:t>
            </w:r>
            <w:r>
              <w:rPr>
                <w:rFonts w:hint="default" w:ascii="Times New Roman" w:hAnsi="Times New Roman" w:eastAsia="宋体" w:cs="Times New Roman"/>
                <w:i w:val="0"/>
                <w:iCs w:val="0"/>
                <w:caps w:val="0"/>
                <w:color w:val="000000" w:themeColor="text1"/>
                <w:spacing w:val="0"/>
                <w:kern w:val="2"/>
                <w:sz w:val="24"/>
                <w:szCs w:val="24"/>
                <w:shd w:val="clear"/>
                <w:lang w:bidi="ar"/>
                <w14:textFill>
                  <w14:solidFill>
                    <w14:schemeClr w14:val="tx1"/>
                  </w14:solidFill>
                </w14:textFill>
              </w:rPr>
              <w:t>预热</w:t>
            </w:r>
            <w:r>
              <w:rPr>
                <w:rFonts w:hint="default" w:ascii="Times New Roman" w:hAnsi="Times New Roman" w:cs="Times New Roman"/>
                <w:i w:val="0"/>
                <w:iCs w:val="0"/>
                <w:caps w:val="0"/>
                <w:color w:val="000000" w:themeColor="text1"/>
                <w:spacing w:val="0"/>
                <w:kern w:val="2"/>
                <w:sz w:val="24"/>
                <w:szCs w:val="24"/>
                <w:shd w:val="clear"/>
                <w:lang w:eastAsia="zh-CN" w:bidi="ar"/>
                <w14:textFill>
                  <w14:solidFill>
                    <w14:schemeClr w14:val="tx1"/>
                  </w14:solidFill>
                </w14:textFill>
              </w:rPr>
              <w:t>，预热</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温度为</w:t>
            </w:r>
            <w:r>
              <w:rPr>
                <w:rFonts w:hint="default" w:ascii="Times New Roman" w:hAnsi="Times New Roman" w:cs="Times New Roman"/>
                <w:i w:val="0"/>
                <w:iCs w:val="0"/>
                <w:caps w:val="0"/>
                <w:color w:val="000000" w:themeColor="text1"/>
                <w:spacing w:val="0"/>
                <w:kern w:val="2"/>
                <w:sz w:val="24"/>
                <w:szCs w:val="24"/>
                <w:shd w:val="clear"/>
                <w:lang w:val="en-US" w:eastAsia="zh-CN" w:bidi="ar"/>
                <w14:textFill>
                  <w14:solidFill>
                    <w14:schemeClr w14:val="tx1"/>
                  </w14:solidFill>
                </w14:textFill>
              </w:rPr>
              <w:t>150</w:t>
            </w:r>
            <w:r>
              <w:rPr>
                <w:rFonts w:hint="default" w:ascii="Times New Roman" w:hAnsi="Times New Roman" w:cs="Times New Roman"/>
                <w:color w:val="000000" w:themeColor="text1"/>
                <w:kern w:val="2"/>
                <w:sz w:val="24"/>
                <w:szCs w:val="24"/>
                <w:lang w:val="en-US" w:eastAsia="zh-CN" w:bidi="ar"/>
                <w14:textFill>
                  <w14:solidFill>
                    <w14:schemeClr w14:val="tx1"/>
                  </w14:solidFill>
                </w14:textFill>
              </w:rPr>
              <w:t>℃</w:t>
            </w:r>
            <w:r>
              <w:rPr>
                <w:rFonts w:hint="default" w:ascii="Times New Roman" w:hAnsi="Times New Roman" w:cs="Times New Roman"/>
                <w:color w:val="000000" w:themeColor="text1"/>
                <w:sz w:val="24"/>
                <w:szCs w:val="24"/>
                <w:lang w:val="en-US" w:eastAsia="zh-CN" w:bidi="ar"/>
                <w14:textFill>
                  <w14:solidFill>
                    <w14:schemeClr w14:val="tx1"/>
                  </w14:solidFill>
                </w14:textFill>
              </w:rPr>
              <w:t>）固定成为连接线，</w:t>
            </w:r>
            <w:r>
              <w:rPr>
                <w:rFonts w:hint="default" w:ascii="Times New Roman" w:hAnsi="Times New Roman" w:cs="Times New Roman"/>
                <w:color w:val="000000" w:themeColor="text1"/>
                <w:sz w:val="24"/>
                <w:szCs w:val="24"/>
                <w:lang w:bidi="ar"/>
                <w14:textFill>
                  <w14:solidFill>
                    <w14:schemeClr w14:val="tx1"/>
                  </w14:solidFill>
                </w14:textFill>
              </w:rPr>
              <w:t>此过程会产生焊接烟</w:t>
            </w:r>
            <w:r>
              <w:rPr>
                <w:rFonts w:hint="default" w:ascii="Times New Roman" w:hAnsi="Times New Roman" w:cs="Times New Roman"/>
                <w:color w:val="000000" w:themeColor="text1"/>
                <w:sz w:val="24"/>
                <w:szCs w:val="24"/>
                <w:lang w:eastAsia="zh-CN" w:bidi="ar"/>
                <w14:textFill>
                  <w14:solidFill>
                    <w14:schemeClr w14:val="tx1"/>
                  </w14:solidFill>
                </w14:textFill>
              </w:rPr>
              <w:t>尘</w:t>
            </w:r>
            <w:r>
              <w:rPr>
                <w:rFonts w:hint="default" w:ascii="Times New Roman" w:hAnsi="Times New Roman" w:cs="Times New Roman"/>
                <w:color w:val="000000" w:themeColor="text1"/>
                <w:sz w:val="24"/>
                <w:szCs w:val="24"/>
                <w:lang w:bidi="ar"/>
                <w14:textFill>
                  <w14:solidFill>
                    <w14:schemeClr w14:val="tx1"/>
                  </w14:solidFill>
                </w14:textFill>
              </w:rPr>
              <w:t>及噪声。</w:t>
            </w:r>
          </w:p>
          <w:p w14:paraId="20A5948F">
            <w:pPr>
              <w:keepNext w:val="0"/>
              <w:keepLines w:val="0"/>
              <w:widowControl/>
              <w:suppressLineNumbers w:val="0"/>
              <w:spacing w:before="0" w:beforeAutospacing="0" w:after="0" w:afterAutospacing="0" w:line="360" w:lineRule="auto"/>
              <w:ind w:left="0" w:right="0" w:firstLine="480" w:firstLineChars="200"/>
              <w:jc w:val="left"/>
              <w:rPr>
                <w:rFonts w:hint="default" w:ascii="Times New Roman" w:hAnsi="Times New Roman" w:cs="Times New Roman"/>
                <w:color w:val="000000" w:themeColor="text1"/>
                <w:sz w:val="24"/>
                <w:szCs w:val="24"/>
                <w:lang w:bidi="ar"/>
                <w14:textFill>
                  <w14:solidFill>
                    <w14:schemeClr w14:val="tx1"/>
                  </w14:solidFill>
                </w14:textFill>
              </w:rPr>
            </w:pPr>
            <w:r>
              <w:rPr>
                <w:rFonts w:hint="default" w:ascii="Times New Roman" w:hAnsi="Times New Roman" w:cs="Times New Roman"/>
                <w:color w:val="000000" w:themeColor="text1"/>
                <w:sz w:val="24"/>
                <w:szCs w:val="24"/>
                <w:lang w:eastAsia="zh-CN" w:bidi="ar"/>
                <w14:textFill>
                  <w14:solidFill>
                    <w14:schemeClr w14:val="tx1"/>
                  </w14:solidFill>
                </w14:textFill>
              </w:rPr>
              <w:t>（</w:t>
            </w:r>
            <w:r>
              <w:rPr>
                <w:rFonts w:hint="default" w:ascii="Times New Roman" w:hAnsi="Times New Roman" w:cs="Times New Roman"/>
                <w:color w:val="000000" w:themeColor="text1"/>
                <w:sz w:val="24"/>
                <w:szCs w:val="24"/>
                <w:lang w:val="en-US" w:eastAsia="zh-CN" w:bidi="ar"/>
                <w14:textFill>
                  <w14:solidFill>
                    <w14:schemeClr w14:val="tx1"/>
                  </w14:solidFill>
                </w14:textFill>
              </w:rPr>
              <w:t>1</w:t>
            </w:r>
            <w:r>
              <w:rPr>
                <w:rFonts w:hint="eastAsia" w:cs="Times New Roman"/>
                <w:color w:val="000000" w:themeColor="text1"/>
                <w:sz w:val="24"/>
                <w:szCs w:val="24"/>
                <w:lang w:val="en-US" w:eastAsia="zh-CN" w:bidi="ar"/>
                <w14:textFill>
                  <w14:solidFill>
                    <w14:schemeClr w14:val="tx1"/>
                  </w14:solidFill>
                </w14:textFill>
              </w:rPr>
              <w:t>5</w:t>
            </w:r>
            <w:r>
              <w:rPr>
                <w:rFonts w:hint="default" w:ascii="Times New Roman" w:hAnsi="Times New Roman" w:cs="Times New Roman"/>
                <w:color w:val="000000" w:themeColor="text1"/>
                <w:sz w:val="24"/>
                <w:szCs w:val="24"/>
                <w:lang w:eastAsia="zh-CN" w:bidi="ar"/>
                <w14:textFill>
                  <w14:solidFill>
                    <w14:schemeClr w14:val="tx1"/>
                  </w14:solidFill>
                </w14:textFill>
              </w:rPr>
              <w:t>）</w:t>
            </w:r>
            <w:r>
              <w:rPr>
                <w:rFonts w:hint="default" w:ascii="Times New Roman" w:hAnsi="Times New Roman" w:cs="Times New Roman"/>
                <w:color w:val="000000" w:themeColor="text1"/>
                <w:sz w:val="24"/>
                <w:szCs w:val="24"/>
                <w:lang w:bidi="ar"/>
                <w14:textFill>
                  <w14:solidFill>
                    <w14:schemeClr w14:val="tx1"/>
                  </w14:solidFill>
                </w14:textFill>
              </w:rPr>
              <w:t>包封固化：将</w:t>
            </w:r>
            <w:r>
              <w:rPr>
                <w:rFonts w:hint="default" w:ascii="Times New Roman" w:hAnsi="Times New Roman" w:cs="Times New Roman"/>
                <w:color w:val="000000" w:themeColor="text1"/>
                <w:sz w:val="24"/>
                <w:szCs w:val="24"/>
                <w:lang w:eastAsia="zh-CN" w:bidi="ar"/>
                <w14:textFill>
                  <w14:solidFill>
                    <w14:schemeClr w14:val="tx1"/>
                  </w14:solidFill>
                </w14:textFill>
              </w:rPr>
              <w:t>预热的</w:t>
            </w:r>
            <w:r>
              <w:rPr>
                <w:rFonts w:hint="default" w:ascii="Times New Roman" w:hAnsi="Times New Roman" w:cs="Times New Roman"/>
                <w:color w:val="000000" w:themeColor="text1"/>
                <w:sz w:val="24"/>
                <w:szCs w:val="24"/>
                <w:lang w:bidi="ar"/>
                <w14:textFill>
                  <w14:solidFill>
                    <w14:schemeClr w14:val="tx1"/>
                  </w14:solidFill>
                </w14:textFill>
              </w:rPr>
              <w:t>芯片</w:t>
            </w:r>
            <w:r>
              <w:rPr>
                <w:rFonts w:hint="default" w:ascii="Times New Roman" w:hAnsi="Times New Roman" w:cs="Times New Roman"/>
                <w:color w:val="000000" w:themeColor="text1"/>
                <w:sz w:val="24"/>
                <w:szCs w:val="24"/>
                <w:lang w:eastAsia="zh-CN" w:bidi="ar"/>
                <w14:textFill>
                  <w14:solidFill>
                    <w14:schemeClr w14:val="tx1"/>
                  </w14:solidFill>
                </w14:textFill>
              </w:rPr>
              <w:t>放</w:t>
            </w:r>
            <w:r>
              <w:rPr>
                <w:rFonts w:hint="default" w:ascii="Times New Roman" w:hAnsi="Times New Roman" w:cs="Times New Roman"/>
                <w:color w:val="000000" w:themeColor="text1"/>
                <w:sz w:val="24"/>
                <w:szCs w:val="24"/>
                <w:lang w:bidi="ar"/>
                <w14:textFill>
                  <w14:solidFill>
                    <w14:schemeClr w14:val="tx1"/>
                  </w14:solidFill>
                </w14:textFill>
              </w:rPr>
              <w:t>入</w:t>
            </w:r>
            <w:r>
              <w:rPr>
                <w:rFonts w:hint="default" w:ascii="Times New Roman" w:hAnsi="Times New Roman" w:cs="Times New Roman"/>
                <w:color w:val="000000" w:themeColor="text1"/>
                <w:sz w:val="24"/>
                <w:szCs w:val="24"/>
                <w:lang w:val="en-US" w:eastAsia="zh-CN" w:bidi="ar"/>
                <w14:textFill>
                  <w14:solidFill>
                    <w14:schemeClr w14:val="tx1"/>
                  </w14:solidFill>
                </w14:textFill>
              </w:rPr>
              <w:t>包封材料涂装机进行包封，使芯片</w:t>
            </w:r>
            <w:r>
              <w:rPr>
                <w:rFonts w:hint="default" w:ascii="Times New Roman" w:hAnsi="Times New Roman" w:eastAsia="宋体" w:cs="Times New Roman"/>
                <w:i w:val="0"/>
                <w:iCs w:val="0"/>
                <w:caps w:val="0"/>
                <w:color w:val="000000" w:themeColor="text1"/>
                <w:spacing w:val="0"/>
                <w:sz w:val="24"/>
                <w:szCs w:val="24"/>
                <w:shd w:val="clear"/>
                <w:lang w:bidi="ar"/>
                <w14:textFill>
                  <w14:solidFill>
                    <w14:schemeClr w14:val="tx1"/>
                  </w14:solidFill>
                </w14:textFill>
              </w:rPr>
              <w:t>附上一层粉末</w:t>
            </w:r>
            <w:r>
              <w:rPr>
                <w:rFonts w:hint="default" w:ascii="Times New Roman" w:hAnsi="Times New Roman" w:eastAsia="宋体" w:cs="Times New Roman"/>
                <w:i w:val="0"/>
                <w:iCs w:val="0"/>
                <w:caps w:val="0"/>
                <w:color w:val="000000" w:themeColor="text1"/>
                <w:spacing w:val="0"/>
                <w:sz w:val="24"/>
                <w:szCs w:val="24"/>
                <w:shd w:val="clear"/>
                <w:lang w:eastAsia="zh-CN" w:bidi="ar"/>
                <w14:textFill>
                  <w14:solidFill>
                    <w14:schemeClr w14:val="tx1"/>
                  </w14:solidFill>
                </w14:textFill>
              </w:rPr>
              <w:t>，</w:t>
            </w:r>
            <w:r>
              <w:rPr>
                <w:rFonts w:hint="eastAsia" w:cs="Times New Roman"/>
                <w:i w:val="0"/>
                <w:iCs w:val="0"/>
                <w:caps w:val="0"/>
                <w:color w:val="000000" w:themeColor="text1"/>
                <w:spacing w:val="0"/>
                <w:sz w:val="24"/>
                <w:szCs w:val="24"/>
                <w:shd w:val="clear"/>
                <w:lang w:val="en-US" w:eastAsia="zh-CN" w:bidi="ar"/>
                <w14:textFill>
                  <w14:solidFill>
                    <w14:schemeClr w14:val="tx1"/>
                  </w14:solidFill>
                </w14:textFill>
              </w:rPr>
              <w:t>涂装机密闭，</w:t>
            </w:r>
            <w:r>
              <w:rPr>
                <w:rFonts w:hint="default" w:ascii="Times New Roman" w:hAnsi="Times New Roman" w:cs="Times New Roman"/>
                <w:color w:val="000000" w:themeColor="text1"/>
                <w:kern w:val="2"/>
                <w:sz w:val="24"/>
                <w:szCs w:val="24"/>
                <w:lang w:val="en-US" w:eastAsia="zh-CN" w:bidi="ar"/>
                <w14:textFill>
                  <w14:solidFill>
                    <w14:schemeClr w14:val="tx1"/>
                  </w14:solidFill>
                </w14:textFill>
              </w:rPr>
              <w:t>再</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放至烘箱烘干，</w:t>
            </w:r>
            <w:r>
              <w:rPr>
                <w:rFonts w:hint="default" w:ascii="Times New Roman" w:hAnsi="Times New Roman" w:cs="Times New Roman"/>
                <w:color w:val="000000" w:themeColor="text1"/>
                <w:sz w:val="24"/>
                <w:szCs w:val="24"/>
                <w:lang w:bidi="ar"/>
                <w14:textFill>
                  <w14:solidFill>
                    <w14:schemeClr w14:val="tx1"/>
                  </w14:solidFill>
                </w14:textFill>
              </w:rPr>
              <w:t>形成保护层</w:t>
            </w:r>
            <w:r>
              <w:rPr>
                <w:rFonts w:hint="default" w:ascii="Times New Roman" w:hAnsi="Times New Roman" w:cs="Times New Roman"/>
                <w:color w:val="000000" w:themeColor="text1"/>
                <w:sz w:val="24"/>
                <w:szCs w:val="24"/>
                <w:lang w:eastAsia="zh-CN" w:bidi="ar"/>
                <w14:textFill>
                  <w14:solidFill>
                    <w14:schemeClr w14:val="tx1"/>
                  </w14:solidFill>
                </w14:textFill>
              </w:rPr>
              <w:t>。</w:t>
            </w:r>
            <w:r>
              <w:rPr>
                <w:rFonts w:hint="default" w:ascii="Times New Roman" w:hAnsi="Times New Roman" w:eastAsia="宋体" w:cs="Times New Roman"/>
                <w:b w:val="0"/>
                <w:bCs w:val="0"/>
                <w:color w:val="000000" w:themeColor="text1"/>
                <w:kern w:val="2"/>
                <w:sz w:val="24"/>
                <w:szCs w:val="24"/>
                <w:lang w:val="en-US" w:eastAsia="zh-CN" w:bidi="ar"/>
                <w14:textFill>
                  <w14:solidFill>
                    <w14:schemeClr w14:val="tx1"/>
                  </w14:solidFill>
                </w14:textFill>
              </w:rPr>
              <w:t>烘干采用电加</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热</w:t>
            </w:r>
            <w:r>
              <w:rPr>
                <w:rFonts w:hint="default" w:ascii="Times New Roman" w:hAnsi="Times New Roman" w:cs="Times New Roman"/>
                <w:color w:val="000000" w:themeColor="text1"/>
                <w:sz w:val="24"/>
                <w:szCs w:val="24"/>
                <w:lang w:val="en-US" w:eastAsia="zh-CN" w:bidi="ar"/>
                <w14:textFill>
                  <w14:solidFill>
                    <w14:schemeClr w14:val="tx1"/>
                  </w14:solidFill>
                </w14:textFill>
              </w:rPr>
              <w:t>，</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烘烤固化温度</w:t>
            </w:r>
            <w:r>
              <w:rPr>
                <w:rFonts w:hint="default" w:ascii="Times New Roman" w:hAnsi="Times New Roman" w:cs="Times New Roman"/>
                <w:color w:val="000000" w:themeColor="text1"/>
                <w:kern w:val="2"/>
                <w:sz w:val="24"/>
                <w:szCs w:val="24"/>
                <w:lang w:val="en-US" w:eastAsia="zh-CN" w:bidi="ar"/>
                <w14:textFill>
                  <w14:solidFill>
                    <w14:schemeClr w14:val="tx1"/>
                  </w14:solidFill>
                </w14:textFill>
              </w:rPr>
              <w:t>控制在</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60~100℃，固化时间为25 ~ 30min</w:t>
            </w:r>
            <w:r>
              <w:rPr>
                <w:rFonts w:hint="default" w:ascii="Times New Roman" w:hAnsi="Times New Roman" w:cs="Times New Roman"/>
                <w:color w:val="000000" w:themeColor="text1"/>
                <w:sz w:val="24"/>
                <w:szCs w:val="24"/>
                <w:lang w:bidi="ar"/>
                <w14:textFill>
                  <w14:solidFill>
                    <w14:schemeClr w14:val="tx1"/>
                  </w14:solidFill>
                </w14:textFill>
              </w:rPr>
              <w:t>。此过程中包封涂料会挥发产生有机废气</w:t>
            </w:r>
            <w:r>
              <w:rPr>
                <w:rFonts w:hint="default" w:ascii="Times New Roman" w:hAnsi="Times New Roman" w:cs="Times New Roman"/>
                <w:color w:val="000000" w:themeColor="text1"/>
                <w:sz w:val="24"/>
                <w:szCs w:val="24"/>
                <w:lang w:eastAsia="zh-CN" w:bidi="ar"/>
                <w14:textFill>
                  <w14:solidFill>
                    <w14:schemeClr w14:val="tx1"/>
                  </w14:solidFill>
                </w14:textFill>
              </w:rPr>
              <w:t>。</w:t>
            </w:r>
          </w:p>
          <w:p w14:paraId="5527ECD9">
            <w:pPr>
              <w:keepNext w:val="0"/>
              <w:keepLines w:val="0"/>
              <w:widowControl/>
              <w:suppressLineNumbers w:val="0"/>
              <w:spacing w:before="0" w:beforeAutospacing="0" w:after="0" w:afterAutospacing="0" w:line="360" w:lineRule="auto"/>
              <w:ind w:left="0" w:right="0" w:firstLine="480" w:firstLineChars="200"/>
              <w:jc w:val="left"/>
              <w:rPr>
                <w:rFonts w:hint="default" w:ascii="Times New Roman" w:hAnsi="Times New Roman" w:cs="Times New Roman"/>
                <w:color w:val="000000" w:themeColor="text1"/>
                <w:sz w:val="24"/>
                <w:szCs w:val="24"/>
                <w:lang w:bidi="ar"/>
                <w14:textFill>
                  <w14:solidFill>
                    <w14:schemeClr w14:val="tx1"/>
                  </w14:solidFill>
                </w14:textFill>
              </w:rPr>
            </w:pPr>
            <w:r>
              <w:rPr>
                <w:rFonts w:hint="default" w:ascii="Times New Roman" w:hAnsi="Times New Roman" w:cs="Times New Roman"/>
                <w:color w:val="000000" w:themeColor="text1"/>
                <w:sz w:val="24"/>
                <w:szCs w:val="24"/>
                <w:lang w:eastAsia="zh-CN" w:bidi="ar"/>
                <w14:textFill>
                  <w14:solidFill>
                    <w14:schemeClr w14:val="tx1"/>
                  </w14:solidFill>
                </w14:textFill>
              </w:rPr>
              <w:t>（</w:t>
            </w:r>
            <w:r>
              <w:rPr>
                <w:rFonts w:hint="default" w:ascii="Times New Roman" w:hAnsi="Times New Roman" w:cs="Times New Roman"/>
                <w:color w:val="000000" w:themeColor="text1"/>
                <w:sz w:val="24"/>
                <w:szCs w:val="24"/>
                <w:lang w:val="en-US" w:eastAsia="zh-CN" w:bidi="ar"/>
                <w14:textFill>
                  <w14:solidFill>
                    <w14:schemeClr w14:val="tx1"/>
                  </w14:solidFill>
                </w14:textFill>
              </w:rPr>
              <w:t>1</w:t>
            </w:r>
            <w:r>
              <w:rPr>
                <w:rFonts w:hint="eastAsia" w:cs="Times New Roman"/>
                <w:color w:val="000000" w:themeColor="text1"/>
                <w:sz w:val="24"/>
                <w:szCs w:val="24"/>
                <w:lang w:val="en-US" w:eastAsia="zh-CN" w:bidi="ar"/>
                <w14:textFill>
                  <w14:solidFill>
                    <w14:schemeClr w14:val="tx1"/>
                  </w14:solidFill>
                </w14:textFill>
              </w:rPr>
              <w:t>6</w:t>
            </w:r>
            <w:r>
              <w:rPr>
                <w:rFonts w:hint="default" w:ascii="Times New Roman" w:hAnsi="Times New Roman" w:cs="Times New Roman"/>
                <w:color w:val="000000" w:themeColor="text1"/>
                <w:sz w:val="24"/>
                <w:szCs w:val="24"/>
                <w:lang w:eastAsia="zh-CN" w:bidi="ar"/>
                <w14:textFill>
                  <w14:solidFill>
                    <w14:schemeClr w14:val="tx1"/>
                  </w14:solidFill>
                </w14:textFill>
              </w:rPr>
              <w:t>）</w:t>
            </w:r>
            <w:r>
              <w:rPr>
                <w:rFonts w:hint="default" w:ascii="Times New Roman" w:hAnsi="Times New Roman" w:cs="Times New Roman"/>
                <w:color w:val="000000" w:themeColor="text1"/>
                <w:sz w:val="24"/>
                <w:szCs w:val="24"/>
                <w:lang w:val="en-US" w:eastAsia="zh-CN" w:bidi="ar"/>
                <w14:textFill>
                  <w14:solidFill>
                    <w14:schemeClr w14:val="tx1"/>
                  </w14:solidFill>
                </w14:textFill>
              </w:rPr>
              <w:t>打标</w:t>
            </w:r>
            <w:r>
              <w:rPr>
                <w:rFonts w:hint="default" w:ascii="Times New Roman" w:hAnsi="Times New Roman" w:cs="Times New Roman"/>
                <w:color w:val="000000" w:themeColor="text1"/>
                <w:sz w:val="24"/>
                <w:szCs w:val="24"/>
                <w:lang w:bidi="ar"/>
                <w14:textFill>
                  <w14:solidFill>
                    <w14:schemeClr w14:val="tx1"/>
                  </w14:solidFill>
                </w14:textFill>
              </w:rPr>
              <w:t>：将产品用激光打标机打上标签。</w:t>
            </w:r>
          </w:p>
          <w:p w14:paraId="7DAD09D7">
            <w:pPr>
              <w:keepNext w:val="0"/>
              <w:keepLines w:val="0"/>
              <w:widowControl/>
              <w:suppressLineNumbers w:val="0"/>
              <w:spacing w:before="0" w:beforeAutospacing="0" w:after="0" w:afterAutospacing="0" w:line="360" w:lineRule="auto"/>
              <w:ind w:left="0" w:right="0" w:firstLine="480" w:firstLineChars="200"/>
              <w:jc w:val="left"/>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lang w:val="en-US" w:eastAsia="zh-CN"/>
                <w14:textFill>
                  <w14:solidFill>
                    <w14:schemeClr w14:val="tx1"/>
                  </w14:solidFill>
                </w14:textFill>
              </w:rPr>
              <w:t>1</w:t>
            </w:r>
            <w:r>
              <w:rPr>
                <w:rFonts w:hint="eastAsia" w:cs="Times New Roman"/>
                <w:color w:val="000000" w:themeColor="text1"/>
                <w:sz w:val="24"/>
                <w:lang w:val="en-US" w:eastAsia="zh-CN"/>
                <w14:textFill>
                  <w14:solidFill>
                    <w14:schemeClr w14:val="tx1"/>
                  </w14:solidFill>
                </w14:textFill>
              </w:rPr>
              <w:t>7</w:t>
            </w:r>
            <w:r>
              <w:rPr>
                <w:rFonts w:hint="default" w:ascii="Times New Roman" w:hAnsi="Times New Roman" w:cs="Times New Roman"/>
                <w:color w:val="000000" w:themeColor="text1"/>
                <w:sz w:val="24"/>
                <w:lang w:eastAsia="zh-CN"/>
                <w14:textFill>
                  <w14:solidFill>
                    <w14:schemeClr w14:val="tx1"/>
                  </w14:solidFill>
                </w14:textFill>
              </w:rPr>
              <w:t>）拉脚</w:t>
            </w:r>
            <w:r>
              <w:rPr>
                <w:rFonts w:hint="default" w:ascii="Times New Roman" w:hAnsi="Times New Roman" w:cs="Times New Roman"/>
                <w:color w:val="000000" w:themeColor="text1"/>
                <w:sz w:val="24"/>
                <w:lang w:val="en-US" w:eastAsia="zh-CN"/>
                <w14:textFill>
                  <w14:solidFill>
                    <w14:schemeClr w14:val="tx1"/>
                  </w14:solidFill>
                </w14:textFill>
              </w:rPr>
              <w:t>/切脚/编带：</w:t>
            </w:r>
            <w:r>
              <w:rPr>
                <w:rFonts w:hint="default" w:ascii="Times New Roman" w:hAnsi="Times New Roman" w:cs="Times New Roman"/>
                <w:color w:val="000000" w:themeColor="text1"/>
                <w:sz w:val="24"/>
                <w:szCs w:val="24"/>
                <w:lang w:val="en-US" w:eastAsia="zh-CN"/>
                <w14:textFill>
                  <w14:solidFill>
                    <w14:schemeClr w14:val="tx1"/>
                  </w14:solidFill>
                </w14:textFill>
              </w:rPr>
              <w:t>根据客户需要长度尺寸对线脚进行拉脚、切脚及编带工序操作。</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此过程中会产生废导线</w:t>
            </w:r>
            <w:r>
              <w:rPr>
                <w:rFonts w:hint="default" w:ascii="Times New Roman" w:hAnsi="Times New Roman" w:cs="Times New Roman"/>
                <w:color w:val="000000" w:themeColor="text1"/>
                <w:kern w:val="2"/>
                <w:sz w:val="24"/>
                <w:szCs w:val="24"/>
                <w:lang w:val="en-US" w:eastAsia="zh-CN" w:bidi="ar"/>
                <w14:textFill>
                  <w14:solidFill>
                    <w14:schemeClr w14:val="tx1"/>
                  </w14:solidFill>
                </w14:textFill>
              </w:rPr>
              <w:t>。</w:t>
            </w:r>
          </w:p>
          <w:p w14:paraId="04552734">
            <w:pPr>
              <w:keepNext w:val="0"/>
              <w:keepLines w:val="0"/>
              <w:widowControl/>
              <w:suppressLineNumbers w:val="0"/>
              <w:spacing w:before="0" w:beforeAutospacing="0" w:after="0" w:afterAutospacing="0" w:line="360" w:lineRule="auto"/>
              <w:ind w:left="0" w:right="0" w:firstLine="480" w:firstLineChars="200"/>
              <w:jc w:val="lef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1</w:t>
            </w:r>
            <w:r>
              <w:rPr>
                <w:rFonts w:hint="eastAsia" w:cs="Times New Roman"/>
                <w:color w:val="000000" w:themeColor="text1"/>
                <w:sz w:val="24"/>
                <w:szCs w:val="24"/>
                <w:lang w:val="en-US" w:eastAsia="zh-CN"/>
                <w14:textFill>
                  <w14:solidFill>
                    <w14:schemeClr w14:val="tx1"/>
                  </w14:solidFill>
                </w14:textFill>
              </w:rPr>
              <w:t>8</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检验</w:t>
            </w:r>
            <w:r>
              <w:rPr>
                <w:rFonts w:hint="default" w:ascii="Times New Roman" w:hAnsi="Times New Roman" w:cs="Times New Roman"/>
                <w:color w:val="000000" w:themeColor="text1"/>
                <w:sz w:val="24"/>
                <w:szCs w:val="24"/>
                <w14:textFill>
                  <w14:solidFill>
                    <w14:schemeClr w14:val="tx1"/>
                  </w14:solidFill>
                </w14:textFill>
              </w:rPr>
              <w:t>：对产品进行耐压测试，剔除不符合要求的被测元件</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测试产品电性，按规定分选阻值</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对电阻器外部结构进行检验</w:t>
            </w:r>
            <w:r>
              <w:rPr>
                <w:rFonts w:hint="default" w:ascii="Times New Roman" w:hAnsi="Times New Roman" w:cs="Times New Roman"/>
                <w:color w:val="000000" w:themeColor="text1"/>
                <w:kern w:val="2"/>
                <w:sz w:val="24"/>
                <w:szCs w:val="24"/>
                <w:lang w:val="en-US" w:eastAsia="zh-CN" w:bidi="ar"/>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此过程会产生次品</w:t>
            </w:r>
            <w:r>
              <w:rPr>
                <w:rFonts w:hint="default" w:ascii="Times New Roman" w:hAnsi="Times New Roman" w:cs="Times New Roman"/>
                <w:color w:val="000000" w:themeColor="text1"/>
                <w:sz w:val="24"/>
                <w:szCs w:val="24"/>
                <w:lang w:eastAsia="zh-CN"/>
                <w14:textFill>
                  <w14:solidFill>
                    <w14:schemeClr w14:val="tx1"/>
                  </w14:solidFill>
                </w14:textFill>
              </w:rPr>
              <w:t>；</w:t>
            </w:r>
          </w:p>
          <w:p w14:paraId="3516E481">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18</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包装入库：按产品规模分类打包后</w:t>
            </w:r>
            <w:r>
              <w:rPr>
                <w:rFonts w:hint="default" w:ascii="Times New Roman" w:hAnsi="Times New Roman" w:cs="Times New Roman"/>
                <w:color w:val="000000" w:themeColor="text1"/>
                <w:sz w:val="24"/>
                <w:szCs w:val="24"/>
                <w:lang w:eastAsia="zh-CN"/>
                <w14:textFill>
                  <w14:solidFill>
                    <w14:schemeClr w14:val="tx1"/>
                  </w14:solidFill>
                </w14:textFill>
              </w:rPr>
              <w:t>入库存放</w:t>
            </w:r>
            <w:r>
              <w:rPr>
                <w:rFonts w:hint="default" w:ascii="Times New Roman" w:hAnsi="Times New Roman" w:cs="Times New Roman"/>
                <w:color w:val="000000" w:themeColor="text1"/>
                <w:sz w:val="24"/>
                <w:szCs w:val="24"/>
                <w14:textFill>
                  <w14:solidFill>
                    <w14:schemeClr w14:val="tx1"/>
                  </w14:solidFill>
                </w14:textFill>
              </w:rPr>
              <w:t>。</w:t>
            </w:r>
          </w:p>
          <w:p w14:paraId="0B75FA5A">
            <w:pPr>
              <w:keepNext/>
              <w:keepLines/>
              <w:widowControl/>
              <w:adjustRightInd w:val="0"/>
              <w:snapToGrid w:val="0"/>
              <w:spacing w:line="360" w:lineRule="auto"/>
              <w:jc w:val="left"/>
              <w:outlineLvl w:val="0"/>
              <w:rPr>
                <w:rFonts w:hint="default" w:ascii="Times New Roman" w:hAnsi="Times New Roman" w:eastAsia="黑体" w:cs="Times New Roman"/>
                <w:bCs/>
                <w:color w:val="000000" w:themeColor="text1"/>
                <w:kern w:val="44"/>
                <w:sz w:val="24"/>
                <w:szCs w:val="28"/>
                <w14:textFill>
                  <w14:solidFill>
                    <w14:schemeClr w14:val="tx1"/>
                  </w14:solidFill>
                </w14:textFill>
              </w:rPr>
            </w:pPr>
            <w:r>
              <w:rPr>
                <w:rFonts w:hint="default" w:ascii="Times New Roman" w:hAnsi="Times New Roman" w:eastAsia="黑体" w:cs="Times New Roman"/>
                <w:bCs/>
                <w:color w:val="000000" w:themeColor="text1"/>
                <w:kern w:val="44"/>
                <w:sz w:val="24"/>
                <w:szCs w:val="28"/>
                <w14:textFill>
                  <w14:solidFill>
                    <w14:schemeClr w14:val="tx1"/>
                  </w14:solidFill>
                </w14:textFill>
              </w:rPr>
              <w:t>产污环节：</w:t>
            </w:r>
          </w:p>
          <w:p w14:paraId="0E6487F9">
            <w:pPr>
              <w:spacing w:line="360" w:lineRule="auto"/>
              <w:ind w:firstLine="480" w:firstLineChars="200"/>
              <w:jc w:val="left"/>
              <w:rPr>
                <w:rFonts w:hint="default" w:ascii="Times New Roman" w:hAnsi="Times New Roman" w:cs="Times New Roman"/>
                <w:bCs/>
                <w:color w:val="000000" w:themeColor="text1"/>
                <w:sz w:val="24"/>
                <w14:textFill>
                  <w14:solidFill>
                    <w14:schemeClr w14:val="tx1"/>
                  </w14:solidFill>
                </w14:textFill>
              </w:rPr>
            </w:pPr>
            <w:r>
              <w:rPr>
                <w:rFonts w:hint="default" w:ascii="Times New Roman" w:hAnsi="Times New Roman" w:cs="Times New Roman"/>
                <w:bCs/>
                <w:color w:val="000000" w:themeColor="text1"/>
                <w:sz w:val="24"/>
                <w14:textFill>
                  <w14:solidFill>
                    <w14:schemeClr w14:val="tx1"/>
                  </w14:solidFill>
                </w14:textFill>
              </w:rPr>
              <w:t>本项目运营期的产污环节及污染因子见表2-</w:t>
            </w:r>
            <w:r>
              <w:rPr>
                <w:rFonts w:hint="default" w:ascii="Times New Roman" w:hAnsi="Times New Roman" w:cs="Times New Roman"/>
                <w:bCs/>
                <w:color w:val="000000" w:themeColor="text1"/>
                <w:sz w:val="24"/>
                <w:lang w:val="en-US" w:eastAsia="zh-CN"/>
                <w14:textFill>
                  <w14:solidFill>
                    <w14:schemeClr w14:val="tx1"/>
                  </w14:solidFill>
                </w14:textFill>
              </w:rPr>
              <w:t>6</w:t>
            </w:r>
            <w:r>
              <w:rPr>
                <w:rFonts w:hint="default" w:ascii="Times New Roman" w:hAnsi="Times New Roman" w:cs="Times New Roman"/>
                <w:bCs/>
                <w:color w:val="000000" w:themeColor="text1"/>
                <w:sz w:val="24"/>
                <w14:textFill>
                  <w14:solidFill>
                    <w14:schemeClr w14:val="tx1"/>
                  </w14:solidFill>
                </w14:textFill>
              </w:rPr>
              <w:t>。</w:t>
            </w:r>
          </w:p>
          <w:p w14:paraId="369E3EA3">
            <w:pPr>
              <w:spacing w:line="360" w:lineRule="auto"/>
              <w:ind w:firstLine="482" w:firstLineChars="200"/>
              <w:jc w:val="center"/>
              <w:rPr>
                <w:rFonts w:hint="default" w:ascii="Times New Roman" w:hAnsi="Times New Roman" w:cs="Times New Roman"/>
                <w:b/>
                <w:color w:val="000000" w:themeColor="text1"/>
                <w:sz w:val="24"/>
                <w14:textFill>
                  <w14:solidFill>
                    <w14:schemeClr w14:val="tx1"/>
                  </w14:solidFill>
                </w14:textFill>
              </w:rPr>
            </w:pPr>
            <w:r>
              <w:rPr>
                <w:rFonts w:hint="default" w:ascii="Times New Roman" w:hAnsi="Times New Roman" w:cs="Times New Roman"/>
                <w:b/>
                <w:color w:val="000000" w:themeColor="text1"/>
                <w:sz w:val="24"/>
                <w14:textFill>
                  <w14:solidFill>
                    <w14:schemeClr w14:val="tx1"/>
                  </w14:solidFill>
                </w14:textFill>
              </w:rPr>
              <w:t>表2-</w:t>
            </w:r>
            <w:r>
              <w:rPr>
                <w:rFonts w:hint="default" w:ascii="Times New Roman" w:hAnsi="Times New Roman" w:cs="Times New Roman"/>
                <w:b/>
                <w:color w:val="000000" w:themeColor="text1"/>
                <w:sz w:val="24"/>
                <w:lang w:val="en-US" w:eastAsia="zh-CN"/>
                <w14:textFill>
                  <w14:solidFill>
                    <w14:schemeClr w14:val="tx1"/>
                  </w14:solidFill>
                </w14:textFill>
              </w:rPr>
              <w:t>6</w:t>
            </w:r>
            <w:r>
              <w:rPr>
                <w:rFonts w:hint="default" w:ascii="Times New Roman" w:hAnsi="Times New Roman" w:cs="Times New Roman"/>
                <w:b/>
                <w:color w:val="000000" w:themeColor="text1"/>
                <w:sz w:val="24"/>
                <w14:textFill>
                  <w14:solidFill>
                    <w14:schemeClr w14:val="tx1"/>
                  </w14:solidFill>
                </w14:textFill>
              </w:rPr>
              <w:t xml:space="preserve">  运营期产污环节及污染因子</w:t>
            </w:r>
          </w:p>
          <w:tbl>
            <w:tblPr>
              <w:tblStyle w:val="36"/>
              <w:tblW w:w="5000" w:type="pct"/>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0" w:type="dxa"/>
                <w:bottom w:w="0" w:type="dxa"/>
                <w:right w:w="0" w:type="dxa"/>
              </w:tblCellMar>
            </w:tblPr>
            <w:tblGrid>
              <w:gridCol w:w="530"/>
              <w:gridCol w:w="659"/>
              <w:gridCol w:w="908"/>
              <w:gridCol w:w="1952"/>
              <w:gridCol w:w="2177"/>
              <w:gridCol w:w="1349"/>
              <w:gridCol w:w="1004"/>
            </w:tblGrid>
            <w:tr w14:paraId="3B11344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2097" w:type="dxa"/>
                  <w:gridSpan w:val="3"/>
                  <w:noWrap w:val="0"/>
                  <w:vAlign w:val="center"/>
                </w:tcPr>
                <w:p w14:paraId="01B2C42D">
                  <w:pPr>
                    <w:pStyle w:val="128"/>
                    <w:kinsoku w:val="0"/>
                    <w:overflowPunct w:val="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类型</w:t>
                  </w:r>
                </w:p>
              </w:tc>
              <w:tc>
                <w:tcPr>
                  <w:tcW w:w="1952" w:type="dxa"/>
                  <w:noWrap w:val="0"/>
                  <w:vAlign w:val="center"/>
                </w:tcPr>
                <w:p w14:paraId="6B1AA924">
                  <w:pPr>
                    <w:pStyle w:val="128"/>
                    <w:kinsoku w:val="0"/>
                    <w:overflowPunct w:val="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产生工序</w:t>
                  </w:r>
                </w:p>
              </w:tc>
              <w:tc>
                <w:tcPr>
                  <w:tcW w:w="2177" w:type="dxa"/>
                  <w:noWrap w:val="0"/>
                  <w:vAlign w:val="center"/>
                </w:tcPr>
                <w:p w14:paraId="770AAC53">
                  <w:pPr>
                    <w:pStyle w:val="128"/>
                    <w:kinsoku w:val="0"/>
                    <w:overflowPunct w:val="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主要污染物</w:t>
                  </w:r>
                </w:p>
              </w:tc>
              <w:tc>
                <w:tcPr>
                  <w:tcW w:w="1349" w:type="dxa"/>
                  <w:noWrap w:val="0"/>
                  <w:vAlign w:val="center"/>
                </w:tcPr>
                <w:p w14:paraId="2FD5FDA1">
                  <w:pPr>
                    <w:pStyle w:val="128"/>
                    <w:kinsoku w:val="0"/>
                    <w:overflowPunct w:val="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产生位置</w:t>
                  </w:r>
                </w:p>
              </w:tc>
              <w:tc>
                <w:tcPr>
                  <w:tcW w:w="1004" w:type="dxa"/>
                  <w:noWrap w:val="0"/>
                  <w:vAlign w:val="center"/>
                </w:tcPr>
                <w:p w14:paraId="48C71EC7">
                  <w:pPr>
                    <w:pStyle w:val="128"/>
                    <w:kinsoku w:val="0"/>
                    <w:overflowPunct w:val="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排放方式</w:t>
                  </w:r>
                </w:p>
              </w:tc>
            </w:tr>
            <w:tr w14:paraId="3E8C63E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530" w:type="dxa"/>
                  <w:vMerge w:val="restart"/>
                  <w:noWrap w:val="0"/>
                  <w:vAlign w:val="center"/>
                </w:tcPr>
                <w:p w14:paraId="0056DF2D">
                  <w:pPr>
                    <w:pStyle w:val="128"/>
                    <w:kinsoku w:val="0"/>
                    <w:overflowPunct w:val="0"/>
                    <w:rPr>
                      <w:rFonts w:hint="default" w:ascii="Times New Roman" w:hAnsi="Times New Roman"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废气</w:t>
                  </w:r>
                </w:p>
              </w:tc>
              <w:tc>
                <w:tcPr>
                  <w:tcW w:w="1567" w:type="dxa"/>
                  <w:gridSpan w:val="2"/>
                  <w:noWrap w:val="0"/>
                  <w:vAlign w:val="center"/>
                </w:tcPr>
                <w:p w14:paraId="4F65298F">
                  <w:pPr>
                    <w:pStyle w:val="128"/>
                    <w:kinsoku w:val="0"/>
                    <w:overflowPunct w:val="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上料</w:t>
                  </w:r>
                  <w:r>
                    <w:rPr>
                      <w:rFonts w:hint="default" w:ascii="Times New Roman" w:hAnsi="Times New Roman" w:cs="Times New Roman"/>
                      <w:color w:val="000000" w:themeColor="text1"/>
                      <w:sz w:val="21"/>
                      <w:szCs w:val="21"/>
                      <w:lang w:val="en-US" w:eastAsia="zh-CN"/>
                      <w14:textFill>
                        <w14:solidFill>
                          <w14:schemeClr w14:val="tx1"/>
                        </w14:solidFill>
                      </w14:textFill>
                    </w:rPr>
                    <w:t>粉尘</w:t>
                  </w:r>
                </w:p>
              </w:tc>
              <w:tc>
                <w:tcPr>
                  <w:tcW w:w="1952" w:type="dxa"/>
                  <w:noWrap w:val="0"/>
                  <w:vAlign w:val="center"/>
                </w:tcPr>
                <w:p w14:paraId="5AF0F074">
                  <w:pPr>
                    <w:pStyle w:val="128"/>
                    <w:kinsoku w:val="0"/>
                    <w:overflowPunct w:val="0"/>
                    <w:rPr>
                      <w:rFonts w:hint="default" w:ascii="Times New Roman" w:hAnsi="Times New Roman" w:cs="Times New Roman"/>
                      <w:color w:val="000000" w:themeColor="text1"/>
                      <w:sz w:val="21"/>
                      <w:szCs w:val="21"/>
                      <w:lang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上料</w:t>
                  </w:r>
                </w:p>
              </w:tc>
              <w:tc>
                <w:tcPr>
                  <w:tcW w:w="2177" w:type="dxa"/>
                  <w:noWrap w:val="0"/>
                  <w:vAlign w:val="center"/>
                </w:tcPr>
                <w:p w14:paraId="5C2B7224">
                  <w:pPr>
                    <w:pStyle w:val="128"/>
                    <w:kinsoku w:val="0"/>
                    <w:overflowPunct w:val="0"/>
                    <w:rPr>
                      <w:rFonts w:hint="default" w:ascii="Times New Roman" w:hAnsi="Times New Roman"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颗粒物</w:t>
                  </w:r>
                </w:p>
              </w:tc>
              <w:tc>
                <w:tcPr>
                  <w:tcW w:w="1349" w:type="dxa"/>
                  <w:vMerge w:val="restart"/>
                  <w:noWrap w:val="0"/>
                  <w:vAlign w:val="center"/>
                </w:tcPr>
                <w:p w14:paraId="74A2EA1B">
                  <w:pPr>
                    <w:pStyle w:val="128"/>
                    <w:kinsoku w:val="0"/>
                    <w:overflowPunct w:val="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造粒区</w:t>
                  </w:r>
                </w:p>
              </w:tc>
              <w:tc>
                <w:tcPr>
                  <w:tcW w:w="1004" w:type="dxa"/>
                  <w:noWrap w:val="0"/>
                  <w:vAlign w:val="center"/>
                </w:tcPr>
                <w:p w14:paraId="443D6A61">
                  <w:pPr>
                    <w:pStyle w:val="128"/>
                    <w:kinsoku w:val="0"/>
                    <w:overflowPunct w:val="0"/>
                    <w:rPr>
                      <w:rFonts w:hint="default" w:ascii="Times New Roman" w:hAnsi="Times New Roman"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间歇</w:t>
                  </w:r>
                </w:p>
              </w:tc>
            </w:tr>
            <w:tr w14:paraId="6A31A14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530" w:type="dxa"/>
                  <w:vMerge w:val="continue"/>
                  <w:noWrap w:val="0"/>
                  <w:vAlign w:val="center"/>
                </w:tcPr>
                <w:p w14:paraId="0136C11D">
                  <w:pPr>
                    <w:pStyle w:val="128"/>
                    <w:kinsoku w:val="0"/>
                    <w:overflowPunct w:val="0"/>
                    <w:rPr>
                      <w:rFonts w:hint="default" w:ascii="Times New Roman" w:hAnsi="Times New Roman" w:cs="Times New Roman"/>
                      <w:color w:val="000000" w:themeColor="text1"/>
                      <w:sz w:val="21"/>
                      <w:szCs w:val="21"/>
                      <w:lang w:eastAsia="zh-CN"/>
                      <w14:textFill>
                        <w14:solidFill>
                          <w14:schemeClr w14:val="tx1"/>
                        </w14:solidFill>
                      </w14:textFill>
                    </w:rPr>
                  </w:pPr>
                </w:p>
              </w:tc>
              <w:tc>
                <w:tcPr>
                  <w:tcW w:w="1567" w:type="dxa"/>
                  <w:gridSpan w:val="2"/>
                  <w:noWrap w:val="0"/>
                  <w:vAlign w:val="center"/>
                </w:tcPr>
                <w:p w14:paraId="04EB118A">
                  <w:pPr>
                    <w:pStyle w:val="128"/>
                    <w:kinsoku w:val="0"/>
                    <w:overflowPunct w:val="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造粒粉尘</w:t>
                  </w:r>
                </w:p>
              </w:tc>
              <w:tc>
                <w:tcPr>
                  <w:tcW w:w="1952" w:type="dxa"/>
                  <w:noWrap w:val="0"/>
                  <w:vAlign w:val="center"/>
                </w:tcPr>
                <w:p w14:paraId="03CFDD48">
                  <w:pPr>
                    <w:pStyle w:val="128"/>
                    <w:kinsoku w:val="0"/>
                    <w:overflowPunct w:val="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造粒</w:t>
                  </w:r>
                </w:p>
              </w:tc>
              <w:tc>
                <w:tcPr>
                  <w:tcW w:w="2177" w:type="dxa"/>
                  <w:noWrap w:val="0"/>
                  <w:vAlign w:val="center"/>
                </w:tcPr>
                <w:p w14:paraId="07672562">
                  <w:pPr>
                    <w:pStyle w:val="128"/>
                    <w:kinsoku w:val="0"/>
                    <w:overflowPunct w:val="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颗粒物、非甲烷总烃</w:t>
                  </w:r>
                </w:p>
              </w:tc>
              <w:tc>
                <w:tcPr>
                  <w:tcW w:w="1349" w:type="dxa"/>
                  <w:vMerge w:val="continue"/>
                  <w:noWrap w:val="0"/>
                  <w:vAlign w:val="center"/>
                </w:tcPr>
                <w:p w14:paraId="4DBD9FB8">
                  <w:pPr>
                    <w:pStyle w:val="128"/>
                    <w:kinsoku w:val="0"/>
                    <w:overflowPunct w:val="0"/>
                    <w:rPr>
                      <w:rFonts w:hint="default" w:ascii="Times New Roman" w:hAnsi="Times New Roman" w:cs="Times New Roman"/>
                      <w:color w:val="000000" w:themeColor="text1"/>
                      <w:sz w:val="21"/>
                      <w:szCs w:val="21"/>
                      <w:lang w:val="en-US" w:eastAsia="zh-CN"/>
                      <w14:textFill>
                        <w14:solidFill>
                          <w14:schemeClr w14:val="tx1"/>
                        </w14:solidFill>
                      </w14:textFill>
                    </w:rPr>
                  </w:pPr>
                </w:p>
              </w:tc>
              <w:tc>
                <w:tcPr>
                  <w:tcW w:w="1004" w:type="dxa"/>
                  <w:noWrap w:val="0"/>
                  <w:vAlign w:val="center"/>
                </w:tcPr>
                <w:p w14:paraId="6B6721D6">
                  <w:pPr>
                    <w:pStyle w:val="128"/>
                    <w:kinsoku w:val="0"/>
                    <w:overflowPunct w:val="0"/>
                    <w:rPr>
                      <w:rFonts w:hint="default" w:ascii="Times New Roman" w:hAnsi="Times New Roman"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间歇</w:t>
                  </w:r>
                </w:p>
              </w:tc>
            </w:tr>
            <w:tr w14:paraId="7AD2959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530" w:type="dxa"/>
                  <w:vMerge w:val="continue"/>
                  <w:noWrap w:val="0"/>
                  <w:vAlign w:val="center"/>
                </w:tcPr>
                <w:p w14:paraId="00830B0B">
                  <w:pPr>
                    <w:pStyle w:val="128"/>
                    <w:kinsoku w:val="0"/>
                    <w:overflowPunct w:val="0"/>
                    <w:rPr>
                      <w:rFonts w:hint="default" w:ascii="Times New Roman" w:hAnsi="Times New Roman" w:cs="Times New Roman"/>
                      <w:color w:val="000000" w:themeColor="text1"/>
                      <w:sz w:val="21"/>
                      <w:szCs w:val="21"/>
                      <w:lang w:eastAsia="zh-CN"/>
                      <w14:textFill>
                        <w14:solidFill>
                          <w14:schemeClr w14:val="tx1"/>
                        </w14:solidFill>
                      </w14:textFill>
                    </w:rPr>
                  </w:pPr>
                </w:p>
              </w:tc>
              <w:tc>
                <w:tcPr>
                  <w:tcW w:w="1567" w:type="dxa"/>
                  <w:gridSpan w:val="2"/>
                  <w:noWrap w:val="0"/>
                  <w:vAlign w:val="center"/>
                </w:tcPr>
                <w:p w14:paraId="61D5358E">
                  <w:pPr>
                    <w:pStyle w:val="128"/>
                    <w:kinsoku w:val="0"/>
                    <w:overflowPunct w:val="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烧结废气</w:t>
                  </w:r>
                </w:p>
              </w:tc>
              <w:tc>
                <w:tcPr>
                  <w:tcW w:w="1952" w:type="dxa"/>
                  <w:shd w:val="clear" w:color="auto" w:fill="auto"/>
                  <w:noWrap w:val="0"/>
                  <w:vAlign w:val="center"/>
                </w:tcPr>
                <w:p w14:paraId="6C78AC71">
                  <w:pPr>
                    <w:pStyle w:val="128"/>
                    <w:kinsoku w:val="0"/>
                    <w:overflowPunct w:val="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烧结</w:t>
                  </w:r>
                </w:p>
              </w:tc>
              <w:tc>
                <w:tcPr>
                  <w:tcW w:w="2177" w:type="dxa"/>
                  <w:noWrap w:val="0"/>
                  <w:vAlign w:val="center"/>
                </w:tcPr>
                <w:p w14:paraId="11B2155B">
                  <w:pPr>
                    <w:pStyle w:val="128"/>
                    <w:kinsoku w:val="0"/>
                    <w:overflowPunct w:val="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非甲烷总烃</w:t>
                  </w:r>
                </w:p>
              </w:tc>
              <w:tc>
                <w:tcPr>
                  <w:tcW w:w="1349" w:type="dxa"/>
                  <w:noWrap w:val="0"/>
                  <w:vAlign w:val="center"/>
                </w:tcPr>
                <w:p w14:paraId="7DDD4B3E">
                  <w:pPr>
                    <w:pStyle w:val="128"/>
                    <w:kinsoku w:val="0"/>
                    <w:overflowPunct w:val="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烧结区</w:t>
                  </w:r>
                </w:p>
              </w:tc>
              <w:tc>
                <w:tcPr>
                  <w:tcW w:w="1004" w:type="dxa"/>
                  <w:noWrap w:val="0"/>
                  <w:vAlign w:val="center"/>
                </w:tcPr>
                <w:p w14:paraId="42A4BF82">
                  <w:pPr>
                    <w:pStyle w:val="128"/>
                    <w:kinsoku w:val="0"/>
                    <w:overflowPunct w:val="0"/>
                    <w:rPr>
                      <w:rFonts w:hint="default" w:ascii="Times New Roman" w:hAnsi="Times New Roman"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连续</w:t>
                  </w:r>
                </w:p>
              </w:tc>
            </w:tr>
            <w:tr w14:paraId="1EFC7C9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90" w:hRule="atLeast"/>
                <w:jc w:val="center"/>
              </w:trPr>
              <w:tc>
                <w:tcPr>
                  <w:tcW w:w="530" w:type="dxa"/>
                  <w:vMerge w:val="continue"/>
                  <w:noWrap w:val="0"/>
                  <w:vAlign w:val="center"/>
                </w:tcPr>
                <w:p w14:paraId="6062B31A">
                  <w:pPr>
                    <w:pStyle w:val="128"/>
                    <w:kinsoku w:val="0"/>
                    <w:overflowPunct w:val="0"/>
                    <w:rPr>
                      <w:rFonts w:hint="default" w:ascii="Times New Roman" w:hAnsi="Times New Roman" w:cs="Times New Roman"/>
                      <w:color w:val="000000" w:themeColor="text1"/>
                      <w:sz w:val="21"/>
                      <w:szCs w:val="21"/>
                      <w:lang w:eastAsia="zh-CN"/>
                      <w14:textFill>
                        <w14:solidFill>
                          <w14:schemeClr w14:val="tx1"/>
                        </w14:solidFill>
                      </w14:textFill>
                    </w:rPr>
                  </w:pPr>
                </w:p>
              </w:tc>
              <w:tc>
                <w:tcPr>
                  <w:tcW w:w="1567" w:type="dxa"/>
                  <w:gridSpan w:val="2"/>
                  <w:noWrap w:val="0"/>
                  <w:vAlign w:val="center"/>
                </w:tcPr>
                <w:p w14:paraId="5B768A8F">
                  <w:pPr>
                    <w:pStyle w:val="128"/>
                    <w:kinsoku w:val="0"/>
                    <w:overflowPunct w:val="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烘</w:t>
                  </w:r>
                  <w:r>
                    <w:rPr>
                      <w:rFonts w:hint="eastAsia" w:ascii="Times New Roman" w:hAnsi="Times New Roman" w:cs="Times New Roman"/>
                      <w:color w:val="000000" w:themeColor="text1"/>
                      <w:sz w:val="21"/>
                      <w:szCs w:val="21"/>
                      <w:lang w:val="en-US" w:eastAsia="zh-CN"/>
                      <w14:textFill>
                        <w14:solidFill>
                          <w14:schemeClr w14:val="tx1"/>
                        </w14:solidFill>
                      </w14:textFill>
                    </w:rPr>
                    <w:t>干</w:t>
                  </w:r>
                  <w:r>
                    <w:rPr>
                      <w:rFonts w:hint="default" w:ascii="Times New Roman" w:hAnsi="Times New Roman" w:cs="Times New Roman"/>
                      <w:color w:val="000000" w:themeColor="text1"/>
                      <w:sz w:val="21"/>
                      <w:szCs w:val="21"/>
                      <w:lang w:val="en-US" w:eastAsia="zh-CN"/>
                      <w14:textFill>
                        <w14:solidFill>
                          <w14:schemeClr w14:val="tx1"/>
                        </w14:solidFill>
                      </w14:textFill>
                    </w:rPr>
                    <w:t>废气</w:t>
                  </w:r>
                </w:p>
              </w:tc>
              <w:tc>
                <w:tcPr>
                  <w:tcW w:w="1952" w:type="dxa"/>
                  <w:shd w:val="clear" w:color="auto" w:fill="auto"/>
                  <w:noWrap w:val="0"/>
                  <w:vAlign w:val="center"/>
                </w:tcPr>
                <w:p w14:paraId="27CF8252">
                  <w:pPr>
                    <w:pStyle w:val="128"/>
                    <w:kinsoku w:val="0"/>
                    <w:overflowPunct w:val="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烘银</w:t>
                  </w:r>
                </w:p>
              </w:tc>
              <w:tc>
                <w:tcPr>
                  <w:tcW w:w="2177" w:type="dxa"/>
                  <w:noWrap w:val="0"/>
                  <w:vAlign w:val="center"/>
                </w:tcPr>
                <w:p w14:paraId="607C0D1A">
                  <w:pPr>
                    <w:pStyle w:val="128"/>
                    <w:kinsoku w:val="0"/>
                    <w:overflowPunct w:val="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非甲烷总烃</w:t>
                  </w:r>
                </w:p>
              </w:tc>
              <w:tc>
                <w:tcPr>
                  <w:tcW w:w="1349" w:type="dxa"/>
                  <w:noWrap w:val="0"/>
                  <w:vAlign w:val="center"/>
                </w:tcPr>
                <w:p w14:paraId="4D50EFD4">
                  <w:pPr>
                    <w:pStyle w:val="128"/>
                    <w:kinsoku w:val="0"/>
                    <w:overflowPunct w:val="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刷银区</w:t>
                  </w:r>
                </w:p>
              </w:tc>
              <w:tc>
                <w:tcPr>
                  <w:tcW w:w="1004" w:type="dxa"/>
                  <w:noWrap w:val="0"/>
                  <w:vAlign w:val="center"/>
                </w:tcPr>
                <w:p w14:paraId="02E8F96E">
                  <w:pPr>
                    <w:pStyle w:val="128"/>
                    <w:kinsoku w:val="0"/>
                    <w:overflowPunct w:val="0"/>
                    <w:rPr>
                      <w:rFonts w:hint="default" w:ascii="Times New Roman" w:hAnsi="Times New Roman"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连续</w:t>
                  </w:r>
                </w:p>
              </w:tc>
            </w:tr>
            <w:tr w14:paraId="50CDCB1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530" w:type="dxa"/>
                  <w:vMerge w:val="continue"/>
                  <w:noWrap w:val="0"/>
                  <w:vAlign w:val="center"/>
                </w:tcPr>
                <w:p w14:paraId="3DCBEDF1">
                  <w:pPr>
                    <w:pStyle w:val="128"/>
                    <w:kinsoku w:val="0"/>
                    <w:overflowPunct w:val="0"/>
                    <w:rPr>
                      <w:rFonts w:hint="default" w:ascii="Times New Roman" w:hAnsi="Times New Roman" w:cs="Times New Roman"/>
                      <w:color w:val="000000" w:themeColor="text1"/>
                      <w:sz w:val="21"/>
                      <w:szCs w:val="21"/>
                      <w:lang w:eastAsia="zh-CN"/>
                      <w14:textFill>
                        <w14:solidFill>
                          <w14:schemeClr w14:val="tx1"/>
                        </w14:solidFill>
                      </w14:textFill>
                    </w:rPr>
                  </w:pPr>
                </w:p>
              </w:tc>
              <w:tc>
                <w:tcPr>
                  <w:tcW w:w="1567" w:type="dxa"/>
                  <w:gridSpan w:val="2"/>
                  <w:noWrap w:val="0"/>
                  <w:vAlign w:val="center"/>
                </w:tcPr>
                <w:p w14:paraId="13925DD5">
                  <w:pPr>
                    <w:pStyle w:val="128"/>
                    <w:kinsoku w:val="0"/>
                    <w:overflowPunct w:val="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焊接烟尘</w:t>
                  </w:r>
                </w:p>
              </w:tc>
              <w:tc>
                <w:tcPr>
                  <w:tcW w:w="1952" w:type="dxa"/>
                  <w:noWrap w:val="0"/>
                  <w:vAlign w:val="center"/>
                </w:tcPr>
                <w:p w14:paraId="512B7D9D">
                  <w:pPr>
                    <w:pStyle w:val="128"/>
                    <w:kinsoku w:val="0"/>
                    <w:overflowPunct w:val="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焊接</w:t>
                  </w:r>
                </w:p>
              </w:tc>
              <w:tc>
                <w:tcPr>
                  <w:tcW w:w="2177" w:type="dxa"/>
                  <w:noWrap w:val="0"/>
                  <w:vAlign w:val="center"/>
                </w:tcPr>
                <w:p w14:paraId="11A1A7D6">
                  <w:pPr>
                    <w:pStyle w:val="128"/>
                    <w:kinsoku w:val="0"/>
                    <w:overflowPunct w:val="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锡及其化合物</w:t>
                  </w:r>
                </w:p>
              </w:tc>
              <w:tc>
                <w:tcPr>
                  <w:tcW w:w="1349" w:type="dxa"/>
                  <w:noWrap w:val="0"/>
                  <w:vAlign w:val="center"/>
                </w:tcPr>
                <w:p w14:paraId="5882169C">
                  <w:pPr>
                    <w:pStyle w:val="128"/>
                    <w:kinsoku w:val="0"/>
                    <w:overflowPunct w:val="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焊接区</w:t>
                  </w:r>
                </w:p>
              </w:tc>
              <w:tc>
                <w:tcPr>
                  <w:tcW w:w="1004" w:type="dxa"/>
                  <w:noWrap w:val="0"/>
                  <w:vAlign w:val="center"/>
                </w:tcPr>
                <w:p w14:paraId="1CAFD7F7">
                  <w:pPr>
                    <w:pStyle w:val="128"/>
                    <w:kinsoku w:val="0"/>
                    <w:overflowPunct w:val="0"/>
                    <w:rPr>
                      <w:rFonts w:hint="default" w:ascii="Times New Roman" w:hAnsi="Times New Roman"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间歇</w:t>
                  </w:r>
                </w:p>
              </w:tc>
            </w:tr>
            <w:tr w14:paraId="7E06E05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530" w:type="dxa"/>
                  <w:vMerge w:val="continue"/>
                  <w:noWrap w:val="0"/>
                  <w:vAlign w:val="center"/>
                </w:tcPr>
                <w:p w14:paraId="17BB33DA">
                  <w:pPr>
                    <w:pStyle w:val="128"/>
                    <w:kinsoku w:val="0"/>
                    <w:overflowPunct w:val="0"/>
                    <w:rPr>
                      <w:rFonts w:hint="default" w:ascii="Times New Roman" w:hAnsi="Times New Roman" w:cs="Times New Roman"/>
                      <w:color w:val="000000" w:themeColor="text1"/>
                      <w:sz w:val="21"/>
                      <w:szCs w:val="21"/>
                      <w:lang w:eastAsia="zh-CN"/>
                      <w14:textFill>
                        <w14:solidFill>
                          <w14:schemeClr w14:val="tx1"/>
                        </w14:solidFill>
                      </w14:textFill>
                    </w:rPr>
                  </w:pPr>
                </w:p>
              </w:tc>
              <w:tc>
                <w:tcPr>
                  <w:tcW w:w="1567" w:type="dxa"/>
                  <w:gridSpan w:val="2"/>
                  <w:noWrap w:val="0"/>
                  <w:vAlign w:val="center"/>
                </w:tcPr>
                <w:p w14:paraId="5F656173">
                  <w:pPr>
                    <w:pStyle w:val="128"/>
                    <w:kinsoku w:val="0"/>
                    <w:overflowPunct w:val="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固化废气</w:t>
                  </w:r>
                </w:p>
              </w:tc>
              <w:tc>
                <w:tcPr>
                  <w:tcW w:w="1952" w:type="dxa"/>
                  <w:noWrap w:val="0"/>
                  <w:vAlign w:val="center"/>
                </w:tcPr>
                <w:p w14:paraId="0E2DA19A">
                  <w:pPr>
                    <w:pStyle w:val="128"/>
                    <w:kinsoku w:val="0"/>
                    <w:overflowPunct w:val="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固化</w:t>
                  </w:r>
                </w:p>
              </w:tc>
              <w:tc>
                <w:tcPr>
                  <w:tcW w:w="2177" w:type="dxa"/>
                  <w:noWrap w:val="0"/>
                  <w:vAlign w:val="center"/>
                </w:tcPr>
                <w:p w14:paraId="304DDA8E">
                  <w:pPr>
                    <w:pStyle w:val="128"/>
                    <w:kinsoku w:val="0"/>
                    <w:overflowPunct w:val="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非甲烷总烃</w:t>
                  </w:r>
                </w:p>
              </w:tc>
              <w:tc>
                <w:tcPr>
                  <w:tcW w:w="1349" w:type="dxa"/>
                  <w:noWrap w:val="0"/>
                  <w:vAlign w:val="center"/>
                </w:tcPr>
                <w:p w14:paraId="5B78B30F">
                  <w:pPr>
                    <w:pStyle w:val="128"/>
                    <w:kinsoku w:val="0"/>
                    <w:overflowPunct w:val="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固化间</w:t>
                  </w:r>
                </w:p>
              </w:tc>
              <w:tc>
                <w:tcPr>
                  <w:tcW w:w="1004" w:type="dxa"/>
                  <w:noWrap w:val="0"/>
                  <w:vAlign w:val="center"/>
                </w:tcPr>
                <w:p w14:paraId="3FBBC144">
                  <w:pPr>
                    <w:pStyle w:val="128"/>
                    <w:kinsoku w:val="0"/>
                    <w:overflowPunct w:val="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连续</w:t>
                  </w:r>
                </w:p>
              </w:tc>
            </w:tr>
            <w:tr w14:paraId="77EC9A8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530" w:type="dxa"/>
                  <w:vMerge w:val="restart"/>
                  <w:noWrap w:val="0"/>
                  <w:vAlign w:val="center"/>
                </w:tcPr>
                <w:p w14:paraId="605C1B49">
                  <w:pPr>
                    <w:pStyle w:val="128"/>
                    <w:kinsoku w:val="0"/>
                    <w:overflowPunct w:val="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废水</w:t>
                  </w:r>
                </w:p>
              </w:tc>
              <w:tc>
                <w:tcPr>
                  <w:tcW w:w="1567" w:type="dxa"/>
                  <w:gridSpan w:val="2"/>
                  <w:noWrap w:val="0"/>
                  <w:vAlign w:val="center"/>
                </w:tcPr>
                <w:p w14:paraId="6037FA7E">
                  <w:pPr>
                    <w:pStyle w:val="128"/>
                    <w:kinsoku w:val="0"/>
                    <w:overflowPunct w:val="0"/>
                    <w:rPr>
                      <w:rFonts w:hint="default" w:ascii="Times New Roman" w:hAnsi="Times New Roman"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生活污水</w:t>
                  </w:r>
                </w:p>
              </w:tc>
              <w:tc>
                <w:tcPr>
                  <w:tcW w:w="1952" w:type="dxa"/>
                  <w:noWrap w:val="0"/>
                  <w:vAlign w:val="center"/>
                </w:tcPr>
                <w:p w14:paraId="77707F89">
                  <w:pPr>
                    <w:pStyle w:val="128"/>
                    <w:kinsoku w:val="0"/>
                    <w:overflowPunct w:val="0"/>
                    <w:rPr>
                      <w:rFonts w:hint="default" w:ascii="Times New Roman" w:hAnsi="Times New Roman"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员工</w:t>
                  </w:r>
                </w:p>
              </w:tc>
              <w:tc>
                <w:tcPr>
                  <w:tcW w:w="2177" w:type="dxa"/>
                  <w:noWrap w:val="0"/>
                  <w:vAlign w:val="center"/>
                </w:tcPr>
                <w:p w14:paraId="22ADE10B">
                  <w:pPr>
                    <w:pStyle w:val="128"/>
                    <w:kinsoku w:val="0"/>
                    <w:overflowPunct w:val="0"/>
                    <w:rPr>
                      <w:rFonts w:hint="default" w:ascii="Times New Roman" w:hAnsi="Times New Roman"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w:t>
                  </w:r>
                </w:p>
              </w:tc>
              <w:tc>
                <w:tcPr>
                  <w:tcW w:w="1349" w:type="dxa"/>
                  <w:noWrap w:val="0"/>
                  <w:vAlign w:val="center"/>
                </w:tcPr>
                <w:p w14:paraId="5D855CCB">
                  <w:pPr>
                    <w:pStyle w:val="128"/>
                    <w:kinsoku w:val="0"/>
                    <w:overflowPunct w:val="0"/>
                    <w:rPr>
                      <w:rFonts w:hint="default" w:ascii="Times New Roman" w:hAnsi="Times New Roman"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办公区</w:t>
                  </w:r>
                </w:p>
              </w:tc>
              <w:tc>
                <w:tcPr>
                  <w:tcW w:w="1004" w:type="dxa"/>
                  <w:noWrap w:val="0"/>
                  <w:vAlign w:val="center"/>
                </w:tcPr>
                <w:p w14:paraId="685FB621">
                  <w:pPr>
                    <w:pStyle w:val="128"/>
                    <w:kinsoku w:val="0"/>
                    <w:overflowPunct w:val="0"/>
                    <w:rPr>
                      <w:rFonts w:hint="default" w:ascii="Times New Roman" w:hAnsi="Times New Roman"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间歇</w:t>
                  </w:r>
                </w:p>
              </w:tc>
            </w:tr>
            <w:tr w14:paraId="75C68A2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530" w:type="dxa"/>
                  <w:vMerge w:val="continue"/>
                  <w:noWrap w:val="0"/>
                  <w:vAlign w:val="center"/>
                </w:tcPr>
                <w:p w14:paraId="13BCD3DA">
                  <w:pPr>
                    <w:pStyle w:val="128"/>
                    <w:kinsoku w:val="0"/>
                    <w:overflowPunct w:val="0"/>
                    <w:rPr>
                      <w:rFonts w:hint="default" w:ascii="Times New Roman" w:hAnsi="Times New Roman" w:cs="Times New Roman"/>
                      <w:color w:val="000000" w:themeColor="text1"/>
                      <w:sz w:val="21"/>
                      <w:szCs w:val="21"/>
                      <w:lang w:val="en-US" w:eastAsia="zh-CN"/>
                      <w14:textFill>
                        <w14:solidFill>
                          <w14:schemeClr w14:val="tx1"/>
                        </w14:solidFill>
                      </w14:textFill>
                    </w:rPr>
                  </w:pPr>
                </w:p>
              </w:tc>
              <w:tc>
                <w:tcPr>
                  <w:tcW w:w="1567" w:type="dxa"/>
                  <w:gridSpan w:val="2"/>
                  <w:shd w:val="clear" w:color="auto" w:fill="auto"/>
                  <w:noWrap w:val="0"/>
                  <w:vAlign w:val="center"/>
                </w:tcPr>
                <w:p w14:paraId="24D3C3F4">
                  <w:pPr>
                    <w:keepNext w:val="0"/>
                    <w:keepLines w:val="0"/>
                    <w:suppressLineNumbers w:val="0"/>
                    <w:kinsoku w:val="0"/>
                    <w:overflowPunct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生产废水</w:t>
                  </w:r>
                </w:p>
              </w:tc>
              <w:tc>
                <w:tcPr>
                  <w:tcW w:w="1952" w:type="dxa"/>
                  <w:shd w:val="clear" w:color="auto" w:fill="auto"/>
                  <w:noWrap w:val="0"/>
                  <w:vAlign w:val="center"/>
                </w:tcPr>
                <w:p w14:paraId="431493E7">
                  <w:pPr>
                    <w:keepNext w:val="0"/>
                    <w:keepLines w:val="0"/>
                    <w:suppressLineNumbers w:val="0"/>
                    <w:kinsoku w:val="0"/>
                    <w:overflowPunct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去离子水</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制备、设备清洗</w:t>
                  </w:r>
                </w:p>
              </w:tc>
              <w:tc>
                <w:tcPr>
                  <w:tcW w:w="2177" w:type="dxa"/>
                  <w:noWrap w:val="0"/>
                  <w:vAlign w:val="center"/>
                </w:tcPr>
                <w:p w14:paraId="04B0343E">
                  <w:pPr>
                    <w:pStyle w:val="128"/>
                    <w:kinsoku w:val="0"/>
                    <w:overflowPunct w:val="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0"/>
                      <w:sz w:val="21"/>
                      <w:szCs w:val="21"/>
                      <w:lang w:val="en-US" w:eastAsia="zh-CN" w:bidi="ar-SA"/>
                      <w14:textFill>
                        <w14:solidFill>
                          <w14:schemeClr w14:val="tx1"/>
                        </w14:solidFill>
                      </w14:textFill>
                    </w:rPr>
                    <w:t>制备废水、膜冲洗废水</w:t>
                  </w:r>
                </w:p>
              </w:tc>
              <w:tc>
                <w:tcPr>
                  <w:tcW w:w="1349" w:type="dxa"/>
                  <w:noWrap w:val="0"/>
                  <w:vAlign w:val="center"/>
                </w:tcPr>
                <w:p w14:paraId="058EE744">
                  <w:pPr>
                    <w:pStyle w:val="128"/>
                    <w:kinsoku w:val="0"/>
                    <w:overflowPunct w:val="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造粒区</w:t>
                  </w:r>
                </w:p>
              </w:tc>
              <w:tc>
                <w:tcPr>
                  <w:tcW w:w="1004" w:type="dxa"/>
                  <w:noWrap w:val="0"/>
                  <w:vAlign w:val="center"/>
                </w:tcPr>
                <w:p w14:paraId="2A9703FB">
                  <w:pPr>
                    <w:pStyle w:val="128"/>
                    <w:kinsoku w:val="0"/>
                    <w:overflowPunct w:val="0"/>
                    <w:rPr>
                      <w:rFonts w:hint="default" w:ascii="Times New Roman" w:hAnsi="Times New Roman"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间歇</w:t>
                  </w:r>
                </w:p>
              </w:tc>
            </w:tr>
            <w:tr w14:paraId="33AFC47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530" w:type="dxa"/>
                  <w:vMerge w:val="restart"/>
                  <w:noWrap w:val="0"/>
                  <w:vAlign w:val="center"/>
                </w:tcPr>
                <w:p w14:paraId="2C2D5F32">
                  <w:pPr>
                    <w:pStyle w:val="128"/>
                    <w:kinsoku w:val="0"/>
                    <w:overflowPunct w:val="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固废</w:t>
                  </w:r>
                </w:p>
              </w:tc>
              <w:tc>
                <w:tcPr>
                  <w:tcW w:w="1567" w:type="dxa"/>
                  <w:gridSpan w:val="2"/>
                  <w:noWrap w:val="0"/>
                  <w:vAlign w:val="center"/>
                </w:tcPr>
                <w:p w14:paraId="64826376">
                  <w:pPr>
                    <w:pStyle w:val="128"/>
                    <w:kinsoku w:val="0"/>
                    <w:overflowPunct w:val="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生活垃圾</w:t>
                  </w:r>
                </w:p>
              </w:tc>
              <w:tc>
                <w:tcPr>
                  <w:tcW w:w="1952" w:type="dxa"/>
                  <w:noWrap w:val="0"/>
                  <w:vAlign w:val="center"/>
                </w:tcPr>
                <w:p w14:paraId="15EB0341">
                  <w:pPr>
                    <w:pStyle w:val="128"/>
                    <w:kinsoku w:val="0"/>
                    <w:overflowPunct w:val="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员工</w:t>
                  </w:r>
                </w:p>
              </w:tc>
              <w:tc>
                <w:tcPr>
                  <w:tcW w:w="2177" w:type="dxa"/>
                  <w:noWrap w:val="0"/>
                  <w:vAlign w:val="center"/>
                </w:tcPr>
                <w:p w14:paraId="4ADB4574">
                  <w:pPr>
                    <w:pStyle w:val="128"/>
                    <w:kinsoku w:val="0"/>
                    <w:overflowPunct w:val="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w:t>
                  </w:r>
                </w:p>
              </w:tc>
              <w:tc>
                <w:tcPr>
                  <w:tcW w:w="1349" w:type="dxa"/>
                  <w:noWrap w:val="0"/>
                  <w:vAlign w:val="center"/>
                </w:tcPr>
                <w:p w14:paraId="4AFAF859">
                  <w:pPr>
                    <w:pStyle w:val="128"/>
                    <w:kinsoku w:val="0"/>
                    <w:overflowPunct w:val="0"/>
                    <w:rPr>
                      <w:rFonts w:hint="default" w:ascii="Times New Roman" w:hAnsi="Times New Roman"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办公区</w:t>
                  </w:r>
                </w:p>
              </w:tc>
              <w:tc>
                <w:tcPr>
                  <w:tcW w:w="1004" w:type="dxa"/>
                  <w:noWrap w:val="0"/>
                  <w:vAlign w:val="center"/>
                </w:tcPr>
                <w:p w14:paraId="50CB04CD">
                  <w:pPr>
                    <w:pStyle w:val="128"/>
                    <w:kinsoku w:val="0"/>
                    <w:overflowPunct w:val="0"/>
                    <w:rPr>
                      <w:rFonts w:hint="default" w:ascii="Times New Roman" w:hAnsi="Times New Roman"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间歇</w:t>
                  </w:r>
                </w:p>
              </w:tc>
            </w:tr>
            <w:tr w14:paraId="1A877BB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530" w:type="dxa"/>
                  <w:vMerge w:val="continue"/>
                  <w:noWrap w:val="0"/>
                  <w:vAlign w:val="center"/>
                </w:tcPr>
                <w:p w14:paraId="2FFF7B07">
                  <w:pPr>
                    <w:pStyle w:val="128"/>
                    <w:kinsoku w:val="0"/>
                    <w:overflowPunct w:val="0"/>
                    <w:rPr>
                      <w:rFonts w:hint="default" w:ascii="Times New Roman" w:hAnsi="Times New Roman" w:cs="Times New Roman"/>
                      <w:color w:val="000000" w:themeColor="text1"/>
                      <w:sz w:val="21"/>
                      <w:szCs w:val="21"/>
                      <w14:textFill>
                        <w14:solidFill>
                          <w14:schemeClr w14:val="tx1"/>
                        </w14:solidFill>
                      </w14:textFill>
                    </w:rPr>
                  </w:pPr>
                </w:p>
              </w:tc>
              <w:tc>
                <w:tcPr>
                  <w:tcW w:w="659" w:type="dxa"/>
                  <w:vMerge w:val="restart"/>
                  <w:noWrap w:val="0"/>
                  <w:vAlign w:val="center"/>
                </w:tcPr>
                <w:p w14:paraId="2060690B">
                  <w:pPr>
                    <w:pStyle w:val="128"/>
                    <w:kinsoku w:val="0"/>
                    <w:overflowPunct w:val="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一般工业固废</w:t>
                  </w:r>
                </w:p>
              </w:tc>
              <w:tc>
                <w:tcPr>
                  <w:tcW w:w="908" w:type="dxa"/>
                  <w:shd w:val="clear" w:color="auto" w:fill="auto"/>
                  <w:noWrap w:val="0"/>
                  <w:vAlign w:val="center"/>
                </w:tcPr>
                <w:p w14:paraId="7CB1610F">
                  <w:pPr>
                    <w:keepNext w:val="0"/>
                    <w:keepLines w:val="0"/>
                    <w:suppressLineNumbers w:val="0"/>
                    <w:kinsoku w:val="0"/>
                    <w:overflowPunct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除尘器收尘灰</w:t>
                  </w:r>
                </w:p>
              </w:tc>
              <w:tc>
                <w:tcPr>
                  <w:tcW w:w="1952" w:type="dxa"/>
                  <w:shd w:val="clear" w:color="auto" w:fill="auto"/>
                  <w:noWrap w:val="0"/>
                  <w:vAlign w:val="center"/>
                </w:tcPr>
                <w:p w14:paraId="2A8D8F34">
                  <w:pPr>
                    <w:keepNext w:val="0"/>
                    <w:keepLines w:val="0"/>
                    <w:suppressLineNumbers w:val="0"/>
                    <w:kinsoku w:val="0"/>
                    <w:overflowPunct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环保设备运转</w:t>
                  </w:r>
                </w:p>
              </w:tc>
              <w:tc>
                <w:tcPr>
                  <w:tcW w:w="2177" w:type="dxa"/>
                  <w:shd w:val="clear" w:color="auto" w:fill="auto"/>
                  <w:noWrap w:val="0"/>
                  <w:vAlign w:val="center"/>
                </w:tcPr>
                <w:p w14:paraId="3E5D4895">
                  <w:pPr>
                    <w:keepNext w:val="0"/>
                    <w:keepLines w:val="0"/>
                    <w:suppressLineNumbers w:val="0"/>
                    <w:kinsoku w:val="0"/>
                    <w:overflowPunct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除尘器收尘灰</w:t>
                  </w:r>
                </w:p>
              </w:tc>
              <w:tc>
                <w:tcPr>
                  <w:tcW w:w="1349" w:type="dxa"/>
                  <w:shd w:val="clear" w:color="auto" w:fill="auto"/>
                  <w:noWrap w:val="0"/>
                  <w:vAlign w:val="center"/>
                </w:tcPr>
                <w:p w14:paraId="7ABA1704">
                  <w:pPr>
                    <w:pStyle w:val="128"/>
                    <w:kinsoku w:val="0"/>
                    <w:overflowPunct w:val="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污染治理设施</w:t>
                  </w:r>
                </w:p>
              </w:tc>
              <w:tc>
                <w:tcPr>
                  <w:tcW w:w="1004" w:type="dxa"/>
                  <w:shd w:val="clear" w:color="auto" w:fill="auto"/>
                  <w:noWrap w:val="0"/>
                  <w:vAlign w:val="center"/>
                </w:tcPr>
                <w:p w14:paraId="3395A751">
                  <w:pPr>
                    <w:pStyle w:val="128"/>
                    <w:kinsoku w:val="0"/>
                    <w:overflowPunct w:val="0"/>
                    <w:rPr>
                      <w:rFonts w:hint="default" w:ascii="Times New Roman" w:hAnsi="Times New Roman" w:eastAsia="宋体" w:cs="Times New Roman"/>
                      <w:color w:val="000000" w:themeColor="text1"/>
                      <w:kern w:val="0"/>
                      <w:sz w:val="21"/>
                      <w:szCs w:val="21"/>
                      <w:lang w:val="en-US" w:eastAsia="en-US" w:bidi="ar-SA"/>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间歇</w:t>
                  </w:r>
                </w:p>
              </w:tc>
            </w:tr>
            <w:tr w14:paraId="0564691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530" w:type="dxa"/>
                  <w:vMerge w:val="continue"/>
                  <w:noWrap w:val="0"/>
                  <w:vAlign w:val="center"/>
                </w:tcPr>
                <w:p w14:paraId="33519B82">
                  <w:pPr>
                    <w:pStyle w:val="128"/>
                    <w:kinsoku w:val="0"/>
                    <w:overflowPunct w:val="0"/>
                    <w:rPr>
                      <w:rFonts w:hint="default" w:ascii="Times New Roman" w:hAnsi="Times New Roman" w:cs="Times New Roman"/>
                      <w:color w:val="000000" w:themeColor="text1"/>
                      <w:sz w:val="21"/>
                      <w:szCs w:val="21"/>
                      <w14:textFill>
                        <w14:solidFill>
                          <w14:schemeClr w14:val="tx1"/>
                        </w14:solidFill>
                      </w14:textFill>
                    </w:rPr>
                  </w:pPr>
                </w:p>
              </w:tc>
              <w:tc>
                <w:tcPr>
                  <w:tcW w:w="659" w:type="dxa"/>
                  <w:vMerge w:val="continue"/>
                  <w:noWrap w:val="0"/>
                  <w:vAlign w:val="center"/>
                </w:tcPr>
                <w:p w14:paraId="71E13946">
                  <w:pPr>
                    <w:pStyle w:val="128"/>
                    <w:kinsoku w:val="0"/>
                    <w:overflowPunct w:val="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c>
                <w:tcPr>
                  <w:tcW w:w="908" w:type="dxa"/>
                  <w:shd w:val="clear" w:color="auto" w:fill="auto"/>
                  <w:noWrap w:val="0"/>
                  <w:vAlign w:val="center"/>
                </w:tcPr>
                <w:p w14:paraId="16FDDFB8">
                  <w:pPr>
                    <w:keepNext w:val="0"/>
                    <w:keepLines w:val="0"/>
                    <w:suppressLineNumbers w:val="0"/>
                    <w:kinsoku w:val="0"/>
                    <w:overflowPunct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一般材料废包装袋/箱</w:t>
                  </w:r>
                </w:p>
              </w:tc>
              <w:tc>
                <w:tcPr>
                  <w:tcW w:w="1952" w:type="dxa"/>
                  <w:shd w:val="clear" w:color="auto" w:fill="auto"/>
                  <w:noWrap w:val="0"/>
                  <w:vAlign w:val="center"/>
                </w:tcPr>
                <w:p w14:paraId="5C189ECC">
                  <w:pPr>
                    <w:keepNext w:val="0"/>
                    <w:keepLines w:val="0"/>
                    <w:suppressLineNumbers w:val="0"/>
                    <w:kinsoku w:val="0"/>
                    <w:overflowPunct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一般原辅材料包装袋/箱</w:t>
                  </w:r>
                </w:p>
              </w:tc>
              <w:tc>
                <w:tcPr>
                  <w:tcW w:w="2177" w:type="dxa"/>
                  <w:shd w:val="clear" w:color="auto" w:fill="auto"/>
                  <w:noWrap w:val="0"/>
                  <w:vAlign w:val="center"/>
                </w:tcPr>
                <w:p w14:paraId="1CF44D43">
                  <w:pPr>
                    <w:keepNext w:val="0"/>
                    <w:keepLines w:val="0"/>
                    <w:suppressLineNumbers w:val="0"/>
                    <w:kinsoku w:val="0"/>
                    <w:overflowPunct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一般材料废包装袋/箱</w:t>
                  </w:r>
                </w:p>
              </w:tc>
              <w:tc>
                <w:tcPr>
                  <w:tcW w:w="1349" w:type="dxa"/>
                  <w:shd w:val="clear" w:color="auto" w:fill="auto"/>
                  <w:noWrap w:val="0"/>
                  <w:vAlign w:val="center"/>
                </w:tcPr>
                <w:p w14:paraId="568366AD">
                  <w:pPr>
                    <w:pStyle w:val="128"/>
                    <w:kinsoku w:val="0"/>
                    <w:overflowPunct w:val="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生产区</w:t>
                  </w:r>
                </w:p>
              </w:tc>
              <w:tc>
                <w:tcPr>
                  <w:tcW w:w="1004" w:type="dxa"/>
                  <w:shd w:val="clear" w:color="auto" w:fill="auto"/>
                  <w:noWrap w:val="0"/>
                  <w:vAlign w:val="center"/>
                </w:tcPr>
                <w:p w14:paraId="4ED0FF75">
                  <w:pPr>
                    <w:pStyle w:val="128"/>
                    <w:kinsoku w:val="0"/>
                    <w:overflowPunct w:val="0"/>
                    <w:rPr>
                      <w:rFonts w:hint="default" w:ascii="Times New Roman" w:hAnsi="Times New Roman" w:eastAsia="宋体" w:cs="Times New Roman"/>
                      <w:color w:val="000000" w:themeColor="text1"/>
                      <w:kern w:val="0"/>
                      <w:sz w:val="21"/>
                      <w:szCs w:val="21"/>
                      <w:lang w:val="en-US" w:eastAsia="en-US" w:bidi="ar-SA"/>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间歇</w:t>
                  </w:r>
                </w:p>
              </w:tc>
            </w:tr>
            <w:tr w14:paraId="3E2F03B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530" w:type="dxa"/>
                  <w:vMerge w:val="continue"/>
                  <w:noWrap w:val="0"/>
                  <w:vAlign w:val="center"/>
                </w:tcPr>
                <w:p w14:paraId="60D3772A">
                  <w:pPr>
                    <w:pStyle w:val="128"/>
                    <w:kinsoku w:val="0"/>
                    <w:overflowPunct w:val="0"/>
                    <w:rPr>
                      <w:rFonts w:hint="default" w:ascii="Times New Roman" w:hAnsi="Times New Roman" w:cs="Times New Roman"/>
                      <w:color w:val="000000" w:themeColor="text1"/>
                      <w:sz w:val="21"/>
                      <w:szCs w:val="21"/>
                      <w14:textFill>
                        <w14:solidFill>
                          <w14:schemeClr w14:val="tx1"/>
                        </w14:solidFill>
                      </w14:textFill>
                    </w:rPr>
                  </w:pPr>
                </w:p>
              </w:tc>
              <w:tc>
                <w:tcPr>
                  <w:tcW w:w="659" w:type="dxa"/>
                  <w:vMerge w:val="continue"/>
                  <w:noWrap w:val="0"/>
                  <w:vAlign w:val="center"/>
                </w:tcPr>
                <w:p w14:paraId="667A1968">
                  <w:pPr>
                    <w:pStyle w:val="128"/>
                    <w:kinsoku w:val="0"/>
                    <w:overflowPunct w:val="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c>
                <w:tcPr>
                  <w:tcW w:w="908" w:type="dxa"/>
                  <w:shd w:val="clear" w:color="auto" w:fill="auto"/>
                  <w:noWrap w:val="0"/>
                  <w:vAlign w:val="center"/>
                </w:tcPr>
                <w:p w14:paraId="37AD272A">
                  <w:pPr>
                    <w:keepNext w:val="0"/>
                    <w:keepLines w:val="0"/>
                    <w:suppressLineNumbers w:val="0"/>
                    <w:kinsoku w:val="0"/>
                    <w:overflowPunct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废边角料</w:t>
                  </w:r>
                </w:p>
              </w:tc>
              <w:tc>
                <w:tcPr>
                  <w:tcW w:w="1952" w:type="dxa"/>
                  <w:shd w:val="clear" w:color="auto" w:fill="auto"/>
                  <w:noWrap w:val="0"/>
                  <w:vAlign w:val="center"/>
                </w:tcPr>
                <w:p w14:paraId="4254D15B">
                  <w:pPr>
                    <w:keepNext w:val="0"/>
                    <w:keepLines w:val="0"/>
                    <w:suppressLineNumbers w:val="0"/>
                    <w:kinsoku w:val="0"/>
                    <w:overflowPunct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切脚、编带</w:t>
                  </w:r>
                </w:p>
              </w:tc>
              <w:tc>
                <w:tcPr>
                  <w:tcW w:w="2177" w:type="dxa"/>
                  <w:shd w:val="clear" w:color="auto" w:fill="auto"/>
                  <w:noWrap w:val="0"/>
                  <w:vAlign w:val="center"/>
                </w:tcPr>
                <w:p w14:paraId="3E120624">
                  <w:pPr>
                    <w:keepNext w:val="0"/>
                    <w:keepLines w:val="0"/>
                    <w:suppressLineNumbers w:val="0"/>
                    <w:kinsoku w:val="0"/>
                    <w:overflowPunct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废边角料</w:t>
                  </w:r>
                </w:p>
              </w:tc>
              <w:tc>
                <w:tcPr>
                  <w:tcW w:w="1349" w:type="dxa"/>
                  <w:shd w:val="clear" w:color="auto" w:fill="auto"/>
                  <w:noWrap w:val="0"/>
                  <w:vAlign w:val="center"/>
                </w:tcPr>
                <w:p w14:paraId="5A926698">
                  <w:pPr>
                    <w:pStyle w:val="128"/>
                    <w:kinsoku w:val="0"/>
                    <w:overflowPunct w:val="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生产区</w:t>
                  </w:r>
                </w:p>
              </w:tc>
              <w:tc>
                <w:tcPr>
                  <w:tcW w:w="1004" w:type="dxa"/>
                  <w:shd w:val="clear" w:color="auto" w:fill="auto"/>
                  <w:noWrap w:val="0"/>
                  <w:vAlign w:val="center"/>
                </w:tcPr>
                <w:p w14:paraId="59CDA41C">
                  <w:pPr>
                    <w:pStyle w:val="128"/>
                    <w:kinsoku w:val="0"/>
                    <w:overflowPunct w:val="0"/>
                    <w:rPr>
                      <w:rFonts w:hint="default" w:ascii="Times New Roman" w:hAnsi="Times New Roman" w:eastAsia="宋体" w:cs="Times New Roman"/>
                      <w:color w:val="000000" w:themeColor="text1"/>
                      <w:kern w:val="0"/>
                      <w:sz w:val="21"/>
                      <w:szCs w:val="21"/>
                      <w:lang w:val="en-US" w:eastAsia="en-US" w:bidi="ar-SA"/>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间歇</w:t>
                  </w:r>
                </w:p>
              </w:tc>
            </w:tr>
            <w:tr w14:paraId="4016D98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530" w:type="dxa"/>
                  <w:vMerge w:val="continue"/>
                  <w:noWrap w:val="0"/>
                  <w:vAlign w:val="center"/>
                </w:tcPr>
                <w:p w14:paraId="3CD7A7AC">
                  <w:pPr>
                    <w:pStyle w:val="128"/>
                    <w:kinsoku w:val="0"/>
                    <w:overflowPunct w:val="0"/>
                    <w:rPr>
                      <w:rFonts w:hint="default" w:ascii="Times New Roman" w:hAnsi="Times New Roman" w:cs="Times New Roman"/>
                      <w:color w:val="000000" w:themeColor="text1"/>
                      <w:sz w:val="21"/>
                      <w:szCs w:val="21"/>
                      <w14:textFill>
                        <w14:solidFill>
                          <w14:schemeClr w14:val="tx1"/>
                        </w14:solidFill>
                      </w14:textFill>
                    </w:rPr>
                  </w:pPr>
                </w:p>
              </w:tc>
              <w:tc>
                <w:tcPr>
                  <w:tcW w:w="659" w:type="dxa"/>
                  <w:vMerge w:val="continue"/>
                  <w:noWrap w:val="0"/>
                  <w:vAlign w:val="center"/>
                </w:tcPr>
                <w:p w14:paraId="0B7717C4">
                  <w:pPr>
                    <w:pStyle w:val="128"/>
                    <w:kinsoku w:val="0"/>
                    <w:overflowPunct w:val="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c>
                <w:tcPr>
                  <w:tcW w:w="908" w:type="dxa"/>
                  <w:shd w:val="clear" w:color="auto" w:fill="auto"/>
                  <w:noWrap w:val="0"/>
                  <w:vAlign w:val="center"/>
                </w:tcPr>
                <w:p w14:paraId="64913766">
                  <w:pPr>
                    <w:keepNext w:val="0"/>
                    <w:keepLines w:val="0"/>
                    <w:suppressLineNumbers w:val="0"/>
                    <w:kinsoku w:val="0"/>
                    <w:overflowPunct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沉渣</w:t>
                  </w:r>
                </w:p>
              </w:tc>
              <w:tc>
                <w:tcPr>
                  <w:tcW w:w="1952" w:type="dxa"/>
                  <w:shd w:val="clear" w:color="auto" w:fill="auto"/>
                  <w:noWrap w:val="0"/>
                  <w:vAlign w:val="center"/>
                </w:tcPr>
                <w:p w14:paraId="5468FA3D">
                  <w:pPr>
                    <w:keepNext w:val="0"/>
                    <w:keepLines w:val="0"/>
                    <w:suppressLineNumbers w:val="0"/>
                    <w:kinsoku w:val="0"/>
                    <w:overflowPunct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设备清洗</w:t>
                  </w:r>
                </w:p>
              </w:tc>
              <w:tc>
                <w:tcPr>
                  <w:tcW w:w="2177" w:type="dxa"/>
                  <w:shd w:val="clear" w:color="auto" w:fill="auto"/>
                  <w:noWrap w:val="0"/>
                  <w:vAlign w:val="center"/>
                </w:tcPr>
                <w:p w14:paraId="09A38A32">
                  <w:pPr>
                    <w:keepNext w:val="0"/>
                    <w:keepLines w:val="0"/>
                    <w:suppressLineNumbers w:val="0"/>
                    <w:kinsoku w:val="0"/>
                    <w:overflowPunct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沉渣</w:t>
                  </w:r>
                </w:p>
              </w:tc>
              <w:tc>
                <w:tcPr>
                  <w:tcW w:w="1349" w:type="dxa"/>
                  <w:shd w:val="clear" w:color="auto" w:fill="auto"/>
                  <w:noWrap w:val="0"/>
                  <w:vAlign w:val="center"/>
                </w:tcPr>
                <w:p w14:paraId="49F5E6DF">
                  <w:pPr>
                    <w:pStyle w:val="128"/>
                    <w:kinsoku w:val="0"/>
                    <w:overflowPunct w:val="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造粒区</w:t>
                  </w:r>
                </w:p>
              </w:tc>
              <w:tc>
                <w:tcPr>
                  <w:tcW w:w="1004" w:type="dxa"/>
                  <w:shd w:val="clear" w:color="auto" w:fill="auto"/>
                  <w:noWrap w:val="0"/>
                  <w:vAlign w:val="center"/>
                </w:tcPr>
                <w:p w14:paraId="75E2450E">
                  <w:pPr>
                    <w:pStyle w:val="128"/>
                    <w:kinsoku w:val="0"/>
                    <w:overflowPunct w:val="0"/>
                    <w:rPr>
                      <w:rFonts w:hint="default" w:ascii="Times New Roman" w:hAnsi="Times New Roman" w:eastAsia="宋体" w:cs="Times New Roman"/>
                      <w:color w:val="000000" w:themeColor="text1"/>
                      <w:kern w:val="0"/>
                      <w:sz w:val="21"/>
                      <w:szCs w:val="21"/>
                      <w:lang w:val="en-US" w:eastAsia="en-US" w:bidi="ar-SA"/>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间歇</w:t>
                  </w:r>
                </w:p>
              </w:tc>
            </w:tr>
            <w:tr w14:paraId="321432B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530" w:type="dxa"/>
                  <w:vMerge w:val="continue"/>
                  <w:noWrap w:val="0"/>
                  <w:vAlign w:val="center"/>
                </w:tcPr>
                <w:p w14:paraId="64B0D734">
                  <w:pPr>
                    <w:pStyle w:val="128"/>
                    <w:kinsoku w:val="0"/>
                    <w:overflowPunct w:val="0"/>
                    <w:rPr>
                      <w:rFonts w:hint="default" w:ascii="Times New Roman" w:hAnsi="Times New Roman" w:cs="Times New Roman"/>
                      <w:color w:val="000000" w:themeColor="text1"/>
                      <w:sz w:val="21"/>
                      <w:szCs w:val="21"/>
                      <w14:textFill>
                        <w14:solidFill>
                          <w14:schemeClr w14:val="tx1"/>
                        </w14:solidFill>
                      </w14:textFill>
                    </w:rPr>
                  </w:pPr>
                </w:p>
              </w:tc>
              <w:tc>
                <w:tcPr>
                  <w:tcW w:w="659" w:type="dxa"/>
                  <w:vMerge w:val="continue"/>
                  <w:noWrap w:val="0"/>
                  <w:vAlign w:val="center"/>
                </w:tcPr>
                <w:p w14:paraId="7EB0F4E8">
                  <w:pPr>
                    <w:pStyle w:val="128"/>
                    <w:kinsoku w:val="0"/>
                    <w:overflowPunct w:val="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c>
                <w:tcPr>
                  <w:tcW w:w="908" w:type="dxa"/>
                  <w:shd w:val="clear" w:color="auto" w:fill="auto"/>
                  <w:noWrap w:val="0"/>
                  <w:vAlign w:val="center"/>
                </w:tcPr>
                <w:p w14:paraId="10583A7A">
                  <w:pPr>
                    <w:keepNext w:val="0"/>
                    <w:keepLines w:val="0"/>
                    <w:suppressLineNumbers w:val="0"/>
                    <w:kinsoku w:val="0"/>
                    <w:overflowPunct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污泥</w:t>
                  </w:r>
                </w:p>
              </w:tc>
              <w:tc>
                <w:tcPr>
                  <w:tcW w:w="1952" w:type="dxa"/>
                  <w:shd w:val="clear" w:color="auto" w:fill="auto"/>
                  <w:noWrap w:val="0"/>
                  <w:vAlign w:val="center"/>
                </w:tcPr>
                <w:p w14:paraId="08A4C4EF">
                  <w:pPr>
                    <w:keepNext w:val="0"/>
                    <w:keepLines w:val="0"/>
                    <w:suppressLineNumbers w:val="0"/>
                    <w:kinsoku w:val="0"/>
                    <w:overflowPunct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浓水处理</w:t>
                  </w:r>
                </w:p>
              </w:tc>
              <w:tc>
                <w:tcPr>
                  <w:tcW w:w="2177" w:type="dxa"/>
                  <w:noWrap w:val="0"/>
                  <w:vAlign w:val="center"/>
                </w:tcPr>
                <w:p w14:paraId="61B263B6">
                  <w:pPr>
                    <w:keepNext w:val="0"/>
                    <w:keepLines w:val="0"/>
                    <w:suppressLineNumbers w:val="0"/>
                    <w:kinsoku w:val="0"/>
                    <w:overflowPunct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污泥</w:t>
                  </w:r>
                </w:p>
              </w:tc>
              <w:tc>
                <w:tcPr>
                  <w:tcW w:w="1349" w:type="dxa"/>
                  <w:noWrap w:val="0"/>
                  <w:vAlign w:val="center"/>
                </w:tcPr>
                <w:p w14:paraId="0E49D937">
                  <w:pPr>
                    <w:pStyle w:val="128"/>
                    <w:kinsoku w:val="0"/>
                    <w:overflowPunct w:val="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污水处理</w:t>
                  </w:r>
                </w:p>
              </w:tc>
              <w:tc>
                <w:tcPr>
                  <w:tcW w:w="1004" w:type="dxa"/>
                  <w:noWrap w:val="0"/>
                  <w:vAlign w:val="center"/>
                </w:tcPr>
                <w:p w14:paraId="57468661">
                  <w:pPr>
                    <w:pStyle w:val="128"/>
                    <w:kinsoku w:val="0"/>
                    <w:overflowPunct w:val="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间歇</w:t>
                  </w:r>
                </w:p>
              </w:tc>
            </w:tr>
            <w:tr w14:paraId="5ACBA9B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530" w:type="dxa"/>
                  <w:vMerge w:val="continue"/>
                  <w:noWrap w:val="0"/>
                  <w:vAlign w:val="center"/>
                </w:tcPr>
                <w:p w14:paraId="0631E2E2">
                  <w:pPr>
                    <w:pStyle w:val="128"/>
                    <w:kinsoku w:val="0"/>
                    <w:overflowPunct w:val="0"/>
                    <w:rPr>
                      <w:rFonts w:hint="default" w:ascii="Times New Roman" w:hAnsi="Times New Roman" w:cs="Times New Roman"/>
                      <w:color w:val="000000" w:themeColor="text1"/>
                      <w:sz w:val="21"/>
                      <w:szCs w:val="21"/>
                      <w14:textFill>
                        <w14:solidFill>
                          <w14:schemeClr w14:val="tx1"/>
                        </w14:solidFill>
                      </w14:textFill>
                    </w:rPr>
                  </w:pPr>
                </w:p>
              </w:tc>
              <w:tc>
                <w:tcPr>
                  <w:tcW w:w="659" w:type="dxa"/>
                  <w:vMerge w:val="continue"/>
                  <w:noWrap w:val="0"/>
                  <w:vAlign w:val="center"/>
                </w:tcPr>
                <w:p w14:paraId="38EA9813">
                  <w:pPr>
                    <w:pStyle w:val="128"/>
                    <w:kinsoku w:val="0"/>
                    <w:overflowPunct w:val="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c>
                <w:tcPr>
                  <w:tcW w:w="908" w:type="dxa"/>
                  <w:shd w:val="clear" w:color="auto" w:fill="auto"/>
                  <w:noWrap w:val="0"/>
                  <w:vAlign w:val="center"/>
                </w:tcPr>
                <w:p w14:paraId="7942426B">
                  <w:pPr>
                    <w:keepNext w:val="0"/>
                    <w:keepLines w:val="0"/>
                    <w:suppressLineNumbers w:val="0"/>
                    <w:kinsoku w:val="0"/>
                    <w:overflowPunct w:val="0"/>
                    <w:spacing w:before="0" w:beforeAutospacing="0" w:after="0" w:afterAutospacing="0" w:line="240" w:lineRule="auto"/>
                    <w:ind w:left="0" w:leftChars="0" w:right="0" w:rightChars="0" w:firstLine="0" w:firstLineChars="0"/>
                    <w:jc w:val="center"/>
                    <w:rPr>
                      <w:rFonts w:hint="default"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不合格产品</w:t>
                  </w:r>
                </w:p>
              </w:tc>
              <w:tc>
                <w:tcPr>
                  <w:tcW w:w="1952" w:type="dxa"/>
                  <w:shd w:val="clear" w:color="auto" w:fill="auto"/>
                  <w:noWrap w:val="0"/>
                  <w:vAlign w:val="center"/>
                </w:tcPr>
                <w:p w14:paraId="21DBBA76">
                  <w:pPr>
                    <w:keepNext w:val="0"/>
                    <w:keepLines w:val="0"/>
                    <w:suppressLineNumbers w:val="0"/>
                    <w:kinsoku w:val="0"/>
                    <w:overflowPunct w:val="0"/>
                    <w:spacing w:before="0" w:beforeAutospacing="0" w:after="0" w:afterAutospacing="0" w:line="240" w:lineRule="auto"/>
                    <w:ind w:left="0" w:leftChars="0" w:right="0" w:rightChars="0" w:firstLine="0" w:firstLineChars="0"/>
                    <w:jc w:val="center"/>
                    <w:rPr>
                      <w:rFonts w:hint="default"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检验</w:t>
                  </w:r>
                </w:p>
              </w:tc>
              <w:tc>
                <w:tcPr>
                  <w:tcW w:w="2177" w:type="dxa"/>
                  <w:noWrap w:val="0"/>
                  <w:vAlign w:val="center"/>
                </w:tcPr>
                <w:p w14:paraId="73D056CB">
                  <w:pPr>
                    <w:keepNext w:val="0"/>
                    <w:keepLines w:val="0"/>
                    <w:suppressLineNumbers w:val="0"/>
                    <w:kinsoku w:val="0"/>
                    <w:overflowPunct w:val="0"/>
                    <w:spacing w:before="0" w:beforeAutospacing="0" w:after="0" w:afterAutospacing="0" w:line="240" w:lineRule="auto"/>
                    <w:ind w:left="0" w:leftChars="0" w:right="0" w:rightChars="0" w:firstLine="0" w:firstLineChars="0"/>
                    <w:jc w:val="center"/>
                    <w:rPr>
                      <w:rFonts w:hint="default"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次品</w:t>
                  </w:r>
                </w:p>
              </w:tc>
              <w:tc>
                <w:tcPr>
                  <w:tcW w:w="1349" w:type="dxa"/>
                  <w:noWrap w:val="0"/>
                  <w:vAlign w:val="center"/>
                </w:tcPr>
                <w:p w14:paraId="7F37C498">
                  <w:pPr>
                    <w:pStyle w:val="128"/>
                    <w:kinsoku w:val="0"/>
                    <w:overflowPunct w:val="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检验区</w:t>
                  </w:r>
                </w:p>
              </w:tc>
              <w:tc>
                <w:tcPr>
                  <w:tcW w:w="1004" w:type="dxa"/>
                  <w:noWrap w:val="0"/>
                  <w:vAlign w:val="center"/>
                </w:tcPr>
                <w:p w14:paraId="1EF31F59">
                  <w:pPr>
                    <w:pStyle w:val="128"/>
                    <w:kinsoku w:val="0"/>
                    <w:overflowPunct w:val="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间歇</w:t>
                  </w:r>
                </w:p>
              </w:tc>
            </w:tr>
            <w:tr w14:paraId="57CD953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530" w:type="dxa"/>
                  <w:vMerge w:val="continue"/>
                  <w:noWrap w:val="0"/>
                  <w:vAlign w:val="center"/>
                </w:tcPr>
                <w:p w14:paraId="567AD12F">
                  <w:pPr>
                    <w:pStyle w:val="128"/>
                    <w:kinsoku w:val="0"/>
                    <w:overflowPunct w:val="0"/>
                    <w:rPr>
                      <w:rFonts w:hint="default" w:ascii="Times New Roman" w:hAnsi="Times New Roman" w:cs="Times New Roman"/>
                      <w:color w:val="000000" w:themeColor="text1"/>
                      <w:sz w:val="21"/>
                      <w:szCs w:val="21"/>
                      <w14:textFill>
                        <w14:solidFill>
                          <w14:schemeClr w14:val="tx1"/>
                        </w14:solidFill>
                      </w14:textFill>
                    </w:rPr>
                  </w:pPr>
                </w:p>
              </w:tc>
              <w:tc>
                <w:tcPr>
                  <w:tcW w:w="659" w:type="dxa"/>
                  <w:vMerge w:val="continue"/>
                  <w:noWrap w:val="0"/>
                  <w:vAlign w:val="center"/>
                </w:tcPr>
                <w:p w14:paraId="1FAE26D4">
                  <w:pPr>
                    <w:pStyle w:val="128"/>
                    <w:kinsoku w:val="0"/>
                    <w:overflowPunct w:val="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c>
                <w:tcPr>
                  <w:tcW w:w="908" w:type="dxa"/>
                  <w:shd w:val="clear" w:color="auto" w:fill="auto"/>
                  <w:noWrap w:val="0"/>
                  <w:vAlign w:val="center"/>
                </w:tcPr>
                <w:p w14:paraId="66DE5FBB">
                  <w:pPr>
                    <w:keepNext w:val="0"/>
                    <w:keepLines w:val="0"/>
                    <w:suppressLineNumbers w:val="0"/>
                    <w:kinsoku w:val="0"/>
                    <w:overflowPunct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废反渗透膜</w:t>
                  </w:r>
                </w:p>
              </w:tc>
              <w:tc>
                <w:tcPr>
                  <w:tcW w:w="1952" w:type="dxa"/>
                  <w:shd w:val="clear" w:color="auto" w:fill="auto"/>
                  <w:noWrap w:val="0"/>
                  <w:vAlign w:val="center"/>
                </w:tcPr>
                <w:p w14:paraId="3C55EB61">
                  <w:pPr>
                    <w:keepNext w:val="0"/>
                    <w:keepLines w:val="0"/>
                    <w:suppressLineNumbers w:val="0"/>
                    <w:kinsoku w:val="0"/>
                    <w:overflowPunct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去离子水</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制备</w:t>
                  </w:r>
                </w:p>
              </w:tc>
              <w:tc>
                <w:tcPr>
                  <w:tcW w:w="2177" w:type="dxa"/>
                  <w:noWrap w:val="0"/>
                  <w:vAlign w:val="center"/>
                </w:tcPr>
                <w:p w14:paraId="657AF6C7">
                  <w:pPr>
                    <w:keepNext w:val="0"/>
                    <w:keepLines w:val="0"/>
                    <w:suppressLineNumbers w:val="0"/>
                    <w:kinsoku w:val="0"/>
                    <w:overflowPunct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废反渗透膜</w:t>
                  </w:r>
                </w:p>
              </w:tc>
              <w:tc>
                <w:tcPr>
                  <w:tcW w:w="1349" w:type="dxa"/>
                  <w:noWrap w:val="0"/>
                  <w:vAlign w:val="center"/>
                </w:tcPr>
                <w:p w14:paraId="7232E4D4">
                  <w:pPr>
                    <w:pStyle w:val="128"/>
                    <w:kinsoku w:val="0"/>
                    <w:overflowPunct w:val="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去离子水</w:t>
                  </w:r>
                  <w:r>
                    <w:rPr>
                      <w:rFonts w:hint="default" w:ascii="Times New Roman" w:hAnsi="Times New Roman" w:cs="Times New Roman"/>
                      <w:color w:val="000000" w:themeColor="text1"/>
                      <w:sz w:val="21"/>
                      <w:szCs w:val="21"/>
                      <w:lang w:val="en-US" w:eastAsia="zh-CN"/>
                      <w14:textFill>
                        <w14:solidFill>
                          <w14:schemeClr w14:val="tx1"/>
                        </w14:solidFill>
                      </w14:textFill>
                    </w:rPr>
                    <w:t>制备</w:t>
                  </w:r>
                </w:p>
              </w:tc>
              <w:tc>
                <w:tcPr>
                  <w:tcW w:w="1004" w:type="dxa"/>
                  <w:noWrap w:val="0"/>
                  <w:vAlign w:val="center"/>
                </w:tcPr>
                <w:p w14:paraId="5ECF01C5">
                  <w:pPr>
                    <w:pStyle w:val="128"/>
                    <w:kinsoku w:val="0"/>
                    <w:overflowPunct w:val="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间歇</w:t>
                  </w:r>
                </w:p>
              </w:tc>
            </w:tr>
            <w:tr w14:paraId="2BEA18F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530" w:type="dxa"/>
                  <w:vMerge w:val="continue"/>
                  <w:noWrap w:val="0"/>
                  <w:vAlign w:val="center"/>
                </w:tcPr>
                <w:p w14:paraId="6CA20A5B">
                  <w:pPr>
                    <w:pStyle w:val="128"/>
                    <w:kinsoku w:val="0"/>
                    <w:overflowPunct w:val="0"/>
                    <w:rPr>
                      <w:rFonts w:hint="default" w:ascii="Times New Roman" w:hAnsi="Times New Roman" w:cs="Times New Roman"/>
                      <w:color w:val="000000" w:themeColor="text1"/>
                      <w:sz w:val="21"/>
                      <w:szCs w:val="21"/>
                      <w14:textFill>
                        <w14:solidFill>
                          <w14:schemeClr w14:val="tx1"/>
                        </w14:solidFill>
                      </w14:textFill>
                    </w:rPr>
                  </w:pPr>
                </w:p>
              </w:tc>
              <w:tc>
                <w:tcPr>
                  <w:tcW w:w="659" w:type="dxa"/>
                  <w:vMerge w:val="restart"/>
                  <w:noWrap w:val="0"/>
                  <w:vAlign w:val="center"/>
                </w:tcPr>
                <w:p w14:paraId="63E9D292">
                  <w:pPr>
                    <w:pStyle w:val="128"/>
                    <w:kinsoku w:val="0"/>
                    <w:overflowPunct w:val="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危险废物</w:t>
                  </w:r>
                </w:p>
              </w:tc>
              <w:tc>
                <w:tcPr>
                  <w:tcW w:w="908" w:type="dxa"/>
                  <w:noWrap w:val="0"/>
                  <w:vAlign w:val="center"/>
                </w:tcPr>
                <w:p w14:paraId="7C653635">
                  <w:pPr>
                    <w:keepNext w:val="0"/>
                    <w:keepLines w:val="0"/>
                    <w:suppressLineNumbers w:val="0"/>
                    <w:kinsoku w:val="0"/>
                    <w:overflowPunct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废空压机油</w:t>
                  </w:r>
                </w:p>
              </w:tc>
              <w:tc>
                <w:tcPr>
                  <w:tcW w:w="1952" w:type="dxa"/>
                  <w:noWrap w:val="0"/>
                  <w:vAlign w:val="center"/>
                </w:tcPr>
                <w:p w14:paraId="67F4DAFA">
                  <w:pPr>
                    <w:keepNext w:val="0"/>
                    <w:keepLines w:val="0"/>
                    <w:suppressLineNumbers w:val="0"/>
                    <w:kinsoku w:val="0"/>
                    <w:overflowPunct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设备维修</w:t>
                  </w:r>
                </w:p>
              </w:tc>
              <w:tc>
                <w:tcPr>
                  <w:tcW w:w="2177" w:type="dxa"/>
                  <w:noWrap w:val="0"/>
                  <w:vAlign w:val="center"/>
                </w:tcPr>
                <w:p w14:paraId="182AD017">
                  <w:pPr>
                    <w:pStyle w:val="128"/>
                    <w:kinsoku w:val="0"/>
                    <w:overflowPunct w:val="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0"/>
                      <w:sz w:val="21"/>
                      <w:szCs w:val="21"/>
                      <w:lang w:val="en-US" w:eastAsia="zh-CN" w:bidi="ar-SA"/>
                      <w14:textFill>
                        <w14:solidFill>
                          <w14:schemeClr w14:val="tx1"/>
                        </w14:solidFill>
                      </w14:textFill>
                    </w:rPr>
                    <w:t>废空压机油</w:t>
                  </w:r>
                </w:p>
              </w:tc>
              <w:tc>
                <w:tcPr>
                  <w:tcW w:w="1349" w:type="dxa"/>
                  <w:vMerge w:val="restart"/>
                  <w:noWrap w:val="0"/>
                  <w:vAlign w:val="center"/>
                </w:tcPr>
                <w:p w14:paraId="0CBF14ED">
                  <w:pPr>
                    <w:pStyle w:val="128"/>
                    <w:kinsoku w:val="0"/>
                    <w:overflowPunct w:val="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生产区</w:t>
                  </w:r>
                </w:p>
              </w:tc>
              <w:tc>
                <w:tcPr>
                  <w:tcW w:w="1004" w:type="dxa"/>
                  <w:noWrap w:val="0"/>
                  <w:vAlign w:val="center"/>
                </w:tcPr>
                <w:p w14:paraId="01570BE7">
                  <w:pPr>
                    <w:pStyle w:val="128"/>
                    <w:kinsoku w:val="0"/>
                    <w:overflowPunct w:val="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间歇</w:t>
                  </w:r>
                </w:p>
              </w:tc>
            </w:tr>
            <w:tr w14:paraId="3F73B64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530" w:type="dxa"/>
                  <w:vMerge w:val="continue"/>
                  <w:noWrap w:val="0"/>
                  <w:vAlign w:val="center"/>
                </w:tcPr>
                <w:p w14:paraId="2C0EA9DC">
                  <w:pPr>
                    <w:pStyle w:val="128"/>
                    <w:kinsoku w:val="0"/>
                    <w:overflowPunct w:val="0"/>
                    <w:rPr>
                      <w:rFonts w:hint="default" w:ascii="Times New Roman" w:hAnsi="Times New Roman" w:cs="Times New Roman"/>
                      <w:color w:val="000000" w:themeColor="text1"/>
                      <w:sz w:val="21"/>
                      <w:szCs w:val="21"/>
                      <w14:textFill>
                        <w14:solidFill>
                          <w14:schemeClr w14:val="tx1"/>
                        </w14:solidFill>
                      </w14:textFill>
                    </w:rPr>
                  </w:pPr>
                </w:p>
              </w:tc>
              <w:tc>
                <w:tcPr>
                  <w:tcW w:w="659" w:type="dxa"/>
                  <w:vMerge w:val="continue"/>
                  <w:noWrap w:val="0"/>
                  <w:vAlign w:val="center"/>
                </w:tcPr>
                <w:p w14:paraId="72725FBE">
                  <w:pPr>
                    <w:pStyle w:val="128"/>
                    <w:kinsoku w:val="0"/>
                    <w:overflowPunct w:val="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c>
                <w:tcPr>
                  <w:tcW w:w="908" w:type="dxa"/>
                  <w:noWrap w:val="0"/>
                  <w:vAlign w:val="center"/>
                </w:tcPr>
                <w:p w14:paraId="15777086">
                  <w:pPr>
                    <w:keepNext w:val="0"/>
                    <w:keepLines w:val="0"/>
                    <w:suppressLineNumbers w:val="0"/>
                    <w:kinsoku w:val="0"/>
                    <w:overflowPunct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废润滑油</w:t>
                  </w:r>
                </w:p>
              </w:tc>
              <w:tc>
                <w:tcPr>
                  <w:tcW w:w="1952" w:type="dxa"/>
                  <w:noWrap w:val="0"/>
                  <w:vAlign w:val="center"/>
                </w:tcPr>
                <w:p w14:paraId="15D0232D">
                  <w:pPr>
                    <w:keepNext w:val="0"/>
                    <w:keepLines w:val="0"/>
                    <w:suppressLineNumbers w:val="0"/>
                    <w:kinsoku w:val="0"/>
                    <w:overflowPunct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设备维修</w:t>
                  </w:r>
                </w:p>
              </w:tc>
              <w:tc>
                <w:tcPr>
                  <w:tcW w:w="2177" w:type="dxa"/>
                  <w:noWrap w:val="0"/>
                  <w:vAlign w:val="center"/>
                </w:tcPr>
                <w:p w14:paraId="3245170F">
                  <w:pPr>
                    <w:pStyle w:val="128"/>
                    <w:kinsoku w:val="0"/>
                    <w:overflowPunct w:val="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废润滑油</w:t>
                  </w:r>
                </w:p>
              </w:tc>
              <w:tc>
                <w:tcPr>
                  <w:tcW w:w="1349" w:type="dxa"/>
                  <w:vMerge w:val="continue"/>
                  <w:noWrap w:val="0"/>
                  <w:vAlign w:val="center"/>
                </w:tcPr>
                <w:p w14:paraId="21B7FA98">
                  <w:pPr>
                    <w:pStyle w:val="128"/>
                    <w:kinsoku w:val="0"/>
                    <w:overflowPunct w:val="0"/>
                    <w:rPr>
                      <w:rFonts w:hint="default" w:ascii="Times New Roman" w:hAnsi="Times New Roman" w:cs="Times New Roman"/>
                      <w:color w:val="000000" w:themeColor="text1"/>
                      <w:sz w:val="21"/>
                      <w:szCs w:val="21"/>
                      <w:lang w:eastAsia="zh-CN"/>
                      <w14:textFill>
                        <w14:solidFill>
                          <w14:schemeClr w14:val="tx1"/>
                        </w14:solidFill>
                      </w14:textFill>
                    </w:rPr>
                  </w:pPr>
                </w:p>
              </w:tc>
              <w:tc>
                <w:tcPr>
                  <w:tcW w:w="1004" w:type="dxa"/>
                  <w:noWrap w:val="0"/>
                  <w:vAlign w:val="center"/>
                </w:tcPr>
                <w:p w14:paraId="07C01A9F">
                  <w:pPr>
                    <w:pStyle w:val="128"/>
                    <w:kinsoku w:val="0"/>
                    <w:overflowPunct w:val="0"/>
                    <w:rPr>
                      <w:rFonts w:hint="default" w:ascii="Times New Roman" w:hAnsi="Times New Roman"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间歇</w:t>
                  </w:r>
                </w:p>
              </w:tc>
            </w:tr>
            <w:tr w14:paraId="6A52191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530" w:type="dxa"/>
                  <w:vMerge w:val="continue"/>
                  <w:noWrap w:val="0"/>
                  <w:vAlign w:val="center"/>
                </w:tcPr>
                <w:p w14:paraId="625E9E06">
                  <w:pPr>
                    <w:pStyle w:val="128"/>
                    <w:kinsoku w:val="0"/>
                    <w:overflowPunct w:val="0"/>
                    <w:rPr>
                      <w:rFonts w:hint="default" w:ascii="Times New Roman" w:hAnsi="Times New Roman" w:cs="Times New Roman"/>
                      <w:color w:val="000000" w:themeColor="text1"/>
                      <w:sz w:val="21"/>
                      <w:szCs w:val="21"/>
                      <w14:textFill>
                        <w14:solidFill>
                          <w14:schemeClr w14:val="tx1"/>
                        </w14:solidFill>
                      </w14:textFill>
                    </w:rPr>
                  </w:pPr>
                </w:p>
              </w:tc>
              <w:tc>
                <w:tcPr>
                  <w:tcW w:w="659" w:type="dxa"/>
                  <w:vMerge w:val="continue"/>
                  <w:noWrap w:val="0"/>
                  <w:vAlign w:val="center"/>
                </w:tcPr>
                <w:p w14:paraId="0AA5B29E">
                  <w:pPr>
                    <w:pStyle w:val="128"/>
                    <w:kinsoku w:val="0"/>
                    <w:overflowPunct w:val="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c>
                <w:tcPr>
                  <w:tcW w:w="908" w:type="dxa"/>
                  <w:noWrap w:val="0"/>
                  <w:vAlign w:val="center"/>
                </w:tcPr>
                <w:p w14:paraId="6F7234F9">
                  <w:pPr>
                    <w:keepNext w:val="0"/>
                    <w:keepLines w:val="0"/>
                    <w:suppressLineNumbers w:val="0"/>
                    <w:kinsoku w:val="0"/>
                    <w:overflowPunct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废油桶</w:t>
                  </w:r>
                </w:p>
              </w:tc>
              <w:tc>
                <w:tcPr>
                  <w:tcW w:w="1952" w:type="dxa"/>
                  <w:noWrap w:val="0"/>
                  <w:vAlign w:val="center"/>
                </w:tcPr>
                <w:p w14:paraId="7AA8AD88">
                  <w:pPr>
                    <w:keepNext w:val="0"/>
                    <w:keepLines w:val="0"/>
                    <w:suppressLineNumbers w:val="0"/>
                    <w:kinsoku w:val="0"/>
                    <w:overflowPunct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设备维修</w:t>
                  </w:r>
                </w:p>
              </w:tc>
              <w:tc>
                <w:tcPr>
                  <w:tcW w:w="2177" w:type="dxa"/>
                  <w:noWrap w:val="0"/>
                  <w:vAlign w:val="center"/>
                </w:tcPr>
                <w:p w14:paraId="4BB497CE">
                  <w:pPr>
                    <w:pStyle w:val="128"/>
                    <w:kinsoku w:val="0"/>
                    <w:overflowPunct w:val="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废油桶</w:t>
                  </w:r>
                </w:p>
              </w:tc>
              <w:tc>
                <w:tcPr>
                  <w:tcW w:w="1349" w:type="dxa"/>
                  <w:vMerge w:val="continue"/>
                  <w:noWrap w:val="0"/>
                  <w:vAlign w:val="center"/>
                </w:tcPr>
                <w:p w14:paraId="2945C7E6">
                  <w:pPr>
                    <w:pStyle w:val="128"/>
                    <w:kinsoku w:val="0"/>
                    <w:overflowPunct w:val="0"/>
                    <w:rPr>
                      <w:rFonts w:hint="default" w:ascii="Times New Roman" w:hAnsi="Times New Roman" w:cs="Times New Roman"/>
                      <w:color w:val="000000" w:themeColor="text1"/>
                      <w:sz w:val="21"/>
                      <w:szCs w:val="21"/>
                      <w:lang w:eastAsia="zh-CN"/>
                      <w14:textFill>
                        <w14:solidFill>
                          <w14:schemeClr w14:val="tx1"/>
                        </w14:solidFill>
                      </w14:textFill>
                    </w:rPr>
                  </w:pPr>
                </w:p>
              </w:tc>
              <w:tc>
                <w:tcPr>
                  <w:tcW w:w="1004" w:type="dxa"/>
                  <w:noWrap w:val="0"/>
                  <w:vAlign w:val="center"/>
                </w:tcPr>
                <w:p w14:paraId="33E3C09C">
                  <w:pPr>
                    <w:pStyle w:val="128"/>
                    <w:kinsoku w:val="0"/>
                    <w:overflowPunct w:val="0"/>
                    <w:rPr>
                      <w:rFonts w:hint="default" w:ascii="Times New Roman" w:hAnsi="Times New Roman"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间歇</w:t>
                  </w:r>
                </w:p>
              </w:tc>
            </w:tr>
            <w:tr w14:paraId="53004E1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530" w:type="dxa"/>
                  <w:vMerge w:val="continue"/>
                  <w:noWrap w:val="0"/>
                  <w:vAlign w:val="center"/>
                </w:tcPr>
                <w:p w14:paraId="4B89C6C0">
                  <w:pPr>
                    <w:pStyle w:val="128"/>
                    <w:kinsoku w:val="0"/>
                    <w:overflowPunct w:val="0"/>
                    <w:rPr>
                      <w:rFonts w:hint="default" w:ascii="Times New Roman" w:hAnsi="Times New Roman" w:cs="Times New Roman"/>
                      <w:color w:val="000000" w:themeColor="text1"/>
                      <w:sz w:val="21"/>
                      <w:szCs w:val="21"/>
                      <w14:textFill>
                        <w14:solidFill>
                          <w14:schemeClr w14:val="tx1"/>
                        </w14:solidFill>
                      </w14:textFill>
                    </w:rPr>
                  </w:pPr>
                </w:p>
              </w:tc>
              <w:tc>
                <w:tcPr>
                  <w:tcW w:w="659" w:type="dxa"/>
                  <w:vMerge w:val="continue"/>
                  <w:noWrap w:val="0"/>
                  <w:vAlign w:val="center"/>
                </w:tcPr>
                <w:p w14:paraId="2BB8C9D3">
                  <w:pPr>
                    <w:pStyle w:val="128"/>
                    <w:kinsoku w:val="0"/>
                    <w:overflowPunct w:val="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c>
                <w:tcPr>
                  <w:tcW w:w="908" w:type="dxa"/>
                  <w:noWrap w:val="0"/>
                  <w:vAlign w:val="center"/>
                </w:tcPr>
                <w:p w14:paraId="3C7D2DB5">
                  <w:pPr>
                    <w:keepNext w:val="0"/>
                    <w:keepLines w:val="0"/>
                    <w:suppressLineNumbers w:val="0"/>
                    <w:kinsoku w:val="0"/>
                    <w:overflowPunct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废活性炭</w:t>
                  </w:r>
                </w:p>
              </w:tc>
              <w:tc>
                <w:tcPr>
                  <w:tcW w:w="1952" w:type="dxa"/>
                  <w:noWrap w:val="0"/>
                  <w:vAlign w:val="center"/>
                </w:tcPr>
                <w:p w14:paraId="4D0AFEFF">
                  <w:pPr>
                    <w:keepNext w:val="0"/>
                    <w:keepLines w:val="0"/>
                    <w:suppressLineNumbers w:val="0"/>
                    <w:kinsoku w:val="0"/>
                    <w:overflowPunct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环保设施维修更换</w:t>
                  </w:r>
                </w:p>
              </w:tc>
              <w:tc>
                <w:tcPr>
                  <w:tcW w:w="2177" w:type="dxa"/>
                  <w:noWrap w:val="0"/>
                  <w:vAlign w:val="center"/>
                </w:tcPr>
                <w:p w14:paraId="062FB91B">
                  <w:pPr>
                    <w:pStyle w:val="128"/>
                    <w:kinsoku w:val="0"/>
                    <w:overflowPunct w:val="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废活性炭</w:t>
                  </w:r>
                </w:p>
              </w:tc>
              <w:tc>
                <w:tcPr>
                  <w:tcW w:w="1349" w:type="dxa"/>
                  <w:noWrap w:val="0"/>
                  <w:vAlign w:val="center"/>
                </w:tcPr>
                <w:p w14:paraId="226363B5">
                  <w:pPr>
                    <w:pStyle w:val="128"/>
                    <w:kinsoku w:val="0"/>
                    <w:overflowPunct w:val="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污染治理设施</w:t>
                  </w:r>
                </w:p>
              </w:tc>
              <w:tc>
                <w:tcPr>
                  <w:tcW w:w="1004" w:type="dxa"/>
                  <w:noWrap w:val="0"/>
                  <w:vAlign w:val="center"/>
                </w:tcPr>
                <w:p w14:paraId="4020DC56">
                  <w:pPr>
                    <w:pStyle w:val="128"/>
                    <w:kinsoku w:val="0"/>
                    <w:overflowPunct w:val="0"/>
                    <w:rPr>
                      <w:rFonts w:hint="default" w:ascii="Times New Roman" w:hAnsi="Times New Roman"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间歇</w:t>
                  </w:r>
                </w:p>
              </w:tc>
            </w:tr>
            <w:tr w14:paraId="06A1C99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530" w:type="dxa"/>
                  <w:vMerge w:val="continue"/>
                  <w:noWrap w:val="0"/>
                  <w:vAlign w:val="center"/>
                </w:tcPr>
                <w:p w14:paraId="58EEC2A5">
                  <w:pPr>
                    <w:pStyle w:val="128"/>
                    <w:kinsoku w:val="0"/>
                    <w:overflowPunct w:val="0"/>
                    <w:rPr>
                      <w:rFonts w:hint="default" w:ascii="Times New Roman" w:hAnsi="Times New Roman" w:cs="Times New Roman"/>
                      <w:color w:val="000000" w:themeColor="text1"/>
                      <w:sz w:val="21"/>
                      <w:szCs w:val="21"/>
                      <w14:textFill>
                        <w14:solidFill>
                          <w14:schemeClr w14:val="tx1"/>
                        </w14:solidFill>
                      </w14:textFill>
                    </w:rPr>
                  </w:pPr>
                </w:p>
              </w:tc>
              <w:tc>
                <w:tcPr>
                  <w:tcW w:w="659" w:type="dxa"/>
                  <w:vMerge w:val="continue"/>
                  <w:noWrap w:val="0"/>
                  <w:vAlign w:val="center"/>
                </w:tcPr>
                <w:p w14:paraId="786B49A8">
                  <w:pPr>
                    <w:pStyle w:val="128"/>
                    <w:kinsoku w:val="0"/>
                    <w:overflowPunct w:val="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c>
                <w:tcPr>
                  <w:tcW w:w="908" w:type="dxa"/>
                  <w:noWrap w:val="0"/>
                  <w:vAlign w:val="center"/>
                </w:tcPr>
                <w:p w14:paraId="0C97ACEE">
                  <w:pPr>
                    <w:keepNext w:val="0"/>
                    <w:keepLines w:val="0"/>
                    <w:suppressLineNumbers w:val="0"/>
                    <w:kinsoku w:val="0"/>
                    <w:overflowPunct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废过滤棉</w:t>
                  </w:r>
                </w:p>
              </w:tc>
              <w:tc>
                <w:tcPr>
                  <w:tcW w:w="1952" w:type="dxa"/>
                  <w:noWrap w:val="0"/>
                  <w:vAlign w:val="center"/>
                </w:tcPr>
                <w:p w14:paraId="17B06E66">
                  <w:pPr>
                    <w:keepNext w:val="0"/>
                    <w:keepLines w:val="0"/>
                    <w:suppressLineNumbers w:val="0"/>
                    <w:kinsoku w:val="0"/>
                    <w:overflowPunct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环保设施维修更换</w:t>
                  </w:r>
                </w:p>
              </w:tc>
              <w:tc>
                <w:tcPr>
                  <w:tcW w:w="2177" w:type="dxa"/>
                  <w:noWrap w:val="0"/>
                  <w:vAlign w:val="center"/>
                </w:tcPr>
                <w:p w14:paraId="4A008739">
                  <w:pPr>
                    <w:pStyle w:val="128"/>
                    <w:kinsoku w:val="0"/>
                    <w:overflowPunct w:val="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0"/>
                      <w:sz w:val="21"/>
                      <w:szCs w:val="21"/>
                      <w:lang w:val="en-US" w:eastAsia="zh-CN" w:bidi="ar-SA"/>
                      <w14:textFill>
                        <w14:solidFill>
                          <w14:schemeClr w14:val="tx1"/>
                        </w14:solidFill>
                      </w14:textFill>
                    </w:rPr>
                    <w:t>废过滤棉</w:t>
                  </w:r>
                </w:p>
              </w:tc>
              <w:tc>
                <w:tcPr>
                  <w:tcW w:w="1349" w:type="dxa"/>
                  <w:shd w:val="clear" w:color="auto" w:fill="auto"/>
                  <w:noWrap w:val="0"/>
                  <w:vAlign w:val="center"/>
                </w:tcPr>
                <w:p w14:paraId="41E2ED65">
                  <w:pPr>
                    <w:pStyle w:val="128"/>
                    <w:kinsoku w:val="0"/>
                    <w:overflowPunct w:val="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污染治理设施</w:t>
                  </w:r>
                </w:p>
              </w:tc>
              <w:tc>
                <w:tcPr>
                  <w:tcW w:w="1004" w:type="dxa"/>
                  <w:shd w:val="clear" w:color="auto" w:fill="auto"/>
                  <w:noWrap w:val="0"/>
                  <w:vAlign w:val="center"/>
                </w:tcPr>
                <w:p w14:paraId="4E1673E7">
                  <w:pPr>
                    <w:pStyle w:val="128"/>
                    <w:kinsoku w:val="0"/>
                    <w:overflowPunct w:val="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间歇</w:t>
                  </w:r>
                </w:p>
              </w:tc>
            </w:tr>
            <w:tr w14:paraId="7E2F76A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530" w:type="dxa"/>
                  <w:vMerge w:val="continue"/>
                  <w:noWrap w:val="0"/>
                  <w:vAlign w:val="center"/>
                </w:tcPr>
                <w:p w14:paraId="6A301B07">
                  <w:pPr>
                    <w:pStyle w:val="128"/>
                    <w:kinsoku w:val="0"/>
                    <w:overflowPunct w:val="0"/>
                    <w:rPr>
                      <w:rFonts w:hint="default" w:ascii="Times New Roman" w:hAnsi="Times New Roman" w:cs="Times New Roman"/>
                      <w:color w:val="000000" w:themeColor="text1"/>
                      <w:sz w:val="21"/>
                      <w:szCs w:val="21"/>
                      <w14:textFill>
                        <w14:solidFill>
                          <w14:schemeClr w14:val="tx1"/>
                        </w14:solidFill>
                      </w14:textFill>
                    </w:rPr>
                  </w:pPr>
                </w:p>
              </w:tc>
              <w:tc>
                <w:tcPr>
                  <w:tcW w:w="659" w:type="dxa"/>
                  <w:vMerge w:val="continue"/>
                  <w:noWrap w:val="0"/>
                  <w:vAlign w:val="center"/>
                </w:tcPr>
                <w:p w14:paraId="69D98326">
                  <w:pPr>
                    <w:pStyle w:val="128"/>
                    <w:kinsoku w:val="0"/>
                    <w:overflowPunct w:val="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c>
                <w:tcPr>
                  <w:tcW w:w="908" w:type="dxa"/>
                  <w:noWrap w:val="0"/>
                  <w:vAlign w:val="center"/>
                </w:tcPr>
                <w:p w14:paraId="5DD03A50">
                  <w:pPr>
                    <w:keepNext w:val="0"/>
                    <w:keepLines w:val="0"/>
                    <w:suppressLineNumbers w:val="0"/>
                    <w:kinsoku w:val="0"/>
                    <w:overflowPunct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沾染废物</w:t>
                  </w:r>
                </w:p>
              </w:tc>
              <w:tc>
                <w:tcPr>
                  <w:tcW w:w="1952" w:type="dxa"/>
                  <w:noWrap w:val="0"/>
                  <w:vAlign w:val="center"/>
                </w:tcPr>
                <w:p w14:paraId="617A93DC">
                  <w:pPr>
                    <w:keepNext w:val="0"/>
                    <w:keepLines w:val="0"/>
                    <w:suppressLineNumbers w:val="0"/>
                    <w:kinsoku w:val="0"/>
                    <w:overflowPunct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氧化钴等原辅料废弃包装</w:t>
                  </w:r>
                </w:p>
              </w:tc>
              <w:tc>
                <w:tcPr>
                  <w:tcW w:w="2177" w:type="dxa"/>
                  <w:noWrap w:val="0"/>
                  <w:vAlign w:val="center"/>
                </w:tcPr>
                <w:p w14:paraId="2598D34F">
                  <w:pPr>
                    <w:pStyle w:val="128"/>
                    <w:kinsoku w:val="0"/>
                    <w:overflowPunct w:val="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氧化钴等原辅料废弃包装</w:t>
                  </w:r>
                </w:p>
              </w:tc>
              <w:tc>
                <w:tcPr>
                  <w:tcW w:w="1349" w:type="dxa"/>
                  <w:noWrap w:val="0"/>
                  <w:vAlign w:val="center"/>
                </w:tcPr>
                <w:p w14:paraId="0F7FDBFE">
                  <w:pPr>
                    <w:pStyle w:val="128"/>
                    <w:kinsoku w:val="0"/>
                    <w:overflowPunct w:val="0"/>
                    <w:rPr>
                      <w:rFonts w:hint="default" w:ascii="Times New Roman" w:hAnsi="Times New Roman"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原料区</w:t>
                  </w:r>
                </w:p>
              </w:tc>
              <w:tc>
                <w:tcPr>
                  <w:tcW w:w="1004" w:type="dxa"/>
                  <w:noWrap w:val="0"/>
                  <w:vAlign w:val="center"/>
                </w:tcPr>
                <w:p w14:paraId="1689EF32">
                  <w:pPr>
                    <w:pStyle w:val="128"/>
                    <w:kinsoku w:val="0"/>
                    <w:overflowPunct w:val="0"/>
                    <w:rPr>
                      <w:rFonts w:hint="default" w:ascii="Times New Roman" w:hAnsi="Times New Roman"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间歇</w:t>
                  </w:r>
                </w:p>
              </w:tc>
            </w:tr>
            <w:tr w14:paraId="6842937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2097" w:type="dxa"/>
                  <w:gridSpan w:val="3"/>
                  <w:noWrap w:val="0"/>
                  <w:vAlign w:val="center"/>
                </w:tcPr>
                <w:p w14:paraId="159031D6">
                  <w:pPr>
                    <w:pStyle w:val="128"/>
                    <w:kinsoku w:val="0"/>
                    <w:overflowPunct w:val="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噪声</w:t>
                  </w:r>
                </w:p>
              </w:tc>
              <w:tc>
                <w:tcPr>
                  <w:tcW w:w="1952" w:type="dxa"/>
                  <w:noWrap w:val="0"/>
                  <w:vAlign w:val="center"/>
                </w:tcPr>
                <w:p w14:paraId="3447CEB8">
                  <w:pPr>
                    <w:pStyle w:val="128"/>
                    <w:kinsoku w:val="0"/>
                    <w:overflowPunct w:val="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生产</w:t>
                  </w:r>
                  <w:r>
                    <w:rPr>
                      <w:rFonts w:hint="default" w:ascii="Times New Roman" w:hAnsi="Times New Roman" w:cs="Times New Roman"/>
                      <w:color w:val="000000" w:themeColor="text1"/>
                      <w:sz w:val="21"/>
                      <w:szCs w:val="21"/>
                      <w14:textFill>
                        <w14:solidFill>
                          <w14:schemeClr w14:val="tx1"/>
                        </w14:solidFill>
                      </w14:textFill>
                    </w:rPr>
                    <w:t>过程</w:t>
                  </w:r>
                </w:p>
              </w:tc>
              <w:tc>
                <w:tcPr>
                  <w:tcW w:w="2177" w:type="dxa"/>
                  <w:noWrap w:val="0"/>
                  <w:vAlign w:val="center"/>
                </w:tcPr>
                <w:p w14:paraId="1570FCE3">
                  <w:pPr>
                    <w:pStyle w:val="128"/>
                    <w:kinsoku w:val="0"/>
                    <w:overflowPunct w:val="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生产</w:t>
                  </w:r>
                  <w:r>
                    <w:rPr>
                      <w:rFonts w:hint="default" w:ascii="Times New Roman" w:hAnsi="Times New Roman" w:cs="Times New Roman"/>
                      <w:color w:val="000000" w:themeColor="text1"/>
                      <w:sz w:val="21"/>
                      <w:szCs w:val="21"/>
                      <w14:textFill>
                        <w14:solidFill>
                          <w14:schemeClr w14:val="tx1"/>
                        </w14:solidFill>
                      </w14:textFill>
                    </w:rPr>
                    <w:t>设备噪声</w:t>
                  </w:r>
                </w:p>
              </w:tc>
              <w:tc>
                <w:tcPr>
                  <w:tcW w:w="1349" w:type="dxa"/>
                  <w:noWrap w:val="0"/>
                  <w:vAlign w:val="center"/>
                </w:tcPr>
                <w:p w14:paraId="1EA6745A">
                  <w:pPr>
                    <w:pStyle w:val="128"/>
                    <w:kinsoku w:val="0"/>
                    <w:overflowPunct w:val="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各生产区域</w:t>
                  </w:r>
                </w:p>
              </w:tc>
              <w:tc>
                <w:tcPr>
                  <w:tcW w:w="1004" w:type="dxa"/>
                  <w:noWrap w:val="0"/>
                  <w:vAlign w:val="center"/>
                </w:tcPr>
                <w:p w14:paraId="6AEDD759">
                  <w:pPr>
                    <w:pStyle w:val="128"/>
                    <w:kinsoku w:val="0"/>
                    <w:overflowPunct w:val="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间歇</w:t>
                  </w:r>
                </w:p>
              </w:tc>
            </w:tr>
          </w:tbl>
          <w:p w14:paraId="46B3DFD3">
            <w:pPr>
              <w:adjustRightInd w:val="0"/>
              <w:snapToGrid w:val="0"/>
              <w:rPr>
                <w:rFonts w:hint="default" w:ascii="Times New Roman" w:hAnsi="Times New Roman" w:cs="Times New Roman"/>
                <w:bCs/>
                <w:color w:val="000000" w:themeColor="text1"/>
                <w:szCs w:val="21"/>
                <w14:textFill>
                  <w14:solidFill>
                    <w14:schemeClr w14:val="tx1"/>
                  </w14:solidFill>
                </w14:textFill>
              </w:rPr>
            </w:pPr>
          </w:p>
        </w:tc>
      </w:tr>
      <w:tr w14:paraId="037723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47" w:hRule="atLeast"/>
          <w:jc w:val="center"/>
        </w:trPr>
        <w:tc>
          <w:tcPr>
            <w:tcW w:w="434" w:type="dxa"/>
            <w:noWrap w:val="0"/>
            <w:vAlign w:val="center"/>
          </w:tcPr>
          <w:p w14:paraId="635A20E4">
            <w:pPr>
              <w:pStyle w:val="31"/>
              <w:keepNext w:val="0"/>
              <w:keepLines w:val="0"/>
              <w:pageBreakBefore w:val="0"/>
              <w:widowControl/>
              <w:kinsoku/>
              <w:wordWrap/>
              <w:overflowPunct/>
              <w:topLinePunct w:val="0"/>
              <w:autoSpaceDE/>
              <w:autoSpaceDN/>
              <w:bidi w:val="0"/>
              <w:adjustRightInd w:val="0"/>
              <w:snapToGrid w:val="0"/>
              <w:spacing w:before="0" w:beforeAutospacing="0" w:after="0" w:afterAutospacing="0"/>
              <w:ind w:left="-105" w:leftChars="-50" w:right="-105" w:rightChars="-5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bCs/>
                <w:color w:val="000000" w:themeColor="text1"/>
                <w:kern w:val="2"/>
                <w:sz w:val="21"/>
                <w:szCs w:val="21"/>
                <w14:textFill>
                  <w14:solidFill>
                    <w14:schemeClr w14:val="tx1"/>
                  </w14:solidFill>
                </w14:textFill>
              </w:rPr>
              <w:t>与项目有关的原有环境污染问题</w:t>
            </w:r>
          </w:p>
        </w:tc>
        <w:tc>
          <w:tcPr>
            <w:tcW w:w="8825" w:type="dxa"/>
            <w:noWrap w:val="0"/>
            <w:vAlign w:val="center"/>
          </w:tcPr>
          <w:p w14:paraId="17E99B3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bCs/>
                <w:color w:val="000000" w:themeColor="text1"/>
                <w:sz w:val="24"/>
                <w:szCs w:val="24"/>
                <w:lang w:val="en-US" w:eastAsia="zh-CN"/>
                <w14:textFill>
                  <w14:solidFill>
                    <w14:schemeClr w14:val="tx1"/>
                  </w14:solidFill>
                </w14:textFill>
              </w:rPr>
            </w:pPr>
            <w:r>
              <w:rPr>
                <w:rFonts w:hint="default" w:ascii="Times New Roman" w:hAnsi="Times New Roman" w:cs="Times New Roman"/>
                <w:bCs/>
                <w:color w:val="000000" w:themeColor="text1"/>
                <w:sz w:val="24"/>
                <w:szCs w:val="24"/>
                <w:lang w:val="en-US" w:eastAsia="zh-CN"/>
                <w14:textFill>
                  <w14:solidFill>
                    <w14:schemeClr w14:val="tx1"/>
                  </w14:solidFill>
                </w14:textFill>
              </w:rPr>
              <w:t>本项目租赁已建成生产厂房，无与项目有关的原有污染问题，迁建项目原有厂址地面均已硬化，迁建后设备及原辅料等将全部搬至新厂，不会遗留相关环境问题。</w:t>
            </w:r>
          </w:p>
          <w:p w14:paraId="3C0B16FC">
            <w:pPr>
              <w:keepNext/>
              <w:keepLines/>
              <w:pageBreakBefore w:val="0"/>
              <w:widowControl/>
              <w:kinsoku/>
              <w:wordWrap/>
              <w:overflowPunct/>
              <w:topLinePunct w:val="0"/>
              <w:autoSpaceDE/>
              <w:autoSpaceDN/>
              <w:bidi w:val="0"/>
              <w:adjustRightInd/>
              <w:snapToGrid/>
              <w:spacing w:line="360" w:lineRule="auto"/>
              <w:jc w:val="left"/>
              <w:textAlignment w:val="auto"/>
              <w:outlineLvl w:val="1"/>
              <w:rPr>
                <w:rFonts w:hint="default" w:ascii="Times New Roman" w:hAnsi="Times New Roman" w:eastAsia="黑体" w:cs="Times New Roman"/>
                <w:bCs/>
                <w:color w:val="000000" w:themeColor="text1"/>
                <w:sz w:val="28"/>
                <w:szCs w:val="28"/>
                <w:lang w:val="en-US" w:eastAsia="zh-CN"/>
                <w14:textFill>
                  <w14:solidFill>
                    <w14:schemeClr w14:val="tx1"/>
                  </w14:solidFill>
                </w14:textFill>
              </w:rPr>
            </w:pPr>
            <w:r>
              <w:rPr>
                <w:rFonts w:hint="default" w:ascii="Times New Roman" w:hAnsi="Times New Roman" w:eastAsia="黑体" w:cs="Times New Roman"/>
                <w:bCs/>
                <w:color w:val="000000" w:themeColor="text1"/>
                <w:sz w:val="28"/>
                <w:szCs w:val="28"/>
                <w:lang w:val="en-US" w:eastAsia="zh-CN"/>
                <w14:textFill>
                  <w14:solidFill>
                    <w14:schemeClr w14:val="tx1"/>
                  </w14:solidFill>
                </w14:textFill>
              </w:rPr>
              <w:t>1</w:t>
            </w:r>
            <w:r>
              <w:rPr>
                <w:rFonts w:hint="default" w:ascii="Times New Roman" w:hAnsi="Times New Roman" w:cs="Times New Roman"/>
                <w:b/>
                <w:bCs/>
                <w:color w:val="000000" w:themeColor="text1"/>
                <w:sz w:val="24"/>
                <w:lang w:val="en-US" w:eastAsia="zh-CN"/>
                <w14:textFill>
                  <w14:solidFill>
                    <w14:schemeClr w14:val="tx1"/>
                  </w14:solidFill>
                </w14:textFill>
              </w:rPr>
              <w:t>.</w:t>
            </w:r>
            <w:r>
              <w:rPr>
                <w:rFonts w:hint="default" w:ascii="Times New Roman" w:hAnsi="Times New Roman" w:eastAsia="宋体" w:cs="Times New Roman"/>
                <w:b/>
                <w:bCs/>
                <w:color w:val="000000" w:themeColor="text1"/>
                <w:sz w:val="24"/>
                <w:lang w:val="en-US" w:eastAsia="zh-CN"/>
                <w14:textFill>
                  <w14:solidFill>
                    <w14:schemeClr w14:val="tx1"/>
                  </w14:solidFill>
                </w14:textFill>
              </w:rPr>
              <w:t>原有项目环评及验收情况</w:t>
            </w:r>
          </w:p>
          <w:p w14:paraId="623F4BF1">
            <w:pPr>
              <w:keepNext w:val="0"/>
              <w:keepLines w:val="0"/>
              <w:pageBreakBefore w:val="0"/>
              <w:kinsoku/>
              <w:wordWrap w:val="0"/>
              <w:overflowPunct/>
              <w:topLinePunct w:val="0"/>
              <w:autoSpaceDE/>
              <w:autoSpaceDN/>
              <w:bidi w:val="0"/>
              <w:spacing w:beforeAutospacing="0" w:afterAutospacing="0" w:line="360" w:lineRule="auto"/>
              <w:ind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lang w:eastAsia="zh-CN"/>
                <w14:textFill>
                  <w14:solidFill>
                    <w14:schemeClr w14:val="tx1"/>
                  </w14:solidFill>
                </w14:textFill>
              </w:rPr>
              <w:t>陕西富宸田鑫电子有限公司</w:t>
            </w:r>
            <w:r>
              <w:rPr>
                <w:rFonts w:hint="default" w:ascii="Times New Roman" w:hAnsi="Times New Roman" w:cs="Times New Roman"/>
                <w:color w:val="000000" w:themeColor="text1"/>
                <w:sz w:val="24"/>
                <w:lang w:val="en-US" w:eastAsia="zh-CN"/>
                <w14:textFill>
                  <w14:solidFill>
                    <w14:schemeClr w14:val="tx1"/>
                  </w14:solidFill>
                </w14:textFill>
              </w:rPr>
              <w:t>于2021年11月委托陕西恒绿环保有限公司编制完成了《陕西富宸田鑫电子有限公司年产2亿只智能电子元器件生产线建设项目环境影响报告表》，2022年7月16日，宝鸡市生态环境局凤翔分局以宝环凤函</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lang w:val="en-US" w:eastAsia="zh-CN"/>
                <w14:textFill>
                  <w14:solidFill>
                    <w14:schemeClr w14:val="tx1"/>
                  </w14:solidFill>
                </w14:textFill>
              </w:rPr>
              <w:t>2022</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lang w:val="en-US" w:eastAsia="zh-CN"/>
                <w14:textFill>
                  <w14:solidFill>
                    <w14:schemeClr w14:val="tx1"/>
                  </w14:solidFill>
                </w14:textFill>
              </w:rPr>
              <w:t>38号文件对项目进行批复。2022年7月开工建设，2022年8月建成，2022年9月委托陕西秦景蓝环境检测技术有限公司进行验收监测，并完成竣工验收。</w:t>
            </w:r>
          </w:p>
          <w:tbl>
            <w:tblPr>
              <w:tblStyle w:val="37"/>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547"/>
              <w:gridCol w:w="1056"/>
              <w:gridCol w:w="723"/>
              <w:gridCol w:w="1058"/>
              <w:gridCol w:w="1612"/>
              <w:gridCol w:w="1583"/>
            </w:tblGrid>
            <w:tr w14:paraId="1D9EA4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gridSpan w:val="6"/>
                  <w:tcBorders>
                    <w:tl2br w:val="nil"/>
                    <w:tr2bl w:val="nil"/>
                  </w:tcBorders>
                  <w:noWrap w:val="0"/>
                  <w:vAlign w:val="center"/>
                </w:tcPr>
                <w:p w14:paraId="7C7809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原有项目“三同时”情况</w:t>
                  </w:r>
                </w:p>
              </w:tc>
            </w:tr>
            <w:tr w14:paraId="537B7C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92" w:type="pct"/>
                  <w:vMerge w:val="restart"/>
                  <w:tcBorders>
                    <w:tl2br w:val="nil"/>
                    <w:tr2bl w:val="nil"/>
                  </w:tcBorders>
                  <w:noWrap w:val="0"/>
                  <w:vAlign w:val="center"/>
                </w:tcPr>
                <w:p w14:paraId="04D779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项目名称</w:t>
                  </w:r>
                </w:p>
              </w:tc>
              <w:tc>
                <w:tcPr>
                  <w:tcW w:w="2578" w:type="pct"/>
                  <w:gridSpan w:val="4"/>
                  <w:tcBorders>
                    <w:tl2br w:val="nil"/>
                    <w:tr2bl w:val="nil"/>
                  </w:tcBorders>
                  <w:noWrap w:val="0"/>
                  <w:vAlign w:val="center"/>
                </w:tcPr>
                <w:p w14:paraId="0F3255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审批情况</w:t>
                  </w:r>
                </w:p>
              </w:tc>
              <w:tc>
                <w:tcPr>
                  <w:tcW w:w="929" w:type="pct"/>
                  <w:tcBorders>
                    <w:tl2br w:val="nil"/>
                    <w:tr2bl w:val="nil"/>
                  </w:tcBorders>
                  <w:noWrap w:val="0"/>
                  <w:vAlign w:val="center"/>
                </w:tcPr>
                <w:p w14:paraId="0BE687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验收情况</w:t>
                  </w:r>
                </w:p>
              </w:tc>
            </w:tr>
            <w:tr w14:paraId="12DEF4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92" w:type="pct"/>
                  <w:vMerge w:val="continue"/>
                  <w:tcBorders>
                    <w:tl2br w:val="nil"/>
                    <w:tr2bl w:val="nil"/>
                  </w:tcBorders>
                  <w:noWrap w:val="0"/>
                  <w:vAlign w:val="center"/>
                </w:tcPr>
                <w:p w14:paraId="2CF275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p>
              </w:tc>
              <w:tc>
                <w:tcPr>
                  <w:tcW w:w="578" w:type="pct"/>
                  <w:tcBorders>
                    <w:tl2br w:val="nil"/>
                    <w:tr2bl w:val="nil"/>
                  </w:tcBorders>
                  <w:noWrap w:val="0"/>
                  <w:vAlign w:val="center"/>
                </w:tcPr>
                <w:p w14:paraId="3F3697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时间</w:t>
                  </w:r>
                </w:p>
              </w:tc>
              <w:tc>
                <w:tcPr>
                  <w:tcW w:w="1053" w:type="pct"/>
                  <w:gridSpan w:val="2"/>
                  <w:tcBorders>
                    <w:tl2br w:val="nil"/>
                    <w:tr2bl w:val="nil"/>
                  </w:tcBorders>
                  <w:noWrap w:val="0"/>
                  <w:vAlign w:val="center"/>
                </w:tcPr>
                <w:p w14:paraId="4F816F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部门</w:t>
                  </w:r>
                </w:p>
              </w:tc>
              <w:tc>
                <w:tcPr>
                  <w:tcW w:w="947" w:type="pct"/>
                  <w:tcBorders>
                    <w:tl2br w:val="nil"/>
                    <w:tr2bl w:val="nil"/>
                  </w:tcBorders>
                  <w:noWrap w:val="0"/>
                  <w:vAlign w:val="center"/>
                </w:tcPr>
                <w:p w14:paraId="3B79F0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文号</w:t>
                  </w:r>
                </w:p>
              </w:tc>
              <w:tc>
                <w:tcPr>
                  <w:tcW w:w="929" w:type="pct"/>
                  <w:tcBorders>
                    <w:tl2br w:val="nil"/>
                    <w:tr2bl w:val="nil"/>
                  </w:tcBorders>
                  <w:noWrap w:val="0"/>
                  <w:vAlign w:val="center"/>
                </w:tcPr>
                <w:p w14:paraId="449C16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时间</w:t>
                  </w:r>
                </w:p>
              </w:tc>
            </w:tr>
            <w:tr w14:paraId="5B1A30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92" w:type="pct"/>
                  <w:tcBorders>
                    <w:tl2br w:val="nil"/>
                    <w:tr2bl w:val="nil"/>
                  </w:tcBorders>
                  <w:noWrap w:val="0"/>
                  <w:vAlign w:val="center"/>
                </w:tcPr>
                <w:p w14:paraId="74CE83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年产2亿只智能电子元器件生产线建设项目</w:t>
                  </w:r>
                </w:p>
              </w:tc>
              <w:tc>
                <w:tcPr>
                  <w:tcW w:w="578" w:type="pct"/>
                  <w:tcBorders>
                    <w:tl2br w:val="nil"/>
                    <w:tr2bl w:val="nil"/>
                  </w:tcBorders>
                  <w:noWrap w:val="0"/>
                  <w:vAlign w:val="center"/>
                </w:tcPr>
                <w:p w14:paraId="7495DF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2022.7.16</w:t>
                  </w:r>
                </w:p>
              </w:tc>
              <w:tc>
                <w:tcPr>
                  <w:tcW w:w="1053" w:type="pct"/>
                  <w:gridSpan w:val="2"/>
                  <w:tcBorders>
                    <w:tl2br w:val="nil"/>
                    <w:tr2bl w:val="nil"/>
                  </w:tcBorders>
                  <w:noWrap w:val="0"/>
                  <w:vAlign w:val="center"/>
                </w:tcPr>
                <w:p w14:paraId="3C75A5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t>宝鸡市生态环境局凤翔分局</w:t>
                  </w:r>
                </w:p>
              </w:tc>
              <w:tc>
                <w:tcPr>
                  <w:tcW w:w="947" w:type="pct"/>
                  <w:tcBorders>
                    <w:tl2br w:val="nil"/>
                    <w:tr2bl w:val="nil"/>
                  </w:tcBorders>
                  <w:noWrap w:val="0"/>
                  <w:vAlign w:val="center"/>
                </w:tcPr>
                <w:p w14:paraId="55C120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eastAsia="zh-CN"/>
                      <w14:textFill>
                        <w14:solidFill>
                          <w14:schemeClr w14:val="tx1"/>
                        </w14:solidFill>
                      </w14:textFill>
                    </w:rPr>
                    <w:t>宝环</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凤</w:t>
                  </w:r>
                  <w:r>
                    <w:rPr>
                      <w:rFonts w:hint="default" w:ascii="Times New Roman" w:hAnsi="Times New Roman" w:eastAsia="宋体" w:cs="Times New Roman"/>
                      <w:color w:val="000000" w:themeColor="text1"/>
                      <w:sz w:val="21"/>
                      <w:szCs w:val="21"/>
                      <w:lang w:eastAsia="zh-CN"/>
                      <w14:textFill>
                        <w14:solidFill>
                          <w14:schemeClr w14:val="tx1"/>
                        </w14:solidFill>
                      </w14:textFill>
                    </w:rPr>
                    <w:t>函〔20</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22</w:t>
                  </w:r>
                  <w:r>
                    <w:rPr>
                      <w:rFonts w:hint="default" w:ascii="Times New Roman" w:hAnsi="Times New Roman" w:eastAsia="宋体" w:cs="Times New Roman"/>
                      <w:color w:val="000000" w:themeColor="text1"/>
                      <w:sz w:val="21"/>
                      <w:szCs w:val="21"/>
                      <w:lang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38</w:t>
                  </w:r>
                  <w:r>
                    <w:rPr>
                      <w:rFonts w:hint="default" w:ascii="Times New Roman" w:hAnsi="Times New Roman" w:eastAsia="宋体" w:cs="Times New Roman"/>
                      <w:color w:val="000000" w:themeColor="text1"/>
                      <w:sz w:val="21"/>
                      <w:szCs w:val="21"/>
                      <w:lang w:eastAsia="zh-CN"/>
                      <w14:textFill>
                        <w14:solidFill>
                          <w14:schemeClr w14:val="tx1"/>
                        </w14:solidFill>
                      </w14:textFill>
                    </w:rPr>
                    <w:t>号</w:t>
                  </w:r>
                </w:p>
              </w:tc>
              <w:tc>
                <w:tcPr>
                  <w:tcW w:w="929" w:type="pct"/>
                  <w:tcBorders>
                    <w:tl2br w:val="nil"/>
                    <w:tr2bl w:val="nil"/>
                  </w:tcBorders>
                  <w:noWrap w:val="0"/>
                  <w:vAlign w:val="center"/>
                </w:tcPr>
                <w:p w14:paraId="6A19A9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2022.09</w:t>
                  </w:r>
                </w:p>
              </w:tc>
            </w:tr>
            <w:tr w14:paraId="100FC4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gridSpan w:val="6"/>
                  <w:tcBorders>
                    <w:tl2br w:val="nil"/>
                    <w:tr2bl w:val="nil"/>
                  </w:tcBorders>
                  <w:noWrap w:val="0"/>
                  <w:vAlign w:val="center"/>
                </w:tcPr>
                <w:p w14:paraId="540680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排污许可执行情况</w:t>
                  </w:r>
                </w:p>
              </w:tc>
            </w:tr>
            <w:tr w14:paraId="0E0D63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99" w:type="pct"/>
                  <w:gridSpan w:val="3"/>
                  <w:tcBorders>
                    <w:tl2br w:val="nil"/>
                    <w:tr2bl w:val="nil"/>
                  </w:tcBorders>
                  <w:noWrap w:val="0"/>
                  <w:vAlign w:val="center"/>
                </w:tcPr>
                <w:p w14:paraId="3B3865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许可证编号</w:t>
                  </w:r>
                </w:p>
              </w:tc>
              <w:tc>
                <w:tcPr>
                  <w:tcW w:w="2500" w:type="pct"/>
                  <w:gridSpan w:val="3"/>
                  <w:tcBorders>
                    <w:tl2br w:val="nil"/>
                    <w:tr2bl w:val="nil"/>
                  </w:tcBorders>
                  <w:noWrap w:val="0"/>
                  <w:vAlign w:val="center"/>
                </w:tcPr>
                <w:p w14:paraId="2E3AC49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有效期</w:t>
                  </w:r>
                </w:p>
              </w:tc>
            </w:tr>
            <w:tr w14:paraId="628020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99" w:type="pct"/>
                  <w:gridSpan w:val="3"/>
                  <w:tcBorders>
                    <w:tl2br w:val="nil"/>
                    <w:tr2bl w:val="nil"/>
                  </w:tcBorders>
                  <w:noWrap w:val="0"/>
                  <w:vAlign w:val="center"/>
                </w:tcPr>
                <w:p w14:paraId="4BEDDC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91610322MA6XKB2P4G001Z</w:t>
                  </w:r>
                </w:p>
              </w:tc>
              <w:tc>
                <w:tcPr>
                  <w:tcW w:w="2500" w:type="pct"/>
                  <w:gridSpan w:val="3"/>
                  <w:tcBorders>
                    <w:tl2br w:val="nil"/>
                    <w:tr2bl w:val="nil"/>
                  </w:tcBorders>
                  <w:noWrap w:val="0"/>
                  <w:vAlign w:val="center"/>
                </w:tcPr>
                <w:p w14:paraId="1E84EE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202</w:t>
                  </w:r>
                  <w:r>
                    <w:rPr>
                      <w:rFonts w:hint="eastAsia" w:cs="Times New Roman"/>
                      <w:color w:val="000000" w:themeColor="text1"/>
                      <w:sz w:val="21"/>
                      <w:szCs w:val="21"/>
                      <w:vertAlign w:val="baseline"/>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w:t>
                  </w:r>
                  <w:r>
                    <w:rPr>
                      <w:rFonts w:hint="eastAsia" w:cs="Times New Roman"/>
                      <w:color w:val="000000" w:themeColor="text1"/>
                      <w:sz w:val="21"/>
                      <w:szCs w:val="21"/>
                      <w:vertAlign w:val="baseline"/>
                      <w:lang w:val="en-US" w:eastAsia="zh-CN"/>
                      <w14:textFill>
                        <w14:solidFill>
                          <w14:schemeClr w14:val="tx1"/>
                        </w14:solidFill>
                      </w14:textFill>
                    </w:rPr>
                    <w:t>05</w:t>
                  </w: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w:t>
                  </w:r>
                  <w:r>
                    <w:rPr>
                      <w:rFonts w:hint="eastAsia" w:cs="Times New Roman"/>
                      <w:color w:val="000000" w:themeColor="text1"/>
                      <w:sz w:val="21"/>
                      <w:szCs w:val="21"/>
                      <w:vertAlign w:val="baseline"/>
                      <w:lang w:val="en-US" w:eastAsia="zh-CN"/>
                      <w14:textFill>
                        <w14:solidFill>
                          <w14:schemeClr w14:val="tx1"/>
                        </w14:solidFill>
                      </w14:textFill>
                    </w:rPr>
                    <w:t>30</w:t>
                  </w: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至20</w:t>
                  </w:r>
                  <w:r>
                    <w:rPr>
                      <w:rFonts w:hint="eastAsia" w:cs="Times New Roman"/>
                      <w:color w:val="000000" w:themeColor="text1"/>
                      <w:sz w:val="21"/>
                      <w:szCs w:val="21"/>
                      <w:vertAlign w:val="baseline"/>
                      <w:lang w:val="en-US" w:eastAsia="zh-CN"/>
                      <w14:textFill>
                        <w14:solidFill>
                          <w14:schemeClr w14:val="tx1"/>
                        </w14:solidFill>
                      </w14:textFill>
                    </w:rPr>
                    <w:t>27</w:t>
                  </w: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w:t>
                  </w:r>
                  <w:r>
                    <w:rPr>
                      <w:rFonts w:hint="eastAsia" w:cs="Times New Roman"/>
                      <w:color w:val="000000" w:themeColor="text1"/>
                      <w:sz w:val="21"/>
                      <w:szCs w:val="21"/>
                      <w:vertAlign w:val="baseline"/>
                      <w:lang w:val="en-US" w:eastAsia="zh-CN"/>
                      <w14:textFill>
                        <w14:solidFill>
                          <w14:schemeClr w14:val="tx1"/>
                        </w14:solidFill>
                      </w14:textFill>
                    </w:rPr>
                    <w:t>05</w:t>
                  </w: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-2</w:t>
                  </w:r>
                  <w:r>
                    <w:rPr>
                      <w:rFonts w:hint="eastAsia" w:cs="Times New Roman"/>
                      <w:color w:val="000000" w:themeColor="text1"/>
                      <w:sz w:val="21"/>
                      <w:szCs w:val="21"/>
                      <w:vertAlign w:val="baseline"/>
                      <w:lang w:val="en-US" w:eastAsia="zh-CN"/>
                      <w14:textFill>
                        <w14:solidFill>
                          <w14:schemeClr w14:val="tx1"/>
                        </w14:solidFill>
                      </w14:textFill>
                    </w:rPr>
                    <w:t>9</w:t>
                  </w:r>
                </w:p>
              </w:tc>
            </w:tr>
          </w:tbl>
          <w:p w14:paraId="1D19756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000000" w:themeColor="text1"/>
                <w:sz w:val="24"/>
                <w:lang w:val="en-US" w:eastAsia="zh-CN"/>
                <w14:textFill>
                  <w14:solidFill>
                    <w14:schemeClr w14:val="tx1"/>
                  </w14:solidFill>
                </w14:textFill>
              </w:rPr>
            </w:pPr>
            <w:r>
              <w:rPr>
                <w:rFonts w:hint="default" w:ascii="Times New Roman" w:hAnsi="Times New Roman" w:cs="Times New Roman"/>
                <w:b w:val="0"/>
                <w:bCs w:val="0"/>
                <w:color w:val="000000" w:themeColor="text1"/>
                <w:sz w:val="24"/>
                <w:lang w:val="en-US" w:eastAsia="zh-CN"/>
                <w14:textFill>
                  <w14:solidFill>
                    <w14:schemeClr w14:val="tx1"/>
                  </w14:solidFill>
                </w14:textFill>
              </w:rPr>
              <w:t>根据现场调查，由于2025年无废气监测报告，故本次环评原有项目废气核算依据建设单位2024年12月份的监测报告。</w:t>
            </w:r>
          </w:p>
          <w:p w14:paraId="16AC262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bCs/>
                <w:color w:val="000000" w:themeColor="text1"/>
                <w:sz w:val="24"/>
                <w:lang w:val="en-US" w:eastAsia="zh-CN"/>
                <w14:textFill>
                  <w14:solidFill>
                    <w14:schemeClr w14:val="tx1"/>
                  </w14:solidFill>
                </w14:textFill>
              </w:rPr>
              <w:t>2</w:t>
            </w:r>
            <w:r>
              <w:rPr>
                <w:rFonts w:hint="default" w:ascii="Times New Roman" w:hAnsi="Times New Roman" w:cs="Times New Roman"/>
                <w:b/>
                <w:bCs/>
                <w:color w:val="000000" w:themeColor="text1"/>
                <w:sz w:val="24"/>
                <w:lang w:val="en-US" w:eastAsia="zh-CN"/>
                <w14:textFill>
                  <w14:solidFill>
                    <w14:schemeClr w14:val="tx1"/>
                  </w14:solidFill>
                </w14:textFill>
              </w:rPr>
              <w:t>.</w:t>
            </w:r>
            <w:r>
              <w:rPr>
                <w:rFonts w:hint="default" w:ascii="Times New Roman" w:hAnsi="Times New Roman" w:eastAsia="宋体" w:cs="Times New Roman"/>
                <w:b/>
                <w:bCs/>
                <w:color w:val="000000" w:themeColor="text1"/>
                <w:sz w:val="24"/>
                <w:lang w:val="en-US" w:eastAsia="zh-CN"/>
                <w14:textFill>
                  <w14:solidFill>
                    <w14:schemeClr w14:val="tx1"/>
                  </w14:solidFill>
                </w14:textFill>
              </w:rPr>
              <w:t>原有</w:t>
            </w:r>
            <w:r>
              <w:rPr>
                <w:rFonts w:hint="default" w:ascii="Times New Roman" w:hAnsi="Times New Roman" w:cs="Times New Roman"/>
                <w:b/>
                <w:bCs/>
                <w:color w:val="000000" w:themeColor="text1"/>
                <w:sz w:val="24"/>
                <w:lang w:val="en-US" w:eastAsia="zh-CN"/>
                <w14:textFill>
                  <w14:solidFill>
                    <w14:schemeClr w14:val="tx1"/>
                  </w14:solidFill>
                </w14:textFill>
              </w:rPr>
              <w:t>项目</w:t>
            </w:r>
            <w:r>
              <w:rPr>
                <w:rFonts w:hint="default" w:ascii="Times New Roman" w:hAnsi="Times New Roman" w:eastAsia="宋体" w:cs="Times New Roman"/>
                <w:b/>
                <w:bCs/>
                <w:color w:val="000000" w:themeColor="text1"/>
                <w:sz w:val="24"/>
                <w:lang w:val="en-US" w:eastAsia="zh-CN"/>
                <w14:textFill>
                  <w14:solidFill>
                    <w14:schemeClr w14:val="tx1"/>
                  </w14:solidFill>
                </w14:textFill>
              </w:rPr>
              <w:t>污染物实际排放总量</w:t>
            </w:r>
          </w:p>
          <w:p w14:paraId="467F545E">
            <w:pPr>
              <w:spacing w:line="360" w:lineRule="auto"/>
              <w:ind w:firstLine="480" w:firstLineChars="200"/>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（1）废水：原有项目废水仅为生活污水，生活污水排入厂区化粪池处理后，经市政污水管网进入凤翔区污水处理厂。</w:t>
            </w:r>
          </w:p>
          <w:p w14:paraId="5067105A">
            <w:pPr>
              <w:keepNext/>
              <w:keepLines/>
              <w:widowControl/>
              <w:spacing w:line="360" w:lineRule="auto"/>
              <w:ind w:firstLine="480" w:firstLineChars="200"/>
              <w:outlineLvl w:val="1"/>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Cs/>
                <w:color w:val="000000" w:themeColor="text1"/>
                <w:sz w:val="24"/>
                <w:lang w:val="en-US" w:eastAsia="zh-CN"/>
                <w14:textFill>
                  <w14:solidFill>
                    <w14:schemeClr w14:val="tx1"/>
                  </w14:solidFill>
                </w14:textFill>
              </w:rPr>
              <w:t>（2）噪声：</w:t>
            </w:r>
            <w:r>
              <w:rPr>
                <w:rFonts w:hint="default" w:ascii="Times New Roman" w:hAnsi="Times New Roman" w:eastAsia="宋体" w:cs="Times New Roman"/>
                <w:color w:val="000000" w:themeColor="text1"/>
                <w:sz w:val="24"/>
                <w:szCs w:val="24"/>
                <w:lang w:eastAsia="zh-CN"/>
                <w14:textFill>
                  <w14:solidFill>
                    <w14:schemeClr w14:val="tx1"/>
                  </w14:solidFill>
                </w14:textFill>
              </w:rPr>
              <w:t>原有项目运营过程中产生的噪声主要来源于生产设备，生产设备均在厂房内，</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通过</w:t>
            </w:r>
            <w:r>
              <w:rPr>
                <w:rFonts w:hint="default" w:ascii="Times New Roman" w:hAnsi="Times New Roman" w:eastAsia="宋体" w:cs="Times New Roman"/>
                <w:color w:val="000000" w:themeColor="text1"/>
                <w:sz w:val="24"/>
                <w:szCs w:val="24"/>
                <w:lang w:eastAsia="zh-CN"/>
                <w14:textFill>
                  <w14:solidFill>
                    <w14:schemeClr w14:val="tx1"/>
                  </w14:solidFill>
                </w14:textFill>
              </w:rPr>
              <w:t>厂房隔声</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、距离衰减</w:t>
            </w:r>
            <w:r>
              <w:rPr>
                <w:rFonts w:hint="default" w:ascii="Times New Roman" w:hAnsi="Times New Roman" w:eastAsia="宋体" w:cs="Times New Roman"/>
                <w:color w:val="000000" w:themeColor="text1"/>
                <w:sz w:val="24"/>
                <w:szCs w:val="24"/>
                <w:lang w:eastAsia="zh-CN"/>
                <w14:textFill>
                  <w14:solidFill>
                    <w14:schemeClr w14:val="tx1"/>
                  </w14:solidFill>
                </w14:textFill>
              </w:rPr>
              <w:t>等</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隔声</w:t>
            </w:r>
            <w:r>
              <w:rPr>
                <w:rFonts w:hint="default" w:ascii="Times New Roman" w:hAnsi="Times New Roman" w:eastAsia="宋体" w:cs="Times New Roman"/>
                <w:color w:val="000000" w:themeColor="text1"/>
                <w:sz w:val="24"/>
                <w:szCs w:val="24"/>
                <w:lang w:eastAsia="zh-CN"/>
                <w14:textFill>
                  <w14:solidFill>
                    <w14:schemeClr w14:val="tx1"/>
                  </w14:solidFill>
                </w14:textFill>
              </w:rPr>
              <w:t>降噪。</w:t>
            </w:r>
            <w:r>
              <w:rPr>
                <w:rFonts w:hint="default" w:ascii="Times New Roman" w:hAnsi="Times New Roman" w:cs="Times New Roman"/>
                <w:color w:val="000000" w:themeColor="text1"/>
                <w:sz w:val="24"/>
                <w:szCs w:val="24"/>
                <w:lang w:val="en-US" w:eastAsia="zh-CN"/>
                <w14:textFill>
                  <w14:solidFill>
                    <w14:schemeClr w14:val="tx1"/>
                  </w14:solidFill>
                </w14:textFill>
              </w:rPr>
              <w:t>根据</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陕西森美佳境环境检测有限公司于2024年12月11日对</w:t>
            </w:r>
            <w:r>
              <w:rPr>
                <w:rFonts w:hint="default" w:ascii="Times New Roman" w:hAnsi="Times New Roman" w:cs="Times New Roman"/>
                <w:color w:val="000000" w:themeColor="text1"/>
                <w:sz w:val="24"/>
                <w:szCs w:val="24"/>
                <w:lang w:val="en-US" w:eastAsia="zh-CN"/>
                <w14:textFill>
                  <w14:solidFill>
                    <w14:schemeClr w14:val="tx1"/>
                  </w14:solidFill>
                </w14:textFill>
              </w:rPr>
              <w:t>原有项目</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厂界四周的噪声自行监测报告【森美佳境监（综）字【2024】第12040号】</w:t>
            </w:r>
            <w:r>
              <w:rPr>
                <w:rFonts w:hint="default" w:ascii="Times New Roman" w:hAnsi="Times New Roman" w:cs="Times New Roman"/>
                <w:color w:val="000000" w:themeColor="text1"/>
                <w:sz w:val="24"/>
                <w:szCs w:val="24"/>
                <w:lang w:val="en-US" w:eastAsia="zh-CN"/>
                <w14:textFill>
                  <w14:solidFill>
                    <w14:schemeClr w14:val="tx1"/>
                  </w14:solidFill>
                </w14:textFill>
              </w:rPr>
              <w:t>可知，项目厂界四周环境噪声值满足《工业企业厂界环境噪声排放标准》GB 12348-200</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8中</w:t>
            </w:r>
            <w:r>
              <w:rPr>
                <w:rFonts w:hint="default" w:ascii="Times New Roman" w:hAnsi="Times New Roman" w:cs="Times New Roman"/>
                <w:color w:val="000000" w:themeColor="text1"/>
                <w:sz w:val="24"/>
                <w:szCs w:val="24"/>
                <w:lang w:val="en-US" w:eastAsia="zh-CN"/>
                <w14:textFill>
                  <w14:solidFill>
                    <w14:schemeClr w14:val="tx1"/>
                  </w14:solidFill>
                </w14:textFill>
              </w:rPr>
              <w:t>的</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2类</w:t>
            </w:r>
            <w:r>
              <w:rPr>
                <w:rFonts w:hint="default" w:ascii="Times New Roman" w:hAnsi="Times New Roman" w:cs="Times New Roman"/>
                <w:color w:val="000000" w:themeColor="text1"/>
                <w:sz w:val="24"/>
                <w:szCs w:val="24"/>
                <w:lang w:val="en-US" w:eastAsia="zh-CN"/>
                <w14:textFill>
                  <w14:solidFill>
                    <w14:schemeClr w14:val="tx1"/>
                  </w14:solidFill>
                </w14:textFill>
              </w:rPr>
              <w:t>标准</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。具体监测数据见下表：</w:t>
            </w:r>
          </w:p>
          <w:p w14:paraId="41366F0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color w:val="000000" w:themeColor="text1"/>
                <w:sz w:val="21"/>
                <w:szCs w:val="21"/>
                <w:lang w:val="en-US" w:eastAsia="zh-CN"/>
                <w14:textFill>
                  <w14:solidFill>
                    <w14:schemeClr w14:val="tx1"/>
                  </w14:solidFill>
                </w14:textFill>
              </w:rPr>
              <w:t>表2-</w:t>
            </w:r>
            <w:r>
              <w:rPr>
                <w:rFonts w:hint="default" w:ascii="Times New Roman" w:hAnsi="Times New Roman" w:cs="Times New Roman"/>
                <w:b/>
                <w:color w:val="000000" w:themeColor="text1"/>
                <w:sz w:val="21"/>
                <w:szCs w:val="21"/>
                <w:lang w:val="en-US" w:eastAsia="zh-CN"/>
                <w14:textFill>
                  <w14:solidFill>
                    <w14:schemeClr w14:val="tx1"/>
                  </w14:solidFill>
                </w14:textFill>
              </w:rPr>
              <w:t>8</w:t>
            </w:r>
            <w:r>
              <w:rPr>
                <w:rFonts w:hint="default" w:ascii="Times New Roman" w:hAnsi="Times New Roman" w:eastAsia="宋体" w:cs="Times New Roman"/>
                <w:b/>
                <w:color w:val="000000" w:themeColor="text1"/>
                <w:sz w:val="21"/>
                <w:szCs w:val="21"/>
                <w:lang w:val="en-US" w:eastAsia="zh-CN"/>
                <w14:textFill>
                  <w14:solidFill>
                    <w14:schemeClr w14:val="tx1"/>
                  </w14:solidFill>
                </w14:textFill>
              </w:rPr>
              <w:t xml:space="preserve">   厂界现状噪声监测一览表</w:t>
            </w:r>
          </w:p>
          <w:tbl>
            <w:tblPr>
              <w:tblStyle w:val="37"/>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140"/>
              <w:gridCol w:w="2145"/>
              <w:gridCol w:w="2145"/>
              <w:gridCol w:w="2146"/>
            </w:tblGrid>
            <w:tr w14:paraId="22FE3A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47" w:type="pct"/>
                  <w:vMerge w:val="restart"/>
                  <w:tcBorders>
                    <w:tl2br w:val="nil"/>
                    <w:tr2bl w:val="nil"/>
                  </w:tcBorders>
                  <w:noWrap w:val="0"/>
                  <w:vAlign w:val="center"/>
                </w:tcPr>
                <w:p w14:paraId="40552D1B">
                  <w:pPr>
                    <w:keepNext/>
                    <w:keepLines/>
                    <w:pageBreakBefore w:val="0"/>
                    <w:widowControl/>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监测日期</w:t>
                  </w:r>
                </w:p>
              </w:tc>
              <w:tc>
                <w:tcPr>
                  <w:tcW w:w="1250" w:type="pct"/>
                  <w:vMerge w:val="restart"/>
                  <w:tcBorders>
                    <w:tl2br w:val="nil"/>
                    <w:tr2bl w:val="nil"/>
                  </w:tcBorders>
                  <w:noWrap w:val="0"/>
                  <w:vAlign w:val="center"/>
                </w:tcPr>
                <w:p w14:paraId="34EBECC2">
                  <w:pPr>
                    <w:keepNext/>
                    <w:keepLines/>
                    <w:pageBreakBefore w:val="0"/>
                    <w:widowControl/>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监测点位</w:t>
                  </w:r>
                </w:p>
              </w:tc>
              <w:tc>
                <w:tcPr>
                  <w:tcW w:w="1250" w:type="pct"/>
                  <w:tcBorders>
                    <w:tl2br w:val="nil"/>
                    <w:tr2bl w:val="nil"/>
                  </w:tcBorders>
                  <w:noWrap w:val="0"/>
                  <w:vAlign w:val="center"/>
                </w:tcPr>
                <w:p w14:paraId="12399D28">
                  <w:pPr>
                    <w:keepNext/>
                    <w:keepLines/>
                    <w:pageBreakBefore w:val="0"/>
                    <w:widowControl/>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监测时段</w:t>
                  </w:r>
                </w:p>
              </w:tc>
              <w:tc>
                <w:tcPr>
                  <w:tcW w:w="1250" w:type="pct"/>
                  <w:vMerge w:val="restart"/>
                  <w:tcBorders>
                    <w:tl2br w:val="nil"/>
                    <w:tr2bl w:val="nil"/>
                  </w:tcBorders>
                  <w:noWrap w:val="0"/>
                  <w:vAlign w:val="center"/>
                </w:tcPr>
                <w:p w14:paraId="0B62AB16">
                  <w:pPr>
                    <w:keepNext/>
                    <w:keepLines/>
                    <w:pageBreakBefore w:val="0"/>
                    <w:widowControl/>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执行标准</w:t>
                  </w:r>
                </w:p>
              </w:tc>
            </w:tr>
            <w:tr w14:paraId="4A1E8E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47" w:type="pct"/>
                  <w:vMerge w:val="continue"/>
                  <w:tcBorders>
                    <w:tl2br w:val="nil"/>
                    <w:tr2bl w:val="nil"/>
                  </w:tcBorders>
                  <w:noWrap w:val="0"/>
                  <w:vAlign w:val="center"/>
                </w:tcPr>
                <w:p w14:paraId="685AD135">
                  <w:pPr>
                    <w:keepNext/>
                    <w:keepLines/>
                    <w:pageBreakBefore w:val="0"/>
                    <w:widowControl/>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cs="Times New Roman"/>
                      <w:color w:val="000000" w:themeColor="text1"/>
                      <w:lang w:val="en-US" w:eastAsia="zh-CN"/>
                      <w14:textFill>
                        <w14:solidFill>
                          <w14:schemeClr w14:val="tx1"/>
                        </w14:solidFill>
                      </w14:textFill>
                    </w:rPr>
                  </w:pPr>
                </w:p>
              </w:tc>
              <w:tc>
                <w:tcPr>
                  <w:tcW w:w="1250" w:type="pct"/>
                  <w:vMerge w:val="continue"/>
                  <w:tcBorders>
                    <w:tl2br w:val="nil"/>
                    <w:tr2bl w:val="nil"/>
                  </w:tcBorders>
                  <w:noWrap w:val="0"/>
                  <w:vAlign w:val="center"/>
                </w:tcPr>
                <w:p w14:paraId="7EBD17F2">
                  <w:pPr>
                    <w:keepNext/>
                    <w:keepLines/>
                    <w:pageBreakBefore w:val="0"/>
                    <w:widowControl/>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cs="Times New Roman"/>
                      <w:color w:val="000000" w:themeColor="text1"/>
                      <w:lang w:val="en-US" w:eastAsia="zh-CN"/>
                      <w14:textFill>
                        <w14:solidFill>
                          <w14:schemeClr w14:val="tx1"/>
                        </w14:solidFill>
                      </w14:textFill>
                    </w:rPr>
                  </w:pPr>
                </w:p>
              </w:tc>
              <w:tc>
                <w:tcPr>
                  <w:tcW w:w="1250" w:type="pct"/>
                  <w:tcBorders>
                    <w:tl2br w:val="nil"/>
                    <w:tr2bl w:val="nil"/>
                  </w:tcBorders>
                  <w:noWrap w:val="0"/>
                  <w:vAlign w:val="center"/>
                </w:tcPr>
                <w:p w14:paraId="1E75E18B">
                  <w:pPr>
                    <w:keepNext/>
                    <w:keepLines/>
                    <w:pageBreakBefore w:val="0"/>
                    <w:widowControl/>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昼间</w:t>
                  </w:r>
                </w:p>
              </w:tc>
              <w:tc>
                <w:tcPr>
                  <w:tcW w:w="1250" w:type="pct"/>
                  <w:vMerge w:val="continue"/>
                  <w:tcBorders>
                    <w:tl2br w:val="nil"/>
                    <w:tr2bl w:val="nil"/>
                  </w:tcBorders>
                  <w:noWrap w:val="0"/>
                  <w:vAlign w:val="center"/>
                </w:tcPr>
                <w:p w14:paraId="647BCEA4">
                  <w:pPr>
                    <w:keepNext/>
                    <w:keepLines/>
                    <w:pageBreakBefore w:val="0"/>
                    <w:widowControl/>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cs="Times New Roman"/>
                      <w:color w:val="000000" w:themeColor="text1"/>
                      <w:lang w:val="en-US" w:eastAsia="zh-CN"/>
                      <w14:textFill>
                        <w14:solidFill>
                          <w14:schemeClr w14:val="tx1"/>
                        </w14:solidFill>
                      </w14:textFill>
                    </w:rPr>
                  </w:pPr>
                </w:p>
              </w:tc>
            </w:tr>
            <w:tr w14:paraId="7B88AB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247" w:type="pct"/>
                  <w:vMerge w:val="restart"/>
                  <w:tcBorders>
                    <w:tl2br w:val="nil"/>
                    <w:tr2bl w:val="nil"/>
                  </w:tcBorders>
                  <w:noWrap w:val="0"/>
                  <w:vAlign w:val="center"/>
                </w:tcPr>
                <w:p w14:paraId="48F0F04E">
                  <w:pPr>
                    <w:keepNext/>
                    <w:keepLines/>
                    <w:pageBreakBefore w:val="0"/>
                    <w:widowControl/>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2024.12.11</w:t>
                  </w:r>
                </w:p>
              </w:tc>
              <w:tc>
                <w:tcPr>
                  <w:tcW w:w="1250" w:type="pct"/>
                  <w:tcBorders>
                    <w:tl2br w:val="nil"/>
                    <w:tr2bl w:val="nil"/>
                  </w:tcBorders>
                  <w:noWrap w:val="0"/>
                  <w:vAlign w:val="center"/>
                </w:tcPr>
                <w:p w14:paraId="299BF2EE">
                  <w:pPr>
                    <w:pStyle w:val="28"/>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420" w:leftChars="0" w:hanging="420" w:hangingChars="200"/>
                    <w:jc w:val="center"/>
                    <w:textAlignment w:val="auto"/>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t>东侧厂界</w:t>
                  </w:r>
                </w:p>
              </w:tc>
              <w:tc>
                <w:tcPr>
                  <w:tcW w:w="1250" w:type="pct"/>
                  <w:tcBorders>
                    <w:tl2br w:val="nil"/>
                    <w:tr2bl w:val="nil"/>
                  </w:tcBorders>
                  <w:noWrap w:val="0"/>
                  <w:vAlign w:val="center"/>
                </w:tcPr>
                <w:p w14:paraId="76A2350A">
                  <w:pPr>
                    <w:keepNext/>
                    <w:keepLines/>
                    <w:pageBreakBefore w:val="0"/>
                    <w:widowControl/>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56</w:t>
                  </w:r>
                </w:p>
              </w:tc>
              <w:tc>
                <w:tcPr>
                  <w:tcW w:w="1250" w:type="pct"/>
                  <w:vMerge w:val="restart"/>
                  <w:tcBorders>
                    <w:tl2br w:val="nil"/>
                    <w:tr2bl w:val="nil"/>
                  </w:tcBorders>
                  <w:noWrap w:val="0"/>
                  <w:vAlign w:val="center"/>
                </w:tcPr>
                <w:p w14:paraId="48467130">
                  <w:pPr>
                    <w:keepNext/>
                    <w:keepLines/>
                    <w:pageBreakBefore w:val="0"/>
                    <w:widowControl/>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《工业企业厂界环境噪</w:t>
                  </w:r>
                  <w:r>
                    <w:rPr>
                      <w:rFonts w:hint="default" w:ascii="Times New Roman" w:hAnsi="Times New Roman" w:eastAsia="宋体" w:cs="Times New Roman"/>
                      <w:color w:val="000000" w:themeColor="text1"/>
                      <w:lang w:val="en-US" w:eastAsia="zh-CN"/>
                      <w14:textFill>
                        <w14:solidFill>
                          <w14:schemeClr w14:val="tx1"/>
                        </w14:solidFill>
                      </w14:textFill>
                    </w:rPr>
                    <w:t>声排放</w:t>
                  </w:r>
                  <w:r>
                    <w:rPr>
                      <w:rFonts w:hint="default" w:ascii="Times New Roman" w:hAnsi="Times New Roman" w:cs="Times New Roman"/>
                      <w:color w:val="000000" w:themeColor="text1"/>
                      <w:lang w:val="en-US" w:eastAsia="zh-CN"/>
                      <w14:textFill>
                        <w14:solidFill>
                          <w14:schemeClr w14:val="tx1"/>
                        </w14:solidFill>
                      </w14:textFill>
                    </w:rPr>
                    <w:t>标准》GB 12348-200</w:t>
                  </w:r>
                  <w:r>
                    <w:rPr>
                      <w:rFonts w:hint="default" w:ascii="Times New Roman" w:hAnsi="Times New Roman" w:eastAsia="宋体" w:cs="Times New Roman"/>
                      <w:color w:val="000000" w:themeColor="text1"/>
                      <w:lang w:val="en-US" w:eastAsia="zh-CN"/>
                      <w14:textFill>
                        <w14:solidFill>
                          <w14:schemeClr w14:val="tx1"/>
                        </w14:solidFill>
                      </w14:textFill>
                    </w:rPr>
                    <w:t>8中</w:t>
                  </w:r>
                  <w:r>
                    <w:rPr>
                      <w:rFonts w:hint="default" w:ascii="Times New Roman" w:hAnsi="Times New Roman" w:cs="Times New Roman"/>
                      <w:color w:val="000000" w:themeColor="text1"/>
                      <w:lang w:val="en-US" w:eastAsia="zh-CN"/>
                      <w14:textFill>
                        <w14:solidFill>
                          <w14:schemeClr w14:val="tx1"/>
                        </w14:solidFill>
                      </w14:textFill>
                    </w:rPr>
                    <w:t>的</w:t>
                  </w:r>
                  <w:r>
                    <w:rPr>
                      <w:rFonts w:hint="default" w:ascii="Times New Roman" w:hAnsi="Times New Roman" w:eastAsia="宋体" w:cs="Times New Roman"/>
                      <w:color w:val="000000" w:themeColor="text1"/>
                      <w:lang w:val="en-US" w:eastAsia="zh-CN"/>
                      <w14:textFill>
                        <w14:solidFill>
                          <w14:schemeClr w14:val="tx1"/>
                        </w14:solidFill>
                      </w14:textFill>
                    </w:rPr>
                    <w:t>2类</w:t>
                  </w:r>
                  <w:r>
                    <w:rPr>
                      <w:rFonts w:hint="default" w:ascii="Times New Roman" w:hAnsi="Times New Roman" w:cs="Times New Roman"/>
                      <w:color w:val="000000" w:themeColor="text1"/>
                      <w:lang w:val="en-US" w:eastAsia="zh-CN"/>
                      <w14:textFill>
                        <w14:solidFill>
                          <w14:schemeClr w14:val="tx1"/>
                        </w14:solidFill>
                      </w14:textFill>
                    </w:rPr>
                    <w:t>标准</w:t>
                  </w:r>
                </w:p>
              </w:tc>
            </w:tr>
            <w:tr w14:paraId="576688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47" w:type="pct"/>
                  <w:vMerge w:val="continue"/>
                  <w:tcBorders>
                    <w:tl2br w:val="nil"/>
                    <w:tr2bl w:val="nil"/>
                  </w:tcBorders>
                  <w:noWrap w:val="0"/>
                  <w:vAlign w:val="center"/>
                </w:tcPr>
                <w:p w14:paraId="67444AC9">
                  <w:pPr>
                    <w:keepNext/>
                    <w:keepLines/>
                    <w:pageBreakBefore w:val="0"/>
                    <w:widowControl/>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cs="Times New Roman"/>
                      <w:color w:val="000000" w:themeColor="text1"/>
                      <w:lang w:val="en-US" w:eastAsia="zh-CN"/>
                      <w14:textFill>
                        <w14:solidFill>
                          <w14:schemeClr w14:val="tx1"/>
                        </w14:solidFill>
                      </w14:textFill>
                    </w:rPr>
                  </w:pPr>
                </w:p>
              </w:tc>
              <w:tc>
                <w:tcPr>
                  <w:tcW w:w="1250" w:type="pct"/>
                  <w:tcBorders>
                    <w:tl2br w:val="nil"/>
                    <w:tr2bl w:val="nil"/>
                  </w:tcBorders>
                  <w:noWrap w:val="0"/>
                  <w:vAlign w:val="center"/>
                </w:tcPr>
                <w:p w14:paraId="43E46394">
                  <w:pPr>
                    <w:pStyle w:val="28"/>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420" w:leftChars="0" w:hanging="420" w:hangingChars="200"/>
                    <w:jc w:val="center"/>
                    <w:textAlignment w:val="auto"/>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t>南侧厂界</w:t>
                  </w:r>
                </w:p>
              </w:tc>
              <w:tc>
                <w:tcPr>
                  <w:tcW w:w="1250" w:type="pct"/>
                  <w:tcBorders>
                    <w:tl2br w:val="nil"/>
                    <w:tr2bl w:val="nil"/>
                  </w:tcBorders>
                  <w:noWrap w:val="0"/>
                  <w:vAlign w:val="center"/>
                </w:tcPr>
                <w:p w14:paraId="1DA19431">
                  <w:pPr>
                    <w:keepNext/>
                    <w:keepLines/>
                    <w:pageBreakBefore w:val="0"/>
                    <w:widowControl/>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54</w:t>
                  </w:r>
                </w:p>
              </w:tc>
              <w:tc>
                <w:tcPr>
                  <w:tcW w:w="1250" w:type="pct"/>
                  <w:vMerge w:val="continue"/>
                  <w:tcBorders>
                    <w:tl2br w:val="nil"/>
                    <w:tr2bl w:val="nil"/>
                  </w:tcBorders>
                  <w:noWrap w:val="0"/>
                  <w:vAlign w:val="center"/>
                </w:tcPr>
                <w:p w14:paraId="2849824A">
                  <w:pPr>
                    <w:keepNext/>
                    <w:keepLines/>
                    <w:pageBreakBefore w:val="0"/>
                    <w:widowControl/>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cs="Times New Roman"/>
                      <w:color w:val="000000" w:themeColor="text1"/>
                      <w:lang w:val="en-US" w:eastAsia="zh-CN"/>
                      <w14:textFill>
                        <w14:solidFill>
                          <w14:schemeClr w14:val="tx1"/>
                        </w14:solidFill>
                      </w14:textFill>
                    </w:rPr>
                  </w:pPr>
                </w:p>
              </w:tc>
            </w:tr>
            <w:tr w14:paraId="4F8798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47" w:type="pct"/>
                  <w:vMerge w:val="continue"/>
                  <w:tcBorders>
                    <w:tl2br w:val="nil"/>
                    <w:tr2bl w:val="nil"/>
                  </w:tcBorders>
                  <w:noWrap w:val="0"/>
                  <w:vAlign w:val="center"/>
                </w:tcPr>
                <w:p w14:paraId="0E030C2D">
                  <w:pPr>
                    <w:keepNext/>
                    <w:keepLines/>
                    <w:pageBreakBefore w:val="0"/>
                    <w:widowControl/>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cs="Times New Roman"/>
                      <w:color w:val="000000" w:themeColor="text1"/>
                      <w:lang w:val="en-US" w:eastAsia="zh-CN"/>
                      <w14:textFill>
                        <w14:solidFill>
                          <w14:schemeClr w14:val="tx1"/>
                        </w14:solidFill>
                      </w14:textFill>
                    </w:rPr>
                  </w:pPr>
                </w:p>
              </w:tc>
              <w:tc>
                <w:tcPr>
                  <w:tcW w:w="1250" w:type="pct"/>
                  <w:tcBorders>
                    <w:tl2br w:val="nil"/>
                    <w:tr2bl w:val="nil"/>
                  </w:tcBorders>
                  <w:noWrap w:val="0"/>
                  <w:vAlign w:val="center"/>
                </w:tcPr>
                <w:p w14:paraId="006A1874">
                  <w:pPr>
                    <w:pStyle w:val="28"/>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420" w:leftChars="0" w:hanging="420" w:hangingChars="200"/>
                    <w:jc w:val="center"/>
                    <w:textAlignment w:val="auto"/>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t>西侧厂界</w:t>
                  </w:r>
                </w:p>
              </w:tc>
              <w:tc>
                <w:tcPr>
                  <w:tcW w:w="1250" w:type="pct"/>
                  <w:tcBorders>
                    <w:tl2br w:val="nil"/>
                    <w:tr2bl w:val="nil"/>
                  </w:tcBorders>
                  <w:noWrap w:val="0"/>
                  <w:vAlign w:val="center"/>
                </w:tcPr>
                <w:p w14:paraId="563B8A12">
                  <w:pPr>
                    <w:keepNext/>
                    <w:keepLines/>
                    <w:pageBreakBefore w:val="0"/>
                    <w:widowControl/>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55</w:t>
                  </w:r>
                </w:p>
              </w:tc>
              <w:tc>
                <w:tcPr>
                  <w:tcW w:w="1250" w:type="pct"/>
                  <w:vMerge w:val="continue"/>
                  <w:tcBorders>
                    <w:tl2br w:val="nil"/>
                    <w:tr2bl w:val="nil"/>
                  </w:tcBorders>
                  <w:noWrap w:val="0"/>
                  <w:vAlign w:val="center"/>
                </w:tcPr>
                <w:p w14:paraId="6257EA30">
                  <w:pPr>
                    <w:keepNext/>
                    <w:keepLines/>
                    <w:pageBreakBefore w:val="0"/>
                    <w:widowControl/>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cs="Times New Roman"/>
                      <w:color w:val="000000" w:themeColor="text1"/>
                      <w:lang w:val="en-US" w:eastAsia="zh-CN"/>
                      <w14:textFill>
                        <w14:solidFill>
                          <w14:schemeClr w14:val="tx1"/>
                        </w14:solidFill>
                      </w14:textFill>
                    </w:rPr>
                  </w:pPr>
                </w:p>
              </w:tc>
            </w:tr>
            <w:tr w14:paraId="4D0298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47" w:type="pct"/>
                  <w:vMerge w:val="continue"/>
                  <w:tcBorders>
                    <w:tl2br w:val="nil"/>
                    <w:tr2bl w:val="nil"/>
                  </w:tcBorders>
                  <w:noWrap w:val="0"/>
                  <w:vAlign w:val="center"/>
                </w:tcPr>
                <w:p w14:paraId="0ACECB7D">
                  <w:pPr>
                    <w:keepNext/>
                    <w:keepLines/>
                    <w:pageBreakBefore w:val="0"/>
                    <w:widowControl/>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cs="Times New Roman"/>
                      <w:color w:val="000000" w:themeColor="text1"/>
                      <w:lang w:val="en-US" w:eastAsia="zh-CN"/>
                      <w14:textFill>
                        <w14:solidFill>
                          <w14:schemeClr w14:val="tx1"/>
                        </w14:solidFill>
                      </w14:textFill>
                    </w:rPr>
                  </w:pPr>
                </w:p>
              </w:tc>
              <w:tc>
                <w:tcPr>
                  <w:tcW w:w="1250" w:type="pct"/>
                  <w:tcBorders>
                    <w:tl2br w:val="nil"/>
                    <w:tr2bl w:val="nil"/>
                  </w:tcBorders>
                  <w:noWrap w:val="0"/>
                  <w:vAlign w:val="center"/>
                </w:tcPr>
                <w:p w14:paraId="36B57000">
                  <w:pPr>
                    <w:pStyle w:val="28"/>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420" w:leftChars="0" w:hanging="420" w:hangingChars="200"/>
                    <w:jc w:val="center"/>
                    <w:textAlignment w:val="auto"/>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t>北侧厂界</w:t>
                  </w:r>
                </w:p>
              </w:tc>
              <w:tc>
                <w:tcPr>
                  <w:tcW w:w="1250" w:type="pct"/>
                  <w:tcBorders>
                    <w:tl2br w:val="nil"/>
                    <w:tr2bl w:val="nil"/>
                  </w:tcBorders>
                  <w:noWrap w:val="0"/>
                  <w:vAlign w:val="center"/>
                </w:tcPr>
                <w:p w14:paraId="3D0FC799">
                  <w:pPr>
                    <w:keepNext/>
                    <w:keepLines/>
                    <w:pageBreakBefore w:val="0"/>
                    <w:widowControl/>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24"/>
                      <w:lang w:val="en-US" w:eastAsia="zh-CN" w:bidi="ar-SA"/>
                      <w14:textFill>
                        <w14:solidFill>
                          <w14:schemeClr w14:val="tx1"/>
                        </w14:solidFill>
                      </w14:textFill>
                    </w:rPr>
                    <w:t>56</w:t>
                  </w:r>
                </w:p>
              </w:tc>
              <w:tc>
                <w:tcPr>
                  <w:tcW w:w="1250" w:type="pct"/>
                  <w:vMerge w:val="continue"/>
                  <w:tcBorders>
                    <w:tl2br w:val="nil"/>
                    <w:tr2bl w:val="nil"/>
                  </w:tcBorders>
                  <w:noWrap w:val="0"/>
                  <w:vAlign w:val="center"/>
                </w:tcPr>
                <w:p w14:paraId="134904E1">
                  <w:pPr>
                    <w:keepNext/>
                    <w:keepLines/>
                    <w:pageBreakBefore w:val="0"/>
                    <w:widowControl/>
                    <w:kinsoku/>
                    <w:wordWrap/>
                    <w:overflowPunct/>
                    <w:topLinePunct w:val="0"/>
                    <w:autoSpaceDE/>
                    <w:autoSpaceDN/>
                    <w:bidi w:val="0"/>
                    <w:adjustRightInd/>
                    <w:snapToGrid/>
                    <w:spacing w:line="240" w:lineRule="auto"/>
                    <w:jc w:val="center"/>
                    <w:textAlignment w:val="auto"/>
                    <w:outlineLvl w:val="1"/>
                    <w:rPr>
                      <w:rFonts w:hint="default" w:ascii="Times New Roman" w:hAnsi="Times New Roman" w:cs="Times New Roman"/>
                      <w:color w:val="000000" w:themeColor="text1"/>
                      <w:lang w:val="en-US" w:eastAsia="zh-CN"/>
                      <w14:textFill>
                        <w14:solidFill>
                          <w14:schemeClr w14:val="tx1"/>
                        </w14:solidFill>
                      </w14:textFill>
                    </w:rPr>
                  </w:pPr>
                </w:p>
              </w:tc>
            </w:tr>
          </w:tbl>
          <w:p w14:paraId="3F165725">
            <w:pPr>
              <w:pStyle w:val="2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leftChars="0" w:firstLine="480" w:firstLineChars="200"/>
              <w:jc w:val="both"/>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原有项目监测点位图详见图2-3：</w:t>
            </w:r>
          </w:p>
          <w:p w14:paraId="043AC3F0">
            <w:pPr>
              <w:pStyle w:val="2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leftChars="0" w:firstLine="0" w:firstLineChars="0"/>
              <w:jc w:val="center"/>
              <w:textAlignment w:val="auto"/>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drawing>
                <wp:inline distT="0" distB="0" distL="114300" distR="114300">
                  <wp:extent cx="4369435" cy="4251325"/>
                  <wp:effectExtent l="0" t="0" r="12065" b="15875"/>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pic:cNvPicPr>
                        </pic:nvPicPr>
                        <pic:blipFill>
                          <a:blip r:embed="rId15"/>
                          <a:stretch>
                            <a:fillRect/>
                          </a:stretch>
                        </pic:blipFill>
                        <pic:spPr>
                          <a:xfrm>
                            <a:off x="0" y="0"/>
                            <a:ext cx="4369435" cy="4251325"/>
                          </a:xfrm>
                          <a:prstGeom prst="rect">
                            <a:avLst/>
                          </a:prstGeom>
                          <a:noFill/>
                          <a:ln>
                            <a:noFill/>
                          </a:ln>
                        </pic:spPr>
                      </pic:pic>
                    </a:graphicData>
                  </a:graphic>
                </wp:inline>
              </w:drawing>
            </w:r>
          </w:p>
          <w:p w14:paraId="4A760415">
            <w:pPr>
              <w:pStyle w:val="2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leftChars="0"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图2-3  监测点位图</w:t>
            </w:r>
          </w:p>
          <w:p w14:paraId="49D80A64">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Cs/>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废气：</w:t>
            </w:r>
          </w:p>
          <w:p w14:paraId="070D9C5D">
            <w:pPr>
              <w:pStyle w:val="2"/>
              <w:spacing w:line="360" w:lineRule="auto"/>
              <w:ind w:firstLine="480" w:firstLineChars="200"/>
              <w:jc w:val="both"/>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rPr>
              <w:t>根据企业原有</w:t>
            </w:r>
            <w:r>
              <w:rPr>
                <w:rFonts w:hint="default" w:ascii="Times New Roman" w:hAnsi="Times New Roman" w:cs="Times New Roman"/>
                <w:bCs/>
                <w:color w:val="000000" w:themeColor="text1"/>
                <w:szCs w:val="21"/>
                <w:highlight w:val="none"/>
                <w:lang w:val="en-US" w:eastAsia="zh-CN"/>
                <w14:textFill>
                  <w14:solidFill>
                    <w14:schemeClr w14:val="tx1"/>
                  </w14:solidFill>
                </w14:textFill>
              </w:rPr>
              <w:t>项目</w:t>
            </w:r>
            <w:r>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rPr>
              <w:t>自行监测数据，原有项目废气污染物种类及排放情况见下表：</w:t>
            </w:r>
          </w:p>
          <w:p w14:paraId="7C5EA6D1">
            <w:pPr>
              <w:pStyle w:val="2"/>
              <w:jc w:val="center"/>
              <w:rPr>
                <w:rFonts w:hint="default" w:ascii="Times New Roman" w:hAnsi="Times New Roman" w:eastAsia="宋体" w:cs="Times New Roman"/>
                <w:b/>
                <w:bCs w:val="0"/>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b/>
                <w:bCs w:val="0"/>
                <w:color w:val="000000" w:themeColor="text1"/>
                <w:sz w:val="21"/>
                <w:szCs w:val="18"/>
                <w:lang w:val="en-US" w:eastAsia="zh-CN"/>
                <w14:textFill>
                  <w14:solidFill>
                    <w14:schemeClr w14:val="tx1"/>
                  </w14:solidFill>
                </w14:textFill>
              </w:rPr>
              <w:t>表2-</w:t>
            </w:r>
            <w:r>
              <w:rPr>
                <w:rFonts w:hint="default" w:ascii="Times New Roman" w:hAnsi="Times New Roman" w:cs="Times New Roman"/>
                <w:b/>
                <w:bCs w:val="0"/>
                <w:color w:val="000000" w:themeColor="text1"/>
                <w:sz w:val="21"/>
                <w:szCs w:val="18"/>
                <w:lang w:val="en-US" w:eastAsia="zh-CN"/>
                <w14:textFill>
                  <w14:solidFill>
                    <w14:schemeClr w14:val="tx1"/>
                  </w14:solidFill>
                </w14:textFill>
              </w:rPr>
              <w:t>9</w:t>
            </w:r>
            <w:r>
              <w:rPr>
                <w:rFonts w:hint="default" w:ascii="Times New Roman" w:hAnsi="Times New Roman" w:eastAsia="宋体" w:cs="Times New Roman"/>
                <w:b/>
                <w:bCs w:val="0"/>
                <w:color w:val="000000" w:themeColor="text1"/>
                <w:sz w:val="21"/>
                <w:szCs w:val="18"/>
                <w:lang w:val="en-US" w:eastAsia="zh-CN"/>
                <w14:textFill>
                  <w14:solidFill>
                    <w14:schemeClr w14:val="tx1"/>
                  </w14:solidFill>
                </w14:textFill>
              </w:rPr>
              <w:t xml:space="preserve">  排污单位自行监测情况一览表</w:t>
            </w:r>
          </w:p>
          <w:tbl>
            <w:tblPr>
              <w:tblStyle w:val="37"/>
              <w:tblW w:w="8377" w:type="dxa"/>
              <w:tblInd w:w="-1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08"/>
              <w:gridCol w:w="1896"/>
              <w:gridCol w:w="1263"/>
              <w:gridCol w:w="2175"/>
              <w:gridCol w:w="1935"/>
            </w:tblGrid>
            <w:tr w14:paraId="22908C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1108" w:type="dxa"/>
                  <w:tcBorders>
                    <w:tl2br w:val="nil"/>
                    <w:tr2bl w:val="nil"/>
                  </w:tcBorders>
                  <w:noWrap w:val="0"/>
                  <w:vAlign w:val="center"/>
                </w:tcPr>
                <w:p w14:paraId="45D99B05">
                  <w:pPr>
                    <w:pStyle w:val="2"/>
                    <w:jc w:val="center"/>
                    <w:rPr>
                      <w:rFonts w:hint="default" w:ascii="Times New Roman" w:hAnsi="Times New Roman" w:eastAsia="宋体" w:cs="Times New Roman"/>
                      <w:bCs/>
                      <w:color w:val="000000" w:themeColor="text1"/>
                      <w:sz w:val="21"/>
                      <w:szCs w:val="18"/>
                      <w:vertAlign w:val="baseli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18"/>
                      <w:vertAlign w:val="baseline"/>
                      <w:lang w:val="en-US" w:eastAsia="zh-CN"/>
                      <w14:textFill>
                        <w14:solidFill>
                          <w14:schemeClr w14:val="tx1"/>
                        </w14:solidFill>
                      </w14:textFill>
                    </w:rPr>
                    <w:t>生产工序</w:t>
                  </w:r>
                </w:p>
              </w:tc>
              <w:tc>
                <w:tcPr>
                  <w:tcW w:w="1896" w:type="dxa"/>
                  <w:tcBorders>
                    <w:tl2br w:val="nil"/>
                    <w:tr2bl w:val="nil"/>
                  </w:tcBorders>
                  <w:noWrap w:val="0"/>
                  <w:vAlign w:val="center"/>
                </w:tcPr>
                <w:p w14:paraId="78E0BC64">
                  <w:pPr>
                    <w:pStyle w:val="2"/>
                    <w:jc w:val="center"/>
                    <w:rPr>
                      <w:rFonts w:hint="default" w:ascii="Times New Roman" w:hAnsi="Times New Roman" w:eastAsia="宋体" w:cs="Times New Roman"/>
                      <w:bCs/>
                      <w:color w:val="000000" w:themeColor="text1"/>
                      <w:sz w:val="21"/>
                      <w:szCs w:val="18"/>
                      <w:vertAlign w:val="baseline"/>
                      <w:lang w:val="en-US" w:eastAsia="zh-CN" w:bidi="ar-SA"/>
                      <w14:textFill>
                        <w14:solidFill>
                          <w14:schemeClr w14:val="tx1"/>
                        </w14:solidFill>
                      </w14:textFill>
                    </w:rPr>
                  </w:pPr>
                  <w:r>
                    <w:rPr>
                      <w:rFonts w:hint="default" w:ascii="Times New Roman" w:hAnsi="Times New Roman" w:eastAsia="宋体" w:cs="Times New Roman"/>
                      <w:bCs/>
                      <w:color w:val="000000" w:themeColor="text1"/>
                      <w:sz w:val="21"/>
                      <w:szCs w:val="18"/>
                      <w:vertAlign w:val="baseline"/>
                      <w:lang w:val="en-US" w:eastAsia="zh-CN"/>
                      <w14:textFill>
                        <w14:solidFill>
                          <w14:schemeClr w14:val="tx1"/>
                        </w14:solidFill>
                      </w14:textFill>
                    </w:rPr>
                    <w:t>监测单位</w:t>
                  </w:r>
                </w:p>
              </w:tc>
              <w:tc>
                <w:tcPr>
                  <w:tcW w:w="1263" w:type="dxa"/>
                  <w:tcBorders>
                    <w:tl2br w:val="nil"/>
                    <w:tr2bl w:val="nil"/>
                  </w:tcBorders>
                  <w:noWrap w:val="0"/>
                  <w:vAlign w:val="center"/>
                </w:tcPr>
                <w:p w14:paraId="7094F441">
                  <w:pPr>
                    <w:pStyle w:val="2"/>
                    <w:jc w:val="center"/>
                    <w:rPr>
                      <w:rFonts w:hint="default" w:ascii="Times New Roman" w:hAnsi="Times New Roman" w:eastAsia="宋体" w:cs="Times New Roman"/>
                      <w:bCs/>
                      <w:color w:val="000000" w:themeColor="text1"/>
                      <w:sz w:val="21"/>
                      <w:szCs w:val="18"/>
                      <w:vertAlign w:val="baseline"/>
                      <w:lang w:val="en-US" w:eastAsia="zh-CN" w:bidi="ar-SA"/>
                      <w14:textFill>
                        <w14:solidFill>
                          <w14:schemeClr w14:val="tx1"/>
                        </w14:solidFill>
                      </w14:textFill>
                    </w:rPr>
                  </w:pPr>
                  <w:r>
                    <w:rPr>
                      <w:rFonts w:hint="default" w:ascii="Times New Roman" w:hAnsi="Times New Roman" w:eastAsia="宋体" w:cs="Times New Roman"/>
                      <w:bCs/>
                      <w:color w:val="000000" w:themeColor="text1"/>
                      <w:sz w:val="21"/>
                      <w:szCs w:val="18"/>
                      <w:vertAlign w:val="baseline"/>
                      <w:lang w:val="en-US" w:eastAsia="zh-CN"/>
                      <w14:textFill>
                        <w14:solidFill>
                          <w14:schemeClr w14:val="tx1"/>
                        </w14:solidFill>
                      </w14:textFill>
                    </w:rPr>
                    <w:t>监测时间</w:t>
                  </w:r>
                </w:p>
              </w:tc>
              <w:tc>
                <w:tcPr>
                  <w:tcW w:w="2175" w:type="dxa"/>
                  <w:tcBorders>
                    <w:tl2br w:val="nil"/>
                    <w:tr2bl w:val="nil"/>
                  </w:tcBorders>
                  <w:noWrap w:val="0"/>
                  <w:vAlign w:val="center"/>
                </w:tcPr>
                <w:p w14:paraId="4D5470F5">
                  <w:pPr>
                    <w:pStyle w:val="2"/>
                    <w:jc w:val="center"/>
                    <w:rPr>
                      <w:rFonts w:hint="default" w:ascii="Times New Roman" w:hAnsi="Times New Roman" w:eastAsia="宋体" w:cs="Times New Roman"/>
                      <w:bCs/>
                      <w:color w:val="000000" w:themeColor="text1"/>
                      <w:sz w:val="21"/>
                      <w:szCs w:val="18"/>
                      <w:vertAlign w:val="baseline"/>
                      <w:lang w:val="en-US" w:eastAsia="zh-CN" w:bidi="ar-SA"/>
                      <w14:textFill>
                        <w14:solidFill>
                          <w14:schemeClr w14:val="tx1"/>
                        </w14:solidFill>
                      </w14:textFill>
                    </w:rPr>
                  </w:pPr>
                  <w:r>
                    <w:rPr>
                      <w:rFonts w:hint="default" w:ascii="Times New Roman" w:hAnsi="Times New Roman" w:eastAsia="宋体" w:cs="Times New Roman"/>
                      <w:bCs/>
                      <w:color w:val="000000" w:themeColor="text1"/>
                      <w:sz w:val="21"/>
                      <w:szCs w:val="18"/>
                      <w:vertAlign w:val="baseline"/>
                      <w:lang w:val="en-US" w:eastAsia="zh-CN"/>
                      <w14:textFill>
                        <w14:solidFill>
                          <w14:schemeClr w14:val="tx1"/>
                        </w14:solidFill>
                      </w14:textFill>
                    </w:rPr>
                    <w:t>污染因子</w:t>
                  </w:r>
                </w:p>
              </w:tc>
              <w:tc>
                <w:tcPr>
                  <w:tcW w:w="1935" w:type="dxa"/>
                  <w:tcBorders>
                    <w:tl2br w:val="nil"/>
                    <w:tr2bl w:val="nil"/>
                  </w:tcBorders>
                  <w:noWrap w:val="0"/>
                  <w:vAlign w:val="center"/>
                </w:tcPr>
                <w:p w14:paraId="6D15CD3D">
                  <w:pPr>
                    <w:pStyle w:val="2"/>
                    <w:jc w:val="center"/>
                    <w:rPr>
                      <w:rFonts w:hint="default" w:ascii="Times New Roman" w:hAnsi="Times New Roman" w:eastAsia="宋体" w:cs="Times New Roman"/>
                      <w:bCs/>
                      <w:color w:val="000000" w:themeColor="text1"/>
                      <w:sz w:val="21"/>
                      <w:szCs w:val="18"/>
                      <w:vertAlign w:val="baseli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18"/>
                      <w:vertAlign w:val="baseline"/>
                      <w:lang w:val="en-US" w:eastAsia="zh-CN"/>
                      <w14:textFill>
                        <w14:solidFill>
                          <w14:schemeClr w14:val="tx1"/>
                        </w14:solidFill>
                      </w14:textFill>
                    </w:rPr>
                    <w:t>报告编号</w:t>
                  </w:r>
                </w:p>
              </w:tc>
            </w:tr>
            <w:tr w14:paraId="7E0060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108" w:type="dxa"/>
                  <w:tcBorders>
                    <w:tl2br w:val="nil"/>
                    <w:tr2bl w:val="nil"/>
                  </w:tcBorders>
                  <w:noWrap w:val="0"/>
                  <w:vAlign w:val="center"/>
                </w:tcPr>
                <w:p w14:paraId="32A3EA06">
                  <w:pPr>
                    <w:pStyle w:val="2"/>
                    <w:jc w:val="center"/>
                    <w:rPr>
                      <w:rFonts w:hint="default" w:ascii="Times New Roman" w:hAnsi="Times New Roman" w:eastAsia="宋体" w:cs="Times New Roman"/>
                      <w:bCs/>
                      <w:color w:val="000000" w:themeColor="text1"/>
                      <w:sz w:val="21"/>
                      <w:szCs w:val="18"/>
                      <w:vertAlign w:val="baseli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18"/>
                      <w:vertAlign w:val="baseline"/>
                      <w:lang w:val="en-US" w:eastAsia="zh-CN"/>
                      <w14:textFill>
                        <w14:solidFill>
                          <w14:schemeClr w14:val="tx1"/>
                        </w14:solidFill>
                      </w14:textFill>
                    </w:rPr>
                    <w:t>烧结烘干</w:t>
                  </w:r>
                </w:p>
              </w:tc>
              <w:tc>
                <w:tcPr>
                  <w:tcW w:w="1896" w:type="dxa"/>
                  <w:tcBorders>
                    <w:tl2br w:val="nil"/>
                    <w:tr2bl w:val="nil"/>
                  </w:tcBorders>
                  <w:noWrap w:val="0"/>
                  <w:vAlign w:val="center"/>
                </w:tcPr>
                <w:p w14:paraId="233DCADC">
                  <w:pPr>
                    <w:pStyle w:val="2"/>
                    <w:jc w:val="center"/>
                    <w:rPr>
                      <w:rFonts w:hint="default" w:ascii="Times New Roman" w:hAnsi="Times New Roman" w:eastAsia="宋体" w:cs="Times New Roman"/>
                      <w:bCs/>
                      <w:color w:val="000000" w:themeColor="text1"/>
                      <w:sz w:val="21"/>
                      <w:szCs w:val="18"/>
                      <w:vertAlign w:val="baseli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18"/>
                      <w:vertAlign w:val="baseline"/>
                      <w:lang w:val="en-US" w:eastAsia="zh-CN"/>
                      <w14:textFill>
                        <w14:solidFill>
                          <w14:schemeClr w14:val="tx1"/>
                        </w14:solidFill>
                      </w14:textFill>
                    </w:rPr>
                    <w:t>陕西森美佳境环境检测有限公司</w:t>
                  </w:r>
                </w:p>
              </w:tc>
              <w:tc>
                <w:tcPr>
                  <w:tcW w:w="1263" w:type="dxa"/>
                  <w:tcBorders>
                    <w:tl2br w:val="nil"/>
                    <w:tr2bl w:val="nil"/>
                  </w:tcBorders>
                  <w:noWrap w:val="0"/>
                  <w:vAlign w:val="center"/>
                </w:tcPr>
                <w:p w14:paraId="5FECE21F">
                  <w:pPr>
                    <w:pStyle w:val="2"/>
                    <w:jc w:val="center"/>
                    <w:rPr>
                      <w:rFonts w:hint="default" w:ascii="Times New Roman" w:hAnsi="Times New Roman" w:eastAsia="宋体" w:cs="Times New Roman"/>
                      <w:bCs/>
                      <w:color w:val="000000" w:themeColor="text1"/>
                      <w:sz w:val="21"/>
                      <w:szCs w:val="18"/>
                      <w:vertAlign w:val="baseli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18"/>
                      <w:vertAlign w:val="baseline"/>
                      <w:lang w:val="en-US" w:eastAsia="zh-CN"/>
                      <w14:textFill>
                        <w14:solidFill>
                          <w14:schemeClr w14:val="tx1"/>
                        </w14:solidFill>
                      </w14:textFill>
                    </w:rPr>
                    <w:t>2024年12月11日</w:t>
                  </w:r>
                </w:p>
              </w:tc>
              <w:tc>
                <w:tcPr>
                  <w:tcW w:w="2175" w:type="dxa"/>
                  <w:tcBorders>
                    <w:tl2br w:val="nil"/>
                    <w:tr2bl w:val="nil"/>
                  </w:tcBorders>
                  <w:noWrap w:val="0"/>
                  <w:vAlign w:val="center"/>
                </w:tcPr>
                <w:p w14:paraId="58839934">
                  <w:pPr>
                    <w:pStyle w:val="2"/>
                    <w:jc w:val="center"/>
                    <w:rPr>
                      <w:rFonts w:hint="default" w:ascii="Times New Roman" w:hAnsi="Times New Roman" w:eastAsia="宋体" w:cs="Times New Roman"/>
                      <w:bCs/>
                      <w:color w:val="000000" w:themeColor="text1"/>
                      <w:sz w:val="21"/>
                      <w:szCs w:val="18"/>
                      <w:vertAlign w:val="baseli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18"/>
                      <w:vertAlign w:val="baseline"/>
                      <w:lang w:val="en-US" w:eastAsia="zh-CN"/>
                      <w14:textFill>
                        <w14:solidFill>
                          <w14:schemeClr w14:val="tx1"/>
                        </w14:solidFill>
                      </w14:textFill>
                    </w:rPr>
                    <w:t>非甲烷总烃</w:t>
                  </w:r>
                </w:p>
              </w:tc>
              <w:tc>
                <w:tcPr>
                  <w:tcW w:w="1935" w:type="dxa"/>
                  <w:tcBorders>
                    <w:tl2br w:val="nil"/>
                    <w:tr2bl w:val="nil"/>
                  </w:tcBorders>
                  <w:noWrap w:val="0"/>
                  <w:vAlign w:val="center"/>
                </w:tcPr>
                <w:p w14:paraId="6F8C1A4A">
                  <w:pPr>
                    <w:pStyle w:val="2"/>
                    <w:jc w:val="center"/>
                    <w:rPr>
                      <w:rFonts w:hint="default" w:ascii="Times New Roman" w:hAnsi="Times New Roman" w:eastAsia="宋体" w:cs="Times New Roman"/>
                      <w:bCs/>
                      <w:color w:val="000000" w:themeColor="text1"/>
                      <w:sz w:val="21"/>
                      <w:szCs w:val="18"/>
                      <w:vertAlign w:val="baseli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18"/>
                      <w:vertAlign w:val="baseline"/>
                      <w:lang w:val="en-US" w:eastAsia="zh-CN"/>
                      <w14:textFill>
                        <w14:solidFill>
                          <w14:schemeClr w14:val="tx1"/>
                        </w14:solidFill>
                      </w14:textFill>
                    </w:rPr>
                    <w:t>森美佳境监（综）字【2024】第12040号</w:t>
                  </w:r>
                </w:p>
              </w:tc>
            </w:tr>
          </w:tbl>
          <w:p w14:paraId="46FEA1DF">
            <w:pPr>
              <w:pStyle w:val="2"/>
              <w:jc w:val="center"/>
              <w:rPr>
                <w:rFonts w:hint="default" w:ascii="Times New Roman" w:hAnsi="Times New Roman" w:eastAsia="宋体" w:cs="Times New Roman"/>
                <w:b/>
                <w:bCs w:val="0"/>
                <w:color w:val="000000" w:themeColor="text1"/>
                <w:sz w:val="21"/>
                <w:szCs w:val="18"/>
                <w14:textFill>
                  <w14:solidFill>
                    <w14:schemeClr w14:val="tx1"/>
                  </w14:solidFill>
                </w14:textFill>
              </w:rPr>
            </w:pPr>
            <w:r>
              <w:rPr>
                <w:rFonts w:hint="default" w:ascii="Times New Roman" w:hAnsi="Times New Roman" w:eastAsia="宋体" w:cs="Times New Roman"/>
                <w:b/>
                <w:bCs w:val="0"/>
                <w:color w:val="000000" w:themeColor="text1"/>
                <w:sz w:val="21"/>
                <w:szCs w:val="18"/>
                <w14:textFill>
                  <w14:solidFill>
                    <w14:schemeClr w14:val="tx1"/>
                  </w14:solidFill>
                </w14:textFill>
              </w:rPr>
              <w:t>表</w:t>
            </w:r>
            <w:r>
              <w:rPr>
                <w:rFonts w:hint="default" w:ascii="Times New Roman" w:hAnsi="Times New Roman" w:eastAsia="宋体" w:cs="Times New Roman"/>
                <w:b/>
                <w:bCs w:val="0"/>
                <w:color w:val="000000" w:themeColor="text1"/>
                <w:sz w:val="21"/>
                <w:szCs w:val="18"/>
                <w:lang w:val="en-US" w:eastAsia="zh-CN"/>
                <w14:textFill>
                  <w14:solidFill>
                    <w14:schemeClr w14:val="tx1"/>
                  </w14:solidFill>
                </w14:textFill>
              </w:rPr>
              <w:t>2-</w:t>
            </w:r>
            <w:r>
              <w:rPr>
                <w:rFonts w:hint="default" w:ascii="Times New Roman" w:hAnsi="Times New Roman" w:cs="Times New Roman"/>
                <w:b/>
                <w:bCs w:val="0"/>
                <w:color w:val="000000" w:themeColor="text1"/>
                <w:sz w:val="21"/>
                <w:szCs w:val="18"/>
                <w:lang w:val="en-US" w:eastAsia="zh-CN"/>
                <w14:textFill>
                  <w14:solidFill>
                    <w14:schemeClr w14:val="tx1"/>
                  </w14:solidFill>
                </w14:textFill>
              </w:rPr>
              <w:t>10</w:t>
            </w:r>
            <w:r>
              <w:rPr>
                <w:rFonts w:hint="default" w:ascii="Times New Roman" w:hAnsi="Times New Roman" w:eastAsia="宋体" w:cs="Times New Roman"/>
                <w:b/>
                <w:bCs w:val="0"/>
                <w:color w:val="000000" w:themeColor="text1"/>
                <w:sz w:val="21"/>
                <w:szCs w:val="18"/>
                <w14:textFill>
                  <w14:solidFill>
                    <w14:schemeClr w14:val="tx1"/>
                  </w14:solidFill>
                </w14:textFill>
              </w:rPr>
              <w:t xml:space="preserve">  原有项目有组织废气排放情况</w:t>
            </w:r>
          </w:p>
          <w:tbl>
            <w:tblPr>
              <w:tblStyle w:val="36"/>
              <w:tblW w:w="4991"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31"/>
              <w:gridCol w:w="728"/>
              <w:gridCol w:w="1072"/>
              <w:gridCol w:w="1816"/>
              <w:gridCol w:w="1101"/>
              <w:gridCol w:w="1271"/>
              <w:gridCol w:w="1442"/>
              <w:gridCol w:w="703"/>
            </w:tblGrid>
            <w:tr w14:paraId="5444D7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252" w:type="pct"/>
                  <w:vMerge w:val="restart"/>
                  <w:tcBorders>
                    <w:tl2br w:val="nil"/>
                    <w:tr2bl w:val="nil"/>
                  </w:tcBorders>
                  <w:noWrap w:val="0"/>
                  <w:vAlign w:val="center"/>
                </w:tcPr>
                <w:p w14:paraId="59FF0651">
                  <w:pPr>
                    <w:pStyle w:val="2"/>
                    <w:jc w:val="center"/>
                    <w:rPr>
                      <w:rFonts w:hint="default" w:ascii="Times New Roman" w:hAnsi="Times New Roman" w:eastAsia="宋体" w:cs="Times New Roman"/>
                      <w:bCs/>
                      <w:color w:val="000000" w:themeColor="text1"/>
                      <w:sz w:val="21"/>
                      <w:szCs w:val="18"/>
                      <w14:textFill>
                        <w14:solidFill>
                          <w14:schemeClr w14:val="tx1"/>
                        </w14:solidFill>
                      </w14:textFill>
                    </w:rPr>
                  </w:pPr>
                  <w:r>
                    <w:rPr>
                      <w:rFonts w:hint="default" w:ascii="Times New Roman" w:hAnsi="Times New Roman" w:eastAsia="宋体" w:cs="Times New Roman"/>
                      <w:bCs/>
                      <w:color w:val="000000" w:themeColor="text1"/>
                      <w:sz w:val="21"/>
                      <w:szCs w:val="18"/>
                      <w14:textFill>
                        <w14:solidFill>
                          <w14:schemeClr w14:val="tx1"/>
                        </w14:solidFill>
                      </w14:textFill>
                    </w:rPr>
                    <w:t>序号</w:t>
                  </w:r>
                </w:p>
              </w:tc>
              <w:tc>
                <w:tcPr>
                  <w:tcW w:w="425" w:type="pct"/>
                  <w:vMerge w:val="restart"/>
                  <w:tcBorders>
                    <w:tl2br w:val="nil"/>
                    <w:tr2bl w:val="nil"/>
                  </w:tcBorders>
                  <w:noWrap w:val="0"/>
                  <w:vAlign w:val="center"/>
                </w:tcPr>
                <w:p w14:paraId="3010C42C">
                  <w:pPr>
                    <w:pStyle w:val="2"/>
                    <w:jc w:val="center"/>
                    <w:rPr>
                      <w:rFonts w:hint="default" w:ascii="Times New Roman" w:hAnsi="Times New Roman" w:eastAsia="宋体" w:cs="Times New Roman"/>
                      <w:bCs/>
                      <w:color w:val="000000" w:themeColor="text1"/>
                      <w:sz w:val="21"/>
                      <w:szCs w:val="18"/>
                      <w14:textFill>
                        <w14:solidFill>
                          <w14:schemeClr w14:val="tx1"/>
                        </w14:solidFill>
                      </w14:textFill>
                    </w:rPr>
                  </w:pPr>
                  <w:r>
                    <w:rPr>
                      <w:rFonts w:hint="default" w:ascii="Times New Roman" w:hAnsi="Times New Roman" w:eastAsia="宋体" w:cs="Times New Roman"/>
                      <w:bCs/>
                      <w:color w:val="000000" w:themeColor="text1"/>
                      <w:sz w:val="21"/>
                      <w:szCs w:val="18"/>
                      <w14:textFill>
                        <w14:solidFill>
                          <w14:schemeClr w14:val="tx1"/>
                        </w14:solidFill>
                      </w14:textFill>
                    </w:rPr>
                    <w:t>生产工序</w:t>
                  </w:r>
                </w:p>
              </w:tc>
              <w:tc>
                <w:tcPr>
                  <w:tcW w:w="625" w:type="pct"/>
                  <w:vMerge w:val="restart"/>
                  <w:tcBorders>
                    <w:tl2br w:val="nil"/>
                    <w:tr2bl w:val="nil"/>
                  </w:tcBorders>
                  <w:noWrap w:val="0"/>
                  <w:vAlign w:val="center"/>
                </w:tcPr>
                <w:p w14:paraId="2C6968E0">
                  <w:pPr>
                    <w:pStyle w:val="2"/>
                    <w:jc w:val="center"/>
                    <w:rPr>
                      <w:rFonts w:hint="default" w:ascii="Times New Roman" w:hAnsi="Times New Roman" w:eastAsia="宋体" w:cs="Times New Roman"/>
                      <w:bCs/>
                      <w:color w:val="000000" w:themeColor="text1"/>
                      <w:sz w:val="21"/>
                      <w:szCs w:val="18"/>
                      <w14:textFill>
                        <w14:solidFill>
                          <w14:schemeClr w14:val="tx1"/>
                        </w14:solidFill>
                      </w14:textFill>
                    </w:rPr>
                  </w:pPr>
                  <w:r>
                    <w:rPr>
                      <w:rFonts w:hint="default" w:ascii="Times New Roman" w:hAnsi="Times New Roman" w:eastAsia="宋体" w:cs="Times New Roman"/>
                      <w:bCs/>
                      <w:color w:val="000000" w:themeColor="text1"/>
                      <w:sz w:val="21"/>
                      <w:szCs w:val="18"/>
                      <w14:textFill>
                        <w14:solidFill>
                          <w14:schemeClr w14:val="tx1"/>
                        </w14:solidFill>
                      </w14:textFill>
                    </w:rPr>
                    <w:t>排放口</w:t>
                  </w:r>
                </w:p>
                <w:p w14:paraId="4E9CC6FE">
                  <w:pPr>
                    <w:pStyle w:val="2"/>
                    <w:jc w:val="center"/>
                    <w:rPr>
                      <w:rFonts w:hint="default" w:ascii="Times New Roman" w:hAnsi="Times New Roman" w:eastAsia="宋体" w:cs="Times New Roman"/>
                      <w:bCs/>
                      <w:color w:val="000000" w:themeColor="text1"/>
                      <w:sz w:val="21"/>
                      <w:szCs w:val="18"/>
                      <w14:textFill>
                        <w14:solidFill>
                          <w14:schemeClr w14:val="tx1"/>
                        </w14:solidFill>
                      </w14:textFill>
                    </w:rPr>
                  </w:pPr>
                  <w:r>
                    <w:rPr>
                      <w:rFonts w:hint="default" w:ascii="Times New Roman" w:hAnsi="Times New Roman" w:eastAsia="宋体" w:cs="Times New Roman"/>
                      <w:bCs/>
                      <w:color w:val="000000" w:themeColor="text1"/>
                      <w:sz w:val="21"/>
                      <w:szCs w:val="18"/>
                      <w14:textFill>
                        <w14:solidFill>
                          <w14:schemeClr w14:val="tx1"/>
                        </w14:solidFill>
                      </w14:textFill>
                    </w:rPr>
                    <w:t>名称</w:t>
                  </w:r>
                </w:p>
              </w:tc>
              <w:tc>
                <w:tcPr>
                  <w:tcW w:w="1059" w:type="pct"/>
                  <w:vMerge w:val="restart"/>
                  <w:tcBorders>
                    <w:tl2br w:val="nil"/>
                    <w:tr2bl w:val="nil"/>
                  </w:tcBorders>
                  <w:noWrap w:val="0"/>
                  <w:vAlign w:val="center"/>
                </w:tcPr>
                <w:p w14:paraId="404D3CAD">
                  <w:pPr>
                    <w:pStyle w:val="2"/>
                    <w:jc w:val="center"/>
                    <w:rPr>
                      <w:rFonts w:hint="default" w:ascii="Times New Roman" w:hAnsi="Times New Roman" w:eastAsia="宋体" w:cs="Times New Roman"/>
                      <w:bCs/>
                      <w:color w:val="000000" w:themeColor="text1"/>
                      <w:sz w:val="21"/>
                      <w:szCs w:val="18"/>
                      <w14:textFill>
                        <w14:solidFill>
                          <w14:schemeClr w14:val="tx1"/>
                        </w14:solidFill>
                      </w14:textFill>
                    </w:rPr>
                  </w:pPr>
                  <w:r>
                    <w:rPr>
                      <w:rFonts w:hint="default" w:ascii="Times New Roman" w:hAnsi="Times New Roman" w:eastAsia="宋体" w:cs="Times New Roman"/>
                      <w:bCs/>
                      <w:color w:val="000000" w:themeColor="text1"/>
                      <w:sz w:val="21"/>
                      <w:szCs w:val="18"/>
                      <w14:textFill>
                        <w14:solidFill>
                          <w14:schemeClr w14:val="tx1"/>
                        </w14:solidFill>
                      </w14:textFill>
                    </w:rPr>
                    <w:t>污染治理设施</w:t>
                  </w:r>
                </w:p>
              </w:tc>
              <w:tc>
                <w:tcPr>
                  <w:tcW w:w="642" w:type="pct"/>
                  <w:vMerge w:val="restart"/>
                  <w:tcBorders>
                    <w:tl2br w:val="nil"/>
                    <w:tr2bl w:val="nil"/>
                  </w:tcBorders>
                  <w:noWrap w:val="0"/>
                  <w:vAlign w:val="center"/>
                </w:tcPr>
                <w:p w14:paraId="79C6157D">
                  <w:pPr>
                    <w:pStyle w:val="2"/>
                    <w:jc w:val="center"/>
                    <w:rPr>
                      <w:rFonts w:hint="default" w:ascii="Times New Roman" w:hAnsi="Times New Roman" w:eastAsia="宋体" w:cs="Times New Roman"/>
                      <w:bCs/>
                      <w:color w:val="000000" w:themeColor="text1"/>
                      <w:sz w:val="21"/>
                      <w:szCs w:val="18"/>
                      <w14:textFill>
                        <w14:solidFill>
                          <w14:schemeClr w14:val="tx1"/>
                        </w14:solidFill>
                      </w14:textFill>
                    </w:rPr>
                  </w:pPr>
                  <w:r>
                    <w:rPr>
                      <w:rFonts w:hint="default" w:ascii="Times New Roman" w:hAnsi="Times New Roman" w:eastAsia="宋体" w:cs="Times New Roman"/>
                      <w:bCs/>
                      <w:color w:val="000000" w:themeColor="text1"/>
                      <w:sz w:val="21"/>
                      <w:szCs w:val="18"/>
                      <w14:textFill>
                        <w14:solidFill>
                          <w14:schemeClr w14:val="tx1"/>
                        </w14:solidFill>
                      </w14:textFill>
                    </w:rPr>
                    <w:t>排放方式</w:t>
                  </w:r>
                </w:p>
              </w:tc>
              <w:tc>
                <w:tcPr>
                  <w:tcW w:w="741" w:type="pct"/>
                  <w:vMerge w:val="restart"/>
                  <w:tcBorders>
                    <w:tl2br w:val="nil"/>
                    <w:tr2bl w:val="nil"/>
                  </w:tcBorders>
                  <w:noWrap w:val="0"/>
                  <w:vAlign w:val="center"/>
                </w:tcPr>
                <w:p w14:paraId="3ADFA739">
                  <w:pPr>
                    <w:pStyle w:val="2"/>
                    <w:jc w:val="center"/>
                    <w:rPr>
                      <w:rFonts w:hint="default" w:ascii="Times New Roman" w:hAnsi="Times New Roman" w:eastAsia="宋体" w:cs="Times New Roman"/>
                      <w:bCs/>
                      <w:color w:val="000000" w:themeColor="text1"/>
                      <w:sz w:val="21"/>
                      <w:szCs w:val="18"/>
                      <w14:textFill>
                        <w14:solidFill>
                          <w14:schemeClr w14:val="tx1"/>
                        </w14:solidFill>
                      </w14:textFill>
                    </w:rPr>
                  </w:pPr>
                  <w:r>
                    <w:rPr>
                      <w:rFonts w:hint="default" w:ascii="Times New Roman" w:hAnsi="Times New Roman" w:eastAsia="宋体" w:cs="Times New Roman"/>
                      <w:bCs/>
                      <w:color w:val="000000" w:themeColor="text1"/>
                      <w:sz w:val="21"/>
                      <w:szCs w:val="18"/>
                      <w14:textFill>
                        <w14:solidFill>
                          <w14:schemeClr w14:val="tx1"/>
                        </w14:solidFill>
                      </w14:textFill>
                    </w:rPr>
                    <w:t>污染物种类</w:t>
                  </w:r>
                </w:p>
              </w:tc>
              <w:tc>
                <w:tcPr>
                  <w:tcW w:w="841" w:type="pct"/>
                  <w:tcBorders>
                    <w:tl2br w:val="nil"/>
                    <w:tr2bl w:val="nil"/>
                  </w:tcBorders>
                  <w:noWrap w:val="0"/>
                  <w:vAlign w:val="center"/>
                </w:tcPr>
                <w:p w14:paraId="798A8582">
                  <w:pPr>
                    <w:pStyle w:val="2"/>
                    <w:jc w:val="center"/>
                    <w:rPr>
                      <w:rFonts w:hint="default" w:ascii="Times New Roman" w:hAnsi="Times New Roman" w:eastAsia="宋体" w:cs="Times New Roman"/>
                      <w:bCs/>
                      <w:color w:val="000000" w:themeColor="text1"/>
                      <w:sz w:val="21"/>
                      <w:szCs w:val="18"/>
                      <w14:textFill>
                        <w14:solidFill>
                          <w14:schemeClr w14:val="tx1"/>
                        </w14:solidFill>
                      </w14:textFill>
                    </w:rPr>
                  </w:pPr>
                  <w:r>
                    <w:rPr>
                      <w:rFonts w:hint="default" w:ascii="Times New Roman" w:hAnsi="Times New Roman" w:eastAsia="宋体" w:cs="Times New Roman"/>
                      <w:bCs/>
                      <w:color w:val="000000" w:themeColor="text1"/>
                      <w:sz w:val="21"/>
                      <w:szCs w:val="18"/>
                      <w14:textFill>
                        <w14:solidFill>
                          <w14:schemeClr w14:val="tx1"/>
                        </w14:solidFill>
                      </w14:textFill>
                    </w:rPr>
                    <w:t>排放情况</w:t>
                  </w:r>
                </w:p>
              </w:tc>
              <w:tc>
                <w:tcPr>
                  <w:tcW w:w="410" w:type="pct"/>
                  <w:vMerge w:val="restart"/>
                  <w:tcBorders>
                    <w:tl2br w:val="nil"/>
                    <w:tr2bl w:val="nil"/>
                  </w:tcBorders>
                  <w:noWrap w:val="0"/>
                  <w:vAlign w:val="center"/>
                </w:tcPr>
                <w:p w14:paraId="0B3A65E5">
                  <w:pPr>
                    <w:pStyle w:val="2"/>
                    <w:jc w:val="center"/>
                    <w:rPr>
                      <w:rFonts w:hint="default" w:ascii="Times New Roman" w:hAnsi="Times New Roman" w:eastAsia="宋体" w:cs="Times New Roman"/>
                      <w:bCs/>
                      <w:color w:val="000000" w:themeColor="text1"/>
                      <w:sz w:val="21"/>
                      <w:szCs w:val="18"/>
                      <w14:textFill>
                        <w14:solidFill>
                          <w14:schemeClr w14:val="tx1"/>
                        </w14:solidFill>
                      </w14:textFill>
                    </w:rPr>
                  </w:pPr>
                  <w:r>
                    <w:rPr>
                      <w:rFonts w:hint="default" w:ascii="Times New Roman" w:hAnsi="Times New Roman" w:eastAsia="宋体" w:cs="Times New Roman"/>
                      <w:bCs/>
                      <w:color w:val="000000" w:themeColor="text1"/>
                      <w:sz w:val="21"/>
                      <w:szCs w:val="18"/>
                      <w14:textFill>
                        <w14:solidFill>
                          <w14:schemeClr w14:val="tx1"/>
                        </w14:solidFill>
                      </w14:textFill>
                    </w:rPr>
                    <w:t>是否达标</w:t>
                  </w:r>
                </w:p>
              </w:tc>
            </w:tr>
            <w:tr w14:paraId="7D9594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52" w:type="pct"/>
                  <w:vMerge w:val="continue"/>
                  <w:tcBorders>
                    <w:tl2br w:val="nil"/>
                    <w:tr2bl w:val="nil"/>
                  </w:tcBorders>
                  <w:noWrap w:val="0"/>
                  <w:vAlign w:val="center"/>
                </w:tcPr>
                <w:p w14:paraId="4C65119B">
                  <w:pPr>
                    <w:pStyle w:val="2"/>
                    <w:jc w:val="center"/>
                    <w:rPr>
                      <w:rFonts w:hint="default" w:ascii="Times New Roman" w:hAnsi="Times New Roman" w:eastAsia="宋体" w:cs="Times New Roman"/>
                      <w:bCs/>
                      <w:color w:val="000000" w:themeColor="text1"/>
                      <w:sz w:val="21"/>
                      <w:szCs w:val="18"/>
                      <w14:textFill>
                        <w14:solidFill>
                          <w14:schemeClr w14:val="tx1"/>
                        </w14:solidFill>
                      </w14:textFill>
                    </w:rPr>
                  </w:pPr>
                </w:p>
              </w:tc>
              <w:tc>
                <w:tcPr>
                  <w:tcW w:w="425" w:type="pct"/>
                  <w:vMerge w:val="continue"/>
                  <w:tcBorders>
                    <w:tl2br w:val="nil"/>
                    <w:tr2bl w:val="nil"/>
                  </w:tcBorders>
                  <w:noWrap w:val="0"/>
                  <w:vAlign w:val="center"/>
                </w:tcPr>
                <w:p w14:paraId="4AE0A529">
                  <w:pPr>
                    <w:pStyle w:val="2"/>
                    <w:jc w:val="center"/>
                    <w:rPr>
                      <w:rFonts w:hint="default" w:ascii="Times New Roman" w:hAnsi="Times New Roman" w:eastAsia="宋体" w:cs="Times New Roman"/>
                      <w:bCs/>
                      <w:color w:val="000000" w:themeColor="text1"/>
                      <w:sz w:val="21"/>
                      <w:szCs w:val="18"/>
                      <w14:textFill>
                        <w14:solidFill>
                          <w14:schemeClr w14:val="tx1"/>
                        </w14:solidFill>
                      </w14:textFill>
                    </w:rPr>
                  </w:pPr>
                </w:p>
              </w:tc>
              <w:tc>
                <w:tcPr>
                  <w:tcW w:w="625" w:type="pct"/>
                  <w:vMerge w:val="continue"/>
                  <w:tcBorders>
                    <w:tl2br w:val="nil"/>
                    <w:tr2bl w:val="nil"/>
                  </w:tcBorders>
                  <w:noWrap w:val="0"/>
                  <w:vAlign w:val="center"/>
                </w:tcPr>
                <w:p w14:paraId="4F28125C">
                  <w:pPr>
                    <w:pStyle w:val="2"/>
                    <w:jc w:val="center"/>
                    <w:rPr>
                      <w:rFonts w:hint="default" w:ascii="Times New Roman" w:hAnsi="Times New Roman" w:eastAsia="宋体" w:cs="Times New Roman"/>
                      <w:bCs/>
                      <w:color w:val="000000" w:themeColor="text1"/>
                      <w:sz w:val="21"/>
                      <w:szCs w:val="18"/>
                      <w14:textFill>
                        <w14:solidFill>
                          <w14:schemeClr w14:val="tx1"/>
                        </w14:solidFill>
                      </w14:textFill>
                    </w:rPr>
                  </w:pPr>
                </w:p>
              </w:tc>
              <w:tc>
                <w:tcPr>
                  <w:tcW w:w="1059" w:type="pct"/>
                  <w:vMerge w:val="continue"/>
                  <w:tcBorders>
                    <w:tl2br w:val="nil"/>
                    <w:tr2bl w:val="nil"/>
                  </w:tcBorders>
                  <w:noWrap w:val="0"/>
                  <w:vAlign w:val="center"/>
                </w:tcPr>
                <w:p w14:paraId="5B66DA96">
                  <w:pPr>
                    <w:pStyle w:val="2"/>
                    <w:jc w:val="center"/>
                    <w:rPr>
                      <w:rFonts w:hint="default" w:ascii="Times New Roman" w:hAnsi="Times New Roman" w:eastAsia="宋体" w:cs="Times New Roman"/>
                      <w:bCs/>
                      <w:color w:val="000000" w:themeColor="text1"/>
                      <w:sz w:val="21"/>
                      <w:szCs w:val="18"/>
                      <w14:textFill>
                        <w14:solidFill>
                          <w14:schemeClr w14:val="tx1"/>
                        </w14:solidFill>
                      </w14:textFill>
                    </w:rPr>
                  </w:pPr>
                </w:p>
              </w:tc>
              <w:tc>
                <w:tcPr>
                  <w:tcW w:w="642" w:type="pct"/>
                  <w:vMerge w:val="continue"/>
                  <w:tcBorders>
                    <w:tl2br w:val="nil"/>
                    <w:tr2bl w:val="nil"/>
                  </w:tcBorders>
                  <w:noWrap w:val="0"/>
                  <w:vAlign w:val="center"/>
                </w:tcPr>
                <w:p w14:paraId="0E41C712">
                  <w:pPr>
                    <w:pStyle w:val="2"/>
                    <w:jc w:val="center"/>
                    <w:rPr>
                      <w:rFonts w:hint="default" w:ascii="Times New Roman" w:hAnsi="Times New Roman" w:eastAsia="宋体" w:cs="Times New Roman"/>
                      <w:bCs/>
                      <w:color w:val="000000" w:themeColor="text1"/>
                      <w:sz w:val="21"/>
                      <w:szCs w:val="18"/>
                      <w14:textFill>
                        <w14:solidFill>
                          <w14:schemeClr w14:val="tx1"/>
                        </w14:solidFill>
                      </w14:textFill>
                    </w:rPr>
                  </w:pPr>
                </w:p>
              </w:tc>
              <w:tc>
                <w:tcPr>
                  <w:tcW w:w="741" w:type="pct"/>
                  <w:vMerge w:val="continue"/>
                  <w:tcBorders>
                    <w:tl2br w:val="nil"/>
                    <w:tr2bl w:val="nil"/>
                  </w:tcBorders>
                  <w:noWrap w:val="0"/>
                  <w:vAlign w:val="center"/>
                </w:tcPr>
                <w:p w14:paraId="39FB28AA">
                  <w:pPr>
                    <w:pStyle w:val="2"/>
                    <w:jc w:val="center"/>
                    <w:rPr>
                      <w:rFonts w:hint="default" w:ascii="Times New Roman" w:hAnsi="Times New Roman" w:eastAsia="宋体" w:cs="Times New Roman"/>
                      <w:bCs/>
                      <w:color w:val="000000" w:themeColor="text1"/>
                      <w:sz w:val="21"/>
                      <w:szCs w:val="18"/>
                      <w14:textFill>
                        <w14:solidFill>
                          <w14:schemeClr w14:val="tx1"/>
                        </w14:solidFill>
                      </w14:textFill>
                    </w:rPr>
                  </w:pPr>
                </w:p>
              </w:tc>
              <w:tc>
                <w:tcPr>
                  <w:tcW w:w="841" w:type="pct"/>
                  <w:tcBorders>
                    <w:tl2br w:val="nil"/>
                    <w:tr2bl w:val="nil"/>
                  </w:tcBorders>
                  <w:noWrap w:val="0"/>
                  <w:vAlign w:val="center"/>
                </w:tcPr>
                <w:p w14:paraId="455885AB">
                  <w:pPr>
                    <w:pStyle w:val="74"/>
                    <w:spacing w:before="24" w:after="24" w:line="240" w:lineRule="auto"/>
                    <w:ind w:left="0" w:leftChars="0" w:firstLine="0" w:firstLineChars="0"/>
                    <w:jc w:val="center"/>
                    <w:rPr>
                      <w:rFonts w:hint="default" w:ascii="Times New Roman" w:hAnsi="Times New Roman" w:eastAsia="宋体" w:cs="Times New Roman"/>
                      <w:bCs/>
                      <w:color w:val="000000" w:themeColor="text1"/>
                      <w:szCs w:val="18"/>
                      <w:lang w:val="en-US" w:eastAsia="zh-CN"/>
                      <w14:textFill>
                        <w14:solidFill>
                          <w14:schemeClr w14:val="tx1"/>
                        </w14:solidFill>
                      </w14:textFill>
                    </w:rPr>
                  </w:pPr>
                  <w:r>
                    <w:rPr>
                      <w:rFonts w:hint="default" w:ascii="Times New Roman" w:hAnsi="Times New Roman" w:eastAsia="宋体" w:cs="Times New Roman"/>
                      <w:bCs/>
                      <w:color w:val="000000" w:themeColor="text1"/>
                      <w:szCs w:val="21"/>
                      <w:lang w:val="en-US" w:eastAsia="zh-CN"/>
                      <w14:textFill>
                        <w14:solidFill>
                          <w14:schemeClr w14:val="tx1"/>
                        </w14:solidFill>
                      </w14:textFill>
                    </w:rPr>
                    <w:t>排放浓度（mg/m</w:t>
                  </w:r>
                  <w:r>
                    <w:rPr>
                      <w:rFonts w:hint="default" w:ascii="Times New Roman" w:hAnsi="Times New Roman" w:eastAsia="宋体" w:cs="Times New Roman"/>
                      <w:bCs/>
                      <w:color w:val="000000" w:themeColor="text1"/>
                      <w:szCs w:val="21"/>
                      <w:vertAlign w:val="superscript"/>
                      <w:lang w:val="en-US" w:eastAsia="zh-CN"/>
                      <w14:textFill>
                        <w14:solidFill>
                          <w14:schemeClr w14:val="tx1"/>
                        </w14:solidFill>
                      </w14:textFill>
                    </w:rPr>
                    <w:t>3</w:t>
                  </w:r>
                  <w:r>
                    <w:rPr>
                      <w:rFonts w:hint="default" w:ascii="Times New Roman" w:hAnsi="Times New Roman" w:eastAsia="宋体" w:cs="Times New Roman"/>
                      <w:bCs/>
                      <w:color w:val="000000" w:themeColor="text1"/>
                      <w:szCs w:val="21"/>
                      <w:lang w:val="en-US" w:eastAsia="zh-CN"/>
                      <w14:textFill>
                        <w14:solidFill>
                          <w14:schemeClr w14:val="tx1"/>
                        </w14:solidFill>
                      </w14:textFill>
                    </w:rPr>
                    <w:t>）</w:t>
                  </w:r>
                </w:p>
              </w:tc>
              <w:tc>
                <w:tcPr>
                  <w:tcW w:w="410" w:type="pct"/>
                  <w:vMerge w:val="continue"/>
                  <w:tcBorders>
                    <w:tl2br w:val="nil"/>
                    <w:tr2bl w:val="nil"/>
                  </w:tcBorders>
                  <w:noWrap w:val="0"/>
                  <w:vAlign w:val="center"/>
                </w:tcPr>
                <w:p w14:paraId="57327760">
                  <w:pPr>
                    <w:pStyle w:val="2"/>
                    <w:jc w:val="center"/>
                    <w:rPr>
                      <w:rFonts w:hint="default" w:ascii="Times New Roman" w:hAnsi="Times New Roman" w:eastAsia="宋体" w:cs="Times New Roman"/>
                      <w:bCs/>
                      <w:color w:val="000000" w:themeColor="text1"/>
                      <w:sz w:val="21"/>
                      <w:szCs w:val="18"/>
                      <w14:textFill>
                        <w14:solidFill>
                          <w14:schemeClr w14:val="tx1"/>
                        </w14:solidFill>
                      </w14:textFill>
                    </w:rPr>
                  </w:pPr>
                </w:p>
              </w:tc>
            </w:tr>
            <w:tr w14:paraId="53BDB4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90" w:hRule="atLeast"/>
                <w:jc w:val="center"/>
              </w:trPr>
              <w:tc>
                <w:tcPr>
                  <w:tcW w:w="252" w:type="pct"/>
                  <w:tcBorders>
                    <w:tl2br w:val="nil"/>
                    <w:tr2bl w:val="nil"/>
                  </w:tcBorders>
                  <w:noWrap w:val="0"/>
                  <w:vAlign w:val="center"/>
                </w:tcPr>
                <w:p w14:paraId="72D926B1">
                  <w:pPr>
                    <w:pStyle w:val="2"/>
                    <w:jc w:val="center"/>
                    <w:rPr>
                      <w:rFonts w:hint="default" w:ascii="Times New Roman" w:hAnsi="Times New Roman" w:eastAsia="宋体" w:cs="Times New Roman"/>
                      <w:bCs/>
                      <w:color w:val="000000" w:themeColor="text1"/>
                      <w:sz w:val="21"/>
                      <w:szCs w:val="18"/>
                      <w14:textFill>
                        <w14:solidFill>
                          <w14:schemeClr w14:val="tx1"/>
                        </w14:solidFill>
                      </w14:textFill>
                    </w:rPr>
                  </w:pPr>
                  <w:r>
                    <w:rPr>
                      <w:rFonts w:hint="default" w:ascii="Times New Roman" w:hAnsi="Times New Roman" w:eastAsia="宋体" w:cs="Times New Roman"/>
                      <w:bCs/>
                      <w:color w:val="000000" w:themeColor="text1"/>
                      <w:sz w:val="21"/>
                      <w:szCs w:val="18"/>
                      <w14:textFill>
                        <w14:solidFill>
                          <w14:schemeClr w14:val="tx1"/>
                        </w14:solidFill>
                      </w14:textFill>
                    </w:rPr>
                    <w:t>1</w:t>
                  </w:r>
                </w:p>
              </w:tc>
              <w:tc>
                <w:tcPr>
                  <w:tcW w:w="425" w:type="pct"/>
                  <w:tcBorders>
                    <w:tl2br w:val="nil"/>
                    <w:tr2bl w:val="nil"/>
                  </w:tcBorders>
                  <w:noWrap w:val="0"/>
                  <w:vAlign w:val="center"/>
                </w:tcPr>
                <w:p w14:paraId="6059DFED">
                  <w:pPr>
                    <w:pStyle w:val="2"/>
                    <w:jc w:val="center"/>
                    <w:rPr>
                      <w:rFonts w:hint="default" w:ascii="Times New Roman" w:hAnsi="Times New Roman" w:eastAsia="宋体" w:cs="Times New Roman"/>
                      <w:bCs/>
                      <w:color w:val="000000" w:themeColor="text1"/>
                      <w:sz w:val="21"/>
                      <w:szCs w:val="18"/>
                      <w:lang w:eastAsia="zh-CN"/>
                      <w14:textFill>
                        <w14:solidFill>
                          <w14:schemeClr w14:val="tx1"/>
                        </w14:solidFill>
                      </w14:textFill>
                    </w:rPr>
                  </w:pPr>
                  <w:r>
                    <w:rPr>
                      <w:rFonts w:hint="default" w:ascii="Times New Roman" w:hAnsi="Times New Roman" w:eastAsia="宋体" w:cs="Times New Roman"/>
                      <w:bCs/>
                      <w:color w:val="000000" w:themeColor="text1"/>
                      <w:sz w:val="21"/>
                      <w:szCs w:val="18"/>
                      <w:lang w:val="en-US" w:eastAsia="zh-CN"/>
                      <w14:textFill>
                        <w14:solidFill>
                          <w14:schemeClr w14:val="tx1"/>
                        </w14:solidFill>
                      </w14:textFill>
                    </w:rPr>
                    <w:t>烧结烘干</w:t>
                  </w:r>
                </w:p>
              </w:tc>
              <w:tc>
                <w:tcPr>
                  <w:tcW w:w="625" w:type="pct"/>
                  <w:tcBorders>
                    <w:tl2br w:val="nil"/>
                    <w:tr2bl w:val="nil"/>
                  </w:tcBorders>
                  <w:noWrap w:val="0"/>
                  <w:vAlign w:val="center"/>
                </w:tcPr>
                <w:p w14:paraId="662A4AD4">
                  <w:pPr>
                    <w:pStyle w:val="2"/>
                    <w:jc w:val="center"/>
                    <w:rPr>
                      <w:rFonts w:hint="default" w:ascii="Times New Roman" w:hAnsi="Times New Roman" w:eastAsia="宋体" w:cs="Times New Roman"/>
                      <w:bCs/>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18"/>
                      <w:lang w:val="en-US" w:eastAsia="zh-CN"/>
                      <w14:textFill>
                        <w14:solidFill>
                          <w14:schemeClr w14:val="tx1"/>
                        </w14:solidFill>
                      </w14:textFill>
                    </w:rPr>
                    <w:t>烘干废气排气筒</w:t>
                  </w:r>
                </w:p>
              </w:tc>
              <w:tc>
                <w:tcPr>
                  <w:tcW w:w="1059" w:type="pct"/>
                  <w:tcBorders>
                    <w:tl2br w:val="nil"/>
                    <w:tr2bl w:val="nil"/>
                  </w:tcBorders>
                  <w:noWrap w:val="0"/>
                  <w:vAlign w:val="center"/>
                </w:tcPr>
                <w:p w14:paraId="451AD36E">
                  <w:pPr>
                    <w:pStyle w:val="2"/>
                    <w:jc w:val="center"/>
                    <w:rPr>
                      <w:rFonts w:hint="default" w:ascii="Times New Roman" w:hAnsi="Times New Roman" w:eastAsia="宋体" w:cs="Times New Roman"/>
                      <w:bCs/>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18"/>
                      <w:lang w:val="en-US" w:eastAsia="zh-CN"/>
                      <w14:textFill>
                        <w14:solidFill>
                          <w14:schemeClr w14:val="tx1"/>
                        </w14:solidFill>
                      </w14:textFill>
                    </w:rPr>
                    <w:t>活性炭+15m</w:t>
                  </w:r>
                </w:p>
                <w:p w14:paraId="4B0E89B1">
                  <w:pPr>
                    <w:pStyle w:val="2"/>
                    <w:jc w:val="center"/>
                    <w:rPr>
                      <w:rFonts w:hint="default" w:ascii="Times New Roman" w:hAnsi="Times New Roman" w:eastAsia="宋体" w:cs="Times New Roman"/>
                      <w:bCs/>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18"/>
                      <w:lang w:val="en-US" w:eastAsia="zh-CN"/>
                      <w14:textFill>
                        <w14:solidFill>
                          <w14:schemeClr w14:val="tx1"/>
                        </w14:solidFill>
                      </w14:textFill>
                    </w:rPr>
                    <w:t>排气筒</w:t>
                  </w:r>
                </w:p>
              </w:tc>
              <w:tc>
                <w:tcPr>
                  <w:tcW w:w="642" w:type="pct"/>
                  <w:tcBorders>
                    <w:tl2br w:val="nil"/>
                    <w:tr2bl w:val="nil"/>
                  </w:tcBorders>
                  <w:noWrap w:val="0"/>
                  <w:vAlign w:val="center"/>
                </w:tcPr>
                <w:p w14:paraId="6F2B6275">
                  <w:pPr>
                    <w:pStyle w:val="2"/>
                    <w:jc w:val="center"/>
                    <w:rPr>
                      <w:rFonts w:hint="default" w:ascii="Times New Roman" w:hAnsi="Times New Roman" w:eastAsia="宋体" w:cs="Times New Roman"/>
                      <w:bCs/>
                      <w:color w:val="000000" w:themeColor="text1"/>
                      <w:sz w:val="21"/>
                      <w:szCs w:val="18"/>
                      <w14:textFill>
                        <w14:solidFill>
                          <w14:schemeClr w14:val="tx1"/>
                        </w14:solidFill>
                      </w14:textFill>
                    </w:rPr>
                  </w:pPr>
                  <w:r>
                    <w:rPr>
                      <w:rFonts w:hint="default" w:ascii="Times New Roman" w:hAnsi="Times New Roman" w:eastAsia="宋体" w:cs="Times New Roman"/>
                      <w:bCs/>
                      <w:color w:val="000000" w:themeColor="text1"/>
                      <w:sz w:val="21"/>
                      <w:szCs w:val="18"/>
                      <w14:textFill>
                        <w14:solidFill>
                          <w14:schemeClr w14:val="tx1"/>
                        </w14:solidFill>
                      </w14:textFill>
                    </w:rPr>
                    <w:t>有组织</w:t>
                  </w:r>
                </w:p>
              </w:tc>
              <w:tc>
                <w:tcPr>
                  <w:tcW w:w="741" w:type="pct"/>
                  <w:tcBorders>
                    <w:tl2br w:val="nil"/>
                    <w:tr2bl w:val="nil"/>
                  </w:tcBorders>
                  <w:noWrap w:val="0"/>
                  <w:vAlign w:val="center"/>
                </w:tcPr>
                <w:p w14:paraId="43A5B796">
                  <w:pPr>
                    <w:pStyle w:val="2"/>
                    <w:jc w:val="center"/>
                    <w:rPr>
                      <w:rFonts w:hint="default" w:ascii="Times New Roman" w:hAnsi="Times New Roman" w:eastAsia="宋体" w:cs="Times New Roman"/>
                      <w:bCs/>
                      <w:color w:val="000000" w:themeColor="text1"/>
                      <w:sz w:val="21"/>
                      <w:szCs w:val="18"/>
                      <w:lang w:eastAsia="zh-CN"/>
                      <w14:textFill>
                        <w14:solidFill>
                          <w14:schemeClr w14:val="tx1"/>
                        </w14:solidFill>
                      </w14:textFill>
                    </w:rPr>
                  </w:pPr>
                  <w:r>
                    <w:rPr>
                      <w:rFonts w:hint="default" w:ascii="Times New Roman" w:hAnsi="Times New Roman" w:eastAsia="宋体" w:cs="Times New Roman"/>
                      <w:bCs/>
                      <w:color w:val="000000" w:themeColor="text1"/>
                      <w:sz w:val="21"/>
                      <w:szCs w:val="18"/>
                      <w:lang w:val="en-US" w:eastAsia="zh-CN"/>
                      <w14:textFill>
                        <w14:solidFill>
                          <w14:schemeClr w14:val="tx1"/>
                        </w14:solidFill>
                      </w14:textFill>
                    </w:rPr>
                    <w:t>非甲烷总烃</w:t>
                  </w:r>
                </w:p>
              </w:tc>
              <w:tc>
                <w:tcPr>
                  <w:tcW w:w="841" w:type="pct"/>
                  <w:tcBorders>
                    <w:tl2br w:val="nil"/>
                    <w:tr2bl w:val="nil"/>
                  </w:tcBorders>
                  <w:noWrap w:val="0"/>
                  <w:vAlign w:val="center"/>
                </w:tcPr>
                <w:p w14:paraId="0F712360">
                  <w:pPr>
                    <w:pStyle w:val="2"/>
                    <w:jc w:val="center"/>
                    <w:rPr>
                      <w:rFonts w:hint="default" w:ascii="Times New Roman" w:hAnsi="Times New Roman" w:eastAsia="宋体" w:cs="Times New Roman"/>
                      <w:bCs/>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18"/>
                      <w:lang w:val="en-US" w:eastAsia="zh-CN"/>
                      <w14:textFill>
                        <w14:solidFill>
                          <w14:schemeClr w14:val="tx1"/>
                        </w14:solidFill>
                      </w14:textFill>
                    </w:rPr>
                    <w:t>1.02~1.14</w:t>
                  </w:r>
                  <w:r>
                    <w:rPr>
                      <w:rFonts w:hint="default" w:ascii="Times New Roman" w:hAnsi="Times New Roman" w:cs="Times New Roman"/>
                      <w:bCs/>
                      <w:color w:val="000000" w:themeColor="text1"/>
                      <w:sz w:val="21"/>
                      <w:szCs w:val="18"/>
                      <w:lang w:val="en-US" w:eastAsia="zh-CN"/>
                      <w14:textFill>
                        <w14:solidFill>
                          <w14:schemeClr w14:val="tx1"/>
                        </w14:solidFill>
                      </w14:textFill>
                    </w:rPr>
                    <w:t>&lt;</w:t>
                  </w:r>
                  <w:r>
                    <w:rPr>
                      <w:rFonts w:hint="default" w:ascii="Times New Roman" w:hAnsi="Times New Roman" w:eastAsia="宋体" w:cs="Times New Roman"/>
                      <w:bCs/>
                      <w:color w:val="000000" w:themeColor="text1"/>
                      <w:sz w:val="21"/>
                      <w:szCs w:val="18"/>
                      <w:lang w:val="en-US" w:eastAsia="zh-CN"/>
                      <w14:textFill>
                        <w14:solidFill>
                          <w14:schemeClr w14:val="tx1"/>
                        </w14:solidFill>
                      </w14:textFill>
                    </w:rPr>
                    <w:t>50</w:t>
                  </w:r>
                </w:p>
              </w:tc>
              <w:tc>
                <w:tcPr>
                  <w:tcW w:w="410" w:type="pct"/>
                  <w:tcBorders>
                    <w:tl2br w:val="nil"/>
                    <w:tr2bl w:val="nil"/>
                  </w:tcBorders>
                  <w:noWrap w:val="0"/>
                  <w:vAlign w:val="center"/>
                </w:tcPr>
                <w:p w14:paraId="3AB114D1">
                  <w:pPr>
                    <w:pStyle w:val="2"/>
                    <w:jc w:val="center"/>
                    <w:rPr>
                      <w:rFonts w:hint="default" w:ascii="Times New Roman" w:hAnsi="Times New Roman" w:eastAsia="宋体" w:cs="Times New Roman"/>
                      <w:bCs/>
                      <w:color w:val="000000" w:themeColor="text1"/>
                      <w:sz w:val="21"/>
                      <w:szCs w:val="18"/>
                      <w14:textFill>
                        <w14:solidFill>
                          <w14:schemeClr w14:val="tx1"/>
                        </w14:solidFill>
                      </w14:textFill>
                    </w:rPr>
                  </w:pPr>
                  <w:r>
                    <w:rPr>
                      <w:rFonts w:hint="default" w:ascii="Times New Roman" w:hAnsi="Times New Roman" w:eastAsia="宋体" w:cs="Times New Roman"/>
                      <w:bCs/>
                      <w:color w:val="000000" w:themeColor="text1"/>
                      <w:sz w:val="21"/>
                      <w:szCs w:val="18"/>
                      <w14:textFill>
                        <w14:solidFill>
                          <w14:schemeClr w14:val="tx1"/>
                        </w14:solidFill>
                      </w14:textFill>
                    </w:rPr>
                    <w:t>是</w:t>
                  </w:r>
                </w:p>
              </w:tc>
            </w:tr>
          </w:tbl>
          <w:p w14:paraId="4C612511">
            <w:pPr>
              <w:pStyle w:val="2"/>
              <w:spacing w:line="360" w:lineRule="auto"/>
              <w:ind w:firstLine="480" w:firstLineChars="200"/>
              <w:jc w:val="both"/>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rPr>
              <w:t>具体监测数据见附件。</w:t>
            </w:r>
          </w:p>
          <w:p w14:paraId="1336EB3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Cs/>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原有项目运营期烧结烘干</w:t>
            </w:r>
            <w:r>
              <w:rPr>
                <w:rFonts w:hint="default" w:ascii="Times New Roman" w:hAnsi="Times New Roman" w:eastAsia="宋体" w:cs="Times New Roman"/>
                <w:color w:val="000000" w:themeColor="text1"/>
                <w:kern w:val="0"/>
                <w:sz w:val="24"/>
                <w:lang w:val="en-US" w:eastAsia="zh-CN"/>
                <w14:textFill>
                  <w14:solidFill>
                    <w14:schemeClr w14:val="tx1"/>
                  </w14:solidFill>
                </w14:textFill>
              </w:rPr>
              <w:t>有效工作时间为7200h，根据自行监测报告数据可知排气筒非甲烷总烃</w:t>
            </w: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最大排放速率为0.001kg/h，则</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排放量为0.0072t/a，未超过环评批复量0.0725t/a。</w:t>
            </w:r>
          </w:p>
          <w:p w14:paraId="016B37E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由监测结果可知：烧结烘干工序产生的非甲烷总烃排放浓度满足</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《挥发性有机物排放控制标准》（DB</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61/T1061-2017）表1（电子产品制造）浓度限值</w:t>
            </w:r>
            <w:r>
              <w:rPr>
                <w:rFonts w:hint="default" w:ascii="Times New Roman" w:hAnsi="Times New Roman" w:cs="Times New Roman"/>
                <w:color w:val="000000" w:themeColor="text1"/>
                <w:sz w:val="24"/>
                <w:szCs w:val="24"/>
                <w:lang w:val="en-US" w:eastAsia="zh-CN"/>
                <w14:textFill>
                  <w14:solidFill>
                    <w14:schemeClr w14:val="tx1"/>
                  </w14:solidFill>
                </w14:textFill>
              </w:rPr>
              <w:t>要求。</w:t>
            </w:r>
            <w:r>
              <w:rPr>
                <w:rFonts w:hint="default" w:ascii="Times New Roman" w:hAnsi="Times New Roman" w:eastAsia="宋体" w:cs="Times New Roman"/>
                <w:color w:val="000000" w:themeColor="text1"/>
                <w:sz w:val="24"/>
                <w:lang w:val="en-US" w:eastAsia="zh-CN"/>
                <w14:textFill>
                  <w14:solidFill>
                    <w14:schemeClr w14:val="tx1"/>
                  </w14:solidFill>
                </w14:textFill>
              </w:rPr>
              <w:t>厂界无组织颗粒物排放浓度满足</w:t>
            </w:r>
            <w:r>
              <w:rPr>
                <w:rFonts w:hint="default" w:ascii="Times New Roman" w:hAnsi="Times New Roman" w:eastAsia="宋体" w:cs="Times New Roman"/>
                <w:color w:val="000000" w:themeColor="text1"/>
                <w:sz w:val="24"/>
                <w:lang w:eastAsia="zh-CN"/>
                <w14:textFill>
                  <w14:solidFill>
                    <w14:schemeClr w14:val="tx1"/>
                  </w14:solidFill>
                </w14:textFill>
              </w:rPr>
              <w:t>《大气污染物综合排放标准》（</w:t>
            </w:r>
            <w:r>
              <w:rPr>
                <w:rFonts w:hint="default" w:ascii="Times New Roman" w:hAnsi="Times New Roman" w:eastAsia="宋体" w:cs="Times New Roman"/>
                <w:color w:val="000000" w:themeColor="text1"/>
                <w:sz w:val="24"/>
                <w:lang w:val="en-US" w:eastAsia="zh-CN"/>
                <w14:textFill>
                  <w14:solidFill>
                    <w14:schemeClr w14:val="tx1"/>
                  </w14:solidFill>
                </w14:textFill>
              </w:rPr>
              <w:t>GB</w:t>
            </w:r>
            <w:r>
              <w:rPr>
                <w:rFonts w:hint="default" w:ascii="Times New Roman" w:hAnsi="Times New Roman" w:cs="Times New Roman"/>
                <w:color w:val="000000" w:themeColor="text1"/>
                <w:sz w:val="24"/>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4"/>
                <w:lang w:val="en-US" w:eastAsia="zh-CN"/>
                <w14:textFill>
                  <w14:solidFill>
                    <w14:schemeClr w14:val="tx1"/>
                  </w14:solidFill>
                </w14:textFill>
              </w:rPr>
              <w:t>16297-1996</w:t>
            </w:r>
            <w:r>
              <w:rPr>
                <w:rFonts w:hint="default" w:ascii="Times New Roman" w:hAnsi="Times New Roman" w:eastAsia="宋体" w:cs="Times New Roman"/>
                <w:color w:val="000000" w:themeColor="text1"/>
                <w:sz w:val="24"/>
                <w:lang w:eastAsia="zh-CN"/>
                <w14:textFill>
                  <w14:solidFill>
                    <w14:schemeClr w14:val="tx1"/>
                  </w14:solidFill>
                </w14:textFill>
              </w:rPr>
              <w:t>）</w:t>
            </w:r>
            <w:r>
              <w:rPr>
                <w:rFonts w:hint="default" w:ascii="Times New Roman" w:hAnsi="Times New Roman" w:eastAsia="宋体" w:cs="Times New Roman"/>
                <w:color w:val="000000" w:themeColor="text1"/>
                <w:sz w:val="24"/>
                <w14:textFill>
                  <w14:solidFill>
                    <w14:schemeClr w14:val="tx1"/>
                  </w14:solidFill>
                </w14:textFill>
              </w:rPr>
              <w:t>表</w:t>
            </w:r>
            <w:r>
              <w:rPr>
                <w:rFonts w:hint="default" w:ascii="Times New Roman" w:hAnsi="Times New Roman" w:eastAsia="宋体" w:cs="Times New Roman"/>
                <w:color w:val="000000" w:themeColor="text1"/>
                <w:sz w:val="24"/>
                <w:lang w:val="en-US" w:eastAsia="zh-CN"/>
                <w14:textFill>
                  <w14:solidFill>
                    <w14:schemeClr w14:val="tx1"/>
                  </w14:solidFill>
                </w14:textFill>
              </w:rPr>
              <w:t>2中无组织</w:t>
            </w:r>
            <w:r>
              <w:rPr>
                <w:rFonts w:hint="default" w:ascii="Times New Roman" w:hAnsi="Times New Roman" w:cs="Times New Roman"/>
                <w:color w:val="000000" w:themeColor="text1"/>
                <w:sz w:val="24"/>
                <w:lang w:val="en-US" w:eastAsia="zh-CN"/>
                <w14:textFill>
                  <w14:solidFill>
                    <w14:schemeClr w14:val="tx1"/>
                  </w14:solidFill>
                </w14:textFill>
              </w:rPr>
              <w:t>颗粒物</w:t>
            </w:r>
            <w:r>
              <w:rPr>
                <w:rFonts w:hint="default" w:ascii="Times New Roman" w:hAnsi="Times New Roman" w:eastAsia="宋体" w:cs="Times New Roman"/>
                <w:color w:val="000000" w:themeColor="text1"/>
                <w:sz w:val="24"/>
                <w:lang w:val="en-US" w:eastAsia="zh-CN"/>
                <w14:textFill>
                  <w14:solidFill>
                    <w14:schemeClr w14:val="tx1"/>
                  </w14:solidFill>
                </w14:textFill>
              </w:rPr>
              <w:t>排放</w:t>
            </w:r>
            <w:r>
              <w:rPr>
                <w:rFonts w:hint="default" w:ascii="Times New Roman" w:hAnsi="Times New Roman" w:eastAsia="宋体" w:cs="Times New Roman"/>
                <w:color w:val="000000" w:themeColor="text1"/>
                <w:sz w:val="24"/>
                <w14:textFill>
                  <w14:solidFill>
                    <w14:schemeClr w14:val="tx1"/>
                  </w14:solidFill>
                </w14:textFill>
              </w:rPr>
              <w:t>标准限值要求</w:t>
            </w:r>
            <w:r>
              <w:rPr>
                <w:rFonts w:hint="default" w:ascii="Times New Roman" w:hAnsi="Times New Roman" w:eastAsia="宋体" w:cs="Times New Roman"/>
                <w:color w:val="000000" w:themeColor="text1"/>
                <w:sz w:val="24"/>
                <w:lang w:eastAsia="zh-CN"/>
                <w14:textFill>
                  <w14:solidFill>
                    <w14:schemeClr w14:val="tx1"/>
                  </w14:solidFill>
                </w14:textFill>
              </w:rPr>
              <w:t>，</w:t>
            </w:r>
            <w:r>
              <w:rPr>
                <w:rFonts w:hint="default" w:ascii="Times New Roman" w:hAnsi="Times New Roman" w:eastAsia="宋体" w:cs="Times New Roman"/>
                <w:color w:val="000000" w:themeColor="text1"/>
                <w:sz w:val="24"/>
                <w:lang w:val="en-US" w:eastAsia="zh-CN"/>
                <w14:textFill>
                  <w14:solidFill>
                    <w14:schemeClr w14:val="tx1"/>
                  </w14:solidFill>
                </w14:textFill>
              </w:rPr>
              <w:t>厂界无组织非甲烷总烃排放浓度满足《挥发性有机物排放控制标准》DB61/T1061-2017表3中标准限值的要求。</w:t>
            </w:r>
          </w:p>
          <w:p w14:paraId="3023B1AE">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（4）固废：</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原有</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项目产生的固体废物主要包</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括生活垃圾、包装废料、飞原辅料包装物、废活性炭、</w:t>
            </w:r>
            <w:r>
              <w:rPr>
                <w:rFonts w:hint="eastAsia" w:cs="Times New Roman"/>
                <w:color w:val="000000" w:themeColor="text1"/>
                <w:sz w:val="24"/>
                <w:highlight w:val="none"/>
                <w:lang w:val="en-US" w:eastAsia="zh-CN"/>
                <w14:textFill>
                  <w14:solidFill>
                    <w14:schemeClr w14:val="tx1"/>
                  </w14:solidFill>
                </w14:textFill>
              </w:rPr>
              <w:t>废空压机油</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、含油手套抹布等。</w:t>
            </w:r>
            <w:r>
              <w:rPr>
                <w:rFonts w:hint="default" w:ascii="Times New Roman" w:hAnsi="Times New Roman" w:eastAsia="宋体" w:cs="Times New Roman"/>
                <w:color w:val="000000" w:themeColor="text1"/>
                <w:sz w:val="24"/>
                <w:szCs w:val="24"/>
                <w14:textFill>
                  <w14:solidFill>
                    <w14:schemeClr w14:val="tx1"/>
                  </w14:solidFill>
                </w14:textFill>
              </w:rPr>
              <w:t>生活垃圾</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设置垃圾收集桶</w:t>
            </w:r>
            <w:r>
              <w:rPr>
                <w:rFonts w:hint="default" w:ascii="Times New Roman" w:hAnsi="Times New Roman" w:eastAsia="宋体" w:cs="Times New Roman"/>
                <w:color w:val="000000" w:themeColor="text1"/>
                <w:sz w:val="24"/>
                <w:szCs w:val="24"/>
                <w14:textFill>
                  <w14:solidFill>
                    <w14:schemeClr w14:val="tx1"/>
                  </w14:solidFill>
                </w14:textFill>
              </w:rPr>
              <w:t>，由环卫部门定期清运；</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不占有有害物质的废包装物集中收集后外售，综合利用。沾染有害物质的原辅料包装物、废活性炭、</w:t>
            </w:r>
            <w:r>
              <w:rPr>
                <w:rFonts w:hint="eastAsia" w:cs="Times New Roman"/>
                <w:color w:val="000000" w:themeColor="text1"/>
                <w:sz w:val="24"/>
                <w:szCs w:val="24"/>
                <w:lang w:val="en-US" w:eastAsia="zh-CN"/>
                <w14:textFill>
                  <w14:solidFill>
                    <w14:schemeClr w14:val="tx1"/>
                  </w14:solidFill>
                </w14:textFill>
              </w:rPr>
              <w:t>废空压机油</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、含油手套抹布等暂存于危废暂存间，定期交由陕西荣元再生能源发展有限公司处理</w:t>
            </w:r>
            <w:r>
              <w:rPr>
                <w:rFonts w:hint="default" w:ascii="Times New Roman" w:hAnsi="Times New Roman" w:eastAsia="宋体" w:cs="Times New Roman"/>
                <w:color w:val="000000" w:themeColor="text1"/>
                <w:sz w:val="24"/>
                <w:szCs w:val="24"/>
                <w14:textFill>
                  <w14:solidFill>
                    <w14:schemeClr w14:val="tx1"/>
                  </w14:solidFill>
                </w14:textFill>
              </w:rPr>
              <w:t>。</w:t>
            </w:r>
          </w:p>
          <w:p w14:paraId="05F16567">
            <w:pPr>
              <w:pStyle w:val="2"/>
              <w:spacing w:line="360" w:lineRule="auto"/>
              <w:ind w:firstLine="482" w:firstLineChars="200"/>
              <w:jc w:val="both"/>
              <w:rPr>
                <w:rFonts w:hint="default" w:ascii="Times New Roman" w:hAnsi="Times New Roman" w:eastAsia="宋体" w:cs="Times New Roman"/>
                <w:bCs/>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t>3</w:t>
            </w:r>
            <w:r>
              <w:rPr>
                <w:rFonts w:hint="default" w:ascii="Times New Roman" w:hAnsi="Times New Roman" w:cs="Times New Roman"/>
                <w:b/>
                <w:bCs/>
                <w:color w:val="000000" w:themeColor="text1"/>
                <w:kern w:val="2"/>
                <w:sz w:val="24"/>
                <w:szCs w:val="24"/>
                <w:lang w:val="en-US" w:eastAsia="zh-CN" w:bidi="ar-SA"/>
                <w14:textFill>
                  <w14:solidFill>
                    <w14:schemeClr w14:val="tx1"/>
                  </w14:solidFill>
                </w14:textFill>
              </w:rPr>
              <w:t>.</w:t>
            </w:r>
            <w:r>
              <w:rPr>
                <w:rFonts w:hint="default" w:ascii="Times New Roman" w:hAnsi="Times New Roman" w:eastAsia="宋体" w:cs="Times New Roman"/>
                <w:b/>
                <w:bCs w:val="0"/>
                <w:color w:val="000000" w:themeColor="text1"/>
                <w:szCs w:val="21"/>
                <w:highlight w:val="none"/>
                <w:lang w:val="en-US" w:eastAsia="zh-CN"/>
                <w14:textFill>
                  <w14:solidFill>
                    <w14:schemeClr w14:val="tx1"/>
                  </w14:solidFill>
                </w14:textFill>
              </w:rPr>
              <w:t>原有</w:t>
            </w:r>
            <w:r>
              <w:rPr>
                <w:rFonts w:hint="default" w:ascii="Times New Roman" w:hAnsi="Times New Roman" w:cs="Times New Roman"/>
                <w:b/>
                <w:bCs w:val="0"/>
                <w:color w:val="000000" w:themeColor="text1"/>
                <w:szCs w:val="21"/>
                <w:highlight w:val="none"/>
                <w:lang w:val="en-US" w:eastAsia="zh-CN"/>
                <w14:textFill>
                  <w14:solidFill>
                    <w14:schemeClr w14:val="tx1"/>
                  </w14:solidFill>
                </w14:textFill>
              </w:rPr>
              <w:t>锅炉</w:t>
            </w:r>
            <w:r>
              <w:rPr>
                <w:rFonts w:hint="default" w:ascii="Times New Roman" w:hAnsi="Times New Roman" w:eastAsia="宋体" w:cs="Times New Roman"/>
                <w:b/>
                <w:bCs w:val="0"/>
                <w:color w:val="000000" w:themeColor="text1"/>
                <w:szCs w:val="21"/>
                <w:highlight w:val="none"/>
                <w:lang w:val="en-US" w:eastAsia="zh-CN"/>
                <w14:textFill>
                  <w14:solidFill>
                    <w14:schemeClr w14:val="tx1"/>
                  </w14:solidFill>
                </w14:textFill>
              </w:rPr>
              <w:t>污染物排放量清单</w:t>
            </w:r>
          </w:p>
          <w:p w14:paraId="56251BF6">
            <w:pPr>
              <w:pStyle w:val="2"/>
              <w:jc w:val="center"/>
              <w:rPr>
                <w:rFonts w:hint="default" w:ascii="Times New Roman" w:hAnsi="Times New Roman" w:eastAsia="宋体" w:cs="Times New Roman"/>
                <w:b/>
                <w:bCs w:val="0"/>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b/>
                <w:bCs w:val="0"/>
                <w:color w:val="000000" w:themeColor="text1"/>
                <w:sz w:val="21"/>
                <w:szCs w:val="18"/>
                <w:lang w:val="en-US" w:eastAsia="zh-CN"/>
                <w14:textFill>
                  <w14:solidFill>
                    <w14:schemeClr w14:val="tx1"/>
                  </w14:solidFill>
                </w14:textFill>
              </w:rPr>
              <w:t>表2-11  原有项目</w:t>
            </w:r>
            <w:r>
              <w:rPr>
                <w:rFonts w:hint="default" w:ascii="Times New Roman" w:hAnsi="Times New Roman" w:cs="Times New Roman"/>
                <w:b/>
                <w:bCs w:val="0"/>
                <w:color w:val="000000" w:themeColor="text1"/>
                <w:sz w:val="21"/>
                <w:szCs w:val="18"/>
                <w:lang w:val="en-US" w:eastAsia="zh-CN"/>
                <w14:textFill>
                  <w14:solidFill>
                    <w14:schemeClr w14:val="tx1"/>
                  </w14:solidFill>
                </w14:textFill>
              </w:rPr>
              <w:t>锅炉</w:t>
            </w:r>
            <w:r>
              <w:rPr>
                <w:rFonts w:hint="default" w:ascii="Times New Roman" w:hAnsi="Times New Roman" w:eastAsia="宋体" w:cs="Times New Roman"/>
                <w:b/>
                <w:bCs w:val="0"/>
                <w:color w:val="000000" w:themeColor="text1"/>
                <w:sz w:val="21"/>
                <w:szCs w:val="18"/>
                <w:lang w:val="en-US" w:eastAsia="zh-CN"/>
                <w14:textFill>
                  <w14:solidFill>
                    <w14:schemeClr w14:val="tx1"/>
                  </w14:solidFill>
                </w14:textFill>
              </w:rPr>
              <w:t>污染物排放量汇总表</w:t>
            </w:r>
          </w:p>
          <w:tbl>
            <w:tblPr>
              <w:tblStyle w:val="36"/>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093"/>
              <w:gridCol w:w="2093"/>
              <w:gridCol w:w="2094"/>
              <w:gridCol w:w="2097"/>
            </w:tblGrid>
            <w:tr w14:paraId="0ACEE9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93" w:type="dxa"/>
                  <w:tcBorders>
                    <w:tl2br w:val="nil"/>
                    <w:tr2bl w:val="nil"/>
                  </w:tcBorders>
                  <w:noWrap w:val="0"/>
                  <w:vAlign w:val="center"/>
                </w:tcPr>
                <w:p w14:paraId="4852091C">
                  <w:pPr>
                    <w:pStyle w:val="2"/>
                    <w:jc w:val="center"/>
                    <w:rPr>
                      <w:rFonts w:hint="default" w:ascii="Times New Roman" w:hAnsi="Times New Roman" w:eastAsia="宋体" w:cs="Times New Roman"/>
                      <w:bCs/>
                      <w:color w:val="000000" w:themeColor="text1"/>
                      <w:sz w:val="21"/>
                      <w:szCs w:val="18"/>
                      <w14:textFill>
                        <w14:solidFill>
                          <w14:schemeClr w14:val="tx1"/>
                        </w14:solidFill>
                      </w14:textFill>
                    </w:rPr>
                  </w:pPr>
                  <w:r>
                    <w:rPr>
                      <w:rFonts w:hint="default" w:ascii="Times New Roman" w:hAnsi="Times New Roman" w:eastAsia="宋体" w:cs="Times New Roman"/>
                      <w:bCs/>
                      <w:color w:val="000000" w:themeColor="text1"/>
                      <w:sz w:val="21"/>
                      <w:szCs w:val="18"/>
                      <w14:textFill>
                        <w14:solidFill>
                          <w14:schemeClr w14:val="tx1"/>
                        </w14:solidFill>
                      </w14:textFill>
                    </w:rPr>
                    <w:t>类别</w:t>
                  </w:r>
                </w:p>
              </w:tc>
              <w:tc>
                <w:tcPr>
                  <w:tcW w:w="2093" w:type="dxa"/>
                  <w:tcBorders>
                    <w:tl2br w:val="nil"/>
                    <w:tr2bl w:val="nil"/>
                  </w:tcBorders>
                  <w:noWrap w:val="0"/>
                  <w:vAlign w:val="center"/>
                </w:tcPr>
                <w:p w14:paraId="35165032">
                  <w:pPr>
                    <w:pStyle w:val="2"/>
                    <w:jc w:val="center"/>
                    <w:rPr>
                      <w:rFonts w:hint="default" w:ascii="Times New Roman" w:hAnsi="Times New Roman" w:eastAsia="宋体" w:cs="Times New Roman"/>
                      <w:bCs/>
                      <w:color w:val="000000" w:themeColor="text1"/>
                      <w:sz w:val="21"/>
                      <w:szCs w:val="18"/>
                      <w14:textFill>
                        <w14:solidFill>
                          <w14:schemeClr w14:val="tx1"/>
                        </w14:solidFill>
                      </w14:textFill>
                    </w:rPr>
                  </w:pPr>
                  <w:r>
                    <w:rPr>
                      <w:rFonts w:hint="default" w:ascii="Times New Roman" w:hAnsi="Times New Roman" w:eastAsia="宋体" w:cs="Times New Roman"/>
                      <w:bCs/>
                      <w:color w:val="000000" w:themeColor="text1"/>
                      <w:sz w:val="21"/>
                      <w:szCs w:val="18"/>
                      <w14:textFill>
                        <w14:solidFill>
                          <w14:schemeClr w14:val="tx1"/>
                        </w14:solidFill>
                      </w14:textFill>
                    </w:rPr>
                    <w:t>污染源</w:t>
                  </w:r>
                </w:p>
              </w:tc>
              <w:tc>
                <w:tcPr>
                  <w:tcW w:w="2094" w:type="dxa"/>
                  <w:tcBorders>
                    <w:tl2br w:val="nil"/>
                    <w:tr2bl w:val="nil"/>
                  </w:tcBorders>
                  <w:noWrap w:val="0"/>
                  <w:vAlign w:val="center"/>
                </w:tcPr>
                <w:p w14:paraId="4DCEC14D">
                  <w:pPr>
                    <w:pStyle w:val="2"/>
                    <w:jc w:val="center"/>
                    <w:rPr>
                      <w:rFonts w:hint="default" w:ascii="Times New Roman" w:hAnsi="Times New Roman" w:eastAsia="宋体" w:cs="Times New Roman"/>
                      <w:bCs/>
                      <w:color w:val="000000" w:themeColor="text1"/>
                      <w:sz w:val="21"/>
                      <w:szCs w:val="18"/>
                      <w14:textFill>
                        <w14:solidFill>
                          <w14:schemeClr w14:val="tx1"/>
                        </w14:solidFill>
                      </w14:textFill>
                    </w:rPr>
                  </w:pPr>
                  <w:r>
                    <w:rPr>
                      <w:rFonts w:hint="default" w:ascii="Times New Roman" w:hAnsi="Times New Roman" w:eastAsia="宋体" w:cs="Times New Roman"/>
                      <w:bCs/>
                      <w:color w:val="000000" w:themeColor="text1"/>
                      <w:sz w:val="21"/>
                      <w:szCs w:val="18"/>
                      <w14:textFill>
                        <w14:solidFill>
                          <w14:schemeClr w14:val="tx1"/>
                        </w14:solidFill>
                      </w14:textFill>
                    </w:rPr>
                    <w:t>污染物</w:t>
                  </w:r>
                </w:p>
              </w:tc>
              <w:tc>
                <w:tcPr>
                  <w:tcW w:w="2097" w:type="dxa"/>
                  <w:tcBorders>
                    <w:tl2br w:val="nil"/>
                    <w:tr2bl w:val="nil"/>
                  </w:tcBorders>
                  <w:noWrap w:val="0"/>
                  <w:vAlign w:val="center"/>
                </w:tcPr>
                <w:p w14:paraId="290D603D">
                  <w:pPr>
                    <w:pStyle w:val="2"/>
                    <w:jc w:val="center"/>
                    <w:rPr>
                      <w:rFonts w:hint="default" w:ascii="Times New Roman" w:hAnsi="Times New Roman" w:eastAsia="宋体" w:cs="Times New Roman"/>
                      <w:bCs/>
                      <w:color w:val="000000" w:themeColor="text1"/>
                      <w:sz w:val="21"/>
                      <w:szCs w:val="18"/>
                      <w:lang w:eastAsia="zh-CN"/>
                      <w14:textFill>
                        <w14:solidFill>
                          <w14:schemeClr w14:val="tx1"/>
                        </w14:solidFill>
                      </w14:textFill>
                    </w:rPr>
                  </w:pPr>
                  <w:r>
                    <w:rPr>
                      <w:rFonts w:hint="default" w:ascii="Times New Roman" w:hAnsi="Times New Roman" w:eastAsia="宋体" w:cs="Times New Roman"/>
                      <w:bCs/>
                      <w:color w:val="000000" w:themeColor="text1"/>
                      <w:sz w:val="21"/>
                      <w:szCs w:val="18"/>
                      <w14:textFill>
                        <w14:solidFill>
                          <w14:schemeClr w14:val="tx1"/>
                        </w14:solidFill>
                      </w14:textFill>
                    </w:rPr>
                    <w:t>排放量（t/a）</w:t>
                  </w:r>
                  <w:r>
                    <w:rPr>
                      <w:rFonts w:hint="default" w:ascii="Times New Roman" w:hAnsi="Times New Roman" w:eastAsia="宋体" w:cs="Times New Roman"/>
                      <w:bCs/>
                      <w:color w:val="000000" w:themeColor="text1"/>
                      <w:sz w:val="21"/>
                      <w:szCs w:val="18"/>
                      <w:lang w:eastAsia="zh-CN"/>
                      <w14:textFill>
                        <w14:solidFill>
                          <w14:schemeClr w14:val="tx1"/>
                        </w14:solidFill>
                      </w14:textFill>
                    </w:rPr>
                    <w:t>（</w:t>
                  </w:r>
                  <w:r>
                    <w:rPr>
                      <w:rFonts w:hint="default" w:ascii="Times New Roman" w:hAnsi="Times New Roman" w:eastAsia="宋体" w:cs="Times New Roman"/>
                      <w:bCs/>
                      <w:color w:val="000000" w:themeColor="text1"/>
                      <w:sz w:val="21"/>
                      <w:szCs w:val="18"/>
                      <w:lang w:val="en-US" w:eastAsia="zh-CN"/>
                      <w14:textFill>
                        <w14:solidFill>
                          <w14:schemeClr w14:val="tx1"/>
                        </w14:solidFill>
                      </w14:textFill>
                    </w:rPr>
                    <w:t>固废产生量</w:t>
                  </w:r>
                  <w:r>
                    <w:rPr>
                      <w:rFonts w:hint="default" w:ascii="Times New Roman" w:hAnsi="Times New Roman" w:eastAsia="宋体" w:cs="Times New Roman"/>
                      <w:bCs/>
                      <w:color w:val="000000" w:themeColor="text1"/>
                      <w:sz w:val="21"/>
                      <w:szCs w:val="18"/>
                      <w:lang w:eastAsia="zh-CN"/>
                      <w14:textFill>
                        <w14:solidFill>
                          <w14:schemeClr w14:val="tx1"/>
                        </w14:solidFill>
                      </w14:textFill>
                    </w:rPr>
                    <w:t>）</w:t>
                  </w:r>
                </w:p>
              </w:tc>
            </w:tr>
            <w:tr w14:paraId="26D5B6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93" w:type="dxa"/>
                  <w:tcBorders>
                    <w:tl2br w:val="nil"/>
                    <w:tr2bl w:val="nil"/>
                  </w:tcBorders>
                  <w:noWrap w:val="0"/>
                  <w:vAlign w:val="center"/>
                </w:tcPr>
                <w:p w14:paraId="251AB85D">
                  <w:pPr>
                    <w:pStyle w:val="2"/>
                    <w:jc w:val="center"/>
                    <w:rPr>
                      <w:rFonts w:hint="default" w:ascii="Times New Roman" w:hAnsi="Times New Roman" w:eastAsia="宋体" w:cs="Times New Roman"/>
                      <w:bCs/>
                      <w:color w:val="000000" w:themeColor="text1"/>
                      <w:sz w:val="21"/>
                      <w:szCs w:val="18"/>
                      <w14:textFill>
                        <w14:solidFill>
                          <w14:schemeClr w14:val="tx1"/>
                        </w14:solidFill>
                      </w14:textFill>
                    </w:rPr>
                  </w:pPr>
                  <w:r>
                    <w:rPr>
                      <w:rFonts w:hint="default" w:ascii="Times New Roman" w:hAnsi="Times New Roman" w:eastAsia="宋体" w:cs="Times New Roman"/>
                      <w:bCs/>
                      <w:color w:val="000000" w:themeColor="text1"/>
                      <w:sz w:val="21"/>
                      <w:szCs w:val="18"/>
                      <w14:textFill>
                        <w14:solidFill>
                          <w14:schemeClr w14:val="tx1"/>
                        </w14:solidFill>
                      </w14:textFill>
                    </w:rPr>
                    <w:t>废气</w:t>
                  </w:r>
                </w:p>
              </w:tc>
              <w:tc>
                <w:tcPr>
                  <w:tcW w:w="2093" w:type="dxa"/>
                  <w:tcBorders>
                    <w:tl2br w:val="nil"/>
                    <w:tr2bl w:val="nil"/>
                  </w:tcBorders>
                  <w:noWrap w:val="0"/>
                  <w:vAlign w:val="center"/>
                </w:tcPr>
                <w:p w14:paraId="12F705BD">
                  <w:pPr>
                    <w:pStyle w:val="2"/>
                    <w:jc w:val="center"/>
                    <w:rPr>
                      <w:rFonts w:hint="default" w:ascii="Times New Roman" w:hAnsi="Times New Roman" w:eastAsia="宋体" w:cs="Times New Roman"/>
                      <w:bCs/>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18"/>
                      <w:lang w:val="en-US" w:eastAsia="zh-CN"/>
                      <w14:textFill>
                        <w14:solidFill>
                          <w14:schemeClr w14:val="tx1"/>
                        </w14:solidFill>
                      </w14:textFill>
                    </w:rPr>
                    <w:t>烧结烘干</w:t>
                  </w:r>
                </w:p>
              </w:tc>
              <w:tc>
                <w:tcPr>
                  <w:tcW w:w="2094" w:type="dxa"/>
                  <w:tcBorders>
                    <w:tl2br w:val="nil"/>
                    <w:tr2bl w:val="nil"/>
                  </w:tcBorders>
                  <w:noWrap w:val="0"/>
                  <w:vAlign w:val="center"/>
                </w:tcPr>
                <w:p w14:paraId="2FA1F852">
                  <w:pPr>
                    <w:pStyle w:val="2"/>
                    <w:jc w:val="center"/>
                    <w:rPr>
                      <w:rFonts w:hint="default" w:ascii="Times New Roman" w:hAnsi="Times New Roman" w:eastAsia="宋体" w:cs="Times New Roman"/>
                      <w:bCs/>
                      <w:color w:val="000000" w:themeColor="text1"/>
                      <w:sz w:val="21"/>
                      <w:szCs w:val="18"/>
                      <w14:textFill>
                        <w14:solidFill>
                          <w14:schemeClr w14:val="tx1"/>
                        </w14:solidFill>
                      </w14:textFill>
                    </w:rPr>
                  </w:pPr>
                  <w:r>
                    <w:rPr>
                      <w:rFonts w:hint="default" w:ascii="Times New Roman" w:hAnsi="Times New Roman" w:eastAsia="宋体" w:cs="Times New Roman"/>
                      <w:bCs/>
                      <w:color w:val="000000" w:themeColor="text1"/>
                      <w:sz w:val="21"/>
                      <w:szCs w:val="18"/>
                      <w:lang w:val="en-US" w:eastAsia="zh-CN"/>
                      <w14:textFill>
                        <w14:solidFill>
                          <w14:schemeClr w14:val="tx1"/>
                        </w14:solidFill>
                      </w14:textFill>
                    </w:rPr>
                    <w:t>非甲烷总烃</w:t>
                  </w:r>
                </w:p>
              </w:tc>
              <w:tc>
                <w:tcPr>
                  <w:tcW w:w="2097" w:type="dxa"/>
                  <w:tcBorders>
                    <w:tl2br w:val="nil"/>
                    <w:tr2bl w:val="nil"/>
                  </w:tcBorders>
                  <w:noWrap w:val="0"/>
                  <w:vAlign w:val="center"/>
                </w:tcPr>
                <w:p w14:paraId="13756C65">
                  <w:pPr>
                    <w:pStyle w:val="2"/>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0.0</w:t>
                  </w:r>
                  <w:r>
                    <w:rPr>
                      <w:rFonts w:hint="eastAsia" w:ascii="Times New Roman" w:hAnsi="Times New Roman" w:cs="Times New Roman"/>
                      <w:bCs/>
                      <w:color w:val="000000" w:themeColor="text1"/>
                      <w:sz w:val="21"/>
                      <w:szCs w:val="21"/>
                      <w:lang w:val="en-US" w:eastAsia="zh-CN"/>
                      <w14:textFill>
                        <w14:solidFill>
                          <w14:schemeClr w14:val="tx1"/>
                        </w14:solidFill>
                      </w14:textFill>
                    </w:rPr>
                    <w:t>725</w:t>
                  </w:r>
                </w:p>
              </w:tc>
            </w:tr>
            <w:tr w14:paraId="05B4ED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93" w:type="dxa"/>
                  <w:tcBorders>
                    <w:tl2br w:val="nil"/>
                    <w:tr2bl w:val="nil"/>
                  </w:tcBorders>
                  <w:noWrap w:val="0"/>
                  <w:vAlign w:val="center"/>
                </w:tcPr>
                <w:p w14:paraId="501D9274">
                  <w:pPr>
                    <w:pStyle w:val="2"/>
                    <w:jc w:val="center"/>
                    <w:rPr>
                      <w:rFonts w:hint="default" w:ascii="Times New Roman" w:hAnsi="Times New Roman" w:eastAsia="宋体" w:cs="Times New Roman"/>
                      <w:bCs/>
                      <w:color w:val="000000" w:themeColor="text1"/>
                      <w:sz w:val="21"/>
                      <w:szCs w:val="18"/>
                      <w:lang w:val="en-US" w:eastAsia="zh-CN"/>
                      <w14:textFill>
                        <w14:solidFill>
                          <w14:schemeClr w14:val="tx1"/>
                        </w14:solidFill>
                      </w14:textFill>
                    </w:rPr>
                  </w:pPr>
                  <w:r>
                    <w:rPr>
                      <w:rFonts w:hint="default" w:ascii="Times New Roman" w:hAnsi="Times New Roman" w:cs="Times New Roman"/>
                      <w:bCs/>
                      <w:color w:val="000000" w:themeColor="text1"/>
                      <w:sz w:val="21"/>
                      <w:szCs w:val="18"/>
                      <w:lang w:val="en-US" w:eastAsia="zh-CN"/>
                      <w14:textFill>
                        <w14:solidFill>
                          <w14:schemeClr w14:val="tx1"/>
                        </w14:solidFill>
                      </w14:textFill>
                    </w:rPr>
                    <w:t>废水</w:t>
                  </w:r>
                </w:p>
              </w:tc>
              <w:tc>
                <w:tcPr>
                  <w:tcW w:w="2093" w:type="dxa"/>
                  <w:tcBorders>
                    <w:tl2br w:val="nil"/>
                    <w:tr2bl w:val="nil"/>
                  </w:tcBorders>
                  <w:noWrap w:val="0"/>
                  <w:vAlign w:val="center"/>
                </w:tcPr>
                <w:p w14:paraId="1AA78520">
                  <w:pPr>
                    <w:pStyle w:val="2"/>
                    <w:jc w:val="center"/>
                    <w:rPr>
                      <w:rFonts w:hint="default" w:ascii="Times New Roman" w:hAnsi="Times New Roman" w:eastAsia="宋体" w:cs="Times New Roman"/>
                      <w:bCs/>
                      <w:color w:val="000000" w:themeColor="text1"/>
                      <w:sz w:val="21"/>
                      <w:szCs w:val="18"/>
                      <w:lang w:val="en-US" w:eastAsia="zh-CN"/>
                      <w14:textFill>
                        <w14:solidFill>
                          <w14:schemeClr w14:val="tx1"/>
                        </w14:solidFill>
                      </w14:textFill>
                    </w:rPr>
                  </w:pPr>
                  <w:r>
                    <w:rPr>
                      <w:rFonts w:hint="default" w:ascii="Times New Roman" w:hAnsi="Times New Roman" w:cs="Times New Roman"/>
                      <w:bCs/>
                      <w:color w:val="000000" w:themeColor="text1"/>
                      <w:sz w:val="21"/>
                      <w:szCs w:val="18"/>
                      <w:lang w:val="en-US" w:eastAsia="zh-CN"/>
                      <w14:textFill>
                        <w14:solidFill>
                          <w14:schemeClr w14:val="tx1"/>
                        </w14:solidFill>
                      </w14:textFill>
                    </w:rPr>
                    <w:t>生活污水</w:t>
                  </w:r>
                </w:p>
              </w:tc>
              <w:tc>
                <w:tcPr>
                  <w:tcW w:w="2094" w:type="dxa"/>
                  <w:tcBorders>
                    <w:tl2br w:val="nil"/>
                    <w:tr2bl w:val="nil"/>
                  </w:tcBorders>
                  <w:noWrap w:val="0"/>
                  <w:vAlign w:val="center"/>
                </w:tcPr>
                <w:p w14:paraId="5F149E2F">
                  <w:pPr>
                    <w:pStyle w:val="2"/>
                    <w:jc w:val="center"/>
                    <w:rPr>
                      <w:rFonts w:hint="default" w:ascii="Times New Roman" w:hAnsi="Times New Roman" w:eastAsia="宋体" w:cs="Times New Roman"/>
                      <w:bCs/>
                      <w:color w:val="000000" w:themeColor="text1"/>
                      <w:sz w:val="21"/>
                      <w:szCs w:val="18"/>
                      <w:lang w:val="en-US" w:eastAsia="zh-CN"/>
                      <w14:textFill>
                        <w14:solidFill>
                          <w14:schemeClr w14:val="tx1"/>
                        </w14:solidFill>
                      </w14:textFill>
                    </w:rPr>
                  </w:pPr>
                  <w:r>
                    <w:rPr>
                      <w:rFonts w:hint="default" w:ascii="Times New Roman" w:hAnsi="Times New Roman" w:cs="Times New Roman"/>
                      <w:bCs/>
                      <w:color w:val="000000" w:themeColor="text1"/>
                      <w:sz w:val="21"/>
                      <w:szCs w:val="18"/>
                      <w:lang w:val="en-US" w:eastAsia="zh-CN"/>
                      <w14:textFill>
                        <w14:solidFill>
                          <w14:schemeClr w14:val="tx1"/>
                        </w14:solidFill>
                      </w14:textFill>
                    </w:rPr>
                    <w:t>水量</w:t>
                  </w:r>
                </w:p>
              </w:tc>
              <w:tc>
                <w:tcPr>
                  <w:tcW w:w="2097" w:type="dxa"/>
                  <w:tcBorders>
                    <w:tl2br w:val="nil"/>
                    <w:tr2bl w:val="nil"/>
                  </w:tcBorders>
                  <w:noWrap w:val="0"/>
                  <w:vAlign w:val="center"/>
                </w:tcPr>
                <w:p w14:paraId="42B451C6">
                  <w:pPr>
                    <w:pStyle w:val="2"/>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default" w:ascii="Times New Roman" w:hAnsi="Times New Roman" w:cs="Times New Roman"/>
                      <w:bCs/>
                      <w:color w:val="000000" w:themeColor="text1"/>
                      <w:sz w:val="21"/>
                      <w:szCs w:val="21"/>
                      <w:lang w:val="en-US" w:eastAsia="zh-CN"/>
                      <w14:textFill>
                        <w14:solidFill>
                          <w14:schemeClr w14:val="tx1"/>
                        </w14:solidFill>
                      </w14:textFill>
                    </w:rPr>
                    <w:t>120</w:t>
                  </w:r>
                </w:p>
              </w:tc>
            </w:tr>
            <w:tr w14:paraId="507780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93" w:type="dxa"/>
                  <w:vMerge w:val="restart"/>
                  <w:tcBorders>
                    <w:tl2br w:val="nil"/>
                    <w:tr2bl w:val="nil"/>
                  </w:tcBorders>
                  <w:noWrap w:val="0"/>
                  <w:vAlign w:val="center"/>
                </w:tcPr>
                <w:p w14:paraId="5294F17C">
                  <w:pPr>
                    <w:pStyle w:val="2"/>
                    <w:jc w:val="center"/>
                    <w:rPr>
                      <w:rFonts w:hint="default" w:ascii="Times New Roman" w:hAnsi="Times New Roman" w:eastAsia="宋体" w:cs="Times New Roman"/>
                      <w:bCs/>
                      <w:color w:val="000000" w:themeColor="text1"/>
                      <w:sz w:val="21"/>
                      <w:szCs w:val="18"/>
                      <w14:textFill>
                        <w14:solidFill>
                          <w14:schemeClr w14:val="tx1"/>
                        </w14:solidFill>
                      </w14:textFill>
                    </w:rPr>
                  </w:pPr>
                  <w:r>
                    <w:rPr>
                      <w:rFonts w:hint="default" w:ascii="Times New Roman" w:hAnsi="Times New Roman" w:eastAsia="宋体" w:cs="Times New Roman"/>
                      <w:bCs/>
                      <w:color w:val="000000" w:themeColor="text1"/>
                      <w:sz w:val="21"/>
                      <w:szCs w:val="18"/>
                      <w14:textFill>
                        <w14:solidFill>
                          <w14:schemeClr w14:val="tx1"/>
                        </w14:solidFill>
                      </w14:textFill>
                    </w:rPr>
                    <w:t>固废</w:t>
                  </w:r>
                </w:p>
              </w:tc>
              <w:tc>
                <w:tcPr>
                  <w:tcW w:w="2093" w:type="dxa"/>
                  <w:tcBorders>
                    <w:tl2br w:val="nil"/>
                    <w:tr2bl w:val="nil"/>
                  </w:tcBorders>
                  <w:noWrap w:val="0"/>
                  <w:vAlign w:val="center"/>
                </w:tcPr>
                <w:p w14:paraId="17937BE1">
                  <w:pPr>
                    <w:pStyle w:val="2"/>
                    <w:jc w:val="center"/>
                    <w:rPr>
                      <w:rFonts w:hint="default" w:ascii="Times New Roman" w:hAnsi="Times New Roman" w:eastAsia="宋体" w:cs="Times New Roman"/>
                      <w:bCs/>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18"/>
                      <w14:textFill>
                        <w14:solidFill>
                          <w14:schemeClr w14:val="tx1"/>
                        </w14:solidFill>
                      </w14:textFill>
                    </w:rPr>
                    <w:t>一般</w:t>
                  </w:r>
                  <w:r>
                    <w:rPr>
                      <w:rFonts w:hint="default" w:ascii="Times New Roman" w:hAnsi="Times New Roman" w:cs="Times New Roman"/>
                      <w:bCs/>
                      <w:color w:val="000000" w:themeColor="text1"/>
                      <w:sz w:val="21"/>
                      <w:szCs w:val="18"/>
                      <w:lang w:val="en-US" w:eastAsia="zh-CN"/>
                      <w14:textFill>
                        <w14:solidFill>
                          <w14:schemeClr w14:val="tx1"/>
                        </w14:solidFill>
                      </w14:textFill>
                    </w:rPr>
                    <w:t>固体废物</w:t>
                  </w:r>
                </w:p>
              </w:tc>
              <w:tc>
                <w:tcPr>
                  <w:tcW w:w="2094" w:type="dxa"/>
                  <w:tcBorders>
                    <w:tl2br w:val="nil"/>
                    <w:tr2bl w:val="nil"/>
                  </w:tcBorders>
                  <w:noWrap w:val="0"/>
                  <w:vAlign w:val="center"/>
                </w:tcPr>
                <w:p w14:paraId="0679CD09">
                  <w:pPr>
                    <w:pStyle w:val="2"/>
                    <w:jc w:val="center"/>
                    <w:rPr>
                      <w:rFonts w:hint="default" w:ascii="Times New Roman" w:hAnsi="Times New Roman" w:eastAsia="宋体" w:cs="Times New Roman"/>
                      <w:bCs/>
                      <w:color w:val="000000" w:themeColor="text1"/>
                      <w:kern w:val="0"/>
                      <w:sz w:val="21"/>
                      <w:szCs w:val="18"/>
                      <w:lang w:val="en-US" w:eastAsia="zh-CN" w:bidi="ar-SA"/>
                      <w14:textFill>
                        <w14:solidFill>
                          <w14:schemeClr w14:val="tx1"/>
                        </w14:solidFill>
                      </w14:textFill>
                    </w:rPr>
                  </w:pPr>
                  <w:r>
                    <w:rPr>
                      <w:rFonts w:hint="default" w:ascii="Times New Roman" w:hAnsi="Times New Roman" w:eastAsia="宋体" w:cs="Times New Roman"/>
                      <w:bCs/>
                      <w:color w:val="000000" w:themeColor="text1"/>
                      <w:sz w:val="21"/>
                      <w:szCs w:val="18"/>
                      <w:lang w:val="en-US" w:eastAsia="zh-CN"/>
                      <w14:textFill>
                        <w14:solidFill>
                          <w14:schemeClr w14:val="tx1"/>
                        </w14:solidFill>
                      </w14:textFill>
                    </w:rPr>
                    <w:t>包装废料</w:t>
                  </w:r>
                </w:p>
              </w:tc>
              <w:tc>
                <w:tcPr>
                  <w:tcW w:w="2097" w:type="dxa"/>
                  <w:tcBorders>
                    <w:tl2br w:val="nil"/>
                    <w:tr2bl w:val="nil"/>
                  </w:tcBorders>
                  <w:noWrap w:val="0"/>
                  <w:vAlign w:val="center"/>
                </w:tcPr>
                <w:p w14:paraId="2A5BAD91">
                  <w:pPr>
                    <w:pStyle w:val="2"/>
                    <w:jc w:val="center"/>
                    <w:rPr>
                      <w:rFonts w:hint="default"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bCs/>
                      <w:color w:val="000000" w:themeColor="text1"/>
                      <w:sz w:val="21"/>
                      <w:szCs w:val="21"/>
                      <w:lang w:val="en-US" w:eastAsia="zh-CN"/>
                      <w14:textFill>
                        <w14:solidFill>
                          <w14:schemeClr w14:val="tx1"/>
                        </w14:solidFill>
                      </w14:textFill>
                    </w:rPr>
                    <w:t>0.1</w:t>
                  </w:r>
                </w:p>
              </w:tc>
            </w:tr>
            <w:tr w14:paraId="121F0F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93" w:type="dxa"/>
                  <w:vMerge w:val="continue"/>
                  <w:tcBorders>
                    <w:tl2br w:val="nil"/>
                    <w:tr2bl w:val="nil"/>
                  </w:tcBorders>
                  <w:noWrap w:val="0"/>
                  <w:vAlign w:val="center"/>
                </w:tcPr>
                <w:p w14:paraId="4831D09E">
                  <w:pPr>
                    <w:pStyle w:val="2"/>
                    <w:jc w:val="center"/>
                    <w:rPr>
                      <w:rFonts w:hint="default" w:ascii="Times New Roman" w:hAnsi="Times New Roman" w:eastAsia="宋体" w:cs="Times New Roman"/>
                      <w:bCs/>
                      <w:color w:val="000000" w:themeColor="text1"/>
                      <w:sz w:val="21"/>
                      <w:szCs w:val="18"/>
                      <w14:textFill>
                        <w14:solidFill>
                          <w14:schemeClr w14:val="tx1"/>
                        </w14:solidFill>
                      </w14:textFill>
                    </w:rPr>
                  </w:pPr>
                </w:p>
              </w:tc>
              <w:tc>
                <w:tcPr>
                  <w:tcW w:w="2093" w:type="dxa"/>
                  <w:vMerge w:val="restart"/>
                  <w:tcBorders>
                    <w:tl2br w:val="nil"/>
                    <w:tr2bl w:val="nil"/>
                  </w:tcBorders>
                  <w:noWrap w:val="0"/>
                  <w:vAlign w:val="center"/>
                </w:tcPr>
                <w:p w14:paraId="0C5D1353">
                  <w:pPr>
                    <w:pStyle w:val="2"/>
                    <w:jc w:val="center"/>
                    <w:rPr>
                      <w:rFonts w:hint="default" w:ascii="Times New Roman" w:hAnsi="Times New Roman" w:eastAsia="宋体" w:cs="Times New Roman"/>
                      <w:bCs/>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18"/>
                      <w:lang w:val="en-US" w:eastAsia="zh-CN"/>
                      <w14:textFill>
                        <w14:solidFill>
                          <w14:schemeClr w14:val="tx1"/>
                        </w14:solidFill>
                      </w14:textFill>
                    </w:rPr>
                    <w:t>危险废物</w:t>
                  </w:r>
                </w:p>
              </w:tc>
              <w:tc>
                <w:tcPr>
                  <w:tcW w:w="2094" w:type="dxa"/>
                  <w:tcBorders>
                    <w:tl2br w:val="nil"/>
                    <w:tr2bl w:val="nil"/>
                  </w:tcBorders>
                  <w:noWrap w:val="0"/>
                  <w:vAlign w:val="center"/>
                </w:tcPr>
                <w:p w14:paraId="448E4046">
                  <w:pPr>
                    <w:pStyle w:val="2"/>
                    <w:jc w:val="center"/>
                    <w:rPr>
                      <w:rFonts w:hint="default" w:ascii="Times New Roman" w:hAnsi="Times New Roman" w:eastAsia="宋体" w:cs="Times New Roman"/>
                      <w:bCs/>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18"/>
                      <w:lang w:val="en-US" w:eastAsia="zh-CN"/>
                      <w14:textFill>
                        <w14:solidFill>
                          <w14:schemeClr w14:val="tx1"/>
                        </w14:solidFill>
                      </w14:textFill>
                    </w:rPr>
                    <w:t>原辅料包装物</w:t>
                  </w:r>
                </w:p>
              </w:tc>
              <w:tc>
                <w:tcPr>
                  <w:tcW w:w="2097" w:type="dxa"/>
                  <w:tcBorders>
                    <w:tl2br w:val="nil"/>
                    <w:tr2bl w:val="nil"/>
                  </w:tcBorders>
                  <w:noWrap w:val="0"/>
                  <w:vAlign w:val="center"/>
                </w:tcPr>
                <w:p w14:paraId="027B0E65">
                  <w:pPr>
                    <w:pStyle w:val="2"/>
                    <w:jc w:val="center"/>
                    <w:rPr>
                      <w:rFonts w:hint="default" w:ascii="Times New Roman" w:hAnsi="Times New Roman" w:eastAsia="宋体" w:cs="Times New Roman"/>
                      <w:bCs/>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18"/>
                      <w:lang w:val="en-US" w:eastAsia="zh-CN"/>
                      <w14:textFill>
                        <w14:solidFill>
                          <w14:schemeClr w14:val="tx1"/>
                        </w14:solidFill>
                      </w14:textFill>
                    </w:rPr>
                    <w:t>0.1</w:t>
                  </w:r>
                </w:p>
              </w:tc>
            </w:tr>
            <w:tr w14:paraId="26EFA6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93" w:type="dxa"/>
                  <w:vMerge w:val="continue"/>
                  <w:tcBorders>
                    <w:tl2br w:val="nil"/>
                    <w:tr2bl w:val="nil"/>
                  </w:tcBorders>
                  <w:noWrap w:val="0"/>
                  <w:vAlign w:val="center"/>
                </w:tcPr>
                <w:p w14:paraId="1C300479">
                  <w:pPr>
                    <w:pStyle w:val="2"/>
                    <w:jc w:val="center"/>
                    <w:rPr>
                      <w:rFonts w:hint="default" w:ascii="Times New Roman" w:hAnsi="Times New Roman" w:eastAsia="宋体" w:cs="Times New Roman"/>
                      <w:bCs/>
                      <w:color w:val="000000" w:themeColor="text1"/>
                      <w:sz w:val="21"/>
                      <w:szCs w:val="18"/>
                      <w14:textFill>
                        <w14:solidFill>
                          <w14:schemeClr w14:val="tx1"/>
                        </w14:solidFill>
                      </w14:textFill>
                    </w:rPr>
                  </w:pPr>
                </w:p>
              </w:tc>
              <w:tc>
                <w:tcPr>
                  <w:tcW w:w="2093" w:type="dxa"/>
                  <w:vMerge w:val="continue"/>
                  <w:tcBorders>
                    <w:tl2br w:val="nil"/>
                    <w:tr2bl w:val="nil"/>
                  </w:tcBorders>
                  <w:noWrap w:val="0"/>
                  <w:vAlign w:val="center"/>
                </w:tcPr>
                <w:p w14:paraId="508FE269">
                  <w:pPr>
                    <w:pStyle w:val="2"/>
                    <w:jc w:val="center"/>
                    <w:rPr>
                      <w:rFonts w:hint="default" w:ascii="Times New Roman" w:hAnsi="Times New Roman" w:eastAsia="宋体" w:cs="Times New Roman"/>
                      <w:bCs/>
                      <w:color w:val="000000" w:themeColor="text1"/>
                      <w:sz w:val="21"/>
                      <w:szCs w:val="18"/>
                      <w:lang w:val="en-US" w:eastAsia="zh-CN"/>
                      <w14:textFill>
                        <w14:solidFill>
                          <w14:schemeClr w14:val="tx1"/>
                        </w14:solidFill>
                      </w14:textFill>
                    </w:rPr>
                  </w:pPr>
                </w:p>
              </w:tc>
              <w:tc>
                <w:tcPr>
                  <w:tcW w:w="2094" w:type="dxa"/>
                  <w:tcBorders>
                    <w:tl2br w:val="nil"/>
                    <w:tr2bl w:val="nil"/>
                  </w:tcBorders>
                  <w:noWrap w:val="0"/>
                  <w:vAlign w:val="center"/>
                </w:tcPr>
                <w:p w14:paraId="1559B062">
                  <w:pPr>
                    <w:pStyle w:val="2"/>
                    <w:jc w:val="center"/>
                    <w:rPr>
                      <w:rFonts w:hint="default" w:ascii="Times New Roman" w:hAnsi="Times New Roman" w:eastAsia="宋体" w:cs="Times New Roman"/>
                      <w:bCs/>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18"/>
                      <w:lang w:val="en-US" w:eastAsia="zh-CN"/>
                      <w14:textFill>
                        <w14:solidFill>
                          <w14:schemeClr w14:val="tx1"/>
                        </w14:solidFill>
                      </w14:textFill>
                    </w:rPr>
                    <w:t>废活性炭</w:t>
                  </w:r>
                </w:p>
              </w:tc>
              <w:tc>
                <w:tcPr>
                  <w:tcW w:w="2097" w:type="dxa"/>
                  <w:tcBorders>
                    <w:tl2br w:val="nil"/>
                    <w:tr2bl w:val="nil"/>
                  </w:tcBorders>
                  <w:noWrap w:val="0"/>
                  <w:vAlign w:val="center"/>
                </w:tcPr>
                <w:p w14:paraId="4759A595">
                  <w:pPr>
                    <w:pStyle w:val="2"/>
                    <w:jc w:val="center"/>
                    <w:rPr>
                      <w:rFonts w:hint="default" w:ascii="Times New Roman" w:hAnsi="Times New Roman" w:eastAsia="宋体" w:cs="Times New Roman"/>
                      <w:bCs/>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18"/>
                      <w:lang w:val="en-US" w:eastAsia="zh-CN"/>
                      <w14:textFill>
                        <w14:solidFill>
                          <w14:schemeClr w14:val="tx1"/>
                        </w14:solidFill>
                      </w14:textFill>
                    </w:rPr>
                    <w:t>1.2</w:t>
                  </w:r>
                </w:p>
              </w:tc>
            </w:tr>
            <w:tr w14:paraId="7480FD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93" w:type="dxa"/>
                  <w:vMerge w:val="continue"/>
                  <w:tcBorders>
                    <w:tl2br w:val="nil"/>
                    <w:tr2bl w:val="nil"/>
                  </w:tcBorders>
                  <w:noWrap w:val="0"/>
                  <w:vAlign w:val="center"/>
                </w:tcPr>
                <w:p w14:paraId="071A54B5">
                  <w:pPr>
                    <w:pStyle w:val="2"/>
                    <w:jc w:val="center"/>
                    <w:rPr>
                      <w:rFonts w:hint="default" w:ascii="Times New Roman" w:hAnsi="Times New Roman" w:eastAsia="宋体" w:cs="Times New Roman"/>
                      <w:bCs/>
                      <w:color w:val="000000" w:themeColor="text1"/>
                      <w:sz w:val="21"/>
                      <w:szCs w:val="18"/>
                      <w14:textFill>
                        <w14:solidFill>
                          <w14:schemeClr w14:val="tx1"/>
                        </w14:solidFill>
                      </w14:textFill>
                    </w:rPr>
                  </w:pPr>
                </w:p>
              </w:tc>
              <w:tc>
                <w:tcPr>
                  <w:tcW w:w="2093" w:type="dxa"/>
                  <w:vMerge w:val="continue"/>
                  <w:tcBorders>
                    <w:tl2br w:val="nil"/>
                    <w:tr2bl w:val="nil"/>
                  </w:tcBorders>
                  <w:noWrap w:val="0"/>
                  <w:vAlign w:val="center"/>
                </w:tcPr>
                <w:p w14:paraId="450FFA72">
                  <w:pPr>
                    <w:pStyle w:val="2"/>
                    <w:jc w:val="center"/>
                    <w:rPr>
                      <w:rFonts w:hint="default" w:ascii="Times New Roman" w:hAnsi="Times New Roman" w:eastAsia="宋体" w:cs="Times New Roman"/>
                      <w:bCs/>
                      <w:color w:val="000000" w:themeColor="text1"/>
                      <w:sz w:val="21"/>
                      <w:szCs w:val="18"/>
                      <w:lang w:val="en-US" w:eastAsia="zh-CN"/>
                      <w14:textFill>
                        <w14:solidFill>
                          <w14:schemeClr w14:val="tx1"/>
                        </w14:solidFill>
                      </w14:textFill>
                    </w:rPr>
                  </w:pPr>
                </w:p>
              </w:tc>
              <w:tc>
                <w:tcPr>
                  <w:tcW w:w="2094" w:type="dxa"/>
                  <w:tcBorders>
                    <w:tl2br w:val="nil"/>
                    <w:tr2bl w:val="nil"/>
                  </w:tcBorders>
                  <w:noWrap w:val="0"/>
                  <w:vAlign w:val="center"/>
                </w:tcPr>
                <w:p w14:paraId="55BCD0B5">
                  <w:pPr>
                    <w:pStyle w:val="2"/>
                    <w:jc w:val="center"/>
                    <w:rPr>
                      <w:rFonts w:hint="default" w:ascii="Times New Roman" w:hAnsi="Times New Roman" w:eastAsia="宋体" w:cs="Times New Roman"/>
                      <w:bCs/>
                      <w:color w:val="000000" w:themeColor="text1"/>
                      <w:sz w:val="21"/>
                      <w:szCs w:val="18"/>
                      <w:lang w:val="en-US" w:eastAsia="zh-CN"/>
                      <w14:textFill>
                        <w14:solidFill>
                          <w14:schemeClr w14:val="tx1"/>
                        </w14:solidFill>
                      </w14:textFill>
                    </w:rPr>
                  </w:pPr>
                  <w:r>
                    <w:rPr>
                      <w:rFonts w:hint="eastAsia" w:ascii="Times New Roman" w:hAnsi="Times New Roman" w:cs="Times New Roman"/>
                      <w:bCs/>
                      <w:color w:val="000000" w:themeColor="text1"/>
                      <w:sz w:val="21"/>
                      <w:szCs w:val="18"/>
                      <w:lang w:val="en-US" w:eastAsia="zh-CN"/>
                      <w14:textFill>
                        <w14:solidFill>
                          <w14:schemeClr w14:val="tx1"/>
                        </w14:solidFill>
                      </w14:textFill>
                    </w:rPr>
                    <w:t>废空压机油</w:t>
                  </w:r>
                </w:p>
              </w:tc>
              <w:tc>
                <w:tcPr>
                  <w:tcW w:w="2097" w:type="dxa"/>
                  <w:tcBorders>
                    <w:tl2br w:val="nil"/>
                    <w:tr2bl w:val="nil"/>
                  </w:tcBorders>
                  <w:noWrap w:val="0"/>
                  <w:vAlign w:val="center"/>
                </w:tcPr>
                <w:p w14:paraId="1833D346">
                  <w:pPr>
                    <w:pStyle w:val="2"/>
                    <w:jc w:val="center"/>
                    <w:rPr>
                      <w:rFonts w:hint="default" w:ascii="Times New Roman" w:hAnsi="Times New Roman" w:eastAsia="宋体" w:cs="Times New Roman"/>
                      <w:bCs/>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18"/>
                      <w:lang w:val="en-US" w:eastAsia="zh-CN"/>
                      <w14:textFill>
                        <w14:solidFill>
                          <w14:schemeClr w14:val="tx1"/>
                        </w14:solidFill>
                      </w14:textFill>
                    </w:rPr>
                    <w:t>0.02</w:t>
                  </w:r>
                </w:p>
              </w:tc>
            </w:tr>
            <w:tr w14:paraId="6EFAB6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93" w:type="dxa"/>
                  <w:vMerge w:val="continue"/>
                  <w:tcBorders>
                    <w:tl2br w:val="nil"/>
                    <w:tr2bl w:val="nil"/>
                  </w:tcBorders>
                  <w:noWrap w:val="0"/>
                  <w:vAlign w:val="center"/>
                </w:tcPr>
                <w:p w14:paraId="7AB4C53E">
                  <w:pPr>
                    <w:pStyle w:val="2"/>
                    <w:jc w:val="center"/>
                    <w:rPr>
                      <w:rFonts w:hint="default" w:ascii="Times New Roman" w:hAnsi="Times New Roman" w:eastAsia="宋体" w:cs="Times New Roman"/>
                      <w:bCs/>
                      <w:color w:val="000000" w:themeColor="text1"/>
                      <w:sz w:val="21"/>
                      <w:szCs w:val="18"/>
                      <w14:textFill>
                        <w14:solidFill>
                          <w14:schemeClr w14:val="tx1"/>
                        </w14:solidFill>
                      </w14:textFill>
                    </w:rPr>
                  </w:pPr>
                </w:p>
              </w:tc>
              <w:tc>
                <w:tcPr>
                  <w:tcW w:w="2093" w:type="dxa"/>
                  <w:vMerge w:val="continue"/>
                  <w:tcBorders>
                    <w:tl2br w:val="nil"/>
                    <w:tr2bl w:val="nil"/>
                  </w:tcBorders>
                  <w:noWrap w:val="0"/>
                  <w:vAlign w:val="center"/>
                </w:tcPr>
                <w:p w14:paraId="2CC39C40">
                  <w:pPr>
                    <w:pStyle w:val="2"/>
                    <w:jc w:val="center"/>
                    <w:rPr>
                      <w:rFonts w:hint="default" w:ascii="Times New Roman" w:hAnsi="Times New Roman" w:eastAsia="宋体" w:cs="Times New Roman"/>
                      <w:bCs/>
                      <w:color w:val="000000" w:themeColor="text1"/>
                      <w:sz w:val="21"/>
                      <w:szCs w:val="18"/>
                      <w:lang w:val="en-US" w:eastAsia="zh-CN"/>
                      <w14:textFill>
                        <w14:solidFill>
                          <w14:schemeClr w14:val="tx1"/>
                        </w14:solidFill>
                      </w14:textFill>
                    </w:rPr>
                  </w:pPr>
                </w:p>
              </w:tc>
              <w:tc>
                <w:tcPr>
                  <w:tcW w:w="2094" w:type="dxa"/>
                  <w:tcBorders>
                    <w:tl2br w:val="nil"/>
                    <w:tr2bl w:val="nil"/>
                  </w:tcBorders>
                  <w:noWrap w:val="0"/>
                  <w:vAlign w:val="center"/>
                </w:tcPr>
                <w:p w14:paraId="3E3FCB7C">
                  <w:pPr>
                    <w:pStyle w:val="2"/>
                    <w:jc w:val="center"/>
                    <w:rPr>
                      <w:rFonts w:hint="default" w:ascii="Times New Roman" w:hAnsi="Times New Roman" w:eastAsia="宋体" w:cs="Times New Roman"/>
                      <w:bCs/>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18"/>
                      <w:lang w:val="en-US" w:eastAsia="zh-CN"/>
                      <w14:textFill>
                        <w14:solidFill>
                          <w14:schemeClr w14:val="tx1"/>
                        </w14:solidFill>
                      </w14:textFill>
                    </w:rPr>
                    <w:t>含油手套抹布</w:t>
                  </w:r>
                </w:p>
              </w:tc>
              <w:tc>
                <w:tcPr>
                  <w:tcW w:w="2097" w:type="dxa"/>
                  <w:tcBorders>
                    <w:tl2br w:val="nil"/>
                    <w:tr2bl w:val="nil"/>
                  </w:tcBorders>
                  <w:noWrap w:val="0"/>
                  <w:vAlign w:val="center"/>
                </w:tcPr>
                <w:p w14:paraId="1E0C6848">
                  <w:pPr>
                    <w:pStyle w:val="2"/>
                    <w:jc w:val="center"/>
                    <w:rPr>
                      <w:rFonts w:hint="default" w:ascii="Times New Roman" w:hAnsi="Times New Roman" w:eastAsia="宋体" w:cs="Times New Roman"/>
                      <w:bCs/>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18"/>
                      <w:lang w:val="en-US" w:eastAsia="zh-CN"/>
                      <w14:textFill>
                        <w14:solidFill>
                          <w14:schemeClr w14:val="tx1"/>
                        </w14:solidFill>
                      </w14:textFill>
                    </w:rPr>
                    <w:t>0.01</w:t>
                  </w:r>
                </w:p>
              </w:tc>
            </w:tr>
            <w:tr w14:paraId="4AFB5F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93" w:type="dxa"/>
                  <w:vMerge w:val="continue"/>
                  <w:tcBorders>
                    <w:tl2br w:val="nil"/>
                    <w:tr2bl w:val="nil"/>
                  </w:tcBorders>
                  <w:noWrap w:val="0"/>
                  <w:vAlign w:val="center"/>
                </w:tcPr>
                <w:p w14:paraId="181F1516">
                  <w:pPr>
                    <w:pStyle w:val="2"/>
                    <w:jc w:val="center"/>
                    <w:rPr>
                      <w:rFonts w:hint="default" w:ascii="Times New Roman" w:hAnsi="Times New Roman" w:eastAsia="宋体" w:cs="Times New Roman"/>
                      <w:bCs/>
                      <w:color w:val="000000" w:themeColor="text1"/>
                      <w:sz w:val="21"/>
                      <w:szCs w:val="18"/>
                      <w14:textFill>
                        <w14:solidFill>
                          <w14:schemeClr w14:val="tx1"/>
                        </w14:solidFill>
                      </w14:textFill>
                    </w:rPr>
                  </w:pPr>
                </w:p>
              </w:tc>
              <w:tc>
                <w:tcPr>
                  <w:tcW w:w="2093" w:type="dxa"/>
                  <w:tcBorders>
                    <w:tl2br w:val="nil"/>
                    <w:tr2bl w:val="nil"/>
                  </w:tcBorders>
                  <w:noWrap w:val="0"/>
                  <w:vAlign w:val="center"/>
                </w:tcPr>
                <w:p w14:paraId="31DC2332">
                  <w:pPr>
                    <w:pStyle w:val="2"/>
                    <w:jc w:val="center"/>
                    <w:rPr>
                      <w:rFonts w:hint="default" w:ascii="Times New Roman" w:hAnsi="Times New Roman" w:eastAsia="宋体" w:cs="Times New Roman"/>
                      <w:bCs/>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18"/>
                      <w:lang w:val="en-US" w:eastAsia="zh-CN"/>
                      <w14:textFill>
                        <w14:solidFill>
                          <w14:schemeClr w14:val="tx1"/>
                        </w14:solidFill>
                      </w14:textFill>
                    </w:rPr>
                    <w:t>生活垃圾</w:t>
                  </w:r>
                </w:p>
              </w:tc>
              <w:tc>
                <w:tcPr>
                  <w:tcW w:w="2094" w:type="dxa"/>
                  <w:tcBorders>
                    <w:tl2br w:val="nil"/>
                    <w:tr2bl w:val="nil"/>
                  </w:tcBorders>
                  <w:noWrap w:val="0"/>
                  <w:vAlign w:val="center"/>
                </w:tcPr>
                <w:p w14:paraId="2F9AAFB5">
                  <w:pPr>
                    <w:pStyle w:val="2"/>
                    <w:jc w:val="center"/>
                    <w:rPr>
                      <w:rFonts w:hint="default" w:ascii="Times New Roman" w:hAnsi="Times New Roman" w:eastAsia="宋体" w:cs="Times New Roman"/>
                      <w:bCs/>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18"/>
                      <w:lang w:val="en-US" w:eastAsia="zh-CN"/>
                      <w14:textFill>
                        <w14:solidFill>
                          <w14:schemeClr w14:val="tx1"/>
                        </w14:solidFill>
                      </w14:textFill>
                    </w:rPr>
                    <w:t>生活垃圾</w:t>
                  </w:r>
                </w:p>
              </w:tc>
              <w:tc>
                <w:tcPr>
                  <w:tcW w:w="2097" w:type="dxa"/>
                  <w:tcBorders>
                    <w:tl2br w:val="nil"/>
                    <w:tr2bl w:val="nil"/>
                  </w:tcBorders>
                  <w:noWrap w:val="0"/>
                  <w:vAlign w:val="center"/>
                </w:tcPr>
                <w:p w14:paraId="1C90F394">
                  <w:pPr>
                    <w:pStyle w:val="2"/>
                    <w:jc w:val="center"/>
                    <w:rPr>
                      <w:rFonts w:hint="default" w:ascii="Times New Roman" w:hAnsi="Times New Roman" w:eastAsia="宋体" w:cs="Times New Roman"/>
                      <w:bCs/>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18"/>
                      <w:lang w:val="en-US" w:eastAsia="zh-CN"/>
                      <w14:textFill>
                        <w14:solidFill>
                          <w14:schemeClr w14:val="tx1"/>
                        </w14:solidFill>
                      </w14:textFill>
                    </w:rPr>
                    <w:t>12.5</w:t>
                  </w:r>
                </w:p>
              </w:tc>
            </w:tr>
          </w:tbl>
          <w:p w14:paraId="34DAD0F4">
            <w:pPr>
              <w:pStyle w:val="2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leftChars="0" w:firstLine="482" w:firstLineChars="200"/>
              <w:textAlignment w:val="auto"/>
              <w:rPr>
                <w:rFonts w:hint="default" w:ascii="Times New Roman" w:hAnsi="Times New Roman" w:cs="Times New Roman"/>
                <w:color w:val="000000" w:themeColor="text1"/>
                <w:szCs w:val="21"/>
                <w:highlight w:val="yellow"/>
                <w:lang w:val="en-US" w:eastAsia="zh-CN"/>
                <w14:textFill>
                  <w14:solidFill>
                    <w14:schemeClr w14:val="tx1"/>
                  </w14:solidFill>
                </w14:textFill>
              </w:rPr>
            </w:pPr>
            <w:r>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t>4</w:t>
            </w:r>
            <w:r>
              <w:rPr>
                <w:rFonts w:hint="default" w:ascii="Times New Roman" w:hAnsi="Times New Roman" w:cs="Times New Roman"/>
                <w:b/>
                <w:bCs/>
                <w:color w:val="000000" w:themeColor="text1"/>
                <w:kern w:val="2"/>
                <w:sz w:val="24"/>
                <w:szCs w:val="24"/>
                <w:lang w:val="en-US" w:eastAsia="zh-CN" w:bidi="ar-SA"/>
                <w14:textFill>
                  <w14:solidFill>
                    <w14:schemeClr w14:val="tx1"/>
                  </w14:solidFill>
                </w14:textFill>
              </w:rPr>
              <w:t>.</w:t>
            </w:r>
            <w:r>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t>存在的环境问题及“以新带老”措施</w:t>
            </w:r>
          </w:p>
          <w:p w14:paraId="450C0BBB">
            <w:pPr>
              <w:pStyle w:val="2"/>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原有项目无存在的环境问题及“以新带老”措施。</w:t>
            </w:r>
            <w:r>
              <w:rPr>
                <w:rFonts w:hint="eastAsia"/>
                <w:color w:val="000000" w:themeColor="text1"/>
                <w:lang w:val="en-US" w:eastAsia="zh-CN"/>
                <w14:textFill>
                  <w14:solidFill>
                    <w14:schemeClr w14:val="tx1"/>
                  </w14:solidFill>
                </w14:textFill>
              </w:rPr>
              <w:t>本项目拟建地为租赁的钢结构生产车间，无与本项目有关的环境问题。</w:t>
            </w:r>
          </w:p>
          <w:p w14:paraId="4904C381">
            <w:pPr>
              <w:pStyle w:val="2"/>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cs="Times New Roman"/>
                <w:color w:val="000000" w:themeColor="text1"/>
                <w:lang w:val="en-US" w:eastAsia="zh-CN"/>
                <w14:textFill>
                  <w14:solidFill>
                    <w14:schemeClr w14:val="tx1"/>
                  </w14:solidFill>
                </w14:textFill>
              </w:rPr>
            </w:pPr>
          </w:p>
          <w:p w14:paraId="59004082">
            <w:pPr>
              <w:pStyle w:val="4"/>
              <w:rPr>
                <w:rFonts w:hint="default"/>
                <w:color w:val="000000" w:themeColor="text1"/>
                <w:lang w:val="en-US" w:eastAsia="zh-CN"/>
                <w14:textFill>
                  <w14:solidFill>
                    <w14:schemeClr w14:val="tx1"/>
                  </w14:solidFill>
                </w14:textFill>
              </w:rPr>
            </w:pPr>
          </w:p>
        </w:tc>
      </w:tr>
    </w:tbl>
    <w:p w14:paraId="6ED5DB65">
      <w:pPr>
        <w:pStyle w:val="31"/>
        <w:jc w:val="center"/>
        <w:rPr>
          <w:rFonts w:hint="default" w:ascii="Times New Roman" w:hAnsi="Times New Roman" w:eastAsia="黑体" w:cs="Times New Roman"/>
          <w:snapToGrid w:val="0"/>
          <w:color w:val="000000" w:themeColor="text1"/>
          <w:sz w:val="36"/>
          <w:szCs w:val="36"/>
          <w14:textFill>
            <w14:solidFill>
              <w14:schemeClr w14:val="tx1"/>
            </w14:solidFill>
          </w14:textFill>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59396000">
      <w:pPr>
        <w:pStyle w:val="31"/>
        <w:adjustRightInd w:val="0"/>
        <w:snapToGrid w:val="0"/>
        <w:spacing w:before="0" w:beforeAutospacing="0" w:after="0" w:afterAutospacing="0" w:line="14" w:lineRule="auto"/>
        <w:jc w:val="center"/>
        <w:outlineLvl w:val="0"/>
        <w:rPr>
          <w:rFonts w:hint="default" w:ascii="Times New Roman" w:hAnsi="Times New Roman" w:eastAsia="黑体" w:cs="Times New Roman"/>
          <w:snapToGrid w:val="0"/>
          <w:color w:val="000000" w:themeColor="text1"/>
          <w:sz w:val="30"/>
          <w:szCs w:val="30"/>
          <w14:textFill>
            <w14:solidFill>
              <w14:schemeClr w14:val="tx1"/>
            </w14:solidFill>
          </w14:textFill>
        </w:rPr>
      </w:pPr>
    </w:p>
    <w:p w14:paraId="18CC5903">
      <w:pPr>
        <w:pStyle w:val="31"/>
        <w:jc w:val="center"/>
        <w:outlineLvl w:val="0"/>
        <w:rPr>
          <w:rFonts w:hint="default" w:ascii="Times New Roman" w:hAnsi="Times New Roman" w:eastAsia="黑体" w:cs="Times New Roman"/>
          <w:snapToGrid w:val="0"/>
          <w:color w:val="000000" w:themeColor="text1"/>
          <w:sz w:val="30"/>
          <w:szCs w:val="30"/>
          <w14:textFill>
            <w14:solidFill>
              <w14:schemeClr w14:val="tx1"/>
            </w14:solidFill>
          </w14:textFill>
        </w:rPr>
      </w:pPr>
      <w:r>
        <w:rPr>
          <w:rFonts w:hint="default" w:ascii="Times New Roman" w:hAnsi="Times New Roman" w:eastAsia="黑体" w:cs="Times New Roman"/>
          <w:snapToGrid w:val="0"/>
          <w:color w:val="000000" w:themeColor="text1"/>
          <w:sz w:val="30"/>
          <w:szCs w:val="30"/>
          <w14:textFill>
            <w14:solidFill>
              <w14:schemeClr w14:val="tx1"/>
            </w14:solidFill>
          </w14:textFill>
        </w:rPr>
        <w:t>三、区域环境质量现状、环境保护目标及评价标准</w:t>
      </w:r>
    </w:p>
    <w:tbl>
      <w:tblPr>
        <w:tblStyle w:val="3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24"/>
        <w:gridCol w:w="8637"/>
      </w:tblGrid>
      <w:tr w14:paraId="58CFF4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475" w:type="dxa"/>
            <w:noWrap w:val="0"/>
            <w:vAlign w:val="center"/>
          </w:tcPr>
          <w:p w14:paraId="75C98A58">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区域</w:t>
            </w:r>
          </w:p>
          <w:p w14:paraId="21A2D204">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环境</w:t>
            </w:r>
          </w:p>
          <w:p w14:paraId="2503E67E">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质量</w:t>
            </w:r>
          </w:p>
          <w:p w14:paraId="4A049B9B">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现状</w:t>
            </w:r>
          </w:p>
        </w:tc>
        <w:tc>
          <w:tcPr>
            <w:tcW w:w="8586" w:type="dxa"/>
            <w:noWrap w:val="0"/>
            <w:vAlign w:val="center"/>
          </w:tcPr>
          <w:p w14:paraId="605A9011">
            <w:pPr>
              <w:keepNext/>
              <w:keepLines/>
              <w:widowControl/>
              <w:adjustRightInd w:val="0"/>
              <w:snapToGrid w:val="0"/>
              <w:spacing w:line="360" w:lineRule="auto"/>
              <w:jc w:val="left"/>
              <w:outlineLvl w:val="1"/>
              <w:rPr>
                <w:rFonts w:hint="default" w:ascii="Times New Roman" w:hAnsi="Times New Roman" w:eastAsia="黑体" w:cs="Times New Roman"/>
                <w:bCs/>
                <w:color w:val="000000" w:themeColor="text1"/>
                <w:sz w:val="24"/>
                <w:szCs w:val="28"/>
                <w14:textFill>
                  <w14:solidFill>
                    <w14:schemeClr w14:val="tx1"/>
                  </w14:solidFill>
                </w14:textFill>
              </w:rPr>
            </w:pPr>
            <w:r>
              <w:rPr>
                <w:rFonts w:hint="default" w:ascii="Times New Roman" w:hAnsi="Times New Roman" w:eastAsia="黑体" w:cs="Times New Roman"/>
                <w:bCs/>
                <w:color w:val="000000" w:themeColor="text1"/>
                <w:sz w:val="24"/>
                <w:szCs w:val="28"/>
                <w14:textFill>
                  <w14:solidFill>
                    <w14:schemeClr w14:val="tx1"/>
                  </w14:solidFill>
                </w14:textFill>
              </w:rPr>
              <w:t>一、区域环境质量现状</w:t>
            </w:r>
          </w:p>
          <w:p w14:paraId="64C68CDA">
            <w:pPr>
              <w:keepNext/>
              <w:keepLines/>
              <w:widowControl/>
              <w:adjustRightInd w:val="0"/>
              <w:snapToGrid w:val="0"/>
              <w:spacing w:line="360" w:lineRule="auto"/>
              <w:jc w:val="left"/>
              <w:outlineLvl w:val="1"/>
              <w:rPr>
                <w:rFonts w:hint="default" w:ascii="Times New Roman" w:hAnsi="Times New Roman" w:eastAsia="黑体" w:cs="Times New Roman"/>
                <w:bCs/>
                <w:color w:val="000000" w:themeColor="text1"/>
                <w:sz w:val="24"/>
                <w:szCs w:val="28"/>
                <w14:textFill>
                  <w14:solidFill>
                    <w14:schemeClr w14:val="tx1"/>
                  </w14:solidFill>
                </w14:textFill>
              </w:rPr>
            </w:pPr>
            <w:r>
              <w:rPr>
                <w:rFonts w:hint="default" w:ascii="Times New Roman" w:hAnsi="Times New Roman" w:eastAsia="黑体" w:cs="Times New Roman"/>
                <w:bCs/>
                <w:color w:val="000000" w:themeColor="text1"/>
                <w:sz w:val="24"/>
                <w:szCs w:val="28"/>
                <w:lang w:eastAsia="zh-CN"/>
                <w14:textFill>
                  <w14:solidFill>
                    <w14:schemeClr w14:val="tx1"/>
                  </w14:solidFill>
                </w14:textFill>
              </w:rPr>
              <w:t>1.</w:t>
            </w:r>
            <w:r>
              <w:rPr>
                <w:rFonts w:hint="default" w:ascii="Times New Roman" w:hAnsi="Times New Roman" w:eastAsia="黑体" w:cs="Times New Roman"/>
                <w:bCs/>
                <w:color w:val="000000" w:themeColor="text1"/>
                <w:sz w:val="24"/>
                <w:szCs w:val="28"/>
                <w14:textFill>
                  <w14:solidFill>
                    <w14:schemeClr w14:val="tx1"/>
                  </w14:solidFill>
                </w14:textFill>
              </w:rPr>
              <w:t>环境空气质量现状</w:t>
            </w:r>
          </w:p>
          <w:p w14:paraId="3F9C8F7D">
            <w:pPr>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1</w:t>
            </w:r>
            <w:r>
              <w:rPr>
                <w:rFonts w:hint="default" w:ascii="Times New Roman" w:hAnsi="Times New Roman" w:cs="Times New Roman"/>
                <w:color w:val="000000" w:themeColor="text1"/>
                <w:sz w:val="24"/>
                <w:szCs w:val="24"/>
                <w:lang w:eastAsia="zh-CN"/>
                <w14:textFill>
                  <w14:solidFill>
                    <w14:schemeClr w14:val="tx1"/>
                  </w14:solidFill>
                </w14:textFill>
              </w:rPr>
              <w:t>）常规污染物</w:t>
            </w:r>
          </w:p>
          <w:p w14:paraId="64E3A5E7">
            <w:pPr>
              <w:widowControl/>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根据《</w:t>
            </w:r>
            <w:r>
              <w:rPr>
                <w:rFonts w:hint="default" w:ascii="Times New Roman" w:hAnsi="Times New Roman" w:cs="Times New Roman"/>
                <w:color w:val="000000" w:themeColor="text1"/>
                <w:sz w:val="24"/>
                <w:szCs w:val="24"/>
                <w:lang w:eastAsia="zh-CN"/>
                <w14:textFill>
                  <w14:solidFill>
                    <w14:schemeClr w14:val="tx1"/>
                  </w14:solidFill>
                </w14:textFill>
              </w:rPr>
              <w:t>环境影响评价技术导则 大气环境</w:t>
            </w:r>
            <w:r>
              <w:rPr>
                <w:rFonts w:hint="default" w:ascii="Times New Roman" w:hAnsi="Times New Roman" w:cs="Times New Roman"/>
                <w:color w:val="000000" w:themeColor="text1"/>
                <w:sz w:val="24"/>
                <w:szCs w:val="24"/>
                <w14:textFill>
                  <w14:solidFill>
                    <w14:schemeClr w14:val="tx1"/>
                  </w14:solidFill>
                </w14:textFill>
              </w:rPr>
              <w:t>》（HJ</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2.2-2018）6.2.1.2“采用评价范围内国家或地方环境空气质量监测网中评价基准年连续1年的监测数据，或采用生态环境主管部门公开发布的环境空气质量现状数据”。项目所在区域</w:t>
            </w:r>
            <w:r>
              <w:rPr>
                <w:rFonts w:hint="default" w:ascii="Times New Roman" w:hAnsi="Times New Roman" w:cs="Times New Roman"/>
                <w:color w:val="000000" w:themeColor="text1"/>
                <w:sz w:val="24"/>
                <w:szCs w:val="24"/>
                <w:lang w:eastAsia="zh-CN"/>
                <w14:textFill>
                  <w14:solidFill>
                    <w14:schemeClr w14:val="tx1"/>
                  </w14:solidFill>
                </w14:textFill>
              </w:rPr>
              <w:t>属于</w:t>
            </w:r>
            <w:r>
              <w:rPr>
                <w:rFonts w:hint="default" w:ascii="Times New Roman" w:hAnsi="Times New Roman" w:cs="Times New Roman"/>
                <w:color w:val="000000" w:themeColor="text1"/>
                <w:sz w:val="24"/>
                <w:szCs w:val="24"/>
                <w14:textFill>
                  <w14:solidFill>
                    <w14:schemeClr w14:val="tx1"/>
                  </w14:solidFill>
                </w14:textFill>
              </w:rPr>
              <w:t>环境空气质量二类功能区，执行《环境空气质量标准》（</w:t>
            </w:r>
            <w:r>
              <w:rPr>
                <w:rFonts w:hint="default" w:ascii="Times New Roman" w:hAnsi="Times New Roman" w:cs="Times New Roman"/>
                <w:color w:val="000000" w:themeColor="text1"/>
                <w:sz w:val="24"/>
                <w:szCs w:val="24"/>
                <w:lang w:eastAsia="zh-CN"/>
                <w14:textFill>
                  <w14:solidFill>
                    <w14:schemeClr w14:val="tx1"/>
                  </w14:solidFill>
                </w14:textFill>
              </w:rPr>
              <w:t>GB</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lang w:eastAsia="zh-CN"/>
                <w14:textFill>
                  <w14:solidFill>
                    <w14:schemeClr w14:val="tx1"/>
                  </w14:solidFill>
                </w14:textFill>
              </w:rPr>
              <w:t>3095-2026</w:t>
            </w:r>
            <w:r>
              <w:rPr>
                <w:rFonts w:hint="default" w:ascii="Times New Roman" w:hAnsi="Times New Roman" w:cs="Times New Roman"/>
                <w:color w:val="000000" w:themeColor="text1"/>
                <w:sz w:val="24"/>
                <w:szCs w:val="24"/>
                <w14:textFill>
                  <w14:solidFill>
                    <w14:schemeClr w14:val="tx1"/>
                  </w14:solidFill>
                </w14:textFill>
              </w:rPr>
              <w:t>）及其2018年修改单中的二级标准。</w:t>
            </w:r>
          </w:p>
          <w:p w14:paraId="290DB73D">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为了查明建设项目所在地的环境空气质量现状，本项目厂址所在地环境大气中SO</w:t>
            </w:r>
            <w:r>
              <w:rPr>
                <w:rFonts w:hint="default" w:ascii="Times New Roman" w:hAnsi="Times New Roman" w:eastAsia="宋体" w:cs="Times New Roman"/>
                <w:color w:val="000000" w:themeColor="text1"/>
                <w:sz w:val="24"/>
                <w:szCs w:val="24"/>
                <w:vertAlign w:val="subscript"/>
                <w14:textFill>
                  <w14:solidFill>
                    <w14:schemeClr w14:val="tx1"/>
                  </w14:solidFill>
                </w14:textFill>
              </w:rPr>
              <w:t>2</w:t>
            </w:r>
            <w:r>
              <w:rPr>
                <w:rFonts w:hint="default" w:ascii="Times New Roman" w:hAnsi="Times New Roman" w:eastAsia="宋体" w:cs="Times New Roman"/>
                <w:color w:val="000000" w:themeColor="text1"/>
                <w:sz w:val="24"/>
                <w:szCs w:val="24"/>
                <w14:textFill>
                  <w14:solidFill>
                    <w14:schemeClr w14:val="tx1"/>
                  </w14:solidFill>
                </w14:textFill>
              </w:rPr>
              <w:t>、NO</w:t>
            </w:r>
            <w:r>
              <w:rPr>
                <w:rFonts w:hint="default" w:ascii="Times New Roman" w:hAnsi="Times New Roman" w:eastAsia="宋体" w:cs="Times New Roman"/>
                <w:color w:val="000000" w:themeColor="text1"/>
                <w:sz w:val="24"/>
                <w:szCs w:val="24"/>
                <w:vertAlign w:val="subscript"/>
                <w14:textFill>
                  <w14:solidFill>
                    <w14:schemeClr w14:val="tx1"/>
                  </w14:solidFill>
                </w14:textFill>
              </w:rPr>
              <w:t>2</w:t>
            </w:r>
            <w:r>
              <w:rPr>
                <w:rFonts w:hint="default" w:ascii="Times New Roman" w:hAnsi="Times New Roman" w:eastAsia="宋体" w:cs="Times New Roman"/>
                <w:color w:val="000000" w:themeColor="text1"/>
                <w:sz w:val="24"/>
                <w:szCs w:val="24"/>
                <w14:textFill>
                  <w14:solidFill>
                    <w14:schemeClr w14:val="tx1"/>
                  </w14:solidFill>
                </w14:textFill>
              </w:rPr>
              <w:t>、PM</w:t>
            </w:r>
            <w:r>
              <w:rPr>
                <w:rFonts w:hint="default" w:ascii="Times New Roman" w:hAnsi="Times New Roman" w:eastAsia="宋体" w:cs="Times New Roman"/>
                <w:color w:val="000000" w:themeColor="text1"/>
                <w:sz w:val="24"/>
                <w:szCs w:val="24"/>
                <w:vertAlign w:val="subscript"/>
                <w14:textFill>
                  <w14:solidFill>
                    <w14:schemeClr w14:val="tx1"/>
                  </w14:solidFill>
                </w14:textFill>
              </w:rPr>
              <w:t>10</w:t>
            </w:r>
            <w:r>
              <w:rPr>
                <w:rFonts w:hint="default" w:ascii="Times New Roman" w:hAnsi="Times New Roman" w:eastAsia="宋体" w:cs="Times New Roman"/>
                <w:color w:val="000000" w:themeColor="text1"/>
                <w:sz w:val="24"/>
                <w:szCs w:val="24"/>
                <w14:textFill>
                  <w14:solidFill>
                    <w14:schemeClr w14:val="tx1"/>
                  </w14:solidFill>
                </w14:textFill>
              </w:rPr>
              <w:t>、PM</w:t>
            </w:r>
            <w:r>
              <w:rPr>
                <w:rFonts w:hint="default" w:ascii="Times New Roman" w:hAnsi="Times New Roman" w:eastAsia="宋体" w:cs="Times New Roman"/>
                <w:color w:val="000000" w:themeColor="text1"/>
                <w:sz w:val="24"/>
                <w:szCs w:val="24"/>
                <w:vertAlign w:val="subscript"/>
                <w14:textFill>
                  <w14:solidFill>
                    <w14:schemeClr w14:val="tx1"/>
                  </w14:solidFill>
                </w14:textFill>
              </w:rPr>
              <w:t>2.5</w:t>
            </w:r>
            <w:r>
              <w:rPr>
                <w:rFonts w:hint="default" w:ascii="Times New Roman" w:hAnsi="Times New Roman" w:eastAsia="宋体" w:cs="Times New Roman"/>
                <w:color w:val="000000" w:themeColor="text1"/>
                <w:sz w:val="24"/>
                <w:szCs w:val="24"/>
                <w14:textFill>
                  <w14:solidFill>
                    <w14:schemeClr w14:val="tx1"/>
                  </w14:solidFill>
                </w14:textFill>
              </w:rPr>
              <w:t>、CO和O</w:t>
            </w:r>
            <w:r>
              <w:rPr>
                <w:rFonts w:hint="default" w:ascii="Times New Roman" w:hAnsi="Times New Roman" w:eastAsia="宋体" w:cs="Times New Roman"/>
                <w:color w:val="000000" w:themeColor="text1"/>
                <w:sz w:val="24"/>
                <w:szCs w:val="24"/>
                <w:vertAlign w:val="subscript"/>
                <w14:textFill>
                  <w14:solidFill>
                    <w14:schemeClr w14:val="tx1"/>
                  </w14:solidFill>
                </w14:textFill>
              </w:rPr>
              <w:t>3</w:t>
            </w:r>
            <w:r>
              <w:rPr>
                <w:rFonts w:hint="default" w:ascii="Times New Roman" w:hAnsi="Times New Roman" w:eastAsia="宋体" w:cs="Times New Roman"/>
                <w:color w:val="000000" w:themeColor="text1"/>
                <w:sz w:val="24"/>
                <w:szCs w:val="24"/>
                <w14:textFill>
                  <w14:solidFill>
                    <w14:schemeClr w14:val="tx1"/>
                  </w14:solidFill>
                </w14:textFill>
              </w:rPr>
              <w:t>监测数据引用</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凤翔区人民政府</w:t>
            </w:r>
            <w:r>
              <w:rPr>
                <w:rFonts w:hint="default" w:ascii="Times New Roman" w:hAnsi="Times New Roman" w:eastAsia="宋体" w:cs="Times New Roman"/>
                <w:color w:val="000000" w:themeColor="text1"/>
                <w:sz w:val="24"/>
                <w:szCs w:val="24"/>
                <w:highlight w:val="none"/>
                <w14:textFill>
                  <w14:solidFill>
                    <w14:schemeClr w14:val="tx1"/>
                  </w14:solidFill>
                </w14:textFill>
              </w:rPr>
              <w:t>发布的《宝鸡市凤翔区2025年环境质量公报》中的统计数据</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p>
          <w:p w14:paraId="45B9A04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color w:val="000000" w:themeColor="text1"/>
                <w:sz w:val="21"/>
                <w:szCs w:val="21"/>
                <w:lang w:val="en-US" w:eastAsia="zh-CN"/>
                <w14:textFill>
                  <w14:solidFill>
                    <w14:schemeClr w14:val="tx1"/>
                  </w14:solidFill>
                </w14:textFill>
              </w:rPr>
              <w:t>表3-1  区域空气质量现状评价表</w:t>
            </w:r>
          </w:p>
          <w:tbl>
            <w:tblPr>
              <w:tblStyle w:val="36"/>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42"/>
              <w:gridCol w:w="717"/>
              <w:gridCol w:w="1421"/>
              <w:gridCol w:w="1226"/>
              <w:gridCol w:w="1226"/>
              <w:gridCol w:w="855"/>
              <w:gridCol w:w="954"/>
              <w:gridCol w:w="1550"/>
            </w:tblGrid>
            <w:tr w14:paraId="5260E9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3" w:type="pct"/>
                  <w:vMerge w:val="restart"/>
                  <w:noWrap w:val="0"/>
                  <w:vAlign w:val="center"/>
                </w:tcPr>
                <w:p w14:paraId="6D072C66">
                  <w:pPr>
                    <w:widowControl/>
                    <w:adjustRightInd w:val="0"/>
                    <w:snapToGrid w:val="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所在区域</w:t>
                  </w:r>
                </w:p>
              </w:tc>
              <w:tc>
                <w:tcPr>
                  <w:tcW w:w="427" w:type="pct"/>
                  <w:vMerge w:val="restart"/>
                  <w:noWrap w:val="0"/>
                  <w:vAlign w:val="center"/>
                </w:tcPr>
                <w:p w14:paraId="7F8DDB6E">
                  <w:pPr>
                    <w:widowControl/>
                    <w:adjustRightInd w:val="0"/>
                    <w:snapToGrid w:val="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污染物</w:t>
                  </w:r>
                </w:p>
              </w:tc>
              <w:tc>
                <w:tcPr>
                  <w:tcW w:w="846" w:type="pct"/>
                  <w:vMerge w:val="restart"/>
                  <w:noWrap w:val="0"/>
                  <w:vAlign w:val="center"/>
                </w:tcPr>
                <w:p w14:paraId="0CAC34C2">
                  <w:pPr>
                    <w:widowControl/>
                    <w:adjustRightInd w:val="0"/>
                    <w:snapToGrid w:val="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年评价指标</w:t>
                  </w:r>
                </w:p>
              </w:tc>
              <w:tc>
                <w:tcPr>
                  <w:tcW w:w="730" w:type="pct"/>
                  <w:vMerge w:val="restart"/>
                  <w:noWrap w:val="0"/>
                  <w:vAlign w:val="center"/>
                </w:tcPr>
                <w:p w14:paraId="62AC5570">
                  <w:pPr>
                    <w:widowControl/>
                    <w:adjustRightInd w:val="0"/>
                    <w:snapToGrid w:val="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现状浓度</w:t>
                  </w:r>
                </w:p>
                <w:p w14:paraId="3C86EC49">
                  <w:pPr>
                    <w:widowControl/>
                    <w:adjustRightInd w:val="0"/>
                    <w:snapToGrid w:val="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（μg/m</w:t>
                  </w:r>
                  <w:r>
                    <w:rPr>
                      <w:rFonts w:hint="default" w:ascii="Times New Roman" w:hAnsi="Times New Roman" w:cs="Times New Roman"/>
                      <w:color w:val="000000" w:themeColor="text1"/>
                      <w:vertAlign w:val="superscript"/>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w:t>
                  </w:r>
                </w:p>
              </w:tc>
              <w:tc>
                <w:tcPr>
                  <w:tcW w:w="730" w:type="pct"/>
                  <w:vMerge w:val="restart"/>
                  <w:noWrap w:val="0"/>
                  <w:vAlign w:val="center"/>
                </w:tcPr>
                <w:p w14:paraId="4F589588">
                  <w:pPr>
                    <w:widowControl/>
                    <w:adjustRightInd w:val="0"/>
                    <w:snapToGrid w:val="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标准值</w:t>
                  </w:r>
                </w:p>
                <w:p w14:paraId="0A2D27F2">
                  <w:pPr>
                    <w:widowControl/>
                    <w:adjustRightInd w:val="0"/>
                    <w:snapToGrid w:val="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（μg/m</w:t>
                  </w:r>
                  <w:r>
                    <w:rPr>
                      <w:rFonts w:hint="default" w:ascii="Times New Roman" w:hAnsi="Times New Roman" w:cs="Times New Roman"/>
                      <w:color w:val="000000" w:themeColor="text1"/>
                      <w:vertAlign w:val="superscript"/>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w:t>
                  </w:r>
                </w:p>
              </w:tc>
              <w:tc>
                <w:tcPr>
                  <w:tcW w:w="509" w:type="pct"/>
                  <w:vMerge w:val="restart"/>
                  <w:noWrap w:val="0"/>
                  <w:vAlign w:val="center"/>
                </w:tcPr>
                <w:p w14:paraId="41C10F38">
                  <w:pPr>
                    <w:widowControl/>
                    <w:adjustRightInd w:val="0"/>
                    <w:snapToGrid w:val="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占标率（%）</w:t>
                  </w:r>
                </w:p>
              </w:tc>
              <w:tc>
                <w:tcPr>
                  <w:tcW w:w="568" w:type="pct"/>
                  <w:vMerge w:val="restart"/>
                  <w:noWrap w:val="0"/>
                  <w:vAlign w:val="center"/>
                </w:tcPr>
                <w:p w14:paraId="02662746">
                  <w:pPr>
                    <w:widowControl/>
                    <w:adjustRightInd w:val="0"/>
                    <w:snapToGrid w:val="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达标</w:t>
                  </w:r>
                </w:p>
                <w:p w14:paraId="0241491F">
                  <w:pPr>
                    <w:widowControl/>
                    <w:adjustRightInd w:val="0"/>
                    <w:snapToGrid w:val="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情况</w:t>
                  </w:r>
                </w:p>
              </w:tc>
              <w:tc>
                <w:tcPr>
                  <w:tcW w:w="923" w:type="pct"/>
                  <w:vMerge w:val="restart"/>
                  <w:noWrap w:val="0"/>
                  <w:vAlign w:val="center"/>
                </w:tcPr>
                <w:p w14:paraId="5ECC1E6E">
                  <w:pPr>
                    <w:widowControl/>
                    <w:adjustRightInd w:val="0"/>
                    <w:snapToGrid w:val="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标准来源</w:t>
                  </w:r>
                </w:p>
              </w:tc>
            </w:tr>
            <w:tr w14:paraId="7EF1D0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3" w:type="pct"/>
                  <w:vMerge w:val="continue"/>
                  <w:noWrap w:val="0"/>
                  <w:vAlign w:val="center"/>
                </w:tcPr>
                <w:p w14:paraId="03C4AC09">
                  <w:pPr>
                    <w:widowControl/>
                    <w:adjustRightInd w:val="0"/>
                    <w:snapToGrid w:val="0"/>
                    <w:jc w:val="center"/>
                    <w:rPr>
                      <w:rFonts w:hint="default" w:ascii="Times New Roman" w:hAnsi="Times New Roman" w:cs="Times New Roman"/>
                      <w:color w:val="000000" w:themeColor="text1"/>
                      <w14:textFill>
                        <w14:solidFill>
                          <w14:schemeClr w14:val="tx1"/>
                        </w14:solidFill>
                      </w14:textFill>
                    </w:rPr>
                  </w:pPr>
                </w:p>
              </w:tc>
              <w:tc>
                <w:tcPr>
                  <w:tcW w:w="427" w:type="pct"/>
                  <w:vMerge w:val="continue"/>
                  <w:noWrap w:val="0"/>
                  <w:vAlign w:val="center"/>
                </w:tcPr>
                <w:p w14:paraId="75AF415B">
                  <w:pPr>
                    <w:widowControl/>
                    <w:adjustRightInd w:val="0"/>
                    <w:snapToGrid w:val="0"/>
                    <w:jc w:val="center"/>
                    <w:rPr>
                      <w:rFonts w:hint="default" w:ascii="Times New Roman" w:hAnsi="Times New Roman" w:cs="Times New Roman"/>
                      <w:color w:val="000000" w:themeColor="text1"/>
                      <w14:textFill>
                        <w14:solidFill>
                          <w14:schemeClr w14:val="tx1"/>
                        </w14:solidFill>
                      </w14:textFill>
                    </w:rPr>
                  </w:pPr>
                </w:p>
              </w:tc>
              <w:tc>
                <w:tcPr>
                  <w:tcW w:w="846" w:type="pct"/>
                  <w:vMerge w:val="continue"/>
                  <w:noWrap w:val="0"/>
                  <w:vAlign w:val="center"/>
                </w:tcPr>
                <w:p w14:paraId="78C4927B">
                  <w:pPr>
                    <w:widowControl/>
                    <w:adjustRightInd w:val="0"/>
                    <w:snapToGrid w:val="0"/>
                    <w:jc w:val="center"/>
                    <w:rPr>
                      <w:rFonts w:hint="default" w:ascii="Times New Roman" w:hAnsi="Times New Roman" w:cs="Times New Roman"/>
                      <w:color w:val="000000" w:themeColor="text1"/>
                      <w14:textFill>
                        <w14:solidFill>
                          <w14:schemeClr w14:val="tx1"/>
                        </w14:solidFill>
                      </w14:textFill>
                    </w:rPr>
                  </w:pPr>
                </w:p>
              </w:tc>
              <w:tc>
                <w:tcPr>
                  <w:tcW w:w="730" w:type="pct"/>
                  <w:vMerge w:val="continue"/>
                  <w:noWrap w:val="0"/>
                  <w:vAlign w:val="center"/>
                </w:tcPr>
                <w:p w14:paraId="7B08F7B2">
                  <w:pPr>
                    <w:widowControl/>
                    <w:adjustRightInd w:val="0"/>
                    <w:snapToGrid w:val="0"/>
                    <w:jc w:val="center"/>
                    <w:rPr>
                      <w:rFonts w:hint="default" w:ascii="Times New Roman" w:hAnsi="Times New Roman" w:cs="Times New Roman"/>
                      <w:color w:val="000000" w:themeColor="text1"/>
                      <w14:textFill>
                        <w14:solidFill>
                          <w14:schemeClr w14:val="tx1"/>
                        </w14:solidFill>
                      </w14:textFill>
                    </w:rPr>
                  </w:pPr>
                </w:p>
              </w:tc>
              <w:tc>
                <w:tcPr>
                  <w:tcW w:w="730" w:type="pct"/>
                  <w:vMerge w:val="continue"/>
                  <w:noWrap w:val="0"/>
                  <w:vAlign w:val="center"/>
                </w:tcPr>
                <w:p w14:paraId="2A4014B1">
                  <w:pPr>
                    <w:widowControl/>
                    <w:adjustRightInd w:val="0"/>
                    <w:snapToGrid w:val="0"/>
                    <w:jc w:val="center"/>
                    <w:rPr>
                      <w:rFonts w:hint="default" w:ascii="Times New Roman" w:hAnsi="Times New Roman" w:cs="Times New Roman"/>
                      <w:color w:val="000000" w:themeColor="text1"/>
                      <w14:textFill>
                        <w14:solidFill>
                          <w14:schemeClr w14:val="tx1"/>
                        </w14:solidFill>
                      </w14:textFill>
                    </w:rPr>
                  </w:pPr>
                </w:p>
              </w:tc>
              <w:tc>
                <w:tcPr>
                  <w:tcW w:w="509" w:type="pct"/>
                  <w:vMerge w:val="continue"/>
                  <w:noWrap w:val="0"/>
                  <w:vAlign w:val="center"/>
                </w:tcPr>
                <w:p w14:paraId="4871C819">
                  <w:pPr>
                    <w:widowControl/>
                    <w:adjustRightInd w:val="0"/>
                    <w:snapToGrid w:val="0"/>
                    <w:jc w:val="center"/>
                    <w:rPr>
                      <w:rFonts w:hint="default" w:ascii="Times New Roman" w:hAnsi="Times New Roman" w:cs="Times New Roman"/>
                      <w:color w:val="000000" w:themeColor="text1"/>
                      <w14:textFill>
                        <w14:solidFill>
                          <w14:schemeClr w14:val="tx1"/>
                        </w14:solidFill>
                      </w14:textFill>
                    </w:rPr>
                  </w:pPr>
                </w:p>
              </w:tc>
              <w:tc>
                <w:tcPr>
                  <w:tcW w:w="568" w:type="pct"/>
                  <w:vMerge w:val="continue"/>
                  <w:noWrap w:val="0"/>
                  <w:vAlign w:val="center"/>
                </w:tcPr>
                <w:p w14:paraId="2D197898">
                  <w:pPr>
                    <w:widowControl/>
                    <w:adjustRightInd w:val="0"/>
                    <w:snapToGrid w:val="0"/>
                    <w:jc w:val="center"/>
                    <w:rPr>
                      <w:rFonts w:hint="default" w:ascii="Times New Roman" w:hAnsi="Times New Roman" w:cs="Times New Roman"/>
                      <w:color w:val="000000" w:themeColor="text1"/>
                      <w14:textFill>
                        <w14:solidFill>
                          <w14:schemeClr w14:val="tx1"/>
                        </w14:solidFill>
                      </w14:textFill>
                    </w:rPr>
                  </w:pPr>
                </w:p>
              </w:tc>
              <w:tc>
                <w:tcPr>
                  <w:tcW w:w="923" w:type="pct"/>
                  <w:vMerge w:val="continue"/>
                  <w:noWrap w:val="0"/>
                  <w:vAlign w:val="center"/>
                </w:tcPr>
                <w:p w14:paraId="40D46270">
                  <w:pPr>
                    <w:widowControl/>
                    <w:adjustRightInd w:val="0"/>
                    <w:snapToGrid w:val="0"/>
                    <w:jc w:val="center"/>
                    <w:rPr>
                      <w:rFonts w:hint="default" w:ascii="Times New Roman" w:hAnsi="Times New Roman" w:cs="Times New Roman"/>
                      <w:color w:val="000000" w:themeColor="text1"/>
                      <w14:textFill>
                        <w14:solidFill>
                          <w14:schemeClr w14:val="tx1"/>
                        </w14:solidFill>
                      </w14:textFill>
                    </w:rPr>
                  </w:pPr>
                </w:p>
              </w:tc>
            </w:tr>
            <w:tr w14:paraId="21C0CA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3" w:type="pct"/>
                  <w:vMerge w:val="restart"/>
                  <w:noWrap w:val="0"/>
                  <w:vAlign w:val="center"/>
                </w:tcPr>
                <w:p w14:paraId="37021AE0">
                  <w:pPr>
                    <w:widowControl/>
                    <w:adjustRightInd w:val="0"/>
                    <w:snapToGrid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宝鸡市</w:t>
                  </w:r>
                  <w:r>
                    <w:rPr>
                      <w:rFonts w:hint="default" w:ascii="Times New Roman" w:hAnsi="Times New Roman" w:cs="Times New Roman"/>
                      <w:color w:val="000000" w:themeColor="text1"/>
                      <w:lang w:val="en-US" w:eastAsia="zh-CN"/>
                      <w14:textFill>
                        <w14:solidFill>
                          <w14:schemeClr w14:val="tx1"/>
                        </w14:solidFill>
                      </w14:textFill>
                    </w:rPr>
                    <w:t>凤翔区</w:t>
                  </w:r>
                </w:p>
              </w:tc>
              <w:tc>
                <w:tcPr>
                  <w:tcW w:w="427" w:type="pct"/>
                  <w:noWrap w:val="0"/>
                  <w:vAlign w:val="center"/>
                </w:tcPr>
                <w:p w14:paraId="3BB223A0">
                  <w:pPr>
                    <w:adjustRightInd w:val="0"/>
                    <w:snapToGrid w:val="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SO</w:t>
                  </w:r>
                  <w:r>
                    <w:rPr>
                      <w:rFonts w:hint="default" w:ascii="Times New Roman" w:hAnsi="Times New Roman" w:cs="Times New Roman"/>
                      <w:color w:val="000000" w:themeColor="text1"/>
                      <w:vertAlign w:val="subscript"/>
                      <w14:textFill>
                        <w14:solidFill>
                          <w14:schemeClr w14:val="tx1"/>
                        </w14:solidFill>
                      </w14:textFill>
                    </w:rPr>
                    <w:t>2</w:t>
                  </w:r>
                </w:p>
              </w:tc>
              <w:tc>
                <w:tcPr>
                  <w:tcW w:w="846" w:type="pct"/>
                  <w:noWrap w:val="0"/>
                  <w:vAlign w:val="center"/>
                </w:tcPr>
                <w:p w14:paraId="203D7445">
                  <w:pPr>
                    <w:adjustRightInd w:val="0"/>
                    <w:snapToGrid w:val="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年平均质量浓度</w:t>
                  </w:r>
                </w:p>
              </w:tc>
              <w:tc>
                <w:tcPr>
                  <w:tcW w:w="1144" w:type="dxa"/>
                  <w:noWrap w:val="0"/>
                  <w:vAlign w:val="center"/>
                </w:tcPr>
                <w:p w14:paraId="6A6B4755">
                  <w:pPr>
                    <w:pStyle w:val="126"/>
                    <w:ind w:firstLine="0" w:firstLineChars="0"/>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t>9</w:t>
                  </w:r>
                </w:p>
              </w:tc>
              <w:tc>
                <w:tcPr>
                  <w:tcW w:w="730" w:type="pct"/>
                  <w:noWrap w:val="0"/>
                  <w:vAlign w:val="center"/>
                </w:tcPr>
                <w:p w14:paraId="7C4F97FB">
                  <w:pPr>
                    <w:adjustRightInd w:val="0"/>
                    <w:snapToGrid w:val="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60</w:t>
                  </w:r>
                </w:p>
              </w:tc>
              <w:tc>
                <w:tcPr>
                  <w:tcW w:w="509" w:type="pct"/>
                  <w:noWrap w:val="0"/>
                  <w:vAlign w:val="center"/>
                </w:tcPr>
                <w:p w14:paraId="69111308">
                  <w:pPr>
                    <w:widowControl/>
                    <w:adjustRightInd w:val="0"/>
                    <w:snapToGrid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15</w:t>
                  </w:r>
                </w:p>
              </w:tc>
              <w:tc>
                <w:tcPr>
                  <w:tcW w:w="568" w:type="pct"/>
                  <w:noWrap w:val="0"/>
                  <w:vAlign w:val="center"/>
                </w:tcPr>
                <w:p w14:paraId="4BB0DB1A">
                  <w:pPr>
                    <w:widowControl/>
                    <w:adjustRightInd w:val="0"/>
                    <w:snapToGrid w:val="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达标</w:t>
                  </w:r>
                </w:p>
              </w:tc>
              <w:tc>
                <w:tcPr>
                  <w:tcW w:w="923" w:type="pct"/>
                  <w:vMerge w:val="restart"/>
                  <w:noWrap w:val="0"/>
                  <w:vAlign w:val="center"/>
                </w:tcPr>
                <w:p w14:paraId="0713CA37">
                  <w:pPr>
                    <w:widowControl/>
                    <w:adjustRightInd w:val="0"/>
                    <w:snapToGrid w:val="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《环境空气质量标准》（</w:t>
                  </w:r>
                  <w:r>
                    <w:rPr>
                      <w:rFonts w:hint="default" w:ascii="Times New Roman" w:hAnsi="Times New Roman" w:cs="Times New Roman"/>
                      <w:color w:val="000000" w:themeColor="text1"/>
                      <w:lang w:eastAsia="zh-CN"/>
                      <w14:textFill>
                        <w14:solidFill>
                          <w14:schemeClr w14:val="tx1"/>
                        </w14:solidFill>
                      </w14:textFill>
                    </w:rPr>
                    <w:t>GB</w:t>
                  </w:r>
                  <w:r>
                    <w:rPr>
                      <w:rFonts w:hint="default" w:ascii="Times New Roman" w:hAnsi="Times New Roman" w:cs="Times New Roman"/>
                      <w:color w:val="000000" w:themeColor="text1"/>
                      <w:lang w:val="en-US" w:eastAsia="zh-CN"/>
                      <w14:textFill>
                        <w14:solidFill>
                          <w14:schemeClr w14:val="tx1"/>
                        </w14:solidFill>
                      </w14:textFill>
                    </w:rPr>
                    <w:t xml:space="preserve"> </w:t>
                  </w:r>
                  <w:r>
                    <w:rPr>
                      <w:rFonts w:hint="default" w:ascii="Times New Roman" w:hAnsi="Times New Roman" w:cs="Times New Roman"/>
                      <w:color w:val="000000" w:themeColor="text1"/>
                      <w:lang w:eastAsia="zh-CN"/>
                      <w14:textFill>
                        <w14:solidFill>
                          <w14:schemeClr w14:val="tx1"/>
                        </w14:solidFill>
                      </w14:textFill>
                    </w:rPr>
                    <w:t>3095-2026</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过渡阶段二级浓度限值</w:t>
                  </w:r>
                </w:p>
              </w:tc>
            </w:tr>
            <w:tr w14:paraId="70B4E2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3" w:type="pct"/>
                  <w:vMerge w:val="continue"/>
                  <w:noWrap w:val="0"/>
                  <w:vAlign w:val="center"/>
                </w:tcPr>
                <w:p w14:paraId="307F09E8">
                  <w:pPr>
                    <w:widowControl/>
                    <w:adjustRightInd w:val="0"/>
                    <w:snapToGrid w:val="0"/>
                    <w:jc w:val="center"/>
                    <w:rPr>
                      <w:rFonts w:hint="default" w:ascii="Times New Roman" w:hAnsi="Times New Roman" w:cs="Times New Roman"/>
                      <w:color w:val="000000" w:themeColor="text1"/>
                      <w14:textFill>
                        <w14:solidFill>
                          <w14:schemeClr w14:val="tx1"/>
                        </w14:solidFill>
                      </w14:textFill>
                    </w:rPr>
                  </w:pPr>
                </w:p>
              </w:tc>
              <w:tc>
                <w:tcPr>
                  <w:tcW w:w="427" w:type="pct"/>
                  <w:noWrap w:val="0"/>
                  <w:vAlign w:val="center"/>
                </w:tcPr>
                <w:p w14:paraId="07058D9C">
                  <w:pPr>
                    <w:adjustRightInd w:val="0"/>
                    <w:snapToGrid w:val="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NO</w:t>
                  </w:r>
                  <w:r>
                    <w:rPr>
                      <w:rFonts w:hint="default" w:ascii="Times New Roman" w:hAnsi="Times New Roman" w:cs="Times New Roman"/>
                      <w:color w:val="000000" w:themeColor="text1"/>
                      <w:vertAlign w:val="subscript"/>
                      <w14:textFill>
                        <w14:solidFill>
                          <w14:schemeClr w14:val="tx1"/>
                        </w14:solidFill>
                      </w14:textFill>
                    </w:rPr>
                    <w:t>2</w:t>
                  </w:r>
                </w:p>
              </w:tc>
              <w:tc>
                <w:tcPr>
                  <w:tcW w:w="846" w:type="pct"/>
                  <w:noWrap w:val="0"/>
                  <w:vAlign w:val="center"/>
                </w:tcPr>
                <w:p w14:paraId="24C16387">
                  <w:pPr>
                    <w:adjustRightInd w:val="0"/>
                    <w:snapToGrid w:val="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年平均质量浓度</w:t>
                  </w:r>
                </w:p>
              </w:tc>
              <w:tc>
                <w:tcPr>
                  <w:tcW w:w="1144" w:type="dxa"/>
                  <w:noWrap w:val="0"/>
                  <w:vAlign w:val="center"/>
                </w:tcPr>
                <w:p w14:paraId="3BB4F121">
                  <w:pPr>
                    <w:pStyle w:val="126"/>
                    <w:ind w:firstLine="0" w:firstLineChars="0"/>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t>14</w:t>
                  </w:r>
                </w:p>
              </w:tc>
              <w:tc>
                <w:tcPr>
                  <w:tcW w:w="730" w:type="pct"/>
                  <w:noWrap w:val="0"/>
                  <w:vAlign w:val="center"/>
                </w:tcPr>
                <w:p w14:paraId="61721589">
                  <w:pPr>
                    <w:adjustRightInd w:val="0"/>
                    <w:snapToGrid w:val="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40</w:t>
                  </w:r>
                </w:p>
              </w:tc>
              <w:tc>
                <w:tcPr>
                  <w:tcW w:w="509" w:type="pct"/>
                  <w:noWrap w:val="0"/>
                  <w:vAlign w:val="center"/>
                </w:tcPr>
                <w:p w14:paraId="382FB5D2">
                  <w:pPr>
                    <w:widowControl/>
                    <w:adjustRightInd w:val="0"/>
                    <w:snapToGrid w:val="0"/>
                    <w:jc w:val="center"/>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35</w:t>
                  </w:r>
                </w:p>
              </w:tc>
              <w:tc>
                <w:tcPr>
                  <w:tcW w:w="568" w:type="pct"/>
                  <w:noWrap w:val="0"/>
                  <w:vAlign w:val="center"/>
                </w:tcPr>
                <w:p w14:paraId="7637DDE8">
                  <w:pPr>
                    <w:widowControl/>
                    <w:adjustRightInd w:val="0"/>
                    <w:snapToGrid w:val="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达标</w:t>
                  </w:r>
                </w:p>
              </w:tc>
              <w:tc>
                <w:tcPr>
                  <w:tcW w:w="923" w:type="pct"/>
                  <w:vMerge w:val="continue"/>
                  <w:noWrap w:val="0"/>
                  <w:vAlign w:val="center"/>
                </w:tcPr>
                <w:p w14:paraId="3FD3542E">
                  <w:pPr>
                    <w:widowControl/>
                    <w:adjustRightInd w:val="0"/>
                    <w:snapToGrid w:val="0"/>
                    <w:jc w:val="center"/>
                    <w:rPr>
                      <w:rFonts w:hint="default" w:ascii="Times New Roman" w:hAnsi="Times New Roman" w:cs="Times New Roman"/>
                      <w:color w:val="000000" w:themeColor="text1"/>
                      <w14:textFill>
                        <w14:solidFill>
                          <w14:schemeClr w14:val="tx1"/>
                        </w14:solidFill>
                      </w14:textFill>
                    </w:rPr>
                  </w:pPr>
                </w:p>
              </w:tc>
            </w:tr>
            <w:tr w14:paraId="77CFEA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3" w:type="pct"/>
                  <w:vMerge w:val="continue"/>
                  <w:noWrap w:val="0"/>
                  <w:vAlign w:val="center"/>
                </w:tcPr>
                <w:p w14:paraId="462AA520">
                  <w:pPr>
                    <w:widowControl/>
                    <w:adjustRightInd w:val="0"/>
                    <w:snapToGrid w:val="0"/>
                    <w:jc w:val="center"/>
                    <w:rPr>
                      <w:rFonts w:hint="default" w:ascii="Times New Roman" w:hAnsi="Times New Roman" w:cs="Times New Roman"/>
                      <w:color w:val="000000" w:themeColor="text1"/>
                      <w14:textFill>
                        <w14:solidFill>
                          <w14:schemeClr w14:val="tx1"/>
                        </w14:solidFill>
                      </w14:textFill>
                    </w:rPr>
                  </w:pPr>
                </w:p>
              </w:tc>
              <w:tc>
                <w:tcPr>
                  <w:tcW w:w="427" w:type="pct"/>
                  <w:noWrap w:val="0"/>
                  <w:vAlign w:val="center"/>
                </w:tcPr>
                <w:p w14:paraId="28CC9099">
                  <w:pPr>
                    <w:adjustRightInd w:val="0"/>
                    <w:snapToGrid w:val="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PM</w:t>
                  </w:r>
                  <w:r>
                    <w:rPr>
                      <w:rFonts w:hint="default" w:ascii="Times New Roman" w:hAnsi="Times New Roman" w:cs="Times New Roman"/>
                      <w:color w:val="000000" w:themeColor="text1"/>
                      <w:vertAlign w:val="subscript"/>
                      <w14:textFill>
                        <w14:solidFill>
                          <w14:schemeClr w14:val="tx1"/>
                        </w14:solidFill>
                      </w14:textFill>
                    </w:rPr>
                    <w:t>10</w:t>
                  </w:r>
                </w:p>
              </w:tc>
              <w:tc>
                <w:tcPr>
                  <w:tcW w:w="846" w:type="pct"/>
                  <w:noWrap w:val="0"/>
                  <w:vAlign w:val="center"/>
                </w:tcPr>
                <w:p w14:paraId="1C1D3F5E">
                  <w:pPr>
                    <w:adjustRightInd w:val="0"/>
                    <w:snapToGrid w:val="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年平均质量浓度</w:t>
                  </w:r>
                </w:p>
              </w:tc>
              <w:tc>
                <w:tcPr>
                  <w:tcW w:w="730" w:type="pct"/>
                  <w:noWrap w:val="0"/>
                  <w:vAlign w:val="center"/>
                </w:tcPr>
                <w:p w14:paraId="1BF32BF5">
                  <w:pPr>
                    <w:widowControl/>
                    <w:adjustRightInd w:val="0"/>
                    <w:snapToGrid w:val="0"/>
                    <w:jc w:val="center"/>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53</w:t>
                  </w:r>
                </w:p>
              </w:tc>
              <w:tc>
                <w:tcPr>
                  <w:tcW w:w="730" w:type="pct"/>
                  <w:noWrap w:val="0"/>
                  <w:vAlign w:val="center"/>
                </w:tcPr>
                <w:p w14:paraId="06B89D4C">
                  <w:pPr>
                    <w:adjustRightInd w:val="0"/>
                    <w:snapToGrid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60</w:t>
                  </w:r>
                </w:p>
              </w:tc>
              <w:tc>
                <w:tcPr>
                  <w:tcW w:w="509" w:type="pct"/>
                  <w:noWrap w:val="0"/>
                  <w:vAlign w:val="center"/>
                </w:tcPr>
                <w:p w14:paraId="0C4F6290">
                  <w:pPr>
                    <w:widowControl/>
                    <w:adjustRightInd w:val="0"/>
                    <w:snapToGrid w:val="0"/>
                    <w:jc w:val="center"/>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88.3</w:t>
                  </w:r>
                </w:p>
              </w:tc>
              <w:tc>
                <w:tcPr>
                  <w:tcW w:w="568" w:type="pct"/>
                  <w:noWrap w:val="0"/>
                  <w:vAlign w:val="center"/>
                </w:tcPr>
                <w:p w14:paraId="625D3301">
                  <w:pPr>
                    <w:widowControl/>
                    <w:adjustRightInd w:val="0"/>
                    <w:snapToGrid w:val="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达标</w:t>
                  </w:r>
                </w:p>
              </w:tc>
              <w:tc>
                <w:tcPr>
                  <w:tcW w:w="923" w:type="pct"/>
                  <w:vMerge w:val="continue"/>
                  <w:noWrap w:val="0"/>
                  <w:vAlign w:val="center"/>
                </w:tcPr>
                <w:p w14:paraId="7E3EAF82">
                  <w:pPr>
                    <w:widowControl/>
                    <w:adjustRightInd w:val="0"/>
                    <w:snapToGrid w:val="0"/>
                    <w:jc w:val="center"/>
                    <w:rPr>
                      <w:rFonts w:hint="default" w:ascii="Times New Roman" w:hAnsi="Times New Roman" w:cs="Times New Roman"/>
                      <w:color w:val="000000" w:themeColor="text1"/>
                      <w14:textFill>
                        <w14:solidFill>
                          <w14:schemeClr w14:val="tx1"/>
                        </w14:solidFill>
                      </w14:textFill>
                    </w:rPr>
                  </w:pPr>
                </w:p>
              </w:tc>
            </w:tr>
            <w:tr w14:paraId="17F82C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63" w:type="pct"/>
                  <w:vMerge w:val="continue"/>
                  <w:noWrap w:val="0"/>
                  <w:vAlign w:val="center"/>
                </w:tcPr>
                <w:p w14:paraId="7EEB885E">
                  <w:pPr>
                    <w:widowControl/>
                    <w:adjustRightInd w:val="0"/>
                    <w:snapToGrid w:val="0"/>
                    <w:jc w:val="center"/>
                    <w:rPr>
                      <w:rFonts w:hint="default" w:ascii="Times New Roman" w:hAnsi="Times New Roman" w:cs="Times New Roman"/>
                      <w:color w:val="000000" w:themeColor="text1"/>
                      <w14:textFill>
                        <w14:solidFill>
                          <w14:schemeClr w14:val="tx1"/>
                        </w14:solidFill>
                      </w14:textFill>
                    </w:rPr>
                  </w:pPr>
                </w:p>
              </w:tc>
              <w:tc>
                <w:tcPr>
                  <w:tcW w:w="427" w:type="pct"/>
                  <w:noWrap w:val="0"/>
                  <w:vAlign w:val="center"/>
                </w:tcPr>
                <w:p w14:paraId="0543778F">
                  <w:pPr>
                    <w:adjustRightInd w:val="0"/>
                    <w:snapToGrid w:val="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PM</w:t>
                  </w:r>
                  <w:r>
                    <w:rPr>
                      <w:rFonts w:hint="default" w:ascii="Times New Roman" w:hAnsi="Times New Roman" w:cs="Times New Roman"/>
                      <w:color w:val="000000" w:themeColor="text1"/>
                      <w:vertAlign w:val="subscript"/>
                      <w14:textFill>
                        <w14:solidFill>
                          <w14:schemeClr w14:val="tx1"/>
                        </w14:solidFill>
                      </w14:textFill>
                    </w:rPr>
                    <w:t>2.5</w:t>
                  </w:r>
                </w:p>
              </w:tc>
              <w:tc>
                <w:tcPr>
                  <w:tcW w:w="846" w:type="pct"/>
                  <w:noWrap w:val="0"/>
                  <w:vAlign w:val="center"/>
                </w:tcPr>
                <w:p w14:paraId="1241EE54">
                  <w:pPr>
                    <w:adjustRightInd w:val="0"/>
                    <w:snapToGrid w:val="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年平均质量浓度</w:t>
                  </w:r>
                </w:p>
              </w:tc>
              <w:tc>
                <w:tcPr>
                  <w:tcW w:w="730" w:type="pct"/>
                  <w:noWrap w:val="0"/>
                  <w:vAlign w:val="center"/>
                </w:tcPr>
                <w:p w14:paraId="6DC2E58F">
                  <w:pPr>
                    <w:widowControl/>
                    <w:adjustRightInd w:val="0"/>
                    <w:snapToGrid w:val="0"/>
                    <w:jc w:val="center"/>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29</w:t>
                  </w:r>
                </w:p>
              </w:tc>
              <w:tc>
                <w:tcPr>
                  <w:tcW w:w="730" w:type="pct"/>
                  <w:noWrap w:val="0"/>
                  <w:vAlign w:val="center"/>
                </w:tcPr>
                <w:p w14:paraId="3BCD7F44">
                  <w:pPr>
                    <w:adjustRightInd w:val="0"/>
                    <w:snapToGrid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30</w:t>
                  </w:r>
                </w:p>
              </w:tc>
              <w:tc>
                <w:tcPr>
                  <w:tcW w:w="509" w:type="pct"/>
                  <w:noWrap w:val="0"/>
                  <w:vAlign w:val="center"/>
                </w:tcPr>
                <w:p w14:paraId="60924D90">
                  <w:pPr>
                    <w:widowControl/>
                    <w:adjustRightInd w:val="0"/>
                    <w:snapToGrid w:val="0"/>
                    <w:jc w:val="center"/>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96.7</w:t>
                  </w:r>
                </w:p>
              </w:tc>
              <w:tc>
                <w:tcPr>
                  <w:tcW w:w="568" w:type="pct"/>
                  <w:noWrap w:val="0"/>
                  <w:vAlign w:val="center"/>
                </w:tcPr>
                <w:p w14:paraId="2EE4A437">
                  <w:pPr>
                    <w:widowControl/>
                    <w:adjustRightInd w:val="0"/>
                    <w:snapToGrid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达标</w:t>
                  </w:r>
                </w:p>
              </w:tc>
              <w:tc>
                <w:tcPr>
                  <w:tcW w:w="923" w:type="pct"/>
                  <w:vMerge w:val="continue"/>
                  <w:noWrap w:val="0"/>
                  <w:vAlign w:val="center"/>
                </w:tcPr>
                <w:p w14:paraId="315B6C7E">
                  <w:pPr>
                    <w:widowControl/>
                    <w:adjustRightInd w:val="0"/>
                    <w:snapToGrid w:val="0"/>
                    <w:jc w:val="center"/>
                    <w:rPr>
                      <w:rFonts w:hint="default" w:ascii="Times New Roman" w:hAnsi="Times New Roman" w:cs="Times New Roman"/>
                      <w:color w:val="000000" w:themeColor="text1"/>
                      <w14:textFill>
                        <w14:solidFill>
                          <w14:schemeClr w14:val="tx1"/>
                        </w14:solidFill>
                      </w14:textFill>
                    </w:rPr>
                  </w:pPr>
                </w:p>
              </w:tc>
            </w:tr>
            <w:tr w14:paraId="7FA68F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3" w:type="pct"/>
                  <w:vMerge w:val="continue"/>
                  <w:noWrap w:val="0"/>
                  <w:vAlign w:val="center"/>
                </w:tcPr>
                <w:p w14:paraId="4771B657">
                  <w:pPr>
                    <w:widowControl/>
                    <w:adjustRightInd w:val="0"/>
                    <w:snapToGrid w:val="0"/>
                    <w:jc w:val="center"/>
                    <w:rPr>
                      <w:rFonts w:hint="default" w:ascii="Times New Roman" w:hAnsi="Times New Roman" w:cs="Times New Roman"/>
                      <w:color w:val="000000" w:themeColor="text1"/>
                      <w14:textFill>
                        <w14:solidFill>
                          <w14:schemeClr w14:val="tx1"/>
                        </w14:solidFill>
                      </w14:textFill>
                    </w:rPr>
                  </w:pPr>
                </w:p>
              </w:tc>
              <w:tc>
                <w:tcPr>
                  <w:tcW w:w="427" w:type="pct"/>
                  <w:noWrap w:val="0"/>
                  <w:vAlign w:val="center"/>
                </w:tcPr>
                <w:p w14:paraId="6CBAB70C">
                  <w:pPr>
                    <w:adjustRightInd w:val="0"/>
                    <w:snapToGrid w:val="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CO</w:t>
                  </w:r>
                </w:p>
              </w:tc>
              <w:tc>
                <w:tcPr>
                  <w:tcW w:w="846" w:type="pct"/>
                  <w:noWrap w:val="0"/>
                  <w:vAlign w:val="center"/>
                </w:tcPr>
                <w:p w14:paraId="360F66E2">
                  <w:pPr>
                    <w:adjustRightInd w:val="0"/>
                    <w:snapToGrid w:val="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95百分位数日平均质量浓度</w:t>
                  </w:r>
                </w:p>
              </w:tc>
              <w:tc>
                <w:tcPr>
                  <w:tcW w:w="730" w:type="pct"/>
                  <w:noWrap w:val="0"/>
                  <w:vAlign w:val="center"/>
                </w:tcPr>
                <w:p w14:paraId="09BAA4F4">
                  <w:pPr>
                    <w:widowControl/>
                    <w:adjustRightInd w:val="0"/>
                    <w:snapToGrid w:val="0"/>
                    <w:jc w:val="center"/>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1000</w:t>
                  </w:r>
                </w:p>
              </w:tc>
              <w:tc>
                <w:tcPr>
                  <w:tcW w:w="730" w:type="pct"/>
                  <w:noWrap w:val="0"/>
                  <w:vAlign w:val="center"/>
                </w:tcPr>
                <w:p w14:paraId="5D806EE8">
                  <w:pPr>
                    <w:adjustRightInd w:val="0"/>
                    <w:snapToGrid w:val="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4000</w:t>
                  </w:r>
                </w:p>
              </w:tc>
              <w:tc>
                <w:tcPr>
                  <w:tcW w:w="509" w:type="pct"/>
                  <w:noWrap w:val="0"/>
                  <w:vAlign w:val="center"/>
                </w:tcPr>
                <w:p w14:paraId="26A8DD51">
                  <w:pPr>
                    <w:widowControl/>
                    <w:adjustRightInd w:val="0"/>
                    <w:snapToGrid w:val="0"/>
                    <w:jc w:val="center"/>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25</w:t>
                  </w:r>
                </w:p>
              </w:tc>
              <w:tc>
                <w:tcPr>
                  <w:tcW w:w="568" w:type="pct"/>
                  <w:noWrap w:val="0"/>
                  <w:vAlign w:val="center"/>
                </w:tcPr>
                <w:p w14:paraId="053F8B39">
                  <w:pPr>
                    <w:widowControl/>
                    <w:adjustRightInd w:val="0"/>
                    <w:snapToGrid w:val="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达标</w:t>
                  </w:r>
                </w:p>
              </w:tc>
              <w:tc>
                <w:tcPr>
                  <w:tcW w:w="923" w:type="pct"/>
                  <w:vMerge w:val="continue"/>
                  <w:noWrap w:val="0"/>
                  <w:vAlign w:val="center"/>
                </w:tcPr>
                <w:p w14:paraId="5A5C94B2">
                  <w:pPr>
                    <w:widowControl/>
                    <w:adjustRightInd w:val="0"/>
                    <w:snapToGrid w:val="0"/>
                    <w:jc w:val="center"/>
                    <w:rPr>
                      <w:rFonts w:hint="default" w:ascii="Times New Roman" w:hAnsi="Times New Roman" w:cs="Times New Roman"/>
                      <w:color w:val="000000" w:themeColor="text1"/>
                      <w14:textFill>
                        <w14:solidFill>
                          <w14:schemeClr w14:val="tx1"/>
                        </w14:solidFill>
                      </w14:textFill>
                    </w:rPr>
                  </w:pPr>
                </w:p>
              </w:tc>
            </w:tr>
            <w:tr w14:paraId="281450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3" w:type="pct"/>
                  <w:vMerge w:val="continue"/>
                  <w:noWrap w:val="0"/>
                  <w:vAlign w:val="center"/>
                </w:tcPr>
                <w:p w14:paraId="7EB58C48">
                  <w:pPr>
                    <w:widowControl/>
                    <w:adjustRightInd w:val="0"/>
                    <w:snapToGrid w:val="0"/>
                    <w:jc w:val="center"/>
                    <w:rPr>
                      <w:rFonts w:hint="default" w:ascii="Times New Roman" w:hAnsi="Times New Roman" w:cs="Times New Roman"/>
                      <w:color w:val="000000" w:themeColor="text1"/>
                      <w14:textFill>
                        <w14:solidFill>
                          <w14:schemeClr w14:val="tx1"/>
                        </w14:solidFill>
                      </w14:textFill>
                    </w:rPr>
                  </w:pPr>
                </w:p>
              </w:tc>
              <w:tc>
                <w:tcPr>
                  <w:tcW w:w="427" w:type="pct"/>
                  <w:noWrap w:val="0"/>
                  <w:vAlign w:val="center"/>
                </w:tcPr>
                <w:p w14:paraId="6571A779">
                  <w:pPr>
                    <w:adjustRightInd w:val="0"/>
                    <w:snapToGrid w:val="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O3</w:t>
                  </w:r>
                </w:p>
              </w:tc>
              <w:tc>
                <w:tcPr>
                  <w:tcW w:w="846" w:type="pct"/>
                  <w:noWrap w:val="0"/>
                  <w:vAlign w:val="center"/>
                </w:tcPr>
                <w:p w14:paraId="072DAA5A">
                  <w:pPr>
                    <w:adjustRightInd w:val="0"/>
                    <w:snapToGrid w:val="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90百分位数</w:t>
                  </w:r>
                </w:p>
                <w:p w14:paraId="2A935D23">
                  <w:pPr>
                    <w:adjustRightInd w:val="0"/>
                    <w:snapToGrid w:val="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最大8小时平均质量浓度</w:t>
                  </w:r>
                </w:p>
              </w:tc>
              <w:tc>
                <w:tcPr>
                  <w:tcW w:w="730" w:type="pct"/>
                  <w:noWrap w:val="0"/>
                  <w:vAlign w:val="center"/>
                </w:tcPr>
                <w:p w14:paraId="10259E3B">
                  <w:pPr>
                    <w:widowControl/>
                    <w:adjustRightInd w:val="0"/>
                    <w:snapToGrid w:val="0"/>
                    <w:jc w:val="center"/>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141</w:t>
                  </w:r>
                </w:p>
              </w:tc>
              <w:tc>
                <w:tcPr>
                  <w:tcW w:w="730" w:type="pct"/>
                  <w:noWrap w:val="0"/>
                  <w:vAlign w:val="center"/>
                </w:tcPr>
                <w:p w14:paraId="561CA54C">
                  <w:pPr>
                    <w:adjustRightInd w:val="0"/>
                    <w:snapToGrid w:val="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160</w:t>
                  </w:r>
                </w:p>
              </w:tc>
              <w:tc>
                <w:tcPr>
                  <w:tcW w:w="509" w:type="pct"/>
                  <w:noWrap w:val="0"/>
                  <w:vAlign w:val="center"/>
                </w:tcPr>
                <w:p w14:paraId="4286E880">
                  <w:pPr>
                    <w:widowControl/>
                    <w:adjustRightInd w:val="0"/>
                    <w:snapToGrid w:val="0"/>
                    <w:jc w:val="center"/>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88.1</w:t>
                  </w:r>
                </w:p>
              </w:tc>
              <w:tc>
                <w:tcPr>
                  <w:tcW w:w="568" w:type="pct"/>
                  <w:noWrap w:val="0"/>
                  <w:vAlign w:val="center"/>
                </w:tcPr>
                <w:p w14:paraId="3C604E12">
                  <w:pPr>
                    <w:widowControl/>
                    <w:adjustRightInd w:val="0"/>
                    <w:snapToGrid w:val="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达标</w:t>
                  </w:r>
                </w:p>
              </w:tc>
              <w:tc>
                <w:tcPr>
                  <w:tcW w:w="923" w:type="pct"/>
                  <w:vMerge w:val="continue"/>
                  <w:noWrap w:val="0"/>
                  <w:vAlign w:val="center"/>
                </w:tcPr>
                <w:p w14:paraId="60BD6748">
                  <w:pPr>
                    <w:widowControl/>
                    <w:adjustRightInd w:val="0"/>
                    <w:snapToGrid w:val="0"/>
                    <w:jc w:val="center"/>
                    <w:rPr>
                      <w:rFonts w:hint="default" w:ascii="Times New Roman" w:hAnsi="Times New Roman" w:cs="Times New Roman"/>
                      <w:color w:val="000000" w:themeColor="text1"/>
                      <w14:textFill>
                        <w14:solidFill>
                          <w14:schemeClr w14:val="tx1"/>
                        </w14:solidFill>
                      </w14:textFill>
                    </w:rPr>
                  </w:pPr>
                </w:p>
              </w:tc>
            </w:tr>
          </w:tbl>
          <w:p w14:paraId="71A32A88">
            <w:pPr>
              <w:widowControl/>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由上述统计结果可知，CO第95百分位浓度、O</w:t>
            </w:r>
            <w:r>
              <w:rPr>
                <w:rFonts w:hint="default" w:ascii="Times New Roman" w:hAnsi="Times New Roman" w:eastAsia="宋体" w:cs="Times New Roman"/>
                <w:color w:val="000000" w:themeColor="text1"/>
                <w:sz w:val="24"/>
                <w:szCs w:val="24"/>
                <w:vertAlign w:val="subscript"/>
                <w14:textFill>
                  <w14:solidFill>
                    <w14:schemeClr w14:val="tx1"/>
                  </w14:solidFill>
                </w14:textFill>
              </w:rPr>
              <w:t>3</w:t>
            </w:r>
            <w:r>
              <w:rPr>
                <w:rFonts w:hint="default" w:ascii="Times New Roman" w:hAnsi="Times New Roman" w:eastAsia="宋体" w:cs="Times New Roman"/>
                <w:color w:val="000000" w:themeColor="text1"/>
                <w:sz w:val="24"/>
                <w:szCs w:val="24"/>
                <w14:textFill>
                  <w14:solidFill>
                    <w14:schemeClr w14:val="tx1"/>
                  </w14:solidFill>
                </w14:textFill>
              </w:rPr>
              <w:t>第90百分位浓度年均值、NO</w:t>
            </w:r>
            <w:r>
              <w:rPr>
                <w:rFonts w:hint="default" w:ascii="Times New Roman" w:hAnsi="Times New Roman" w:eastAsia="宋体" w:cs="Times New Roman"/>
                <w:color w:val="000000" w:themeColor="text1"/>
                <w:sz w:val="24"/>
                <w:szCs w:val="24"/>
                <w:vertAlign w:val="subscript"/>
                <w14:textFill>
                  <w14:solidFill>
                    <w14:schemeClr w14:val="tx1"/>
                  </w14:solidFill>
                </w14:textFill>
              </w:rPr>
              <w:t>2</w:t>
            </w:r>
            <w:r>
              <w:rPr>
                <w:rFonts w:hint="default" w:ascii="Times New Roman" w:hAnsi="Times New Roman" w:eastAsia="宋体" w:cs="Times New Roman"/>
                <w:color w:val="000000" w:themeColor="text1"/>
                <w:sz w:val="24"/>
                <w:szCs w:val="24"/>
                <w14:textFill>
                  <w14:solidFill>
                    <w14:schemeClr w14:val="tx1"/>
                  </w14:solidFill>
                </w14:textFill>
              </w:rPr>
              <w:t>年均值、SO</w:t>
            </w:r>
            <w:r>
              <w:rPr>
                <w:rFonts w:hint="default" w:ascii="Times New Roman" w:hAnsi="Times New Roman" w:eastAsia="宋体" w:cs="Times New Roman"/>
                <w:color w:val="000000" w:themeColor="text1"/>
                <w:sz w:val="24"/>
                <w:szCs w:val="24"/>
                <w:vertAlign w:val="subscript"/>
                <w14:textFill>
                  <w14:solidFill>
                    <w14:schemeClr w14:val="tx1"/>
                  </w14:solidFill>
                </w14:textFill>
              </w:rPr>
              <w:t>2</w:t>
            </w:r>
            <w:r>
              <w:rPr>
                <w:rFonts w:hint="default" w:ascii="Times New Roman" w:hAnsi="Times New Roman" w:eastAsia="宋体" w:cs="Times New Roman"/>
                <w:color w:val="000000" w:themeColor="text1"/>
                <w:sz w:val="24"/>
                <w:szCs w:val="24"/>
                <w14:textFill>
                  <w14:solidFill>
                    <w14:schemeClr w14:val="tx1"/>
                  </w14:solidFill>
                </w14:textFill>
              </w:rPr>
              <w:t>年均值、PM</w:t>
            </w:r>
            <w:r>
              <w:rPr>
                <w:rFonts w:hint="default" w:ascii="Times New Roman" w:hAnsi="Times New Roman" w:eastAsia="宋体" w:cs="Times New Roman"/>
                <w:color w:val="000000" w:themeColor="text1"/>
                <w:sz w:val="24"/>
                <w:szCs w:val="24"/>
                <w:vertAlign w:val="subscript"/>
                <w14:textFill>
                  <w14:solidFill>
                    <w14:schemeClr w14:val="tx1"/>
                  </w14:solidFill>
                </w14:textFill>
              </w:rPr>
              <w:t>2.5</w:t>
            </w:r>
            <w:r>
              <w:rPr>
                <w:rFonts w:hint="default" w:ascii="Times New Roman" w:hAnsi="Times New Roman" w:eastAsia="宋体" w:cs="Times New Roman"/>
                <w:color w:val="000000" w:themeColor="text1"/>
                <w:sz w:val="24"/>
                <w:szCs w:val="24"/>
                <w14:textFill>
                  <w14:solidFill>
                    <w14:schemeClr w14:val="tx1"/>
                  </w14:solidFill>
                </w14:textFill>
              </w:rPr>
              <w:t>、PM</w:t>
            </w:r>
            <w:r>
              <w:rPr>
                <w:rFonts w:hint="default" w:ascii="Times New Roman" w:hAnsi="Times New Roman" w:eastAsia="宋体" w:cs="Times New Roman"/>
                <w:color w:val="000000" w:themeColor="text1"/>
                <w:sz w:val="24"/>
                <w:szCs w:val="24"/>
                <w:vertAlign w:val="subscript"/>
                <w14:textFill>
                  <w14:solidFill>
                    <w14:schemeClr w14:val="tx1"/>
                  </w14:solidFill>
                </w14:textFill>
              </w:rPr>
              <w:t>10</w:t>
            </w:r>
            <w:r>
              <w:rPr>
                <w:rFonts w:hint="default" w:ascii="Times New Roman" w:hAnsi="Times New Roman" w:eastAsia="宋体" w:cs="Times New Roman"/>
                <w:color w:val="000000" w:themeColor="text1"/>
                <w:sz w:val="24"/>
                <w:szCs w:val="24"/>
                <w14:textFill>
                  <w14:solidFill>
                    <w14:schemeClr w14:val="tx1"/>
                  </w14:solidFill>
                </w14:textFill>
              </w:rPr>
              <w:t>年均值达标，故该区域为达标区。本项目位于宝鸡市</w:t>
            </w:r>
            <w:r>
              <w:rPr>
                <w:rFonts w:hint="default" w:ascii="Times New Roman" w:hAnsi="Times New Roman" w:cs="Times New Roman"/>
                <w:color w:val="000000" w:themeColor="text1"/>
                <w:sz w:val="24"/>
                <w:szCs w:val="24"/>
                <w:lang w:val="en-US" w:eastAsia="zh-CN"/>
                <w14:textFill>
                  <w14:solidFill>
                    <w14:schemeClr w14:val="tx1"/>
                  </w14:solidFill>
                </w14:textFill>
              </w:rPr>
              <w:t>凤翔高新区科创生态新城</w:t>
            </w:r>
            <w:r>
              <w:rPr>
                <w:rFonts w:hint="default" w:ascii="Times New Roman" w:hAnsi="Times New Roman" w:eastAsia="宋体" w:cs="Times New Roman"/>
                <w:color w:val="000000" w:themeColor="text1"/>
                <w:sz w:val="24"/>
                <w:szCs w:val="24"/>
                <w14:textFill>
                  <w14:solidFill>
                    <w14:schemeClr w14:val="tx1"/>
                  </w14:solidFill>
                </w14:textFill>
              </w:rPr>
              <w:t>，因此，项目所在评价区域为达标区。</w:t>
            </w:r>
          </w:p>
          <w:p w14:paraId="7470E7F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000000" w:themeColor="text1"/>
                <w:kern w:val="0"/>
                <w:sz w:val="24"/>
                <w:szCs w:val="24"/>
                <w:vertAlign w:val="baseli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0"/>
                <w:sz w:val="24"/>
                <w:szCs w:val="24"/>
                <w:vertAlign w:val="baseline"/>
                <w:lang w:val="en-US" w:eastAsia="zh-CN" w:bidi="ar"/>
                <w14:textFill>
                  <w14:solidFill>
                    <w14:schemeClr w14:val="tx1"/>
                  </w14:solidFill>
                </w14:textFill>
              </w:rPr>
              <w:t>（2）特征污染物</w:t>
            </w:r>
          </w:p>
          <w:p w14:paraId="62D1657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kern w:val="0"/>
                <w:sz w:val="24"/>
                <w:szCs w:val="24"/>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vertAlign w:val="baseline"/>
                <w:lang w:val="en-US" w:eastAsia="zh-CN" w:bidi="ar"/>
                <w14:textFill>
                  <w14:solidFill>
                    <w14:schemeClr w14:val="tx1"/>
                  </w14:solidFill>
                </w14:textFill>
              </w:rPr>
              <w:t>本项目特征污染物为非甲烷总烃</w:t>
            </w:r>
            <w:r>
              <w:rPr>
                <w:rFonts w:hint="default" w:ascii="Times New Roman" w:hAnsi="Times New Roman" w:cs="Times New Roman"/>
                <w:color w:val="000000" w:themeColor="text1"/>
                <w:kern w:val="0"/>
                <w:sz w:val="24"/>
                <w:szCs w:val="24"/>
                <w:vertAlign w:val="baseline"/>
                <w:lang w:val="en-US" w:eastAsia="zh-CN" w:bidi="ar"/>
                <w14:textFill>
                  <w14:solidFill>
                    <w14:schemeClr w14:val="tx1"/>
                  </w14:solidFill>
                </w14:textFill>
              </w:rPr>
              <w:t>、颗粒物</w:t>
            </w:r>
            <w:r>
              <w:rPr>
                <w:rFonts w:hint="default" w:ascii="Times New Roman" w:hAnsi="Times New Roman" w:eastAsia="宋体" w:cs="Times New Roman"/>
                <w:color w:val="000000" w:themeColor="text1"/>
                <w:kern w:val="0"/>
                <w:sz w:val="24"/>
                <w:szCs w:val="24"/>
                <w:vertAlign w:val="baseline"/>
                <w:lang w:val="en-US" w:eastAsia="zh-CN" w:bidi="ar"/>
                <w14:textFill>
                  <w14:solidFill>
                    <w14:schemeClr w14:val="tx1"/>
                  </w14:solidFill>
                </w14:textFill>
              </w:rPr>
              <w:t>，依据《建设项目环境影响报告表编制技术指南（污染影响类）（试行）》</w:t>
            </w:r>
            <w:r>
              <w:rPr>
                <w:rFonts w:hint="default" w:ascii="Times New Roman" w:hAnsi="Times New Roman" w:cs="Times New Roman"/>
                <w:color w:val="000000" w:themeColor="text1"/>
                <w:kern w:val="0"/>
                <w:sz w:val="24"/>
                <w:szCs w:val="24"/>
                <w:vertAlign w:val="baseli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4"/>
                <w:szCs w:val="24"/>
                <w:vertAlign w:val="baseline"/>
                <w:lang w:val="en-US" w:eastAsia="zh-CN" w:bidi="ar"/>
                <w14:textFill>
                  <w14:solidFill>
                    <w14:schemeClr w14:val="tx1"/>
                  </w14:solidFill>
                </w14:textFill>
              </w:rPr>
              <w:t>排放国家、地方环境空气质量标准中有标准限值要求的特征污染物时，引用建设项目周边5千米范围内近3年的现有监测数据，无相关数据的</w:t>
            </w:r>
            <w:r>
              <w:rPr>
                <w:rFonts w:hint="default" w:ascii="Times New Roman" w:hAnsi="Times New Roman" w:cs="Times New Roman"/>
                <w:color w:val="000000" w:themeColor="text1"/>
                <w:kern w:val="0"/>
                <w:sz w:val="24"/>
                <w:szCs w:val="24"/>
                <w:vertAlign w:val="baseline"/>
                <w:lang w:val="en-US" w:eastAsia="zh-CN" w:bidi="ar"/>
                <w14:textFill>
                  <w14:solidFill>
                    <w14:schemeClr w14:val="tx1"/>
                  </w14:solidFill>
                </w14:textFill>
              </w:rPr>
              <w:t>，选择</w:t>
            </w:r>
            <w:r>
              <w:rPr>
                <w:rFonts w:hint="default" w:ascii="Times New Roman" w:hAnsi="Times New Roman" w:eastAsia="宋体" w:cs="Times New Roman"/>
                <w:color w:val="000000" w:themeColor="text1"/>
                <w:kern w:val="0"/>
                <w:sz w:val="24"/>
                <w:szCs w:val="24"/>
                <w:vertAlign w:val="baseline"/>
                <w:lang w:val="en-US" w:eastAsia="zh-CN" w:bidi="ar"/>
                <w14:textFill>
                  <w14:solidFill>
                    <w14:schemeClr w14:val="tx1"/>
                  </w14:solidFill>
                </w14:textFill>
              </w:rPr>
              <w:t>当季主导风向下风向1个点位补充不少于3天的监测数据</w:t>
            </w:r>
            <w:r>
              <w:rPr>
                <w:rFonts w:hint="default" w:ascii="Times New Roman" w:hAnsi="Times New Roman" w:cs="Times New Roman"/>
                <w:color w:val="000000" w:themeColor="text1"/>
                <w:kern w:val="0"/>
                <w:sz w:val="24"/>
                <w:szCs w:val="24"/>
                <w:vertAlign w:val="baseli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4"/>
                <w:szCs w:val="24"/>
                <w:vertAlign w:val="baseline"/>
                <w:lang w:val="en-US" w:eastAsia="zh-CN" w:bidi="ar"/>
                <w14:textFill>
                  <w14:solidFill>
                    <w14:schemeClr w14:val="tx1"/>
                  </w14:solidFill>
                </w14:textFill>
              </w:rPr>
              <w:t>，目前国家、地方环境空气质量标准中无非甲烷总烃标准限值要求，因此</w:t>
            </w:r>
            <w:r>
              <w:rPr>
                <w:rFonts w:hint="default" w:ascii="Times New Roman" w:hAnsi="Times New Roman" w:cs="Times New Roman"/>
                <w:color w:val="000000" w:themeColor="text1"/>
                <w:kern w:val="0"/>
                <w:sz w:val="24"/>
                <w:szCs w:val="24"/>
                <w:vertAlign w:val="baseline"/>
                <w:lang w:val="en-US" w:eastAsia="zh-CN" w:bidi="ar"/>
                <w14:textFill>
                  <w14:solidFill>
                    <w14:schemeClr w14:val="tx1"/>
                  </w14:solidFill>
                </w14:textFill>
              </w:rPr>
              <w:t>不开展非甲烷总烃</w:t>
            </w:r>
            <w:r>
              <w:rPr>
                <w:rFonts w:hint="default" w:ascii="Times New Roman" w:hAnsi="Times New Roman" w:eastAsia="宋体" w:cs="Times New Roman"/>
                <w:color w:val="000000" w:themeColor="text1"/>
                <w:kern w:val="0"/>
                <w:sz w:val="24"/>
                <w:szCs w:val="24"/>
                <w:vertAlign w:val="baseline"/>
                <w:lang w:val="en-US" w:eastAsia="zh-CN" w:bidi="ar"/>
                <w14:textFill>
                  <w14:solidFill>
                    <w14:schemeClr w14:val="tx1"/>
                  </w14:solidFill>
                </w14:textFill>
              </w:rPr>
              <w:t>现状调查。</w:t>
            </w:r>
          </w:p>
          <w:p w14:paraId="4448C02D">
            <w:pPr>
              <w:keepNext w:val="0"/>
              <w:keepLines w:val="0"/>
              <w:pageBreakBefore w:val="0"/>
              <w:widowControl w:val="0"/>
              <w:tabs>
                <w:tab w:val="left" w:pos="4847"/>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本项目总悬浮颗粒物（TSP）现状引用《</w:t>
            </w:r>
            <w:r>
              <w:rPr>
                <w:rFonts w:hint="default" w:ascii="Times New Roman" w:hAnsi="Times New Roman" w:cs="Times New Roman"/>
                <w:color w:val="000000" w:themeColor="text1"/>
                <w:sz w:val="24"/>
                <w:lang w:eastAsia="zh-CN"/>
                <w14:textFill>
                  <w14:solidFill>
                    <w14:schemeClr w14:val="tx1"/>
                  </w14:solidFill>
                </w14:textFill>
              </w:rPr>
              <w:t>宝鸡市凤翔区城关镇豆腐村股份经济合作</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社豆腐村豆制品生产建设项目》的环境质量现状监测数据</w:t>
            </w:r>
            <w:r>
              <w:rPr>
                <w:rFonts w:hint="default" w:ascii="Times New Roman" w:hAnsi="Times New Roman" w:cs="Times New Roman"/>
                <w:color w:val="000000" w:themeColor="text1"/>
                <w:kern w:val="2"/>
                <w:sz w:val="24"/>
                <w:szCs w:val="24"/>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监测3天，监测点位于陕西省凤翔区豆腐村，位于本项目东南侧，距本项目约</w:t>
            </w:r>
            <w:r>
              <w:rPr>
                <w:rFonts w:hint="default" w:ascii="Times New Roman" w:hAnsi="Times New Roman" w:cs="Times New Roman"/>
                <w:color w:val="000000" w:themeColor="text1"/>
                <w:kern w:val="2"/>
                <w:sz w:val="24"/>
                <w:szCs w:val="24"/>
                <w:lang w:val="en-US" w:eastAsia="zh-CN" w:bidi="ar-SA"/>
                <w14:textFill>
                  <w14:solidFill>
                    <w14:schemeClr w14:val="tx1"/>
                  </w14:solidFill>
                </w14:textFill>
              </w:rPr>
              <w:t>4366</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m，数据采样日期为2024年9月18日、20日、22日，符合引用要求。引用监测点位与项目位置关系</w:t>
            </w:r>
            <w:r>
              <w:rPr>
                <w:rFonts w:hint="default" w:ascii="Times New Roman" w:hAnsi="Times New Roman" w:cs="Times New Roman"/>
                <w:color w:val="000000" w:themeColor="text1"/>
                <w:kern w:val="2"/>
                <w:sz w:val="24"/>
                <w:szCs w:val="24"/>
                <w:lang w:val="en-US" w:eastAsia="zh-CN" w:bidi="ar-SA"/>
                <w14:textFill>
                  <w14:solidFill>
                    <w14:schemeClr w14:val="tx1"/>
                  </w14:solidFill>
                </w14:textFill>
              </w:rPr>
              <w:t>如</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图3-1所示。</w:t>
            </w:r>
          </w:p>
          <w:p w14:paraId="7D686AF5">
            <w:pPr>
              <w:pStyle w:val="182"/>
              <w:spacing w:before="26" w:line="223" w:lineRule="auto"/>
              <w:ind w:left="2228"/>
              <w:rPr>
                <w:rFonts w:hint="default" w:ascii="Times New Roman" w:hAnsi="Times New Roman" w:eastAsia="宋体" w:cs="Times New Roman"/>
                <w:b/>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color w:val="000000" w:themeColor="text1"/>
                <w:kern w:val="2"/>
                <w:sz w:val="21"/>
                <w:szCs w:val="21"/>
                <w:lang w:val="en-US" w:eastAsia="zh-CN" w:bidi="ar-SA"/>
                <w14:textFill>
                  <w14:solidFill>
                    <w14:schemeClr w14:val="tx1"/>
                  </w14:solidFill>
                </w14:textFill>
              </w:rPr>
              <w:t>表 3-2  特征污染物TSP监测结果一览表</w:t>
            </w:r>
          </w:p>
          <w:tbl>
            <w:tblPr>
              <w:tblStyle w:val="181"/>
              <w:tblW w:w="4998"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1763"/>
              <w:gridCol w:w="972"/>
              <w:gridCol w:w="1753"/>
              <w:gridCol w:w="1330"/>
              <w:gridCol w:w="935"/>
              <w:gridCol w:w="970"/>
              <w:gridCol w:w="665"/>
            </w:tblGrid>
            <w:tr w14:paraId="0D055C8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1050" w:type="pct"/>
                  <w:tcBorders>
                    <w:tl2br w:val="nil"/>
                    <w:tr2bl w:val="nil"/>
                  </w:tcBorders>
                  <w:noWrap w:val="0"/>
                  <w:vAlign w:val="center"/>
                </w:tcPr>
                <w:p w14:paraId="66E00AF4">
                  <w:pPr>
                    <w:pStyle w:val="18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pacing w:val="7"/>
                      <w:sz w:val="21"/>
                      <w:szCs w:val="21"/>
                      <w14:textFill>
                        <w14:solidFill>
                          <w14:schemeClr w14:val="tx1"/>
                        </w14:solidFill>
                      </w14:textFill>
                    </w:rPr>
                    <w:t>监测点位</w:t>
                  </w:r>
                </w:p>
              </w:tc>
              <w:tc>
                <w:tcPr>
                  <w:tcW w:w="579" w:type="pct"/>
                  <w:tcBorders>
                    <w:tl2br w:val="nil"/>
                    <w:tr2bl w:val="nil"/>
                  </w:tcBorders>
                  <w:noWrap w:val="0"/>
                  <w:vAlign w:val="center"/>
                </w:tcPr>
                <w:p w14:paraId="69EF4059">
                  <w:pPr>
                    <w:pStyle w:val="18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pacing w:val="6"/>
                      <w:sz w:val="21"/>
                      <w:szCs w:val="21"/>
                      <w14:textFill>
                        <w14:solidFill>
                          <w14:schemeClr w14:val="tx1"/>
                        </w14:solidFill>
                      </w14:textFill>
                    </w:rPr>
                    <w:t>监测因</w:t>
                  </w:r>
                  <w:r>
                    <w:rPr>
                      <w:rFonts w:hint="default" w:ascii="Times New Roman" w:hAnsi="Times New Roman" w:cs="Times New Roman"/>
                      <w:color w:val="000000" w:themeColor="text1"/>
                      <w:sz w:val="21"/>
                      <w:szCs w:val="21"/>
                      <w14:textFill>
                        <w14:solidFill>
                          <w14:schemeClr w14:val="tx1"/>
                        </w14:solidFill>
                      </w14:textFill>
                    </w:rPr>
                    <w:t>子</w:t>
                  </w:r>
                </w:p>
              </w:tc>
              <w:tc>
                <w:tcPr>
                  <w:tcW w:w="1044" w:type="pct"/>
                  <w:tcBorders>
                    <w:tl2br w:val="nil"/>
                    <w:tr2bl w:val="nil"/>
                  </w:tcBorders>
                  <w:noWrap w:val="0"/>
                  <w:vAlign w:val="center"/>
                </w:tcPr>
                <w:p w14:paraId="4D91EEC9">
                  <w:pPr>
                    <w:pStyle w:val="18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pacing w:val="8"/>
                      <w:sz w:val="21"/>
                      <w:szCs w:val="21"/>
                      <w14:textFill>
                        <w14:solidFill>
                          <w14:schemeClr w14:val="tx1"/>
                        </w14:solidFill>
                      </w14:textFill>
                    </w:rPr>
                    <w:t>监测结果范围</w:t>
                  </w:r>
                </w:p>
                <w:p w14:paraId="26619565">
                  <w:pPr>
                    <w:pStyle w:val="18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pacing w:val="3"/>
                      <w:sz w:val="21"/>
                      <w:szCs w:val="21"/>
                      <w14:textFill>
                        <w14:solidFill>
                          <w14:schemeClr w14:val="tx1"/>
                        </w14:solidFill>
                      </w14:textFill>
                    </w:rPr>
                    <w:t>（</w:t>
                  </w:r>
                  <w:r>
                    <w:rPr>
                      <w:rFonts w:hint="default" w:ascii="Times New Roman" w:hAnsi="Times New Roman" w:eastAsia="Times New Roman" w:cs="Times New Roman"/>
                      <w:color w:val="000000" w:themeColor="text1"/>
                      <w:sz w:val="21"/>
                      <w:szCs w:val="21"/>
                      <w14:textFill>
                        <w14:solidFill>
                          <w14:schemeClr w14:val="tx1"/>
                        </w14:solidFill>
                      </w14:textFill>
                    </w:rPr>
                    <w:t>mg</w:t>
                  </w:r>
                  <w:r>
                    <w:rPr>
                      <w:rFonts w:hint="default" w:ascii="Times New Roman" w:hAnsi="Times New Roman" w:eastAsia="Times New Roman" w:cs="Times New Roman"/>
                      <w:color w:val="000000" w:themeColor="text1"/>
                      <w:spacing w:val="3"/>
                      <w:sz w:val="21"/>
                      <w:szCs w:val="21"/>
                      <w14:textFill>
                        <w14:solidFill>
                          <w14:schemeClr w14:val="tx1"/>
                        </w14:solidFill>
                      </w14:textFill>
                    </w:rPr>
                    <w:t>/m</w:t>
                  </w:r>
                  <w:r>
                    <w:rPr>
                      <w:rFonts w:hint="default" w:ascii="Times New Roman" w:hAnsi="Times New Roman" w:eastAsia="Times New Roman" w:cs="Times New Roman"/>
                      <w:color w:val="000000" w:themeColor="text1"/>
                      <w:spacing w:val="3"/>
                      <w:position w:val="6"/>
                      <w:sz w:val="21"/>
                      <w:szCs w:val="21"/>
                      <w14:textFill>
                        <w14:solidFill>
                          <w14:schemeClr w14:val="tx1"/>
                        </w14:solidFill>
                      </w14:textFill>
                    </w:rPr>
                    <w:t>3</w:t>
                  </w:r>
                  <w:r>
                    <w:rPr>
                      <w:rFonts w:hint="default" w:ascii="Times New Roman" w:hAnsi="Times New Roman" w:cs="Times New Roman"/>
                      <w:color w:val="000000" w:themeColor="text1"/>
                      <w:spacing w:val="3"/>
                      <w:sz w:val="21"/>
                      <w:szCs w:val="21"/>
                      <w14:textFill>
                        <w14:solidFill>
                          <w14:schemeClr w14:val="tx1"/>
                        </w14:solidFill>
                      </w14:textFill>
                    </w:rPr>
                    <w:t>）</w:t>
                  </w:r>
                </w:p>
              </w:tc>
              <w:tc>
                <w:tcPr>
                  <w:tcW w:w="792" w:type="pct"/>
                  <w:tcBorders>
                    <w:tl2br w:val="nil"/>
                    <w:tr2bl w:val="nil"/>
                  </w:tcBorders>
                  <w:noWrap w:val="0"/>
                  <w:vAlign w:val="center"/>
                </w:tcPr>
                <w:p w14:paraId="4E6559ED">
                  <w:pPr>
                    <w:pStyle w:val="18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pacing w:val="7"/>
                      <w:sz w:val="21"/>
                      <w:szCs w:val="21"/>
                      <w14:textFill>
                        <w14:solidFill>
                          <w14:schemeClr w14:val="tx1"/>
                        </w14:solidFill>
                      </w14:textFill>
                    </w:rPr>
                    <w:t>评价标准</w:t>
                  </w:r>
                  <w:r>
                    <w:rPr>
                      <w:rFonts w:hint="default" w:ascii="Times New Roman" w:hAnsi="Times New Roman" w:cs="Times New Roman"/>
                      <w:color w:val="000000" w:themeColor="text1"/>
                      <w:spacing w:val="1"/>
                      <w:sz w:val="21"/>
                      <w:szCs w:val="21"/>
                      <w14:textFill>
                        <w14:solidFill>
                          <w14:schemeClr w14:val="tx1"/>
                        </w14:solidFill>
                      </w14:textFill>
                    </w:rPr>
                    <w:t xml:space="preserve"> （</w:t>
                  </w:r>
                  <w:r>
                    <w:rPr>
                      <w:rFonts w:hint="default" w:ascii="Times New Roman" w:hAnsi="Times New Roman" w:eastAsia="Times New Roman" w:cs="Times New Roman"/>
                      <w:color w:val="000000" w:themeColor="text1"/>
                      <w:sz w:val="21"/>
                      <w:szCs w:val="21"/>
                      <w14:textFill>
                        <w14:solidFill>
                          <w14:schemeClr w14:val="tx1"/>
                        </w14:solidFill>
                      </w14:textFill>
                    </w:rPr>
                    <w:t>mg</w:t>
                  </w:r>
                  <w:r>
                    <w:rPr>
                      <w:rFonts w:hint="default" w:ascii="Times New Roman" w:hAnsi="Times New Roman" w:eastAsia="Times New Roman" w:cs="Times New Roman"/>
                      <w:color w:val="000000" w:themeColor="text1"/>
                      <w:spacing w:val="1"/>
                      <w:sz w:val="21"/>
                      <w:szCs w:val="21"/>
                      <w14:textFill>
                        <w14:solidFill>
                          <w14:schemeClr w14:val="tx1"/>
                        </w14:solidFill>
                      </w14:textFill>
                    </w:rPr>
                    <w:t>/m</w:t>
                  </w:r>
                  <w:r>
                    <w:rPr>
                      <w:rFonts w:hint="default" w:ascii="Times New Roman" w:hAnsi="Times New Roman" w:eastAsia="Times New Roman" w:cs="Times New Roman"/>
                      <w:color w:val="000000" w:themeColor="text1"/>
                      <w:spacing w:val="1"/>
                      <w:position w:val="6"/>
                      <w:sz w:val="21"/>
                      <w:szCs w:val="21"/>
                      <w14:textFill>
                        <w14:solidFill>
                          <w14:schemeClr w14:val="tx1"/>
                        </w14:solidFill>
                      </w14:textFill>
                    </w:rPr>
                    <w:t>3</w:t>
                  </w:r>
                  <w:r>
                    <w:rPr>
                      <w:rFonts w:hint="default" w:ascii="Times New Roman" w:hAnsi="Times New Roman" w:cs="Times New Roman"/>
                      <w:color w:val="000000" w:themeColor="text1"/>
                      <w:spacing w:val="1"/>
                      <w:sz w:val="21"/>
                      <w:szCs w:val="21"/>
                      <w14:textFill>
                        <w14:solidFill>
                          <w14:schemeClr w14:val="tx1"/>
                        </w14:solidFill>
                      </w14:textFill>
                    </w:rPr>
                    <w:t>）</w:t>
                  </w:r>
                </w:p>
              </w:tc>
              <w:tc>
                <w:tcPr>
                  <w:tcW w:w="557" w:type="pct"/>
                  <w:tcBorders>
                    <w:tl2br w:val="nil"/>
                    <w:tr2bl w:val="nil"/>
                  </w:tcBorders>
                  <w:noWrap w:val="0"/>
                  <w:vAlign w:val="center"/>
                </w:tcPr>
                <w:p w14:paraId="5C92C933">
                  <w:pPr>
                    <w:pStyle w:val="18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pacing w:val="-6"/>
                      <w:sz w:val="21"/>
                      <w:szCs w:val="21"/>
                      <w14:textFill>
                        <w14:solidFill>
                          <w14:schemeClr w14:val="tx1"/>
                        </w14:solidFill>
                      </w14:textFill>
                    </w:rPr>
                    <w:t>占标率</w:t>
                  </w:r>
                  <w:r>
                    <w:rPr>
                      <w:rFonts w:hint="default" w:ascii="Times New Roman" w:hAnsi="Times New Roman" w:cs="Times New Roman"/>
                      <w:color w:val="000000" w:themeColor="text1"/>
                      <w:spacing w:val="1"/>
                      <w:sz w:val="21"/>
                      <w:szCs w:val="21"/>
                      <w14:textFill>
                        <w14:solidFill>
                          <w14:schemeClr w14:val="tx1"/>
                        </w14:solidFill>
                      </w14:textFill>
                    </w:rPr>
                    <w:t xml:space="preserve"> </w:t>
                  </w:r>
                  <w:r>
                    <w:rPr>
                      <w:rFonts w:hint="default" w:ascii="Times New Roman" w:hAnsi="Times New Roman" w:cs="Times New Roman"/>
                      <w:color w:val="000000" w:themeColor="text1"/>
                      <w:sz w:val="21"/>
                      <w:szCs w:val="21"/>
                      <w14:textFill>
                        <w14:solidFill>
                          <w14:schemeClr w14:val="tx1"/>
                        </w14:solidFill>
                      </w14:textFill>
                    </w:rPr>
                    <w:t>（</w:t>
                  </w:r>
                  <w:r>
                    <w:rPr>
                      <w:rFonts w:hint="default" w:ascii="Times New Roman" w:hAnsi="Times New Roman" w:eastAsia="Times New Roman" w:cs="Times New Roman"/>
                      <w:color w:val="000000" w:themeColor="text1"/>
                      <w:sz w:val="21"/>
                      <w:szCs w:val="21"/>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w:t>
                  </w:r>
                </w:p>
              </w:tc>
              <w:tc>
                <w:tcPr>
                  <w:tcW w:w="578" w:type="pct"/>
                  <w:tcBorders>
                    <w:tl2br w:val="nil"/>
                    <w:tr2bl w:val="nil"/>
                  </w:tcBorders>
                  <w:noWrap w:val="0"/>
                  <w:vAlign w:val="center"/>
                </w:tcPr>
                <w:p w14:paraId="1AF5A73F">
                  <w:pPr>
                    <w:pStyle w:val="18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pacing w:val="7"/>
                      <w:sz w:val="21"/>
                      <w:szCs w:val="21"/>
                      <w14:textFill>
                        <w14:solidFill>
                          <w14:schemeClr w14:val="tx1"/>
                        </w14:solidFill>
                      </w14:textFill>
                    </w:rPr>
                    <w:t>超标率</w:t>
                  </w:r>
                  <w:r>
                    <w:rPr>
                      <w:rFonts w:hint="default" w:ascii="Times New Roman" w:hAnsi="Times New Roman" w:cs="Times New Roman"/>
                      <w:color w:val="000000" w:themeColor="text1"/>
                      <w:sz w:val="21"/>
                      <w:szCs w:val="21"/>
                      <w14:textFill>
                        <w14:solidFill>
                          <w14:schemeClr w14:val="tx1"/>
                        </w14:solidFill>
                      </w14:textFill>
                    </w:rPr>
                    <w:t xml:space="preserve"> </w:t>
                  </w:r>
                  <w:r>
                    <w:rPr>
                      <w:rFonts w:hint="default" w:ascii="Times New Roman" w:hAnsi="Times New Roman" w:cs="Times New Roman"/>
                      <w:color w:val="000000" w:themeColor="text1"/>
                      <w:spacing w:val="-1"/>
                      <w:sz w:val="21"/>
                      <w:szCs w:val="21"/>
                      <w14:textFill>
                        <w14:solidFill>
                          <w14:schemeClr w14:val="tx1"/>
                        </w14:solidFill>
                      </w14:textFill>
                    </w:rPr>
                    <w:t>（</w:t>
                  </w:r>
                  <w:r>
                    <w:rPr>
                      <w:rFonts w:hint="default" w:ascii="Times New Roman" w:hAnsi="Times New Roman" w:eastAsia="Times New Roman" w:cs="Times New Roman"/>
                      <w:color w:val="000000" w:themeColor="text1"/>
                      <w:spacing w:val="-1"/>
                      <w:sz w:val="21"/>
                      <w:szCs w:val="21"/>
                      <w14:textFill>
                        <w14:solidFill>
                          <w14:schemeClr w14:val="tx1"/>
                        </w14:solidFill>
                      </w14:textFill>
                    </w:rPr>
                    <w:t>%</w:t>
                  </w:r>
                  <w:r>
                    <w:rPr>
                      <w:rFonts w:hint="default" w:ascii="Times New Roman" w:hAnsi="Times New Roman" w:cs="Times New Roman"/>
                      <w:color w:val="000000" w:themeColor="text1"/>
                      <w:spacing w:val="-1"/>
                      <w:sz w:val="21"/>
                      <w:szCs w:val="21"/>
                      <w14:textFill>
                        <w14:solidFill>
                          <w14:schemeClr w14:val="tx1"/>
                        </w14:solidFill>
                      </w14:textFill>
                    </w:rPr>
                    <w:t>）</w:t>
                  </w:r>
                </w:p>
              </w:tc>
              <w:tc>
                <w:tcPr>
                  <w:tcW w:w="396" w:type="pct"/>
                  <w:tcBorders>
                    <w:tl2br w:val="nil"/>
                    <w:tr2bl w:val="nil"/>
                  </w:tcBorders>
                  <w:noWrap w:val="0"/>
                  <w:vAlign w:val="center"/>
                </w:tcPr>
                <w:p w14:paraId="1ABD2BD6">
                  <w:pPr>
                    <w:pStyle w:val="18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pacing w:val="5"/>
                      <w:sz w:val="21"/>
                      <w:szCs w:val="21"/>
                      <w14:textFill>
                        <w14:solidFill>
                          <w14:schemeClr w14:val="tx1"/>
                        </w14:solidFill>
                      </w14:textFill>
                    </w:rPr>
                    <w:t>达标</w:t>
                  </w:r>
                  <w:r>
                    <w:rPr>
                      <w:rFonts w:hint="default" w:ascii="Times New Roman" w:hAnsi="Times New Roman" w:cs="Times New Roman"/>
                      <w:color w:val="000000" w:themeColor="text1"/>
                      <w:sz w:val="21"/>
                      <w:szCs w:val="21"/>
                      <w14:textFill>
                        <w14:solidFill>
                          <w14:schemeClr w14:val="tx1"/>
                        </w14:solidFill>
                      </w14:textFill>
                    </w:rPr>
                    <w:t xml:space="preserve"> </w:t>
                  </w:r>
                  <w:r>
                    <w:rPr>
                      <w:rFonts w:hint="default" w:ascii="Times New Roman" w:hAnsi="Times New Roman" w:cs="Times New Roman"/>
                      <w:color w:val="000000" w:themeColor="text1"/>
                      <w:spacing w:val="4"/>
                      <w:sz w:val="21"/>
                      <w:szCs w:val="21"/>
                      <w14:textFill>
                        <w14:solidFill>
                          <w14:schemeClr w14:val="tx1"/>
                        </w14:solidFill>
                      </w14:textFill>
                    </w:rPr>
                    <w:t>情况</w:t>
                  </w:r>
                </w:p>
              </w:tc>
            </w:tr>
            <w:tr w14:paraId="060F0B2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81" w:hRule="atLeast"/>
                <w:jc w:val="center"/>
              </w:trPr>
              <w:tc>
                <w:tcPr>
                  <w:tcW w:w="1050" w:type="pct"/>
                  <w:tcBorders>
                    <w:tl2br w:val="nil"/>
                    <w:tr2bl w:val="nil"/>
                  </w:tcBorders>
                  <w:noWrap w:val="0"/>
                  <w:vAlign w:val="center"/>
                </w:tcPr>
                <w:p w14:paraId="32720EAF">
                  <w:pPr>
                    <w:pStyle w:val="18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pacing w:val="7"/>
                      <w:sz w:val="21"/>
                      <w:szCs w:val="21"/>
                      <w14:textFill>
                        <w14:solidFill>
                          <w14:schemeClr w14:val="tx1"/>
                        </w14:solidFill>
                      </w14:textFill>
                    </w:rPr>
                    <w:t>距本项目</w:t>
                  </w:r>
                  <w:r>
                    <w:rPr>
                      <w:rFonts w:hint="default" w:ascii="Times New Roman" w:hAnsi="Times New Roman" w:cs="Times New Roman"/>
                      <w:color w:val="000000" w:themeColor="text1"/>
                      <w:spacing w:val="7"/>
                      <w:sz w:val="21"/>
                      <w:szCs w:val="21"/>
                      <w:lang w:val="en-US" w:eastAsia="zh-CN"/>
                      <w14:textFill>
                        <w14:solidFill>
                          <w14:schemeClr w14:val="tx1"/>
                        </w14:solidFill>
                      </w14:textFill>
                    </w:rPr>
                    <w:t>3697米</w:t>
                  </w:r>
                </w:p>
              </w:tc>
              <w:tc>
                <w:tcPr>
                  <w:tcW w:w="579" w:type="pct"/>
                  <w:tcBorders>
                    <w:tl2br w:val="nil"/>
                    <w:tr2bl w:val="nil"/>
                  </w:tcBorders>
                  <w:noWrap w:val="0"/>
                  <w:vAlign w:val="center"/>
                </w:tcPr>
                <w:p w14:paraId="423111BD">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Times New Roman" w:cs="Times New Roman"/>
                      <w:color w:val="000000" w:themeColor="text1"/>
                      <w:sz w:val="21"/>
                      <w:szCs w:val="21"/>
                      <w14:textFill>
                        <w14:solidFill>
                          <w14:schemeClr w14:val="tx1"/>
                        </w14:solidFill>
                      </w14:textFill>
                    </w:rPr>
                  </w:pPr>
                  <w:r>
                    <w:rPr>
                      <w:rFonts w:hint="default" w:ascii="Times New Roman" w:hAnsi="Times New Roman" w:eastAsia="Times New Roman" w:cs="Times New Roman"/>
                      <w:color w:val="000000" w:themeColor="text1"/>
                      <w:spacing w:val="3"/>
                      <w:sz w:val="21"/>
                      <w:szCs w:val="21"/>
                      <w14:textFill>
                        <w14:solidFill>
                          <w14:schemeClr w14:val="tx1"/>
                        </w14:solidFill>
                      </w14:textFill>
                    </w:rPr>
                    <w:t>TSP</w:t>
                  </w:r>
                </w:p>
              </w:tc>
              <w:tc>
                <w:tcPr>
                  <w:tcW w:w="1752" w:type="dxa"/>
                  <w:tcBorders>
                    <w:tl2br w:val="nil"/>
                    <w:tr2bl w:val="nil"/>
                  </w:tcBorders>
                  <w:noWrap w:val="0"/>
                  <w:vAlign w:val="center"/>
                </w:tcPr>
                <w:p w14:paraId="2E8AB9C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3"/>
                      <w:sz w:val="21"/>
                      <w:szCs w:val="21"/>
                      <w:lang w:val="en-US" w:eastAsia="zh-CN"/>
                      <w14:textFill>
                        <w14:solidFill>
                          <w14:schemeClr w14:val="tx1"/>
                        </w14:solidFill>
                      </w14:textFill>
                    </w:rPr>
                    <w:t>0.085</w:t>
                  </w:r>
                  <w:r>
                    <w:rPr>
                      <w:rFonts w:hint="default" w:ascii="Times New Roman" w:hAnsi="Times New Roman" w:eastAsia="Times New Roman" w:cs="Times New Roman"/>
                      <w:color w:val="000000" w:themeColor="text1"/>
                      <w:spacing w:val="3"/>
                      <w:sz w:val="21"/>
                      <w:szCs w:val="21"/>
                      <w14:textFill>
                        <w14:solidFill>
                          <w14:schemeClr w14:val="tx1"/>
                        </w14:solidFill>
                      </w14:textFill>
                    </w:rPr>
                    <w:t>-0.</w:t>
                  </w:r>
                  <w:r>
                    <w:rPr>
                      <w:rFonts w:hint="default" w:ascii="Times New Roman" w:hAnsi="Times New Roman" w:eastAsia="宋体" w:cs="Times New Roman"/>
                      <w:color w:val="000000" w:themeColor="text1"/>
                      <w:spacing w:val="3"/>
                      <w:sz w:val="21"/>
                      <w:szCs w:val="21"/>
                      <w:lang w:val="en-US" w:eastAsia="zh-CN"/>
                      <w14:textFill>
                        <w14:solidFill>
                          <w14:schemeClr w14:val="tx1"/>
                        </w14:solidFill>
                      </w14:textFill>
                    </w:rPr>
                    <w:t>09</w:t>
                  </w:r>
                </w:p>
              </w:tc>
              <w:tc>
                <w:tcPr>
                  <w:tcW w:w="1329" w:type="dxa"/>
                  <w:tcBorders>
                    <w:tl2br w:val="nil"/>
                    <w:tr2bl w:val="nil"/>
                  </w:tcBorders>
                  <w:noWrap w:val="0"/>
                  <w:vAlign w:val="center"/>
                </w:tcPr>
                <w:p w14:paraId="2A18206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Times New Roman" w:cs="Times New Roman"/>
                      <w:color w:val="000000" w:themeColor="text1"/>
                      <w:sz w:val="21"/>
                      <w:szCs w:val="21"/>
                      <w14:textFill>
                        <w14:solidFill>
                          <w14:schemeClr w14:val="tx1"/>
                        </w14:solidFill>
                      </w14:textFill>
                    </w:rPr>
                  </w:pPr>
                  <w:r>
                    <w:rPr>
                      <w:rFonts w:hint="default" w:ascii="Times New Roman" w:hAnsi="Times New Roman" w:eastAsia="Times New Roman" w:cs="Times New Roman"/>
                      <w:color w:val="000000" w:themeColor="text1"/>
                      <w:spacing w:val="1"/>
                      <w:sz w:val="21"/>
                      <w:szCs w:val="21"/>
                      <w14:textFill>
                        <w14:solidFill>
                          <w14:schemeClr w14:val="tx1"/>
                        </w14:solidFill>
                      </w14:textFill>
                    </w:rPr>
                    <w:t>0.3</w:t>
                  </w:r>
                </w:p>
              </w:tc>
              <w:tc>
                <w:tcPr>
                  <w:tcW w:w="935" w:type="dxa"/>
                  <w:tcBorders>
                    <w:tl2br w:val="nil"/>
                    <w:tr2bl w:val="nil"/>
                  </w:tcBorders>
                  <w:noWrap w:val="0"/>
                  <w:vAlign w:val="center"/>
                </w:tcPr>
                <w:p w14:paraId="2C559F2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2"/>
                      <w:sz w:val="21"/>
                      <w:szCs w:val="21"/>
                      <w:lang w:val="en-US" w:eastAsia="zh-CN"/>
                      <w14:textFill>
                        <w14:solidFill>
                          <w14:schemeClr w14:val="tx1"/>
                        </w14:solidFill>
                      </w14:textFill>
                    </w:rPr>
                    <w:t>30</w:t>
                  </w:r>
                </w:p>
              </w:tc>
              <w:tc>
                <w:tcPr>
                  <w:tcW w:w="970" w:type="dxa"/>
                  <w:tcBorders>
                    <w:tl2br w:val="nil"/>
                    <w:tr2bl w:val="nil"/>
                  </w:tcBorders>
                  <w:noWrap w:val="0"/>
                  <w:vAlign w:val="center"/>
                </w:tcPr>
                <w:p w14:paraId="35712EE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Times New Roman" w:cs="Times New Roman"/>
                      <w:color w:val="000000" w:themeColor="text1"/>
                      <w:sz w:val="21"/>
                      <w:szCs w:val="21"/>
                      <w14:textFill>
                        <w14:solidFill>
                          <w14:schemeClr w14:val="tx1"/>
                        </w14:solidFill>
                      </w14:textFill>
                    </w:rPr>
                  </w:pPr>
                  <w:r>
                    <w:rPr>
                      <w:rFonts w:hint="default" w:ascii="Times New Roman" w:hAnsi="Times New Roman" w:eastAsia="Times New Roman" w:cs="Times New Roman"/>
                      <w:color w:val="000000" w:themeColor="text1"/>
                      <w:sz w:val="21"/>
                      <w:szCs w:val="21"/>
                      <w14:textFill>
                        <w14:solidFill>
                          <w14:schemeClr w14:val="tx1"/>
                        </w14:solidFill>
                      </w14:textFill>
                    </w:rPr>
                    <w:t>0</w:t>
                  </w:r>
                </w:p>
              </w:tc>
              <w:tc>
                <w:tcPr>
                  <w:tcW w:w="665" w:type="dxa"/>
                  <w:tcBorders>
                    <w:tl2br w:val="nil"/>
                    <w:tr2bl w:val="nil"/>
                  </w:tcBorders>
                  <w:noWrap w:val="0"/>
                  <w:vAlign w:val="center"/>
                </w:tcPr>
                <w:p w14:paraId="38C03EB6">
                  <w:pPr>
                    <w:pStyle w:val="182"/>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pacing w:val="5"/>
                      <w:sz w:val="21"/>
                      <w:szCs w:val="21"/>
                      <w14:textFill>
                        <w14:solidFill>
                          <w14:schemeClr w14:val="tx1"/>
                        </w14:solidFill>
                      </w14:textFill>
                    </w:rPr>
                    <w:t>达标</w:t>
                  </w:r>
                </w:p>
              </w:tc>
            </w:tr>
          </w:tbl>
          <w:p w14:paraId="0A0E412A">
            <w:pPr>
              <w:pStyle w:val="182"/>
              <w:spacing w:before="30" w:line="355" w:lineRule="auto"/>
              <w:ind w:left="106" w:right="40" w:firstLine="480"/>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由监测统计结果可以看出，评价区域环境空气中TSP浓度范围为0.085mg/m³-0.09mg/m³，满足《环境空气质量标准》（GB</w:t>
            </w:r>
            <w:r>
              <w:rPr>
                <w:rFonts w:hint="default" w:ascii="Times New Roman" w:hAnsi="Times New Roman" w:cs="Times New Roman"/>
                <w:color w:val="000000" w:themeColor="text1"/>
                <w:kern w:val="2"/>
                <w:sz w:val="24"/>
                <w:szCs w:val="24"/>
                <w:lang w:val="en-US" w:eastAsia="zh-CN" w:bidi="ar-SA"/>
                <w14:textFill>
                  <w14:solidFill>
                    <w14:schemeClr w14:val="tx1"/>
                  </w14:solidFill>
                </w14:textFill>
              </w:rPr>
              <w:t xml:space="preserve"> </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3095-2026）中二级标准限值。</w:t>
            </w:r>
          </w:p>
          <w:p w14:paraId="4209149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drawing>
                <wp:anchor distT="0" distB="0" distL="114300" distR="114300" simplePos="0" relativeHeight="251661312" behindDoc="0" locked="0" layoutInCell="1" allowOverlap="1">
                  <wp:simplePos x="0" y="0"/>
                  <wp:positionH relativeFrom="column">
                    <wp:posOffset>4916170</wp:posOffset>
                  </wp:positionH>
                  <wp:positionV relativeFrom="paragraph">
                    <wp:posOffset>4445</wp:posOffset>
                  </wp:positionV>
                  <wp:extent cx="480695" cy="480695"/>
                  <wp:effectExtent l="0" t="0" r="14605" b="14605"/>
                  <wp:wrapNone/>
                  <wp:docPr id="1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pic:cNvPicPr>
                            <a:picLocks noChangeAspect="1"/>
                          </pic:cNvPicPr>
                        </pic:nvPicPr>
                        <pic:blipFill>
                          <a:blip r:embed="rId16"/>
                          <a:stretch>
                            <a:fillRect/>
                          </a:stretch>
                        </pic:blipFill>
                        <pic:spPr>
                          <a:xfrm>
                            <a:off x="0" y="0"/>
                            <a:ext cx="480695" cy="480695"/>
                          </a:xfrm>
                          <a:prstGeom prst="rect">
                            <a:avLst/>
                          </a:prstGeom>
                          <a:noFill/>
                          <a:ln>
                            <a:noFill/>
                          </a:ln>
                        </pic:spPr>
                      </pic:pic>
                    </a:graphicData>
                  </a:graphic>
                </wp:anchor>
              </w:drawing>
            </w:r>
            <w:r>
              <w:rPr>
                <w:rFonts w:hint="default" w:ascii="Times New Roman" w:hAnsi="Times New Roman" w:cs="Times New Roman"/>
                <w:color w:val="000000" w:themeColor="text1"/>
                <w14:textFill>
                  <w14:solidFill>
                    <w14:schemeClr w14:val="tx1"/>
                  </w14:solidFill>
                </w14:textFill>
              </w:rPr>
              <w:drawing>
                <wp:inline distT="0" distB="0" distL="114300" distR="114300">
                  <wp:extent cx="5407660" cy="3276600"/>
                  <wp:effectExtent l="0" t="0" r="2540" b="0"/>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pic:cNvPicPr>
                        </pic:nvPicPr>
                        <pic:blipFill>
                          <a:blip r:embed="rId17"/>
                          <a:stretch>
                            <a:fillRect/>
                          </a:stretch>
                        </pic:blipFill>
                        <pic:spPr>
                          <a:xfrm>
                            <a:off x="0" y="0"/>
                            <a:ext cx="5407660" cy="3276600"/>
                          </a:xfrm>
                          <a:prstGeom prst="rect">
                            <a:avLst/>
                          </a:prstGeom>
                          <a:noFill/>
                          <a:ln>
                            <a:noFill/>
                          </a:ln>
                        </pic:spPr>
                      </pic:pic>
                    </a:graphicData>
                  </a:graphic>
                </wp:inline>
              </w:drawing>
            </w:r>
          </w:p>
          <w:p w14:paraId="25DB6580">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kern w:val="0"/>
                <w:sz w:val="21"/>
                <w:szCs w:val="21"/>
                <w:lang w:val="en-US" w:eastAsia="zh-CN" w:bidi="ar-SA"/>
                <w14:textFill>
                  <w14:solidFill>
                    <w14:schemeClr w14:val="tx1"/>
                  </w14:solidFill>
                </w14:textFill>
              </w:rPr>
              <w:t>图3-1  TSP引用监测点位图</w:t>
            </w:r>
          </w:p>
          <w:p w14:paraId="2B5E84C3">
            <w:pPr>
              <w:widowControl/>
              <w:spacing w:line="360" w:lineRule="auto"/>
              <w:jc w:val="left"/>
              <w:rPr>
                <w:rFonts w:hint="default" w:ascii="Times New Roman" w:hAnsi="Times New Roman" w:eastAsia="黑体" w:cs="Times New Roman"/>
                <w:color w:val="000000" w:themeColor="text1"/>
                <w:sz w:val="24"/>
                <w14:textFill>
                  <w14:solidFill>
                    <w14:schemeClr w14:val="tx1"/>
                  </w14:solidFill>
                </w14:textFill>
              </w:rPr>
            </w:pPr>
            <w:r>
              <w:rPr>
                <w:rFonts w:hint="default" w:ascii="Times New Roman" w:hAnsi="Times New Roman" w:eastAsia="黑体" w:cs="Times New Roman"/>
                <w:color w:val="000000" w:themeColor="text1"/>
                <w:sz w:val="24"/>
                <w:lang w:eastAsia="zh-CN"/>
                <w14:textFill>
                  <w14:solidFill>
                    <w14:schemeClr w14:val="tx1"/>
                  </w14:solidFill>
                </w14:textFill>
              </w:rPr>
              <w:t>2.</w:t>
            </w:r>
            <w:r>
              <w:rPr>
                <w:rFonts w:hint="default" w:ascii="Times New Roman" w:hAnsi="Times New Roman" w:eastAsia="黑体" w:cs="Times New Roman"/>
                <w:color w:val="000000" w:themeColor="text1"/>
                <w:sz w:val="24"/>
                <w14:textFill>
                  <w14:solidFill>
                    <w14:schemeClr w14:val="tx1"/>
                  </w14:solidFill>
                </w14:textFill>
              </w:rPr>
              <w:t>地表水环境质量现状</w:t>
            </w:r>
          </w:p>
          <w:p w14:paraId="78135634">
            <w:pPr>
              <w:keepNext/>
              <w:keepLines/>
              <w:widowControl/>
              <w:adjustRightInd w:val="0"/>
              <w:snapToGrid w:val="0"/>
              <w:spacing w:line="360" w:lineRule="auto"/>
              <w:ind w:firstLine="480" w:firstLineChars="200"/>
              <w:jc w:val="left"/>
              <w:outlineLvl w:val="1"/>
              <w:rPr>
                <w:rFonts w:hint="default" w:ascii="Times New Roman" w:hAnsi="Times New Roman" w:eastAsia="黑体" w:cs="Times New Roman"/>
                <w:bCs/>
                <w:color w:val="000000" w:themeColor="text1"/>
                <w:sz w:val="24"/>
                <w:szCs w:val="28"/>
                <w14:textFill>
                  <w14:solidFill>
                    <w14:schemeClr w14:val="tx1"/>
                  </w14:solidFill>
                </w14:textFill>
              </w:rPr>
            </w:pPr>
            <w:r>
              <w:rPr>
                <w:rFonts w:hint="default" w:ascii="Times New Roman" w:hAnsi="Times New Roman" w:cs="Times New Roman"/>
                <w:color w:val="000000" w:themeColor="text1"/>
                <w:sz w:val="24"/>
                <w:lang w:eastAsia="zh-CN"/>
                <w14:textFill>
                  <w14:solidFill>
                    <w14:schemeClr w14:val="tx1"/>
                  </w14:solidFill>
                </w14:textFill>
              </w:rPr>
              <w:t>本项目</w:t>
            </w:r>
            <w:r>
              <w:rPr>
                <w:rFonts w:hint="eastAsia" w:cs="Times New Roman"/>
                <w:color w:val="000000" w:themeColor="text1"/>
                <w:sz w:val="24"/>
                <w:lang w:val="en-US" w:eastAsia="zh-CN"/>
                <w14:textFill>
                  <w14:solidFill>
                    <w14:schemeClr w14:val="tx1"/>
                  </w14:solidFill>
                </w14:textFill>
              </w:rPr>
              <w:t>配料、研磨、造粒用水蒸发损耗，</w:t>
            </w:r>
            <w:r>
              <w:rPr>
                <w:rFonts w:hint="default" w:ascii="Times New Roman" w:hAnsi="Times New Roman" w:cs="Times New Roman"/>
                <w:color w:val="000000" w:themeColor="text1"/>
                <w:sz w:val="24"/>
                <w:lang w:val="en-US" w:eastAsia="zh-CN"/>
                <w14:textFill>
                  <w14:solidFill>
                    <w14:schemeClr w14:val="tx1"/>
                  </w14:solidFill>
                </w14:textFill>
              </w:rPr>
              <w:t>设备清洗用水沉淀后综合利用</w:t>
            </w:r>
            <w:r>
              <w:rPr>
                <w:rFonts w:hint="default" w:ascii="Times New Roman" w:hAnsi="Times New Roman" w:cs="Times New Roman"/>
                <w:color w:val="000000" w:themeColor="text1"/>
                <w:sz w:val="24"/>
                <w:lang w:eastAsia="zh-CN"/>
                <w14:textFill>
                  <w14:solidFill>
                    <w14:schemeClr w14:val="tx1"/>
                  </w14:solidFill>
                </w14:textFill>
              </w:rPr>
              <w:t>，生活污水经</w:t>
            </w:r>
            <w:r>
              <w:rPr>
                <w:rFonts w:hint="default" w:ascii="Times New Roman" w:hAnsi="Times New Roman" w:cs="Times New Roman"/>
                <w:color w:val="000000" w:themeColor="text1"/>
                <w:sz w:val="24"/>
                <w:lang w:val="en-US" w:eastAsia="zh-CN"/>
                <w14:textFill>
                  <w14:solidFill>
                    <w14:schemeClr w14:val="tx1"/>
                  </w14:solidFill>
                </w14:textFill>
              </w:rPr>
              <w:t>园区公用</w:t>
            </w:r>
            <w:r>
              <w:rPr>
                <w:rFonts w:hint="default" w:ascii="Times New Roman" w:hAnsi="Times New Roman" w:cs="Times New Roman"/>
                <w:color w:val="000000" w:themeColor="text1"/>
                <w:sz w:val="24"/>
                <w:lang w:eastAsia="zh-CN"/>
                <w14:textFill>
                  <w14:solidFill>
                    <w14:schemeClr w14:val="tx1"/>
                  </w14:solidFill>
                </w14:textFill>
              </w:rPr>
              <w:t>化粪池处理后</w:t>
            </w:r>
            <w:r>
              <w:rPr>
                <w:rFonts w:hint="default" w:ascii="Times New Roman" w:hAnsi="Times New Roman" w:cs="Times New Roman"/>
                <w:color w:val="000000" w:themeColor="text1"/>
                <w:sz w:val="24"/>
                <w:lang w:val="en-US" w:eastAsia="zh-CN"/>
                <w14:textFill>
                  <w14:solidFill>
                    <w14:schemeClr w14:val="tx1"/>
                  </w14:solidFill>
                </w14:textFill>
              </w:rPr>
              <w:t>与</w:t>
            </w:r>
            <w:r>
              <w:rPr>
                <w:rFonts w:hint="eastAsia" w:cs="Times New Roman"/>
                <w:color w:val="000000" w:themeColor="text1"/>
                <w:sz w:val="24"/>
                <w:lang w:val="en-US" w:eastAsia="zh-CN"/>
                <w14:textFill>
                  <w14:solidFill>
                    <w14:schemeClr w14:val="tx1"/>
                  </w14:solidFill>
                </w14:textFill>
              </w:rPr>
              <w:t>去离子水</w:t>
            </w:r>
            <w:r>
              <w:rPr>
                <w:rFonts w:hint="default" w:ascii="Times New Roman" w:hAnsi="Times New Roman" w:cs="Times New Roman"/>
                <w:color w:val="000000" w:themeColor="text1"/>
                <w:sz w:val="24"/>
                <w:lang w:val="en-US" w:eastAsia="zh-CN"/>
                <w14:textFill>
                  <w14:solidFill>
                    <w14:schemeClr w14:val="tx1"/>
                  </w14:solidFill>
                </w14:textFill>
              </w:rPr>
              <w:t>制备废水</w:t>
            </w:r>
            <w:r>
              <w:rPr>
                <w:rFonts w:hint="eastAsia" w:cs="Times New Roman"/>
                <w:color w:val="000000" w:themeColor="text1"/>
                <w:sz w:val="24"/>
                <w:lang w:val="en-US" w:eastAsia="zh-CN"/>
                <w14:textFill>
                  <w14:solidFill>
                    <w14:schemeClr w14:val="tx1"/>
                  </w14:solidFill>
                </w14:textFill>
              </w:rPr>
              <w:t>、膜冲洗废水经沉淀池沉淀后</w:t>
            </w:r>
            <w:r>
              <w:rPr>
                <w:rFonts w:hint="default" w:ascii="Times New Roman" w:hAnsi="Times New Roman" w:cs="Times New Roman"/>
                <w:color w:val="000000" w:themeColor="text1"/>
                <w:sz w:val="24"/>
                <w:lang w:eastAsia="zh-CN"/>
                <w14:textFill>
                  <w14:solidFill>
                    <w14:schemeClr w14:val="tx1"/>
                  </w14:solidFill>
                </w14:textFill>
              </w:rPr>
              <w:t>沿市政污水管网排入凤翔区第二污水处理厂</w:t>
            </w:r>
            <w:r>
              <w:rPr>
                <w:rFonts w:hint="default" w:ascii="Times New Roman" w:hAnsi="Times New Roman" w:cs="Times New Roman"/>
                <w:color w:val="000000" w:themeColor="text1"/>
                <w:sz w:val="24"/>
                <w:lang w:val="en-US" w:eastAsia="zh-CN"/>
                <w14:textFill>
                  <w14:solidFill>
                    <w14:schemeClr w14:val="tx1"/>
                  </w14:solidFill>
                </w14:textFill>
              </w:rPr>
              <w:t>处理，本项目无废水直接排放，故不进行地表水现状评价</w:t>
            </w:r>
            <w:r>
              <w:rPr>
                <w:rFonts w:hint="default" w:ascii="Times New Roman" w:hAnsi="Times New Roman" w:cs="Times New Roman"/>
                <w:color w:val="000000" w:themeColor="text1"/>
                <w:sz w:val="24"/>
                <w14:textFill>
                  <w14:solidFill>
                    <w14:schemeClr w14:val="tx1"/>
                  </w14:solidFill>
                </w14:textFill>
              </w:rPr>
              <w:t>。</w:t>
            </w:r>
          </w:p>
          <w:p w14:paraId="6036ECB4">
            <w:pPr>
              <w:keepNext/>
              <w:keepLines/>
              <w:widowControl/>
              <w:adjustRightInd w:val="0"/>
              <w:snapToGrid w:val="0"/>
              <w:spacing w:line="360" w:lineRule="auto"/>
              <w:jc w:val="left"/>
              <w:outlineLvl w:val="1"/>
              <w:rPr>
                <w:rFonts w:hint="default" w:ascii="Times New Roman" w:hAnsi="Times New Roman" w:eastAsia="黑体" w:cs="Times New Roman"/>
                <w:bCs/>
                <w:color w:val="000000" w:themeColor="text1"/>
                <w:sz w:val="24"/>
                <w:szCs w:val="28"/>
                <w14:textFill>
                  <w14:solidFill>
                    <w14:schemeClr w14:val="tx1"/>
                  </w14:solidFill>
                </w14:textFill>
              </w:rPr>
            </w:pPr>
            <w:r>
              <w:rPr>
                <w:rFonts w:hint="default" w:ascii="Times New Roman" w:hAnsi="Times New Roman" w:eastAsia="黑体" w:cs="Times New Roman"/>
                <w:bCs/>
                <w:color w:val="000000" w:themeColor="text1"/>
                <w:sz w:val="24"/>
                <w:szCs w:val="28"/>
                <w:lang w:eastAsia="zh-CN"/>
                <w14:textFill>
                  <w14:solidFill>
                    <w14:schemeClr w14:val="tx1"/>
                  </w14:solidFill>
                </w14:textFill>
              </w:rPr>
              <w:t>3.</w:t>
            </w:r>
            <w:r>
              <w:rPr>
                <w:rFonts w:hint="default" w:ascii="Times New Roman" w:hAnsi="Times New Roman" w:eastAsia="黑体" w:cs="Times New Roman"/>
                <w:bCs/>
                <w:color w:val="000000" w:themeColor="text1"/>
                <w:sz w:val="24"/>
                <w:szCs w:val="28"/>
                <w14:textFill>
                  <w14:solidFill>
                    <w14:schemeClr w14:val="tx1"/>
                  </w14:solidFill>
                </w14:textFill>
              </w:rPr>
              <w:t>声环境质量现状</w:t>
            </w:r>
          </w:p>
          <w:p w14:paraId="40463BBC">
            <w:pPr>
              <w:widowControl/>
              <w:adjustRightInd w:val="0"/>
              <w:snapToGrid w:val="0"/>
              <w:spacing w:line="360" w:lineRule="auto"/>
              <w:ind w:firstLine="482"/>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根据现场踏勘，本项目50m范围内无声环境敏感点，</w:t>
            </w:r>
            <w:r>
              <w:rPr>
                <w:rFonts w:hint="default" w:ascii="Times New Roman" w:hAnsi="Times New Roman" w:eastAsia="宋体" w:cs="Times New Roman"/>
                <w:color w:val="000000" w:themeColor="text1"/>
                <w:sz w:val="24"/>
                <w:lang w:eastAsia="zh-CN"/>
                <w14:textFill>
                  <w14:solidFill>
                    <w14:schemeClr w14:val="tx1"/>
                  </w14:solidFill>
                </w14:textFill>
              </w:rPr>
              <w:t>根据《建设项目环境影响报告表编制技术指南（污染影响类）（试行）》中的要求</w:t>
            </w:r>
            <w:r>
              <w:rPr>
                <w:rFonts w:hint="default" w:ascii="Times New Roman" w:hAnsi="Times New Roman" w:eastAsia="宋体" w:cs="Times New Roman"/>
                <w:color w:val="000000" w:themeColor="text1"/>
                <w:sz w:val="24"/>
                <w:lang w:val="en-US" w:eastAsia="zh-CN"/>
                <w14:textFill>
                  <w14:solidFill>
                    <w14:schemeClr w14:val="tx1"/>
                  </w14:solidFill>
                </w14:textFill>
              </w:rPr>
              <w:t>，可不调查声环境现状。</w:t>
            </w:r>
          </w:p>
          <w:p w14:paraId="18E1B55B">
            <w:pPr>
              <w:keepNext/>
              <w:keepLines/>
              <w:widowControl/>
              <w:adjustRightInd w:val="0"/>
              <w:snapToGrid w:val="0"/>
              <w:spacing w:line="360" w:lineRule="auto"/>
              <w:jc w:val="left"/>
              <w:outlineLvl w:val="1"/>
              <w:rPr>
                <w:rFonts w:hint="default" w:ascii="Times New Roman" w:hAnsi="Times New Roman" w:eastAsia="黑体" w:cs="Times New Roman"/>
                <w:bCs/>
                <w:color w:val="000000" w:themeColor="text1"/>
                <w:sz w:val="24"/>
                <w:szCs w:val="28"/>
                <w:lang w:val="en-US" w:eastAsia="zh-CN"/>
                <w14:textFill>
                  <w14:solidFill>
                    <w14:schemeClr w14:val="tx1"/>
                  </w14:solidFill>
                </w14:textFill>
              </w:rPr>
            </w:pPr>
            <w:r>
              <w:rPr>
                <w:rFonts w:hint="default" w:ascii="Times New Roman" w:hAnsi="Times New Roman" w:eastAsia="黑体" w:cs="Times New Roman"/>
                <w:bCs/>
                <w:color w:val="000000" w:themeColor="text1"/>
                <w:sz w:val="24"/>
                <w:szCs w:val="28"/>
                <w:lang w:val="en-US" w:eastAsia="zh-CN"/>
                <w14:textFill>
                  <w14:solidFill>
                    <w14:schemeClr w14:val="tx1"/>
                  </w14:solidFill>
                </w14:textFill>
              </w:rPr>
              <w:t>4.生态环境</w:t>
            </w:r>
          </w:p>
          <w:p w14:paraId="181D9ED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000000" w:themeColor="text1"/>
                <w:kern w:val="0"/>
                <w:sz w:val="24"/>
                <w:szCs w:val="24"/>
                <w:vertAlign w:val="baseli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0"/>
                <w:sz w:val="24"/>
                <w:szCs w:val="24"/>
                <w:vertAlign w:val="baseline"/>
                <w:lang w:val="en-US" w:eastAsia="zh-CN" w:bidi="ar"/>
                <w14:textFill>
                  <w14:solidFill>
                    <w14:schemeClr w14:val="tx1"/>
                  </w14:solidFill>
                </w14:textFill>
              </w:rPr>
              <w:t>本项目租赁已建成的生产车间进行设备的安装及调试，且厂区地面均已硬化，因此无需进行生态现状调查。</w:t>
            </w:r>
          </w:p>
          <w:p w14:paraId="058A4DC0">
            <w:pPr>
              <w:keepNext/>
              <w:keepLines/>
              <w:widowControl/>
              <w:adjustRightInd w:val="0"/>
              <w:snapToGrid w:val="0"/>
              <w:spacing w:line="360" w:lineRule="auto"/>
              <w:jc w:val="left"/>
              <w:outlineLvl w:val="1"/>
              <w:rPr>
                <w:rFonts w:hint="default" w:ascii="Times New Roman" w:hAnsi="Times New Roman" w:eastAsia="黑体" w:cs="Times New Roman"/>
                <w:bCs/>
                <w:color w:val="000000" w:themeColor="text1"/>
                <w:sz w:val="24"/>
                <w:szCs w:val="28"/>
                <w:lang w:val="en-US" w:eastAsia="zh-CN"/>
                <w14:textFill>
                  <w14:solidFill>
                    <w14:schemeClr w14:val="tx1"/>
                  </w14:solidFill>
                </w14:textFill>
              </w:rPr>
            </w:pPr>
            <w:r>
              <w:rPr>
                <w:rFonts w:hint="default" w:ascii="Times New Roman" w:hAnsi="Times New Roman" w:eastAsia="黑体" w:cs="Times New Roman"/>
                <w:bCs/>
                <w:color w:val="000000" w:themeColor="text1"/>
                <w:sz w:val="24"/>
                <w:szCs w:val="28"/>
                <w:lang w:val="en-US" w:eastAsia="zh-CN"/>
                <w14:textFill>
                  <w14:solidFill>
                    <w14:schemeClr w14:val="tx1"/>
                  </w14:solidFill>
                </w14:textFill>
              </w:rPr>
              <w:t>5.电磁辐射</w:t>
            </w:r>
          </w:p>
          <w:p w14:paraId="04A20CA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000000" w:themeColor="text1"/>
                <w:kern w:val="0"/>
                <w:sz w:val="24"/>
                <w:szCs w:val="24"/>
                <w:vertAlign w:val="baseli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0"/>
                <w:sz w:val="24"/>
                <w:szCs w:val="24"/>
                <w:vertAlign w:val="baseline"/>
                <w:lang w:val="en-US" w:eastAsia="zh-CN" w:bidi="ar"/>
                <w14:textFill>
                  <w14:solidFill>
                    <w14:schemeClr w14:val="tx1"/>
                  </w14:solidFill>
                </w14:textFill>
              </w:rPr>
              <w:t>本项目不属于电磁辐射类项目，因此无需开展电磁辐射现状监测与评价。</w:t>
            </w:r>
          </w:p>
          <w:p w14:paraId="0FFBB68F">
            <w:pPr>
              <w:keepNext/>
              <w:keepLines/>
              <w:widowControl/>
              <w:adjustRightInd w:val="0"/>
              <w:snapToGrid w:val="0"/>
              <w:spacing w:line="360" w:lineRule="auto"/>
              <w:jc w:val="left"/>
              <w:outlineLvl w:val="1"/>
              <w:rPr>
                <w:rFonts w:hint="default" w:ascii="Times New Roman" w:hAnsi="Times New Roman" w:eastAsia="黑体" w:cs="Times New Roman"/>
                <w:bCs/>
                <w:color w:val="000000" w:themeColor="text1"/>
                <w:sz w:val="24"/>
                <w:szCs w:val="28"/>
                <w:lang w:val="en-US" w:eastAsia="zh-CN"/>
                <w14:textFill>
                  <w14:solidFill>
                    <w14:schemeClr w14:val="tx1"/>
                  </w14:solidFill>
                </w14:textFill>
              </w:rPr>
            </w:pPr>
            <w:r>
              <w:rPr>
                <w:rFonts w:hint="default" w:ascii="Times New Roman" w:hAnsi="Times New Roman" w:eastAsia="黑体" w:cs="Times New Roman"/>
                <w:bCs/>
                <w:color w:val="000000" w:themeColor="text1"/>
                <w:sz w:val="24"/>
                <w:szCs w:val="28"/>
                <w:lang w:val="en-US" w:eastAsia="zh-CN"/>
                <w14:textFill>
                  <w14:solidFill>
                    <w14:schemeClr w14:val="tx1"/>
                  </w14:solidFill>
                </w14:textFill>
              </w:rPr>
              <w:t>6.地下水、土壤环境</w:t>
            </w:r>
          </w:p>
          <w:p w14:paraId="712BC6AE">
            <w:pPr>
              <w:pStyle w:val="28"/>
              <w:keepNext w:val="0"/>
              <w:keepLines w:val="0"/>
              <w:pageBreakBefore w:val="0"/>
              <w:widowControl/>
              <w:kinsoku/>
              <w:wordWrap/>
              <w:overflowPunct/>
              <w:topLinePunct w:val="0"/>
              <w:autoSpaceDE/>
              <w:autoSpaceDN/>
              <w:bidi w:val="0"/>
              <w:adjustRightInd/>
              <w:snapToGrid/>
              <w:spacing w:before="0" w:beforeAutospacing="0" w:after="0" w:afterAutospacing="0"/>
              <w:ind w:left="0" w:leftChars="0" w:firstLine="480" w:firstLineChars="200"/>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宋体" w:cs="Times New Roman"/>
                <w:b w:val="0"/>
                <w:bCs w:val="0"/>
                <w:color w:val="000000" w:themeColor="text1"/>
                <w:kern w:val="0"/>
                <w:sz w:val="24"/>
                <w:szCs w:val="24"/>
                <w:vertAlign w:val="baseline"/>
                <w:lang w:val="en-US" w:eastAsia="zh-CN" w:bidi="ar"/>
                <w14:textFill>
                  <w14:solidFill>
                    <w14:schemeClr w14:val="tx1"/>
                  </w14:solidFill>
                </w14:textFill>
              </w:rPr>
              <w:t>本项目生产车间地面均采取了水泥硬化措施，生产设施</w:t>
            </w:r>
            <w:r>
              <w:rPr>
                <w:rFonts w:hint="default" w:ascii="Times New Roman" w:hAnsi="Times New Roman" w:cs="Times New Roman"/>
                <w:b w:val="0"/>
                <w:bCs w:val="0"/>
                <w:color w:val="000000" w:themeColor="text1"/>
                <w:kern w:val="0"/>
                <w:sz w:val="24"/>
                <w:szCs w:val="24"/>
                <w:vertAlign w:val="baseline"/>
                <w:lang w:val="en-US" w:eastAsia="zh-CN" w:bidi="ar"/>
                <w14:textFill>
                  <w14:solidFill>
                    <w14:schemeClr w14:val="tx1"/>
                  </w14:solidFill>
                </w14:textFill>
              </w:rPr>
              <w:t>均在</w:t>
            </w:r>
            <w:r>
              <w:rPr>
                <w:rFonts w:hint="default" w:ascii="Times New Roman" w:hAnsi="Times New Roman" w:eastAsia="宋体" w:cs="Times New Roman"/>
                <w:b w:val="0"/>
                <w:bCs w:val="0"/>
                <w:color w:val="000000" w:themeColor="text1"/>
                <w:kern w:val="0"/>
                <w:sz w:val="24"/>
                <w:szCs w:val="24"/>
                <w:vertAlign w:val="baseline"/>
                <w:lang w:val="en-US" w:eastAsia="zh-CN" w:bidi="ar"/>
                <w14:textFill>
                  <w14:solidFill>
                    <w14:schemeClr w14:val="tx1"/>
                  </w14:solidFill>
                </w14:textFill>
              </w:rPr>
              <w:t>地上布置，无地下构筑物</w:t>
            </w:r>
            <w:r>
              <w:rPr>
                <w:rFonts w:hint="default" w:ascii="Times New Roman" w:hAnsi="Times New Roman" w:cs="Times New Roman"/>
                <w:b w:val="0"/>
                <w:bCs w:val="0"/>
                <w:color w:val="000000" w:themeColor="text1"/>
                <w:kern w:val="0"/>
                <w:sz w:val="24"/>
                <w:szCs w:val="24"/>
                <w:vertAlign w:val="baseline"/>
                <w:lang w:val="en-US" w:eastAsia="zh-CN" w:bidi="ar"/>
                <w14:textFill>
                  <w14:solidFill>
                    <w14:schemeClr w14:val="tx1"/>
                  </w14:solidFill>
                </w14:textFill>
              </w:rPr>
              <w:t>，</w:t>
            </w:r>
            <w:r>
              <w:rPr>
                <w:rFonts w:hint="default" w:ascii="Times New Roman" w:hAnsi="Times New Roman" w:eastAsia="宋体" w:cs="Times New Roman"/>
                <w:b w:val="0"/>
                <w:bCs w:val="0"/>
                <w:color w:val="000000" w:themeColor="text1"/>
                <w:kern w:val="0"/>
                <w:sz w:val="24"/>
                <w:szCs w:val="24"/>
                <w:vertAlign w:val="baseline"/>
                <w:lang w:val="en-US" w:eastAsia="zh-CN" w:bidi="ar"/>
                <w14:textFill>
                  <w14:solidFill>
                    <w14:schemeClr w14:val="tx1"/>
                  </w14:solidFill>
                </w14:textFill>
              </w:rPr>
              <w:t>项目运行期正常运行情况下无地下水和土壤污染途径，因此无需开展地下水、土壤环境现状调查。</w:t>
            </w:r>
          </w:p>
        </w:tc>
      </w:tr>
      <w:tr w14:paraId="35AC64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0" w:hRule="atLeast"/>
          <w:jc w:val="center"/>
        </w:trPr>
        <w:tc>
          <w:tcPr>
            <w:tcW w:w="475" w:type="dxa"/>
            <w:noWrap w:val="0"/>
            <w:vAlign w:val="center"/>
          </w:tcPr>
          <w:p w14:paraId="31910819">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环境</w:t>
            </w:r>
          </w:p>
          <w:p w14:paraId="5ED24A3F">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保护</w:t>
            </w:r>
          </w:p>
          <w:p w14:paraId="1566F097">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目标</w:t>
            </w:r>
          </w:p>
        </w:tc>
        <w:tc>
          <w:tcPr>
            <w:tcW w:w="8586" w:type="dxa"/>
            <w:noWrap w:val="0"/>
            <w:vAlign w:val="center"/>
          </w:tcPr>
          <w:tbl>
            <w:tblPr>
              <w:tblStyle w:val="36"/>
              <w:tblW w:w="0" w:type="auto"/>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8391"/>
            </w:tblGrid>
            <w:tr w14:paraId="4C4CA2B2">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rPr>
                <w:trHeight w:val="3350" w:hRule="atLeast"/>
              </w:trPr>
              <w:tc>
                <w:tcPr>
                  <w:tcW w:w="9453" w:type="dxa"/>
                  <w:noWrap w:val="0"/>
                  <w:vAlign w:val="top"/>
                </w:tcPr>
                <w:p w14:paraId="77C52522">
                  <w:pPr>
                    <w:widowControl/>
                    <w:spacing w:line="440" w:lineRule="exact"/>
                    <w:jc w:val="center"/>
                    <w:rPr>
                      <w:rFonts w:hint="default" w:ascii="Times New Roman" w:hAnsi="Times New Roman" w:cs="Times New Roman"/>
                      <w:b/>
                      <w:color w:val="000000" w:themeColor="text1"/>
                      <w:sz w:val="24"/>
                      <w14:textFill>
                        <w14:solidFill>
                          <w14:schemeClr w14:val="tx1"/>
                        </w14:solidFill>
                      </w14:textFill>
                    </w:rPr>
                  </w:pPr>
                  <w:r>
                    <w:rPr>
                      <w:rFonts w:hint="default" w:ascii="Times New Roman" w:hAnsi="Times New Roman" w:cs="Times New Roman"/>
                      <w:b/>
                      <w:color w:val="000000" w:themeColor="text1"/>
                      <w:sz w:val="24"/>
                      <w14:textFill>
                        <w14:solidFill>
                          <w14:schemeClr w14:val="tx1"/>
                        </w14:solidFill>
                      </w14:textFill>
                    </w:rPr>
                    <w:t>表3-</w:t>
                  </w:r>
                  <w:r>
                    <w:rPr>
                      <w:rFonts w:hint="default" w:ascii="Times New Roman" w:hAnsi="Times New Roman" w:cs="Times New Roman"/>
                      <w:b/>
                      <w:color w:val="000000" w:themeColor="text1"/>
                      <w:sz w:val="24"/>
                      <w:lang w:val="en-US" w:eastAsia="zh-CN"/>
                      <w14:textFill>
                        <w14:solidFill>
                          <w14:schemeClr w14:val="tx1"/>
                        </w14:solidFill>
                      </w14:textFill>
                    </w:rPr>
                    <w:t>2</w:t>
                  </w:r>
                  <w:r>
                    <w:rPr>
                      <w:rFonts w:hint="default" w:ascii="Times New Roman" w:hAnsi="Times New Roman" w:cs="Times New Roman"/>
                      <w:b/>
                      <w:color w:val="000000" w:themeColor="text1"/>
                      <w:sz w:val="24"/>
                      <w14:textFill>
                        <w14:solidFill>
                          <w14:schemeClr w14:val="tx1"/>
                        </w14:solidFill>
                      </w14:textFill>
                    </w:rPr>
                    <w:t xml:space="preserve">  环境保护目标情况</w:t>
                  </w:r>
                </w:p>
                <w:tbl>
                  <w:tblPr>
                    <w:tblStyle w:val="36"/>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26"/>
                    <w:gridCol w:w="1298"/>
                    <w:gridCol w:w="860"/>
                    <w:gridCol w:w="726"/>
                    <w:gridCol w:w="1995"/>
                    <w:gridCol w:w="934"/>
                    <w:gridCol w:w="494"/>
                    <w:gridCol w:w="1212"/>
                  </w:tblGrid>
                  <w:tr w14:paraId="3D9040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noWrap w:val="0"/>
                        <w:vAlign w:val="center"/>
                      </w:tcPr>
                      <w:p w14:paraId="2987A590">
                        <w:pPr>
                          <w:autoSpaceDE w:val="0"/>
                          <w:autoSpaceDN w:val="0"/>
                          <w:jc w:val="center"/>
                          <w:rPr>
                            <w:rFonts w:hint="default" w:ascii="Times New Roman" w:hAnsi="Times New Roman" w:cs="Times New Roman"/>
                            <w:b/>
                            <w:bCs/>
                            <w:color w:val="000000" w:themeColor="text1"/>
                            <w:kern w:val="0"/>
                            <w:szCs w:val="21"/>
                            <w14:textFill>
                              <w14:solidFill>
                                <w14:schemeClr w14:val="tx1"/>
                              </w14:solidFill>
                            </w14:textFill>
                          </w:rPr>
                        </w:pPr>
                        <w:r>
                          <w:rPr>
                            <w:rFonts w:hint="default" w:ascii="Times New Roman" w:hAnsi="Times New Roman" w:cs="Times New Roman"/>
                            <w:b/>
                            <w:bCs/>
                            <w:color w:val="000000" w:themeColor="text1"/>
                            <w:kern w:val="0"/>
                            <w:szCs w:val="21"/>
                            <w14:textFill>
                              <w14:solidFill>
                                <w14:schemeClr w14:val="tx1"/>
                              </w14:solidFill>
                            </w14:textFill>
                          </w:rPr>
                          <w:t>环境要素</w:t>
                        </w:r>
                      </w:p>
                    </w:tc>
                    <w:tc>
                      <w:tcPr>
                        <w:tcW w:w="0" w:type="auto"/>
                        <w:noWrap w:val="0"/>
                        <w:vAlign w:val="center"/>
                      </w:tcPr>
                      <w:p w14:paraId="276B25FC">
                        <w:pPr>
                          <w:autoSpaceDE w:val="0"/>
                          <w:autoSpaceDN w:val="0"/>
                          <w:jc w:val="center"/>
                          <w:rPr>
                            <w:rFonts w:hint="default" w:ascii="Times New Roman" w:hAnsi="Times New Roman" w:cs="Times New Roman"/>
                            <w:b/>
                            <w:bCs/>
                            <w:color w:val="000000" w:themeColor="text1"/>
                            <w:kern w:val="0"/>
                            <w:szCs w:val="21"/>
                            <w14:textFill>
                              <w14:solidFill>
                                <w14:schemeClr w14:val="tx1"/>
                              </w14:solidFill>
                            </w14:textFill>
                          </w:rPr>
                        </w:pPr>
                        <w:r>
                          <w:rPr>
                            <w:rFonts w:hint="default" w:ascii="Times New Roman" w:hAnsi="Times New Roman" w:cs="Times New Roman"/>
                            <w:b/>
                            <w:bCs/>
                            <w:color w:val="000000" w:themeColor="text1"/>
                            <w:kern w:val="0"/>
                            <w:szCs w:val="21"/>
                            <w14:textFill>
                              <w14:solidFill>
                                <w14:schemeClr w14:val="tx1"/>
                              </w14:solidFill>
                            </w14:textFill>
                          </w:rPr>
                          <w:t>坐标（度）</w:t>
                        </w:r>
                      </w:p>
                    </w:tc>
                    <w:tc>
                      <w:tcPr>
                        <w:tcW w:w="860" w:type="dxa"/>
                        <w:noWrap w:val="0"/>
                        <w:vAlign w:val="center"/>
                      </w:tcPr>
                      <w:p w14:paraId="1D3EAB19">
                        <w:pPr>
                          <w:autoSpaceDE w:val="0"/>
                          <w:autoSpaceDN w:val="0"/>
                          <w:jc w:val="center"/>
                          <w:rPr>
                            <w:rFonts w:hint="default" w:ascii="Times New Roman" w:hAnsi="Times New Roman" w:cs="Times New Roman"/>
                            <w:b/>
                            <w:bCs/>
                            <w:color w:val="000000" w:themeColor="text1"/>
                            <w:kern w:val="0"/>
                            <w:szCs w:val="21"/>
                            <w14:textFill>
                              <w14:solidFill>
                                <w14:schemeClr w14:val="tx1"/>
                              </w14:solidFill>
                            </w14:textFill>
                          </w:rPr>
                        </w:pPr>
                        <w:r>
                          <w:rPr>
                            <w:rFonts w:hint="default" w:ascii="Times New Roman" w:hAnsi="Times New Roman" w:cs="Times New Roman"/>
                            <w:b/>
                            <w:bCs/>
                            <w:color w:val="000000" w:themeColor="text1"/>
                            <w:kern w:val="0"/>
                            <w:szCs w:val="21"/>
                            <w14:textFill>
                              <w14:solidFill>
                                <w14:schemeClr w14:val="tx1"/>
                              </w14:solidFill>
                            </w14:textFill>
                          </w:rPr>
                          <w:t>保护对象</w:t>
                        </w:r>
                      </w:p>
                    </w:tc>
                    <w:tc>
                      <w:tcPr>
                        <w:tcW w:w="726" w:type="dxa"/>
                        <w:noWrap w:val="0"/>
                        <w:vAlign w:val="center"/>
                      </w:tcPr>
                      <w:p w14:paraId="230A5DD8">
                        <w:pPr>
                          <w:autoSpaceDE w:val="0"/>
                          <w:autoSpaceDN w:val="0"/>
                          <w:jc w:val="center"/>
                          <w:rPr>
                            <w:rFonts w:hint="default" w:ascii="Times New Roman" w:hAnsi="Times New Roman" w:cs="Times New Roman"/>
                            <w:b/>
                            <w:bCs/>
                            <w:color w:val="000000" w:themeColor="text1"/>
                            <w:kern w:val="0"/>
                            <w:szCs w:val="21"/>
                            <w14:textFill>
                              <w14:solidFill>
                                <w14:schemeClr w14:val="tx1"/>
                              </w14:solidFill>
                            </w14:textFill>
                          </w:rPr>
                        </w:pPr>
                        <w:r>
                          <w:rPr>
                            <w:rFonts w:hint="default" w:ascii="Times New Roman" w:hAnsi="Times New Roman" w:cs="Times New Roman"/>
                            <w:b/>
                            <w:bCs/>
                            <w:color w:val="000000" w:themeColor="text1"/>
                            <w:kern w:val="0"/>
                            <w:szCs w:val="21"/>
                            <w14:textFill>
                              <w14:solidFill>
                                <w14:schemeClr w14:val="tx1"/>
                              </w14:solidFill>
                            </w14:textFill>
                          </w:rPr>
                          <w:t>保护内容</w:t>
                        </w:r>
                      </w:p>
                    </w:tc>
                    <w:tc>
                      <w:tcPr>
                        <w:tcW w:w="1995" w:type="dxa"/>
                        <w:noWrap w:val="0"/>
                        <w:vAlign w:val="center"/>
                      </w:tcPr>
                      <w:p w14:paraId="7A4F7F9D">
                        <w:pPr>
                          <w:autoSpaceDE w:val="0"/>
                          <w:autoSpaceDN w:val="0"/>
                          <w:jc w:val="center"/>
                          <w:rPr>
                            <w:rFonts w:hint="default" w:ascii="Times New Roman" w:hAnsi="Times New Roman" w:cs="Times New Roman"/>
                            <w:b/>
                            <w:bCs/>
                            <w:color w:val="000000" w:themeColor="text1"/>
                            <w:kern w:val="0"/>
                            <w:szCs w:val="21"/>
                            <w14:textFill>
                              <w14:solidFill>
                                <w14:schemeClr w14:val="tx1"/>
                              </w14:solidFill>
                            </w14:textFill>
                          </w:rPr>
                        </w:pPr>
                        <w:r>
                          <w:rPr>
                            <w:rFonts w:hint="default" w:ascii="Times New Roman" w:hAnsi="Times New Roman" w:cs="Times New Roman"/>
                            <w:b/>
                            <w:bCs/>
                            <w:color w:val="000000" w:themeColor="text1"/>
                            <w:kern w:val="0"/>
                            <w:szCs w:val="21"/>
                            <w14:textFill>
                              <w14:solidFill>
                                <w14:schemeClr w14:val="tx1"/>
                              </w14:solidFill>
                            </w14:textFill>
                          </w:rPr>
                          <w:t>环境功能区</w:t>
                        </w:r>
                      </w:p>
                    </w:tc>
                    <w:tc>
                      <w:tcPr>
                        <w:tcW w:w="0" w:type="auto"/>
                        <w:noWrap w:val="0"/>
                        <w:vAlign w:val="center"/>
                      </w:tcPr>
                      <w:p w14:paraId="547E055F">
                        <w:pPr>
                          <w:autoSpaceDE w:val="0"/>
                          <w:autoSpaceDN w:val="0"/>
                          <w:jc w:val="center"/>
                          <w:rPr>
                            <w:rFonts w:hint="default" w:ascii="Times New Roman" w:hAnsi="Times New Roman" w:cs="Times New Roman"/>
                            <w:b/>
                            <w:bCs/>
                            <w:color w:val="000000" w:themeColor="text1"/>
                            <w:kern w:val="0"/>
                            <w:szCs w:val="21"/>
                            <w14:textFill>
                              <w14:solidFill>
                                <w14:schemeClr w14:val="tx1"/>
                              </w14:solidFill>
                            </w14:textFill>
                          </w:rPr>
                        </w:pPr>
                        <w:r>
                          <w:rPr>
                            <w:rFonts w:hint="default" w:ascii="Times New Roman" w:hAnsi="Times New Roman" w:cs="Times New Roman"/>
                            <w:b/>
                            <w:bCs/>
                            <w:color w:val="000000" w:themeColor="text1"/>
                            <w:kern w:val="0"/>
                            <w:szCs w:val="21"/>
                            <w14:textFill>
                              <w14:solidFill>
                                <w14:schemeClr w14:val="tx1"/>
                              </w14:solidFill>
                            </w14:textFill>
                          </w:rPr>
                          <w:t>规模</w:t>
                        </w:r>
                      </w:p>
                    </w:tc>
                    <w:tc>
                      <w:tcPr>
                        <w:tcW w:w="0" w:type="auto"/>
                        <w:noWrap w:val="0"/>
                        <w:vAlign w:val="center"/>
                      </w:tcPr>
                      <w:p w14:paraId="4FEF7B80">
                        <w:pPr>
                          <w:autoSpaceDE w:val="0"/>
                          <w:autoSpaceDN w:val="0"/>
                          <w:jc w:val="center"/>
                          <w:rPr>
                            <w:rFonts w:hint="default" w:ascii="Times New Roman" w:hAnsi="Times New Roman" w:cs="Times New Roman"/>
                            <w:b/>
                            <w:bCs/>
                            <w:color w:val="000000" w:themeColor="text1"/>
                            <w:kern w:val="0"/>
                            <w:szCs w:val="21"/>
                            <w14:textFill>
                              <w14:solidFill>
                                <w14:schemeClr w14:val="tx1"/>
                              </w14:solidFill>
                            </w14:textFill>
                          </w:rPr>
                        </w:pPr>
                        <w:r>
                          <w:rPr>
                            <w:rFonts w:hint="default" w:ascii="Times New Roman" w:hAnsi="Times New Roman" w:cs="Times New Roman"/>
                            <w:b/>
                            <w:bCs/>
                            <w:color w:val="000000" w:themeColor="text1"/>
                            <w:kern w:val="0"/>
                            <w:szCs w:val="21"/>
                            <w14:textFill>
                              <w14:solidFill>
                                <w14:schemeClr w14:val="tx1"/>
                              </w14:solidFill>
                            </w14:textFill>
                          </w:rPr>
                          <w:t>方位</w:t>
                        </w:r>
                      </w:p>
                    </w:tc>
                    <w:tc>
                      <w:tcPr>
                        <w:tcW w:w="0" w:type="auto"/>
                        <w:noWrap w:val="0"/>
                        <w:vAlign w:val="center"/>
                      </w:tcPr>
                      <w:p w14:paraId="6450B17D">
                        <w:pPr>
                          <w:autoSpaceDE w:val="0"/>
                          <w:autoSpaceDN w:val="0"/>
                          <w:jc w:val="center"/>
                          <w:rPr>
                            <w:rFonts w:hint="default" w:ascii="Times New Roman" w:hAnsi="Times New Roman" w:cs="Times New Roman"/>
                            <w:b/>
                            <w:bCs/>
                            <w:color w:val="000000" w:themeColor="text1"/>
                            <w:kern w:val="0"/>
                            <w:szCs w:val="21"/>
                            <w14:textFill>
                              <w14:solidFill>
                                <w14:schemeClr w14:val="tx1"/>
                              </w14:solidFill>
                            </w14:textFill>
                          </w:rPr>
                        </w:pPr>
                        <w:r>
                          <w:rPr>
                            <w:rFonts w:hint="default" w:ascii="Times New Roman" w:hAnsi="Times New Roman" w:cs="Times New Roman"/>
                            <w:b/>
                            <w:bCs/>
                            <w:color w:val="000000" w:themeColor="text1"/>
                            <w:kern w:val="0"/>
                            <w:szCs w:val="21"/>
                            <w14:textFill>
                              <w14:solidFill>
                                <w14:schemeClr w14:val="tx1"/>
                              </w14:solidFill>
                            </w14:textFill>
                          </w:rPr>
                          <w:t>相对厂界距离（m）</w:t>
                        </w:r>
                      </w:p>
                    </w:tc>
                  </w:tr>
                  <w:tr w14:paraId="5A12FF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Merge w:val="restart"/>
                        <w:noWrap w:val="0"/>
                        <w:vAlign w:val="center"/>
                      </w:tcPr>
                      <w:p w14:paraId="7937DE17">
                        <w:pPr>
                          <w:autoSpaceDE w:val="0"/>
                          <w:autoSpaceDN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环境空气</w:t>
                        </w:r>
                      </w:p>
                    </w:tc>
                    <w:tc>
                      <w:tcPr>
                        <w:tcW w:w="0" w:type="auto"/>
                        <w:noWrap w:val="0"/>
                        <w:vAlign w:val="center"/>
                      </w:tcPr>
                      <w:p w14:paraId="1E211E85">
                        <w:pPr>
                          <w:autoSpaceDE w:val="0"/>
                          <w:autoSpaceDN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107.346951°</w:t>
                        </w:r>
                      </w:p>
                      <w:p w14:paraId="54613EBE">
                        <w:pPr>
                          <w:autoSpaceDE w:val="0"/>
                          <w:autoSpaceDN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34.520869°</w:t>
                        </w:r>
                      </w:p>
                    </w:tc>
                    <w:tc>
                      <w:tcPr>
                        <w:tcW w:w="860" w:type="dxa"/>
                        <w:noWrap w:val="0"/>
                        <w:vAlign w:val="center"/>
                      </w:tcPr>
                      <w:p w14:paraId="4BA58B7B">
                        <w:pPr>
                          <w:pStyle w:val="167"/>
                          <w:rPr>
                            <w:rFonts w:hint="default" w:ascii="Times New Roman" w:hAnsi="Times New Roman" w:eastAsia="宋体" w:cs="Times New Roman"/>
                            <w:bCs/>
                            <w:color w:val="000000" w:themeColor="text1"/>
                            <w:szCs w:val="21"/>
                            <w:lang w:val="en-US" w:eastAsia="zh-CN"/>
                            <w14:textFill>
                              <w14:solidFill>
                                <w14:schemeClr w14:val="tx1"/>
                              </w14:solidFill>
                            </w14:textFill>
                          </w:rPr>
                        </w:pPr>
                        <w:r>
                          <w:rPr>
                            <w:rFonts w:hint="default" w:ascii="Times New Roman" w:hAnsi="Times New Roman" w:cs="Times New Roman"/>
                            <w:bCs/>
                            <w:color w:val="000000" w:themeColor="text1"/>
                            <w:szCs w:val="21"/>
                            <w:lang w:val="en-US" w:eastAsia="zh-CN"/>
                            <w14:textFill>
                              <w14:solidFill>
                                <w14:schemeClr w14:val="tx1"/>
                              </w14:solidFill>
                            </w14:textFill>
                          </w:rPr>
                          <w:t>刘家村</w:t>
                        </w:r>
                      </w:p>
                    </w:tc>
                    <w:tc>
                      <w:tcPr>
                        <w:tcW w:w="726" w:type="dxa"/>
                        <w:vMerge w:val="restart"/>
                        <w:noWrap w:val="0"/>
                        <w:vAlign w:val="center"/>
                      </w:tcPr>
                      <w:p w14:paraId="13ABABC3">
                        <w:pPr>
                          <w:pStyle w:val="167"/>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人群健康</w:t>
                        </w:r>
                      </w:p>
                    </w:tc>
                    <w:tc>
                      <w:tcPr>
                        <w:tcW w:w="1995" w:type="dxa"/>
                        <w:vMerge w:val="restart"/>
                        <w:noWrap w:val="0"/>
                        <w:vAlign w:val="center"/>
                      </w:tcPr>
                      <w:p w14:paraId="07585F92">
                        <w:pPr>
                          <w:autoSpaceDE w:val="0"/>
                          <w:autoSpaceDN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《环境空气质量标准》</w:t>
                        </w:r>
                        <w:r>
                          <w:rPr>
                            <w:rFonts w:hint="default" w:ascii="Times New Roman" w:hAnsi="Times New Roman" w:cs="Times New Roman"/>
                            <w:bCs/>
                            <w:color w:val="000000" w:themeColor="text1"/>
                            <w:szCs w:val="21"/>
                            <w14:textFill>
                              <w14:solidFill>
                                <w14:schemeClr w14:val="tx1"/>
                              </w14:solidFill>
                            </w14:textFill>
                          </w:rPr>
                          <w:t>（GB</w:t>
                        </w:r>
                        <w:r>
                          <w:rPr>
                            <w:rFonts w:hint="default" w:ascii="Times New Roman" w:hAnsi="Times New Roman" w:cs="Times New Roman"/>
                            <w:bCs/>
                            <w:color w:val="000000" w:themeColor="text1"/>
                            <w:szCs w:val="21"/>
                            <w:lang w:val="en-US" w:eastAsia="zh-CN"/>
                            <w14:textFill>
                              <w14:solidFill>
                                <w14:schemeClr w14:val="tx1"/>
                              </w14:solidFill>
                            </w14:textFill>
                          </w:rPr>
                          <w:t xml:space="preserve"> </w:t>
                        </w:r>
                        <w:r>
                          <w:rPr>
                            <w:rFonts w:hint="default" w:ascii="Times New Roman" w:hAnsi="Times New Roman" w:cs="Times New Roman"/>
                            <w:bCs/>
                            <w:color w:val="000000" w:themeColor="text1"/>
                            <w:szCs w:val="21"/>
                            <w14:textFill>
                              <w14:solidFill>
                                <w14:schemeClr w14:val="tx1"/>
                              </w14:solidFill>
                            </w14:textFill>
                          </w:rPr>
                          <w:t>3095-2026）</w:t>
                        </w:r>
                        <w:r>
                          <w:rPr>
                            <w:rFonts w:hint="default" w:ascii="Times New Roman" w:hAnsi="Times New Roman" w:cs="Times New Roman"/>
                            <w:color w:val="000000" w:themeColor="text1"/>
                            <w:szCs w:val="21"/>
                            <w14:textFill>
                              <w14:solidFill>
                                <w14:schemeClr w14:val="tx1"/>
                              </w14:solidFill>
                            </w14:textFill>
                          </w:rPr>
                          <w:t>二类区</w:t>
                        </w:r>
                      </w:p>
                    </w:tc>
                    <w:tc>
                      <w:tcPr>
                        <w:tcW w:w="0" w:type="auto"/>
                        <w:noWrap w:val="0"/>
                        <w:vAlign w:val="center"/>
                      </w:tcPr>
                      <w:p w14:paraId="49306C2E">
                        <w:pPr>
                          <w:pStyle w:val="167"/>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35</w:t>
                        </w:r>
                        <w:r>
                          <w:rPr>
                            <w:rFonts w:hint="default" w:ascii="Times New Roman" w:hAnsi="Times New Roman" w:cs="Times New Roman"/>
                            <w:color w:val="000000" w:themeColor="text1"/>
                            <w:szCs w:val="21"/>
                            <w14:textFill>
                              <w14:solidFill>
                                <w14:schemeClr w14:val="tx1"/>
                              </w14:solidFill>
                            </w14:textFill>
                          </w:rPr>
                          <w:t>户，</w:t>
                        </w:r>
                        <w:r>
                          <w:rPr>
                            <w:rFonts w:hint="default" w:ascii="Times New Roman" w:hAnsi="Times New Roman" w:cs="Times New Roman"/>
                            <w:color w:val="000000" w:themeColor="text1"/>
                            <w:szCs w:val="21"/>
                            <w:lang w:val="en-US" w:eastAsia="zh-CN"/>
                            <w14:textFill>
                              <w14:solidFill>
                                <w14:schemeClr w14:val="tx1"/>
                              </w14:solidFill>
                            </w14:textFill>
                          </w:rPr>
                          <w:t>158</w:t>
                        </w:r>
                        <w:r>
                          <w:rPr>
                            <w:rFonts w:hint="default" w:ascii="Times New Roman" w:hAnsi="Times New Roman" w:cs="Times New Roman"/>
                            <w:color w:val="000000" w:themeColor="text1"/>
                            <w:szCs w:val="21"/>
                            <w14:textFill>
                              <w14:solidFill>
                                <w14:schemeClr w14:val="tx1"/>
                              </w14:solidFill>
                            </w14:textFill>
                          </w:rPr>
                          <w:t>人</w:t>
                        </w:r>
                      </w:p>
                    </w:tc>
                    <w:tc>
                      <w:tcPr>
                        <w:tcW w:w="0" w:type="auto"/>
                        <w:noWrap w:val="0"/>
                        <w:vAlign w:val="center"/>
                      </w:tcPr>
                      <w:p w14:paraId="5EB8FAA0">
                        <w:pPr>
                          <w:pStyle w:val="167"/>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北</w:t>
                        </w:r>
                      </w:p>
                    </w:tc>
                    <w:tc>
                      <w:tcPr>
                        <w:tcW w:w="0" w:type="auto"/>
                        <w:noWrap w:val="0"/>
                        <w:vAlign w:val="center"/>
                      </w:tcPr>
                      <w:p w14:paraId="77038125">
                        <w:pPr>
                          <w:pStyle w:val="167"/>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2</w:t>
                        </w:r>
                        <w:r>
                          <w:rPr>
                            <w:rFonts w:hint="eastAsia" w:ascii="Times New Roman" w:hAnsi="Times New Roman" w:cs="Times New Roman"/>
                            <w:color w:val="000000" w:themeColor="text1"/>
                            <w:szCs w:val="21"/>
                            <w:lang w:val="en-US" w:eastAsia="zh-CN"/>
                            <w14:textFill>
                              <w14:solidFill>
                                <w14:schemeClr w14:val="tx1"/>
                              </w14:solidFill>
                            </w14:textFill>
                          </w:rPr>
                          <w:t>72</w:t>
                        </w:r>
                      </w:p>
                    </w:tc>
                  </w:tr>
                  <w:tr w14:paraId="3DDCC3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Merge w:val="continue"/>
                        <w:noWrap w:val="0"/>
                        <w:vAlign w:val="center"/>
                      </w:tcPr>
                      <w:p w14:paraId="3E498F52">
                        <w:pPr>
                          <w:autoSpaceDE w:val="0"/>
                          <w:autoSpaceDN w:val="0"/>
                          <w:jc w:val="center"/>
                          <w:rPr>
                            <w:rFonts w:hint="default" w:ascii="Times New Roman" w:hAnsi="Times New Roman" w:cs="Times New Roman"/>
                            <w:color w:val="000000" w:themeColor="text1"/>
                            <w:szCs w:val="21"/>
                            <w14:textFill>
                              <w14:solidFill>
                                <w14:schemeClr w14:val="tx1"/>
                              </w14:solidFill>
                            </w14:textFill>
                          </w:rPr>
                        </w:pPr>
                      </w:p>
                    </w:tc>
                    <w:tc>
                      <w:tcPr>
                        <w:tcW w:w="0" w:type="auto"/>
                        <w:noWrap w:val="0"/>
                        <w:vAlign w:val="center"/>
                      </w:tcPr>
                      <w:p w14:paraId="6BC05C17">
                        <w:pPr>
                          <w:autoSpaceDE w:val="0"/>
                          <w:autoSpaceDN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107.349225°</w:t>
                        </w:r>
                      </w:p>
                      <w:p w14:paraId="3A5F7D56">
                        <w:pPr>
                          <w:autoSpaceDE w:val="0"/>
                          <w:autoSpaceDN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34.519906°</w:t>
                        </w:r>
                      </w:p>
                    </w:tc>
                    <w:tc>
                      <w:tcPr>
                        <w:tcW w:w="860" w:type="dxa"/>
                        <w:noWrap w:val="0"/>
                        <w:vAlign w:val="center"/>
                      </w:tcPr>
                      <w:p w14:paraId="25537470">
                        <w:pPr>
                          <w:pStyle w:val="167"/>
                          <w:rPr>
                            <w:rFonts w:hint="default" w:ascii="Times New Roman" w:hAnsi="Times New Roman" w:cs="Times New Roman"/>
                            <w:bCs/>
                            <w:color w:val="000000" w:themeColor="text1"/>
                            <w:szCs w:val="21"/>
                            <w:lang w:val="en-US" w:eastAsia="zh-CN"/>
                            <w14:textFill>
                              <w14:solidFill>
                                <w14:schemeClr w14:val="tx1"/>
                              </w14:solidFill>
                            </w14:textFill>
                          </w:rPr>
                        </w:pPr>
                        <w:r>
                          <w:rPr>
                            <w:rFonts w:hint="default" w:ascii="Times New Roman" w:hAnsi="Times New Roman" w:cs="Times New Roman"/>
                            <w:bCs/>
                            <w:color w:val="000000" w:themeColor="text1"/>
                            <w:szCs w:val="21"/>
                            <w:lang w:val="en-US" w:eastAsia="zh-CN"/>
                            <w14:textFill>
                              <w14:solidFill>
                                <w14:schemeClr w14:val="tx1"/>
                              </w14:solidFill>
                            </w14:textFill>
                          </w:rPr>
                          <w:t>刘家村</w:t>
                        </w:r>
                      </w:p>
                    </w:tc>
                    <w:tc>
                      <w:tcPr>
                        <w:tcW w:w="726" w:type="dxa"/>
                        <w:vMerge w:val="continue"/>
                        <w:noWrap w:val="0"/>
                        <w:vAlign w:val="center"/>
                      </w:tcPr>
                      <w:p w14:paraId="5CC86648">
                        <w:pPr>
                          <w:pStyle w:val="167"/>
                          <w:rPr>
                            <w:rFonts w:hint="default" w:ascii="Times New Roman" w:hAnsi="Times New Roman" w:cs="Times New Roman"/>
                            <w:color w:val="000000" w:themeColor="text1"/>
                            <w:szCs w:val="21"/>
                            <w14:textFill>
                              <w14:solidFill>
                                <w14:schemeClr w14:val="tx1"/>
                              </w14:solidFill>
                            </w14:textFill>
                          </w:rPr>
                        </w:pPr>
                      </w:p>
                    </w:tc>
                    <w:tc>
                      <w:tcPr>
                        <w:tcW w:w="1995" w:type="dxa"/>
                        <w:vMerge w:val="continue"/>
                        <w:noWrap w:val="0"/>
                        <w:vAlign w:val="center"/>
                      </w:tcPr>
                      <w:p w14:paraId="67EFF99C">
                        <w:pPr>
                          <w:autoSpaceDE w:val="0"/>
                          <w:autoSpaceDN w:val="0"/>
                          <w:jc w:val="center"/>
                          <w:rPr>
                            <w:rFonts w:hint="default" w:ascii="Times New Roman" w:hAnsi="Times New Roman" w:cs="Times New Roman"/>
                            <w:color w:val="000000" w:themeColor="text1"/>
                            <w:szCs w:val="21"/>
                            <w14:textFill>
                              <w14:solidFill>
                                <w14:schemeClr w14:val="tx1"/>
                              </w14:solidFill>
                            </w14:textFill>
                          </w:rPr>
                        </w:pPr>
                      </w:p>
                    </w:tc>
                    <w:tc>
                      <w:tcPr>
                        <w:tcW w:w="0" w:type="auto"/>
                        <w:noWrap w:val="0"/>
                        <w:vAlign w:val="center"/>
                      </w:tcPr>
                      <w:p w14:paraId="5C4D137E">
                        <w:pPr>
                          <w:pStyle w:val="167"/>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135</w:t>
                        </w:r>
                        <w:r>
                          <w:rPr>
                            <w:rFonts w:hint="default" w:ascii="Times New Roman" w:hAnsi="Times New Roman" w:cs="Times New Roman"/>
                            <w:color w:val="000000" w:themeColor="text1"/>
                            <w:szCs w:val="21"/>
                            <w14:textFill>
                              <w14:solidFill>
                                <w14:schemeClr w14:val="tx1"/>
                              </w14:solidFill>
                            </w14:textFill>
                          </w:rPr>
                          <w:t>户，</w:t>
                        </w:r>
                        <w:r>
                          <w:rPr>
                            <w:rFonts w:hint="default" w:ascii="Times New Roman" w:hAnsi="Times New Roman" w:cs="Times New Roman"/>
                            <w:color w:val="000000" w:themeColor="text1"/>
                            <w:szCs w:val="21"/>
                            <w:lang w:val="en-US" w:eastAsia="zh-CN"/>
                            <w14:textFill>
                              <w14:solidFill>
                                <w14:schemeClr w14:val="tx1"/>
                              </w14:solidFill>
                            </w14:textFill>
                          </w:rPr>
                          <w:t>608</w:t>
                        </w:r>
                        <w:r>
                          <w:rPr>
                            <w:rFonts w:hint="default" w:ascii="Times New Roman" w:hAnsi="Times New Roman" w:cs="Times New Roman"/>
                            <w:color w:val="000000" w:themeColor="text1"/>
                            <w:szCs w:val="21"/>
                            <w14:textFill>
                              <w14:solidFill>
                                <w14:schemeClr w14:val="tx1"/>
                              </w14:solidFill>
                            </w14:textFill>
                          </w:rPr>
                          <w:t>人</w:t>
                        </w:r>
                      </w:p>
                    </w:tc>
                    <w:tc>
                      <w:tcPr>
                        <w:tcW w:w="0" w:type="auto"/>
                        <w:noWrap w:val="0"/>
                        <w:vAlign w:val="center"/>
                      </w:tcPr>
                      <w:p w14:paraId="5183A56A">
                        <w:pPr>
                          <w:pStyle w:val="167"/>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东北</w:t>
                        </w:r>
                      </w:p>
                    </w:tc>
                    <w:tc>
                      <w:tcPr>
                        <w:tcW w:w="0" w:type="auto"/>
                        <w:noWrap w:val="0"/>
                        <w:vAlign w:val="center"/>
                      </w:tcPr>
                      <w:p w14:paraId="1EE7BEC7">
                        <w:pPr>
                          <w:pStyle w:val="167"/>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2</w:t>
                        </w:r>
                        <w:r>
                          <w:rPr>
                            <w:rFonts w:hint="eastAsia" w:ascii="Times New Roman" w:hAnsi="Times New Roman" w:cs="Times New Roman"/>
                            <w:color w:val="000000" w:themeColor="text1"/>
                            <w:szCs w:val="21"/>
                            <w:lang w:val="en-US" w:eastAsia="zh-CN"/>
                            <w14:textFill>
                              <w14:solidFill>
                                <w14:schemeClr w14:val="tx1"/>
                              </w14:solidFill>
                            </w14:textFill>
                          </w:rPr>
                          <w:t>32</w:t>
                        </w:r>
                      </w:p>
                    </w:tc>
                  </w:tr>
                  <w:tr w14:paraId="629CF0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Merge w:val="continue"/>
                        <w:noWrap w:val="0"/>
                        <w:vAlign w:val="center"/>
                      </w:tcPr>
                      <w:p w14:paraId="4AD30034">
                        <w:pPr>
                          <w:autoSpaceDE w:val="0"/>
                          <w:autoSpaceDN w:val="0"/>
                          <w:jc w:val="center"/>
                          <w:rPr>
                            <w:rFonts w:hint="default" w:ascii="Times New Roman" w:hAnsi="Times New Roman" w:cs="Times New Roman"/>
                            <w:color w:val="000000" w:themeColor="text1"/>
                            <w:szCs w:val="21"/>
                            <w14:textFill>
                              <w14:solidFill>
                                <w14:schemeClr w14:val="tx1"/>
                              </w14:solidFill>
                            </w14:textFill>
                          </w:rPr>
                        </w:pPr>
                      </w:p>
                    </w:tc>
                    <w:tc>
                      <w:tcPr>
                        <w:tcW w:w="0" w:type="auto"/>
                        <w:noWrap w:val="0"/>
                        <w:vAlign w:val="center"/>
                      </w:tcPr>
                      <w:p w14:paraId="02C78E65">
                        <w:pPr>
                          <w:autoSpaceDE w:val="0"/>
                          <w:autoSpaceDN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107.351156°</w:t>
                        </w:r>
                      </w:p>
                      <w:p w14:paraId="248F9FD4">
                        <w:pPr>
                          <w:autoSpaceDE w:val="0"/>
                          <w:autoSpaceDN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34.518253°</w:t>
                        </w:r>
                      </w:p>
                    </w:tc>
                    <w:tc>
                      <w:tcPr>
                        <w:tcW w:w="860" w:type="dxa"/>
                        <w:noWrap w:val="0"/>
                        <w:vAlign w:val="center"/>
                      </w:tcPr>
                      <w:p w14:paraId="7B391177">
                        <w:pPr>
                          <w:pStyle w:val="167"/>
                          <w:rPr>
                            <w:rFonts w:hint="default" w:ascii="Times New Roman" w:hAnsi="Times New Roman" w:cs="Times New Roman"/>
                            <w:bCs/>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刘家村</w:t>
                        </w:r>
                      </w:p>
                    </w:tc>
                    <w:tc>
                      <w:tcPr>
                        <w:tcW w:w="726" w:type="dxa"/>
                        <w:vMerge w:val="continue"/>
                        <w:noWrap w:val="0"/>
                        <w:vAlign w:val="center"/>
                      </w:tcPr>
                      <w:p w14:paraId="7E19D7BD">
                        <w:pPr>
                          <w:pStyle w:val="167"/>
                          <w:rPr>
                            <w:rFonts w:hint="default" w:ascii="Times New Roman" w:hAnsi="Times New Roman" w:cs="Times New Roman"/>
                            <w:color w:val="000000" w:themeColor="text1"/>
                            <w:szCs w:val="21"/>
                            <w14:textFill>
                              <w14:solidFill>
                                <w14:schemeClr w14:val="tx1"/>
                              </w14:solidFill>
                            </w14:textFill>
                          </w:rPr>
                        </w:pPr>
                      </w:p>
                    </w:tc>
                    <w:tc>
                      <w:tcPr>
                        <w:tcW w:w="1995" w:type="dxa"/>
                        <w:vMerge w:val="continue"/>
                        <w:noWrap w:val="0"/>
                        <w:vAlign w:val="center"/>
                      </w:tcPr>
                      <w:p w14:paraId="30E61CBB">
                        <w:pPr>
                          <w:autoSpaceDE w:val="0"/>
                          <w:autoSpaceDN w:val="0"/>
                          <w:jc w:val="center"/>
                          <w:rPr>
                            <w:rFonts w:hint="default" w:ascii="Times New Roman" w:hAnsi="Times New Roman" w:cs="Times New Roman"/>
                            <w:color w:val="000000" w:themeColor="text1"/>
                            <w:szCs w:val="21"/>
                            <w14:textFill>
                              <w14:solidFill>
                                <w14:schemeClr w14:val="tx1"/>
                              </w14:solidFill>
                            </w14:textFill>
                          </w:rPr>
                        </w:pPr>
                      </w:p>
                    </w:tc>
                    <w:tc>
                      <w:tcPr>
                        <w:tcW w:w="0" w:type="auto"/>
                        <w:noWrap w:val="0"/>
                        <w:vAlign w:val="center"/>
                      </w:tcPr>
                      <w:p w14:paraId="74427761">
                        <w:pPr>
                          <w:pStyle w:val="167"/>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25</w:t>
                        </w:r>
                        <w:r>
                          <w:rPr>
                            <w:rFonts w:hint="default" w:ascii="Times New Roman" w:hAnsi="Times New Roman" w:cs="Times New Roman"/>
                            <w:color w:val="000000" w:themeColor="text1"/>
                            <w:szCs w:val="21"/>
                            <w14:textFill>
                              <w14:solidFill>
                                <w14:schemeClr w14:val="tx1"/>
                              </w14:solidFill>
                            </w14:textFill>
                          </w:rPr>
                          <w:t>户，</w:t>
                        </w:r>
                        <w:r>
                          <w:rPr>
                            <w:rFonts w:hint="default" w:ascii="Times New Roman" w:hAnsi="Times New Roman" w:cs="Times New Roman"/>
                            <w:color w:val="000000" w:themeColor="text1"/>
                            <w:szCs w:val="21"/>
                            <w:lang w:val="en-US" w:eastAsia="zh-CN"/>
                            <w14:textFill>
                              <w14:solidFill>
                                <w14:schemeClr w14:val="tx1"/>
                              </w14:solidFill>
                            </w14:textFill>
                          </w:rPr>
                          <w:t>113</w:t>
                        </w:r>
                        <w:r>
                          <w:rPr>
                            <w:rFonts w:hint="default" w:ascii="Times New Roman" w:hAnsi="Times New Roman" w:cs="Times New Roman"/>
                            <w:color w:val="000000" w:themeColor="text1"/>
                            <w:szCs w:val="21"/>
                            <w14:textFill>
                              <w14:solidFill>
                                <w14:schemeClr w14:val="tx1"/>
                              </w14:solidFill>
                            </w14:textFill>
                          </w:rPr>
                          <w:t>人</w:t>
                        </w:r>
                      </w:p>
                    </w:tc>
                    <w:tc>
                      <w:tcPr>
                        <w:tcW w:w="0" w:type="auto"/>
                        <w:noWrap w:val="0"/>
                        <w:vAlign w:val="center"/>
                      </w:tcPr>
                      <w:p w14:paraId="31323E48">
                        <w:pPr>
                          <w:pStyle w:val="167"/>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东</w:t>
                        </w:r>
                      </w:p>
                    </w:tc>
                    <w:tc>
                      <w:tcPr>
                        <w:tcW w:w="0" w:type="auto"/>
                        <w:noWrap w:val="0"/>
                        <w:vAlign w:val="center"/>
                      </w:tcPr>
                      <w:p w14:paraId="69374541">
                        <w:pPr>
                          <w:pStyle w:val="167"/>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313</w:t>
                        </w:r>
                      </w:p>
                    </w:tc>
                  </w:tr>
                </w:tbl>
                <w:p w14:paraId="16887592">
                  <w:pPr>
                    <w:rPr>
                      <w:rFonts w:hint="default" w:ascii="Times New Roman" w:hAnsi="Times New Roman" w:cs="Times New Roman"/>
                      <w:color w:val="000000" w:themeColor="text1"/>
                      <w:highlight w:val="green"/>
                      <w14:textFill>
                        <w14:solidFill>
                          <w14:schemeClr w14:val="tx1"/>
                        </w14:solidFill>
                      </w14:textFill>
                    </w:rPr>
                  </w:pPr>
                </w:p>
              </w:tc>
            </w:tr>
          </w:tbl>
          <w:p w14:paraId="24D22086">
            <w:pPr>
              <w:widowControl/>
              <w:adjustRightInd w:val="0"/>
              <w:snapToGrid w:val="0"/>
              <w:spacing w:line="360" w:lineRule="auto"/>
              <w:ind w:firstLine="482"/>
              <w:rPr>
                <w:rFonts w:hint="default" w:ascii="Times New Roman" w:hAnsi="Times New Roman" w:cs="Times New Roman"/>
                <w:color w:val="000000" w:themeColor="text1"/>
                <w:kern w:val="0"/>
                <w:szCs w:val="21"/>
                <w14:textFill>
                  <w14:solidFill>
                    <w14:schemeClr w14:val="tx1"/>
                  </w14:solidFill>
                </w14:textFill>
              </w:rPr>
            </w:pPr>
          </w:p>
        </w:tc>
      </w:tr>
      <w:tr w14:paraId="7793EA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159" w:hRule="atLeast"/>
          <w:jc w:val="center"/>
        </w:trPr>
        <w:tc>
          <w:tcPr>
            <w:tcW w:w="475" w:type="dxa"/>
            <w:noWrap w:val="0"/>
            <w:tcMar>
              <w:left w:w="28" w:type="dxa"/>
              <w:right w:w="28" w:type="dxa"/>
            </w:tcMar>
            <w:vAlign w:val="center"/>
          </w:tcPr>
          <w:p w14:paraId="02DA9AEE">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污染物排</w:t>
            </w:r>
          </w:p>
          <w:p w14:paraId="4702E09C">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放控</w:t>
            </w:r>
          </w:p>
          <w:p w14:paraId="44060E60">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制标</w:t>
            </w:r>
          </w:p>
          <w:p w14:paraId="6B7F9BE7">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准</w:t>
            </w:r>
          </w:p>
        </w:tc>
        <w:tc>
          <w:tcPr>
            <w:tcW w:w="8586" w:type="dxa"/>
            <w:noWrap w:val="0"/>
            <w:vAlign w:val="center"/>
          </w:tcPr>
          <w:p w14:paraId="2EE7532D">
            <w:pPr>
              <w:widowControl/>
              <w:spacing w:line="360" w:lineRule="auto"/>
              <w:ind w:firstLine="482" w:firstLineChars="200"/>
              <w:rPr>
                <w:rFonts w:hint="default" w:ascii="Times New Roman" w:hAnsi="Times New Roman" w:cs="Times New Roman"/>
                <w:b/>
                <w:bCs/>
                <w:color w:val="000000" w:themeColor="text1"/>
                <w:sz w:val="24"/>
                <w14:textFill>
                  <w14:solidFill>
                    <w14:schemeClr w14:val="tx1"/>
                  </w14:solidFill>
                </w14:textFill>
              </w:rPr>
            </w:pPr>
            <w:r>
              <w:rPr>
                <w:rFonts w:hint="default" w:ascii="Times New Roman" w:hAnsi="Times New Roman" w:cs="Times New Roman"/>
                <w:b/>
                <w:bCs/>
                <w:color w:val="000000" w:themeColor="text1"/>
                <w:sz w:val="24"/>
                <w:lang w:eastAsia="zh-CN"/>
                <w14:textFill>
                  <w14:solidFill>
                    <w14:schemeClr w14:val="tx1"/>
                  </w14:solidFill>
                </w14:textFill>
              </w:rPr>
              <w:t>1.</w:t>
            </w:r>
            <w:r>
              <w:rPr>
                <w:rFonts w:hint="default" w:ascii="Times New Roman" w:hAnsi="Times New Roman" w:cs="Times New Roman"/>
                <w:b/>
                <w:bCs/>
                <w:color w:val="000000" w:themeColor="text1"/>
                <w:sz w:val="24"/>
                <w14:textFill>
                  <w14:solidFill>
                    <w14:schemeClr w14:val="tx1"/>
                  </w14:solidFill>
                </w14:textFill>
              </w:rPr>
              <w:t>废气排放标准</w:t>
            </w:r>
          </w:p>
          <w:p w14:paraId="263A5156">
            <w:pPr>
              <w:keepNext w:val="0"/>
              <w:keepLines w:val="0"/>
              <w:widowControl/>
              <w:numPr>
                <w:ilvl w:val="0"/>
                <w:numId w:val="0"/>
              </w:numPr>
              <w:suppressLineNumbers w:val="0"/>
              <w:adjustRightInd/>
              <w:snapToGrid/>
              <w:spacing w:before="0" w:beforeAutospacing="0" w:after="0" w:afterAutospacing="0" w:line="360" w:lineRule="auto"/>
              <w:ind w:left="0" w:right="0" w:firstLine="480" w:firstLineChars="200"/>
              <w:jc w:val="left"/>
              <w:rPr>
                <w:rFonts w:hint="default" w:ascii="Times New Roman" w:hAnsi="Times New Roman" w:cs="Times New Roman"/>
                <w:color w:val="000000" w:themeColor="text1"/>
                <w:kern w:val="0"/>
                <w:sz w:val="24"/>
                <w14:textFill>
                  <w14:solidFill>
                    <w14:schemeClr w14:val="tx1"/>
                  </w14:solidFill>
                </w14:textFill>
              </w:rPr>
            </w:pPr>
            <w:r>
              <w:rPr>
                <w:rFonts w:hint="default" w:ascii="Times New Roman" w:hAnsi="Times New Roman" w:cs="Times New Roman"/>
                <w:color w:val="000000" w:themeColor="text1"/>
                <w:kern w:val="0"/>
                <w:sz w:val="24"/>
                <w:szCs w:val="24"/>
                <w:lang w:val="en-US" w:eastAsia="zh-CN" w:bidi="ar-SA"/>
                <w14:textFill>
                  <w14:solidFill>
                    <w14:schemeClr w14:val="tx1"/>
                  </w14:solidFill>
                </w14:textFill>
              </w:rPr>
              <w:t>①</w:t>
            </w:r>
            <w:r>
              <w:rPr>
                <w:rFonts w:hint="default" w:ascii="Times New Roman" w:hAnsi="Times New Roman" w:eastAsia="宋体" w:cs="Times New Roman"/>
                <w:color w:val="000000" w:themeColor="text1"/>
                <w:kern w:val="0"/>
                <w:sz w:val="24"/>
                <w:szCs w:val="24"/>
                <w:lang w:val="en-US" w:eastAsia="zh-CN" w:bidi="ar-SA"/>
                <w14:textFill>
                  <w14:solidFill>
                    <w14:schemeClr w14:val="tx1"/>
                  </w14:solidFill>
                </w14:textFill>
              </w:rPr>
              <w:t>本项目废气主要污染物为</w:t>
            </w:r>
            <w:r>
              <w:rPr>
                <w:rFonts w:hint="default" w:ascii="Times New Roman" w:hAnsi="Times New Roman" w:cs="Times New Roman"/>
                <w:color w:val="000000" w:themeColor="text1"/>
                <w:kern w:val="0"/>
                <w:sz w:val="24"/>
                <w:szCs w:val="24"/>
                <w:lang w:val="en-US" w:eastAsia="zh-CN" w:bidi="ar-SA"/>
                <w14:textFill>
                  <w14:solidFill>
                    <w14:schemeClr w14:val="tx1"/>
                  </w14:solidFill>
                </w14:textFill>
              </w:rPr>
              <w:t>颗粒物、</w:t>
            </w:r>
            <w:r>
              <w:rPr>
                <w:rFonts w:hint="default" w:ascii="Times New Roman" w:hAnsi="Times New Roman" w:eastAsia="宋体" w:cs="Times New Roman"/>
                <w:color w:val="000000" w:themeColor="text1"/>
                <w:kern w:val="0"/>
                <w:sz w:val="24"/>
                <w:szCs w:val="24"/>
                <w:lang w:val="en-US" w:eastAsia="zh-CN" w:bidi="ar-SA"/>
                <w14:textFill>
                  <w14:solidFill>
                    <w14:schemeClr w14:val="tx1"/>
                  </w14:solidFill>
                </w14:textFill>
              </w:rPr>
              <w:t>锡及其化合物、VOCs （以非甲烷总烃计）</w:t>
            </w:r>
            <w:r>
              <w:rPr>
                <w:rFonts w:hint="default" w:ascii="Times New Roman" w:hAnsi="Times New Roman" w:cs="Times New Roman"/>
                <w:color w:val="000000" w:themeColor="text1"/>
                <w:kern w:val="0"/>
                <w:sz w:val="24"/>
                <w:szCs w:val="24"/>
                <w:lang w:val="en-US" w:eastAsia="zh-CN" w:bidi="ar-SA"/>
                <w14:textFill>
                  <w14:solidFill>
                    <w14:schemeClr w14:val="tx1"/>
                  </w14:solidFill>
                </w14:textFill>
              </w:rPr>
              <w:t>。颗粒物、</w:t>
            </w:r>
            <w:r>
              <w:rPr>
                <w:rFonts w:hint="default" w:ascii="Times New Roman" w:hAnsi="Times New Roman" w:eastAsia="宋体" w:cs="Times New Roman"/>
                <w:color w:val="000000" w:themeColor="text1"/>
                <w:kern w:val="0"/>
                <w:sz w:val="24"/>
                <w:szCs w:val="24"/>
                <w:lang w:val="en-US" w:eastAsia="zh-CN" w:bidi="ar-SA"/>
                <w14:textFill>
                  <w14:solidFill>
                    <w14:schemeClr w14:val="tx1"/>
                  </w14:solidFill>
                </w14:textFill>
              </w:rPr>
              <w:t>锡及其化合物</w:t>
            </w:r>
            <w:r>
              <w:rPr>
                <w:rFonts w:hint="default" w:ascii="Times New Roman" w:hAnsi="Times New Roman" w:cs="Times New Roman"/>
                <w:color w:val="000000" w:themeColor="text1"/>
                <w:kern w:val="0"/>
                <w:sz w:val="24"/>
                <w:szCs w:val="24"/>
                <w:lang w:val="en-US" w:eastAsia="zh-CN" w:bidi="ar-SA"/>
                <w14:textFill>
                  <w14:solidFill>
                    <w14:schemeClr w14:val="tx1"/>
                  </w14:solidFill>
                </w14:textFill>
              </w:rPr>
              <w:t>排放</w:t>
            </w:r>
            <w:r>
              <w:rPr>
                <w:rFonts w:hint="default" w:ascii="Times New Roman" w:hAnsi="Times New Roman" w:eastAsia="宋体" w:cs="Times New Roman"/>
                <w:color w:val="000000" w:themeColor="text1"/>
                <w:kern w:val="0"/>
                <w:sz w:val="24"/>
                <w:szCs w:val="24"/>
                <w:lang w:val="en-US" w:eastAsia="zh-CN" w:bidi="ar-SA"/>
                <w14:textFill>
                  <w14:solidFill>
                    <w14:schemeClr w14:val="tx1"/>
                  </w14:solidFill>
                </w14:textFill>
              </w:rPr>
              <w:t>执行《大气污染物综合排放标准》(GB</w:t>
            </w:r>
            <w:r>
              <w:rPr>
                <w:rFonts w:hint="eastAsia" w:cs="Times New Roman"/>
                <w:color w:val="000000" w:themeColor="text1"/>
                <w:kern w:val="0"/>
                <w:sz w:val="24"/>
                <w:szCs w:val="24"/>
                <w:lang w:val="en-US" w:eastAsia="zh-CN" w:bidi="ar-SA"/>
                <w14:textFill>
                  <w14:solidFill>
                    <w14:schemeClr w14:val="tx1"/>
                  </w14:solidFill>
                </w14:textFill>
              </w:rPr>
              <w:t xml:space="preserve"> </w:t>
            </w:r>
            <w:r>
              <w:rPr>
                <w:rFonts w:hint="default" w:ascii="Times New Roman" w:hAnsi="Times New Roman" w:eastAsia="宋体" w:cs="Times New Roman"/>
                <w:color w:val="000000" w:themeColor="text1"/>
                <w:kern w:val="0"/>
                <w:sz w:val="24"/>
                <w:szCs w:val="24"/>
                <w:lang w:val="en-US" w:eastAsia="zh-CN" w:bidi="ar-SA"/>
                <w14:textFill>
                  <w14:solidFill>
                    <w14:schemeClr w14:val="tx1"/>
                  </w14:solidFill>
                </w14:textFill>
              </w:rPr>
              <w:t>16297-1996)表2中</w:t>
            </w:r>
            <w:r>
              <w:rPr>
                <w:rFonts w:hint="default" w:ascii="Times New Roman" w:hAnsi="Times New Roman" w:cs="Times New Roman"/>
                <w:color w:val="000000" w:themeColor="text1"/>
                <w:kern w:val="0"/>
                <w:sz w:val="24"/>
                <w:szCs w:val="24"/>
                <w:lang w:val="en-US" w:eastAsia="zh-CN" w:bidi="ar-SA"/>
                <w14:textFill>
                  <w14:solidFill>
                    <w14:schemeClr w14:val="tx1"/>
                  </w14:solidFill>
                </w14:textFill>
              </w:rPr>
              <w:t>二级</w:t>
            </w:r>
            <w:r>
              <w:rPr>
                <w:rFonts w:hint="default" w:ascii="Times New Roman" w:hAnsi="Times New Roman" w:eastAsia="宋体" w:cs="Times New Roman"/>
                <w:color w:val="000000" w:themeColor="text1"/>
                <w:kern w:val="0"/>
                <w:sz w:val="24"/>
                <w:szCs w:val="24"/>
                <w:lang w:val="en-US" w:eastAsia="zh-CN" w:bidi="ar-SA"/>
                <w14:textFill>
                  <w14:solidFill>
                    <w14:schemeClr w14:val="tx1"/>
                  </w14:solidFill>
                </w14:textFill>
              </w:rPr>
              <w:t>标准排放限值</w:t>
            </w:r>
            <w:r>
              <w:rPr>
                <w:rFonts w:hint="default" w:ascii="Times New Roman" w:hAnsi="Times New Roman" w:cs="Times New Roman"/>
                <w:color w:val="000000" w:themeColor="text1"/>
                <w:kern w:val="0"/>
                <w:sz w:val="24"/>
                <w:szCs w:val="24"/>
                <w:lang w:val="en-US" w:eastAsia="zh-CN" w:bidi="ar-SA"/>
                <w14:textFill>
                  <w14:solidFill>
                    <w14:schemeClr w14:val="tx1"/>
                  </w14:solidFill>
                </w14:textFill>
              </w:rPr>
              <w:t>及无组织排放监控浓度限值</w:t>
            </w:r>
            <w:r>
              <w:rPr>
                <w:rFonts w:hint="default" w:ascii="Times New Roman" w:hAnsi="Times New Roman" w:eastAsia="宋体" w:cs="Times New Roman"/>
                <w:color w:val="000000" w:themeColor="text1"/>
                <w:kern w:val="0"/>
                <w:sz w:val="24"/>
                <w:szCs w:val="24"/>
                <w:lang w:val="en-US" w:eastAsia="zh-CN" w:bidi="ar-SA"/>
                <w14:textFill>
                  <w14:solidFill>
                    <w14:schemeClr w14:val="tx1"/>
                  </w14:solidFill>
                </w14:textFill>
              </w:rPr>
              <w:t>，非甲烷总烃</w:t>
            </w:r>
            <w:r>
              <w:rPr>
                <w:rFonts w:hint="default" w:ascii="Times New Roman" w:hAnsi="Times New Roman" w:cs="Times New Roman"/>
                <w:color w:val="000000" w:themeColor="text1"/>
                <w:kern w:val="0"/>
                <w:sz w:val="24"/>
                <w:szCs w:val="24"/>
                <w:lang w:val="en-US" w:eastAsia="zh-CN" w:bidi="ar-SA"/>
                <w14:textFill>
                  <w14:solidFill>
                    <w14:schemeClr w14:val="tx1"/>
                  </w14:solidFill>
                </w14:textFill>
              </w:rPr>
              <w:t>执行</w:t>
            </w:r>
            <w:r>
              <w:rPr>
                <w:rFonts w:hint="default" w:ascii="Times New Roman" w:hAnsi="Times New Roman" w:cs="Times New Roman"/>
                <w:bCs/>
                <w:color w:val="000000" w:themeColor="text1"/>
                <w:sz w:val="24"/>
                <w14:textFill>
                  <w14:solidFill>
                    <w14:schemeClr w14:val="tx1"/>
                  </w14:solidFill>
                </w14:textFill>
              </w:rPr>
              <w:t>陕西省《挥发性有机物排放控制标准》（DB61//T 1061-2017）表1电子产品制造</w:t>
            </w:r>
            <w:r>
              <w:rPr>
                <w:rFonts w:hint="default" w:ascii="Times New Roman" w:hAnsi="Times New Roman" w:cs="Times New Roman"/>
                <w:bCs/>
                <w:color w:val="000000" w:themeColor="text1"/>
                <w:sz w:val="24"/>
                <w:lang w:eastAsia="zh-CN"/>
                <w14:textFill>
                  <w14:solidFill>
                    <w14:schemeClr w14:val="tx1"/>
                  </w14:solidFill>
                </w14:textFill>
              </w:rPr>
              <w:t>行业</w:t>
            </w:r>
            <w:r>
              <w:rPr>
                <w:rFonts w:hint="default" w:ascii="Times New Roman" w:hAnsi="Times New Roman" w:cs="Times New Roman"/>
                <w:bCs/>
                <w:color w:val="000000" w:themeColor="text1"/>
                <w:sz w:val="24"/>
                <w14:textFill>
                  <w14:solidFill>
                    <w14:schemeClr w14:val="tx1"/>
                  </w14:solidFill>
                </w14:textFill>
              </w:rPr>
              <w:t>有组织排放限值、表3企业边界监控点浓度限值</w:t>
            </w:r>
            <w:r>
              <w:rPr>
                <w:rFonts w:hint="default" w:ascii="Times New Roman" w:hAnsi="Times New Roman" w:cs="Times New Roman"/>
                <w:bCs/>
                <w:color w:val="000000" w:themeColor="text1"/>
                <w:sz w:val="24"/>
                <w:lang w:eastAsia="zh-CN"/>
                <w14:textFill>
                  <w14:solidFill>
                    <w14:schemeClr w14:val="tx1"/>
                  </w14:solidFill>
                </w14:textFill>
              </w:rPr>
              <w:t>及《挥发性有机物无组织排放控制标准》（GB</w:t>
            </w:r>
            <w:r>
              <w:rPr>
                <w:rFonts w:hint="eastAsia" w:cs="Times New Roman"/>
                <w:bCs/>
                <w:color w:val="000000" w:themeColor="text1"/>
                <w:sz w:val="24"/>
                <w:lang w:val="en-US" w:eastAsia="zh-CN"/>
                <w14:textFill>
                  <w14:solidFill>
                    <w14:schemeClr w14:val="tx1"/>
                  </w14:solidFill>
                </w14:textFill>
              </w:rPr>
              <w:t xml:space="preserve"> </w:t>
            </w:r>
            <w:r>
              <w:rPr>
                <w:rFonts w:hint="default" w:ascii="Times New Roman" w:hAnsi="Times New Roman" w:cs="Times New Roman"/>
                <w:bCs/>
                <w:color w:val="000000" w:themeColor="text1"/>
                <w:sz w:val="24"/>
                <w:lang w:val="en-US" w:eastAsia="zh-CN"/>
                <w14:textFill>
                  <w14:solidFill>
                    <w14:schemeClr w14:val="tx1"/>
                  </w14:solidFill>
                </w14:textFill>
              </w:rPr>
              <w:t>3</w:t>
            </w:r>
            <w:r>
              <w:rPr>
                <w:rFonts w:hint="default" w:ascii="Times New Roman" w:hAnsi="Times New Roman" w:cs="Times New Roman"/>
                <w:bCs/>
                <w:color w:val="000000" w:themeColor="text1"/>
                <w:sz w:val="24"/>
                <w:lang w:eastAsia="zh-CN"/>
                <w14:textFill>
                  <w14:solidFill>
                    <w14:schemeClr w14:val="tx1"/>
                  </w14:solidFill>
                </w14:textFill>
              </w:rPr>
              <w:t>7822-2019）附录A表A.1中厂区内</w:t>
            </w:r>
            <w:r>
              <w:rPr>
                <w:rFonts w:hint="default" w:ascii="Times New Roman" w:hAnsi="Times New Roman" w:cs="Times New Roman"/>
                <w:bCs/>
                <w:color w:val="000000" w:themeColor="text1"/>
                <w:sz w:val="24"/>
                <w:lang w:val="en-US" w:eastAsia="zh-CN"/>
                <w14:textFill>
                  <w14:solidFill>
                    <w14:schemeClr w14:val="tx1"/>
                  </w14:solidFill>
                </w14:textFill>
              </w:rPr>
              <w:t>VOCs</w:t>
            </w:r>
            <w:r>
              <w:rPr>
                <w:rFonts w:hint="default" w:ascii="Times New Roman" w:hAnsi="Times New Roman" w:cs="Times New Roman"/>
                <w:bCs/>
                <w:color w:val="000000" w:themeColor="text1"/>
                <w:sz w:val="24"/>
                <w:lang w:eastAsia="zh-CN"/>
                <w14:textFill>
                  <w14:solidFill>
                    <w14:schemeClr w14:val="tx1"/>
                  </w14:solidFill>
                </w14:textFill>
              </w:rPr>
              <w:t>无组织排放限值。</w:t>
            </w:r>
            <w:r>
              <w:rPr>
                <w:rFonts w:hint="default" w:ascii="Times New Roman" w:hAnsi="Times New Roman" w:eastAsia="宋体" w:cs="Times New Roman"/>
                <w:color w:val="000000" w:themeColor="text1"/>
                <w:kern w:val="0"/>
                <w:sz w:val="24"/>
                <w:szCs w:val="24"/>
                <w:lang w:val="en-US" w:eastAsia="zh-CN" w:bidi="ar-SA"/>
                <w14:textFill>
                  <w14:solidFill>
                    <w14:schemeClr w14:val="tx1"/>
                  </w14:solidFill>
                </w14:textFill>
              </w:rPr>
              <w:t>具体见表</w:t>
            </w:r>
            <w:r>
              <w:rPr>
                <w:rFonts w:hint="default" w:ascii="Times New Roman" w:hAnsi="Times New Roman" w:cs="Times New Roman"/>
                <w:color w:val="000000" w:themeColor="text1"/>
                <w:kern w:val="0"/>
                <w:sz w:val="24"/>
                <w:szCs w:val="24"/>
                <w:lang w:val="en-US" w:eastAsia="zh-CN" w:bidi="ar-SA"/>
                <w14:textFill>
                  <w14:solidFill>
                    <w14:schemeClr w14:val="tx1"/>
                  </w14:solidFill>
                </w14:textFill>
              </w:rPr>
              <w:t>3-5</w:t>
            </w:r>
            <w:r>
              <w:rPr>
                <w:rFonts w:hint="default" w:ascii="Times New Roman" w:hAnsi="Times New Roman" w:eastAsia="宋体" w:cs="Times New Roman"/>
                <w:color w:val="000000" w:themeColor="text1"/>
                <w:kern w:val="0"/>
                <w:sz w:val="24"/>
                <w:szCs w:val="24"/>
                <w:lang w:val="en-US" w:eastAsia="zh-CN" w:bidi="ar-SA"/>
                <w14:textFill>
                  <w14:solidFill>
                    <w14:schemeClr w14:val="tx1"/>
                  </w14:solidFill>
                </w14:textFill>
              </w:rPr>
              <w:t>。</w:t>
            </w:r>
          </w:p>
          <w:p w14:paraId="3F1D90E7">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000000" w:themeColor="text1"/>
                <w:sz w:val="21"/>
                <w:szCs w:val="24"/>
                <w:lang w:val="en-US" w:eastAsia="zh-CN"/>
                <w14:textFill>
                  <w14:solidFill>
                    <w14:schemeClr w14:val="tx1"/>
                  </w14:solidFill>
                </w14:textFill>
              </w:rPr>
            </w:pPr>
            <w:r>
              <w:rPr>
                <w:rFonts w:hint="default" w:ascii="Times New Roman" w:hAnsi="Times New Roman" w:cs="Times New Roman"/>
                <w:b/>
                <w:bCs/>
                <w:color w:val="000000" w:themeColor="text1"/>
                <w:sz w:val="21"/>
                <w:szCs w:val="24"/>
                <w14:textFill>
                  <w14:solidFill>
                    <w14:schemeClr w14:val="tx1"/>
                  </w14:solidFill>
                </w14:textFill>
              </w:rPr>
              <w:t>表</w:t>
            </w:r>
            <w:r>
              <w:rPr>
                <w:rFonts w:hint="default" w:ascii="Times New Roman" w:hAnsi="Times New Roman" w:cs="Times New Roman"/>
                <w:b/>
                <w:bCs/>
                <w:color w:val="000000" w:themeColor="text1"/>
                <w:sz w:val="21"/>
                <w:szCs w:val="24"/>
                <w:lang w:val="en-US" w:eastAsia="zh-CN"/>
                <w14:textFill>
                  <w14:solidFill>
                    <w14:schemeClr w14:val="tx1"/>
                  </w14:solidFill>
                </w14:textFill>
              </w:rPr>
              <w:t>3-5</w:t>
            </w:r>
            <w:r>
              <w:rPr>
                <w:rFonts w:hint="default" w:ascii="Times New Roman" w:hAnsi="Times New Roman" w:cs="Times New Roman"/>
                <w:b/>
                <w:bCs/>
                <w:color w:val="000000" w:themeColor="text1"/>
                <w:sz w:val="21"/>
                <w:szCs w:val="24"/>
                <w14:textFill>
                  <w14:solidFill>
                    <w14:schemeClr w14:val="tx1"/>
                  </w14:solidFill>
                </w14:textFill>
              </w:rPr>
              <w:t xml:space="preserve"> </w:t>
            </w:r>
            <w:r>
              <w:rPr>
                <w:rFonts w:hint="default" w:ascii="Times New Roman" w:hAnsi="Times New Roman" w:cs="Times New Roman"/>
                <w:b/>
                <w:bCs/>
                <w:color w:val="000000" w:themeColor="text1"/>
                <w:sz w:val="21"/>
                <w:szCs w:val="24"/>
                <w:lang w:eastAsia="zh-CN"/>
                <w14:textFill>
                  <w14:solidFill>
                    <w14:schemeClr w14:val="tx1"/>
                  </w14:solidFill>
                </w14:textFill>
              </w:rPr>
              <w:t>项目废气排放标准限值要求</w:t>
            </w:r>
          </w:p>
          <w:tbl>
            <w:tblPr>
              <w:tblStyle w:val="36"/>
              <w:tblW w:w="7937" w:type="dxa"/>
              <w:jc w:val="center"/>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autofit"/>
              <w:tblCellMar>
                <w:top w:w="0" w:type="dxa"/>
                <w:left w:w="108" w:type="dxa"/>
                <w:bottom w:w="0" w:type="dxa"/>
                <w:right w:w="108" w:type="dxa"/>
              </w:tblCellMar>
            </w:tblPr>
            <w:tblGrid>
              <w:gridCol w:w="428"/>
              <w:gridCol w:w="2348"/>
              <w:gridCol w:w="963"/>
              <w:gridCol w:w="2667"/>
              <w:gridCol w:w="682"/>
              <w:gridCol w:w="849"/>
            </w:tblGrid>
            <w:tr w14:paraId="59613B7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28" w:type="dxa"/>
                  <w:vMerge w:val="restart"/>
                  <w:tcBorders>
                    <w:tl2br w:val="nil"/>
                    <w:tr2bl w:val="nil"/>
                  </w:tcBorders>
                  <w:noWrap w:val="0"/>
                  <w:vAlign w:val="center"/>
                </w:tcPr>
                <w:p w14:paraId="16C3D8BF">
                  <w:pPr>
                    <w:keepNext w:val="0"/>
                    <w:keepLines w:val="0"/>
                    <w:pageBreakBefore w:val="0"/>
                    <w:widowControl w:val="0"/>
                    <w:suppressLineNumbers w:val="0"/>
                    <w:kinsoku/>
                    <w:wordWrap w:val="0"/>
                    <w:overflowPunct/>
                    <w:topLinePunct/>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000000" w:themeColor="text1"/>
                      <w:sz w:val="20"/>
                      <w:szCs w:val="22"/>
                      <w14:textFill>
                        <w14:solidFill>
                          <w14:schemeClr w14:val="tx1"/>
                        </w14:solidFill>
                      </w14:textFill>
                    </w:rPr>
                  </w:pPr>
                  <w:r>
                    <w:rPr>
                      <w:rFonts w:hint="default" w:ascii="Times New Roman" w:hAnsi="Times New Roman" w:eastAsia="宋体" w:cs="Times New Roman"/>
                      <w:b/>
                      <w:bCs/>
                      <w:color w:val="000000" w:themeColor="text1"/>
                      <w:sz w:val="20"/>
                      <w:szCs w:val="22"/>
                      <w14:textFill>
                        <w14:solidFill>
                          <w14:schemeClr w14:val="tx1"/>
                        </w14:solidFill>
                      </w14:textFill>
                    </w:rPr>
                    <w:t>类别</w:t>
                  </w:r>
                </w:p>
              </w:tc>
              <w:tc>
                <w:tcPr>
                  <w:tcW w:w="2348" w:type="dxa"/>
                  <w:vMerge w:val="restart"/>
                  <w:tcBorders>
                    <w:tl2br w:val="nil"/>
                    <w:tr2bl w:val="nil"/>
                  </w:tcBorders>
                  <w:noWrap w:val="0"/>
                  <w:vAlign w:val="center"/>
                </w:tcPr>
                <w:p w14:paraId="35360235">
                  <w:pPr>
                    <w:keepNext w:val="0"/>
                    <w:keepLines w:val="0"/>
                    <w:pageBreakBefore w:val="0"/>
                    <w:widowControl w:val="0"/>
                    <w:suppressLineNumbers w:val="0"/>
                    <w:kinsoku/>
                    <w:wordWrap w:val="0"/>
                    <w:overflowPunct/>
                    <w:topLinePunct/>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000000" w:themeColor="text1"/>
                      <w:sz w:val="20"/>
                      <w:szCs w:val="22"/>
                      <w14:textFill>
                        <w14:solidFill>
                          <w14:schemeClr w14:val="tx1"/>
                        </w14:solidFill>
                      </w14:textFill>
                    </w:rPr>
                  </w:pPr>
                  <w:r>
                    <w:rPr>
                      <w:rFonts w:hint="default" w:ascii="Times New Roman" w:hAnsi="Times New Roman" w:eastAsia="宋体" w:cs="Times New Roman"/>
                      <w:b/>
                      <w:bCs/>
                      <w:color w:val="000000" w:themeColor="text1"/>
                      <w:sz w:val="20"/>
                      <w:szCs w:val="22"/>
                      <w14:textFill>
                        <w14:solidFill>
                          <w14:schemeClr w14:val="tx1"/>
                        </w14:solidFill>
                      </w14:textFill>
                    </w:rPr>
                    <w:t>执行标准名称及标准号</w:t>
                  </w:r>
                </w:p>
              </w:tc>
              <w:tc>
                <w:tcPr>
                  <w:tcW w:w="963" w:type="dxa"/>
                  <w:vMerge w:val="restart"/>
                  <w:tcBorders>
                    <w:tl2br w:val="nil"/>
                    <w:tr2bl w:val="nil"/>
                  </w:tcBorders>
                  <w:noWrap w:val="0"/>
                  <w:vAlign w:val="center"/>
                </w:tcPr>
                <w:p w14:paraId="1CD736E8">
                  <w:pPr>
                    <w:keepNext w:val="0"/>
                    <w:keepLines w:val="0"/>
                    <w:pageBreakBefore w:val="0"/>
                    <w:widowControl w:val="0"/>
                    <w:suppressLineNumbers w:val="0"/>
                    <w:kinsoku/>
                    <w:wordWrap w:val="0"/>
                    <w:overflowPunct/>
                    <w:topLinePunct/>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000000" w:themeColor="text1"/>
                      <w:sz w:val="20"/>
                      <w:szCs w:val="22"/>
                      <w14:textFill>
                        <w14:solidFill>
                          <w14:schemeClr w14:val="tx1"/>
                        </w14:solidFill>
                      </w14:textFill>
                    </w:rPr>
                  </w:pPr>
                  <w:r>
                    <w:rPr>
                      <w:rFonts w:hint="default" w:ascii="Times New Roman" w:hAnsi="Times New Roman" w:eastAsia="宋体" w:cs="Times New Roman"/>
                      <w:b/>
                      <w:bCs/>
                      <w:color w:val="000000" w:themeColor="text1"/>
                      <w:sz w:val="20"/>
                      <w:szCs w:val="22"/>
                      <w14:textFill>
                        <w14:solidFill>
                          <w14:schemeClr w14:val="tx1"/>
                        </w14:solidFill>
                      </w14:textFill>
                    </w:rPr>
                    <w:t>项目</w:t>
                  </w:r>
                </w:p>
              </w:tc>
              <w:tc>
                <w:tcPr>
                  <w:tcW w:w="4198" w:type="dxa"/>
                  <w:gridSpan w:val="3"/>
                  <w:tcBorders>
                    <w:tl2br w:val="nil"/>
                    <w:tr2bl w:val="nil"/>
                  </w:tcBorders>
                  <w:noWrap w:val="0"/>
                  <w:vAlign w:val="center"/>
                </w:tcPr>
                <w:p w14:paraId="64E71CB6">
                  <w:pPr>
                    <w:keepNext w:val="0"/>
                    <w:keepLines w:val="0"/>
                    <w:pageBreakBefore w:val="0"/>
                    <w:widowControl w:val="0"/>
                    <w:suppressLineNumbers w:val="0"/>
                    <w:kinsoku/>
                    <w:wordWrap w:val="0"/>
                    <w:overflowPunct/>
                    <w:topLinePunct/>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000000" w:themeColor="text1"/>
                      <w:sz w:val="20"/>
                      <w:szCs w:val="22"/>
                      <w14:textFill>
                        <w14:solidFill>
                          <w14:schemeClr w14:val="tx1"/>
                        </w14:solidFill>
                      </w14:textFill>
                    </w:rPr>
                  </w:pPr>
                  <w:r>
                    <w:rPr>
                      <w:rFonts w:hint="default" w:ascii="Times New Roman" w:hAnsi="Times New Roman" w:eastAsia="宋体" w:cs="Times New Roman"/>
                      <w:b/>
                      <w:bCs/>
                      <w:color w:val="000000" w:themeColor="text1"/>
                      <w:sz w:val="20"/>
                      <w:szCs w:val="22"/>
                      <w14:textFill>
                        <w14:solidFill>
                          <w14:schemeClr w14:val="tx1"/>
                        </w14:solidFill>
                      </w14:textFill>
                    </w:rPr>
                    <w:t>标准值</w:t>
                  </w:r>
                </w:p>
              </w:tc>
            </w:tr>
            <w:tr w14:paraId="1527500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28" w:type="dxa"/>
                  <w:vMerge w:val="continue"/>
                  <w:tcBorders>
                    <w:tl2br w:val="nil"/>
                    <w:tr2bl w:val="nil"/>
                  </w:tcBorders>
                  <w:noWrap w:val="0"/>
                  <w:vAlign w:val="center"/>
                </w:tcPr>
                <w:p w14:paraId="4C028E3C">
                  <w:pPr>
                    <w:keepNext w:val="0"/>
                    <w:keepLines w:val="0"/>
                    <w:pageBreakBefore w:val="0"/>
                    <w:widowControl w:val="0"/>
                    <w:suppressLineNumbers w:val="0"/>
                    <w:kinsoku/>
                    <w:wordWrap w:val="0"/>
                    <w:overflowPunct/>
                    <w:topLinePunct/>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000000" w:themeColor="text1"/>
                      <w:sz w:val="20"/>
                      <w:szCs w:val="22"/>
                      <w14:textFill>
                        <w14:solidFill>
                          <w14:schemeClr w14:val="tx1"/>
                        </w14:solidFill>
                      </w14:textFill>
                    </w:rPr>
                  </w:pPr>
                </w:p>
              </w:tc>
              <w:tc>
                <w:tcPr>
                  <w:tcW w:w="2348" w:type="dxa"/>
                  <w:vMerge w:val="continue"/>
                  <w:tcBorders>
                    <w:tl2br w:val="nil"/>
                    <w:tr2bl w:val="nil"/>
                  </w:tcBorders>
                  <w:noWrap w:val="0"/>
                  <w:vAlign w:val="center"/>
                </w:tcPr>
                <w:p w14:paraId="428D7570">
                  <w:pPr>
                    <w:keepNext w:val="0"/>
                    <w:keepLines w:val="0"/>
                    <w:pageBreakBefore w:val="0"/>
                    <w:widowControl w:val="0"/>
                    <w:suppressLineNumbers w:val="0"/>
                    <w:kinsoku/>
                    <w:wordWrap w:val="0"/>
                    <w:overflowPunct/>
                    <w:topLinePunct/>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000000" w:themeColor="text1"/>
                      <w:sz w:val="20"/>
                      <w:szCs w:val="22"/>
                      <w14:textFill>
                        <w14:solidFill>
                          <w14:schemeClr w14:val="tx1"/>
                        </w14:solidFill>
                      </w14:textFill>
                    </w:rPr>
                  </w:pPr>
                </w:p>
              </w:tc>
              <w:tc>
                <w:tcPr>
                  <w:tcW w:w="963" w:type="dxa"/>
                  <w:vMerge w:val="continue"/>
                  <w:tcBorders>
                    <w:tl2br w:val="nil"/>
                    <w:tr2bl w:val="nil"/>
                  </w:tcBorders>
                  <w:noWrap w:val="0"/>
                  <w:vAlign w:val="center"/>
                </w:tcPr>
                <w:p w14:paraId="3DC8F899">
                  <w:pPr>
                    <w:keepNext w:val="0"/>
                    <w:keepLines w:val="0"/>
                    <w:pageBreakBefore w:val="0"/>
                    <w:widowControl w:val="0"/>
                    <w:suppressLineNumbers w:val="0"/>
                    <w:kinsoku/>
                    <w:wordWrap w:val="0"/>
                    <w:overflowPunct/>
                    <w:topLinePunct/>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000000" w:themeColor="text1"/>
                      <w:sz w:val="20"/>
                      <w:szCs w:val="22"/>
                      <w14:textFill>
                        <w14:solidFill>
                          <w14:schemeClr w14:val="tx1"/>
                        </w14:solidFill>
                      </w14:textFill>
                    </w:rPr>
                  </w:pPr>
                </w:p>
              </w:tc>
              <w:tc>
                <w:tcPr>
                  <w:tcW w:w="2667" w:type="dxa"/>
                  <w:tcBorders>
                    <w:tl2br w:val="nil"/>
                    <w:tr2bl w:val="nil"/>
                  </w:tcBorders>
                  <w:noWrap w:val="0"/>
                  <w:vAlign w:val="center"/>
                </w:tcPr>
                <w:p w14:paraId="43F673AC">
                  <w:pPr>
                    <w:keepNext w:val="0"/>
                    <w:keepLines w:val="0"/>
                    <w:pageBreakBefore w:val="0"/>
                    <w:widowControl w:val="0"/>
                    <w:suppressLineNumbers w:val="0"/>
                    <w:kinsoku/>
                    <w:wordWrap w:val="0"/>
                    <w:overflowPunct/>
                    <w:topLinePunct/>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000000" w:themeColor="text1"/>
                      <w:sz w:val="20"/>
                      <w:szCs w:val="22"/>
                      <w14:textFill>
                        <w14:solidFill>
                          <w14:schemeClr w14:val="tx1"/>
                        </w14:solidFill>
                      </w14:textFill>
                    </w:rPr>
                  </w:pPr>
                  <w:r>
                    <w:rPr>
                      <w:rFonts w:hint="default" w:ascii="Times New Roman" w:hAnsi="Times New Roman" w:eastAsia="宋体" w:cs="Times New Roman"/>
                      <w:b/>
                      <w:bCs/>
                      <w:color w:val="000000" w:themeColor="text1"/>
                      <w:sz w:val="20"/>
                      <w:szCs w:val="22"/>
                      <w14:textFill>
                        <w14:solidFill>
                          <w14:schemeClr w14:val="tx1"/>
                        </w14:solidFill>
                      </w14:textFill>
                    </w:rPr>
                    <w:t>类别</w:t>
                  </w:r>
                </w:p>
              </w:tc>
              <w:tc>
                <w:tcPr>
                  <w:tcW w:w="682" w:type="dxa"/>
                  <w:tcBorders>
                    <w:tl2br w:val="nil"/>
                    <w:tr2bl w:val="nil"/>
                  </w:tcBorders>
                  <w:noWrap w:val="0"/>
                  <w:vAlign w:val="center"/>
                </w:tcPr>
                <w:p w14:paraId="48D814A7">
                  <w:pPr>
                    <w:keepNext w:val="0"/>
                    <w:keepLines w:val="0"/>
                    <w:pageBreakBefore w:val="0"/>
                    <w:widowControl w:val="0"/>
                    <w:suppressLineNumbers w:val="0"/>
                    <w:kinsoku/>
                    <w:wordWrap w:val="0"/>
                    <w:overflowPunct/>
                    <w:topLinePunct/>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000000" w:themeColor="text1"/>
                      <w:sz w:val="20"/>
                      <w:szCs w:val="22"/>
                      <w14:textFill>
                        <w14:solidFill>
                          <w14:schemeClr w14:val="tx1"/>
                        </w14:solidFill>
                      </w14:textFill>
                    </w:rPr>
                  </w:pPr>
                  <w:r>
                    <w:rPr>
                      <w:rFonts w:hint="default" w:ascii="Times New Roman" w:hAnsi="Times New Roman" w:eastAsia="宋体" w:cs="Times New Roman"/>
                      <w:b/>
                      <w:bCs/>
                      <w:color w:val="000000" w:themeColor="text1"/>
                      <w:sz w:val="20"/>
                      <w:szCs w:val="22"/>
                      <w14:textFill>
                        <w14:solidFill>
                          <w14:schemeClr w14:val="tx1"/>
                        </w14:solidFill>
                      </w14:textFill>
                    </w:rPr>
                    <w:t>限值</w:t>
                  </w:r>
                </w:p>
              </w:tc>
              <w:tc>
                <w:tcPr>
                  <w:tcW w:w="849" w:type="dxa"/>
                  <w:tcBorders>
                    <w:tl2br w:val="nil"/>
                    <w:tr2bl w:val="nil"/>
                  </w:tcBorders>
                  <w:noWrap w:val="0"/>
                  <w:vAlign w:val="center"/>
                </w:tcPr>
                <w:p w14:paraId="3EEBBA95">
                  <w:pPr>
                    <w:keepNext w:val="0"/>
                    <w:keepLines w:val="0"/>
                    <w:pageBreakBefore w:val="0"/>
                    <w:widowControl w:val="0"/>
                    <w:suppressLineNumbers w:val="0"/>
                    <w:kinsoku/>
                    <w:wordWrap w:val="0"/>
                    <w:overflowPunct/>
                    <w:topLinePunct/>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000000" w:themeColor="text1"/>
                      <w:sz w:val="20"/>
                      <w:szCs w:val="22"/>
                      <w14:textFill>
                        <w14:solidFill>
                          <w14:schemeClr w14:val="tx1"/>
                        </w14:solidFill>
                      </w14:textFill>
                    </w:rPr>
                  </w:pPr>
                  <w:r>
                    <w:rPr>
                      <w:rFonts w:hint="default" w:ascii="Times New Roman" w:hAnsi="Times New Roman" w:eastAsia="宋体" w:cs="Times New Roman"/>
                      <w:b/>
                      <w:bCs/>
                      <w:color w:val="000000" w:themeColor="text1"/>
                      <w:sz w:val="20"/>
                      <w:szCs w:val="22"/>
                      <w14:textFill>
                        <w14:solidFill>
                          <w14:schemeClr w14:val="tx1"/>
                        </w14:solidFill>
                      </w14:textFill>
                    </w:rPr>
                    <w:t>单位</w:t>
                  </w:r>
                </w:p>
              </w:tc>
            </w:tr>
            <w:tr w14:paraId="32F2E9F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28" w:type="dxa"/>
                  <w:vMerge w:val="restart"/>
                  <w:tcBorders>
                    <w:tl2br w:val="nil"/>
                    <w:tr2bl w:val="nil"/>
                  </w:tcBorders>
                  <w:noWrap w:val="0"/>
                  <w:vAlign w:val="center"/>
                </w:tcPr>
                <w:p w14:paraId="645F5B88">
                  <w:pPr>
                    <w:keepNext w:val="0"/>
                    <w:keepLines w:val="0"/>
                    <w:pageBreakBefore w:val="0"/>
                    <w:widowControl w:val="0"/>
                    <w:suppressLineNumbers w:val="0"/>
                    <w:kinsoku/>
                    <w:wordWrap w:val="0"/>
                    <w:overflowPunct/>
                    <w:topLinePunct/>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000000" w:themeColor="text1"/>
                      <w:sz w:val="20"/>
                      <w:szCs w:val="22"/>
                      <w14:textFill>
                        <w14:solidFill>
                          <w14:schemeClr w14:val="tx1"/>
                        </w14:solidFill>
                      </w14:textFill>
                    </w:rPr>
                  </w:pPr>
                  <w:r>
                    <w:rPr>
                      <w:rFonts w:hint="default" w:ascii="Times New Roman" w:hAnsi="Times New Roman" w:eastAsia="宋体" w:cs="Times New Roman"/>
                      <w:b w:val="0"/>
                      <w:bCs w:val="0"/>
                      <w:color w:val="000000" w:themeColor="text1"/>
                      <w:sz w:val="20"/>
                      <w:szCs w:val="22"/>
                      <w14:textFill>
                        <w14:solidFill>
                          <w14:schemeClr w14:val="tx1"/>
                        </w14:solidFill>
                      </w14:textFill>
                    </w:rPr>
                    <w:t>废气</w:t>
                  </w:r>
                </w:p>
              </w:tc>
              <w:tc>
                <w:tcPr>
                  <w:tcW w:w="2348" w:type="dxa"/>
                  <w:vMerge w:val="restart"/>
                  <w:tcBorders>
                    <w:tl2br w:val="nil"/>
                    <w:tr2bl w:val="nil"/>
                  </w:tcBorders>
                  <w:noWrap w:val="0"/>
                  <w:vAlign w:val="center"/>
                </w:tcPr>
                <w:p w14:paraId="2BA363A6">
                  <w:pPr>
                    <w:keepNext w:val="0"/>
                    <w:keepLines w:val="0"/>
                    <w:pageBreakBefore w:val="0"/>
                    <w:widowControl w:val="0"/>
                    <w:suppressLineNumbers w:val="0"/>
                    <w:kinsoku/>
                    <w:wordWrap w:val="0"/>
                    <w:overflowPunct/>
                    <w:topLinePunct/>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000000" w:themeColor="text1"/>
                      <w:sz w:val="20"/>
                      <w:szCs w:val="22"/>
                      <w:lang w:bidi="ar"/>
                      <w14:textFill>
                        <w14:solidFill>
                          <w14:schemeClr w14:val="tx1"/>
                        </w14:solidFill>
                      </w14:textFill>
                    </w:rPr>
                  </w:pPr>
                  <w:r>
                    <w:rPr>
                      <w:rFonts w:hint="default" w:ascii="Times New Roman" w:hAnsi="Times New Roman" w:eastAsia="宋体" w:cs="Times New Roman"/>
                      <w:b w:val="0"/>
                      <w:bCs w:val="0"/>
                      <w:color w:val="000000" w:themeColor="text1"/>
                      <w:sz w:val="20"/>
                      <w:szCs w:val="22"/>
                      <w14:textFill>
                        <w14:solidFill>
                          <w14:schemeClr w14:val="tx1"/>
                        </w14:solidFill>
                      </w14:textFill>
                    </w:rPr>
                    <w:t>《</w:t>
                  </w:r>
                  <w:r>
                    <w:rPr>
                      <w:rFonts w:hint="default" w:ascii="Times New Roman" w:hAnsi="Times New Roman" w:eastAsia="宋体" w:cs="Times New Roman"/>
                      <w:b w:val="0"/>
                      <w:bCs w:val="0"/>
                      <w:color w:val="000000" w:themeColor="text1"/>
                      <w:sz w:val="20"/>
                      <w:szCs w:val="22"/>
                      <w:lang w:val="en-US" w:eastAsia="zh-CN"/>
                      <w14:textFill>
                        <w14:solidFill>
                          <w14:schemeClr w14:val="tx1"/>
                        </w14:solidFill>
                      </w14:textFill>
                    </w:rPr>
                    <w:t>大气污染物综合排放标准》（GB</w:t>
                  </w:r>
                  <w:r>
                    <w:rPr>
                      <w:rFonts w:hint="eastAsia" w:cs="Times New Roman"/>
                      <w:b w:val="0"/>
                      <w:bCs w:val="0"/>
                      <w:color w:val="000000" w:themeColor="text1"/>
                      <w:sz w:val="20"/>
                      <w:szCs w:val="22"/>
                      <w:lang w:val="en-US" w:eastAsia="zh-CN"/>
                      <w14:textFill>
                        <w14:solidFill>
                          <w14:schemeClr w14:val="tx1"/>
                        </w14:solidFill>
                      </w14:textFill>
                    </w:rPr>
                    <w:t xml:space="preserve"> </w:t>
                  </w:r>
                  <w:r>
                    <w:rPr>
                      <w:rFonts w:hint="default" w:ascii="Times New Roman" w:hAnsi="Times New Roman" w:eastAsia="宋体" w:cs="Times New Roman"/>
                      <w:b w:val="0"/>
                      <w:bCs w:val="0"/>
                      <w:color w:val="000000" w:themeColor="text1"/>
                      <w:sz w:val="20"/>
                      <w:szCs w:val="22"/>
                      <w:lang w:val="en-US" w:eastAsia="zh-CN"/>
                      <w14:textFill>
                        <w14:solidFill>
                          <w14:schemeClr w14:val="tx1"/>
                        </w14:solidFill>
                      </w14:textFill>
                    </w:rPr>
                    <w:t>16297-1996）</w:t>
                  </w:r>
                </w:p>
              </w:tc>
              <w:tc>
                <w:tcPr>
                  <w:tcW w:w="963" w:type="dxa"/>
                  <w:vMerge w:val="restart"/>
                  <w:tcBorders>
                    <w:tl2br w:val="nil"/>
                    <w:tr2bl w:val="nil"/>
                  </w:tcBorders>
                  <w:noWrap w:val="0"/>
                  <w:vAlign w:val="center"/>
                </w:tcPr>
                <w:p w14:paraId="7D39759F">
                  <w:pPr>
                    <w:keepNext w:val="0"/>
                    <w:keepLines w:val="0"/>
                    <w:pageBreakBefore w:val="0"/>
                    <w:widowControl w:val="0"/>
                    <w:suppressLineNumbers w:val="0"/>
                    <w:kinsoku/>
                    <w:wordWrap w:val="0"/>
                    <w:overflowPunct/>
                    <w:topLinePunct/>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000000" w:themeColor="text1"/>
                      <w:sz w:val="20"/>
                      <w:szCs w:val="22"/>
                      <w:lang w:eastAsia="zh-CN"/>
                      <w14:textFill>
                        <w14:solidFill>
                          <w14:schemeClr w14:val="tx1"/>
                        </w14:solidFill>
                      </w14:textFill>
                    </w:rPr>
                  </w:pPr>
                  <w:r>
                    <w:rPr>
                      <w:rFonts w:hint="default" w:ascii="Times New Roman" w:hAnsi="Times New Roman" w:eastAsia="宋体" w:cs="Times New Roman"/>
                      <w:b w:val="0"/>
                      <w:bCs w:val="0"/>
                      <w:color w:val="000000" w:themeColor="text1"/>
                      <w:sz w:val="20"/>
                      <w:szCs w:val="22"/>
                      <w:lang w:eastAsia="zh-CN"/>
                      <w14:textFill>
                        <w14:solidFill>
                          <w14:schemeClr w14:val="tx1"/>
                        </w14:solidFill>
                      </w14:textFill>
                    </w:rPr>
                    <w:t>颗粒物</w:t>
                  </w:r>
                </w:p>
              </w:tc>
              <w:tc>
                <w:tcPr>
                  <w:tcW w:w="2667" w:type="dxa"/>
                  <w:tcBorders>
                    <w:tl2br w:val="nil"/>
                    <w:tr2bl w:val="nil"/>
                  </w:tcBorders>
                  <w:noWrap w:val="0"/>
                  <w:vAlign w:val="center"/>
                </w:tcPr>
                <w:p w14:paraId="084C1F60">
                  <w:pPr>
                    <w:keepNext w:val="0"/>
                    <w:keepLines w:val="0"/>
                    <w:pageBreakBefore w:val="0"/>
                    <w:widowControl w:val="0"/>
                    <w:suppressLineNumbers w:val="0"/>
                    <w:kinsoku/>
                    <w:wordWrap w:val="0"/>
                    <w:overflowPunct/>
                    <w:topLinePunct/>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000000" w:themeColor="text1"/>
                      <w:sz w:val="20"/>
                      <w:szCs w:val="22"/>
                      <w14:textFill>
                        <w14:solidFill>
                          <w14:schemeClr w14:val="tx1"/>
                        </w14:solidFill>
                      </w14:textFill>
                    </w:rPr>
                  </w:pPr>
                  <w:r>
                    <w:rPr>
                      <w:rFonts w:hint="default" w:ascii="Times New Roman" w:hAnsi="Times New Roman" w:eastAsia="宋体" w:cs="Times New Roman"/>
                      <w:b w:val="0"/>
                      <w:bCs w:val="0"/>
                      <w:color w:val="000000" w:themeColor="text1"/>
                      <w:sz w:val="20"/>
                      <w:szCs w:val="22"/>
                      <w14:textFill>
                        <w14:solidFill>
                          <w14:schemeClr w14:val="tx1"/>
                        </w14:solidFill>
                      </w14:textFill>
                    </w:rPr>
                    <w:t>有组织排放限值</w:t>
                  </w:r>
                </w:p>
              </w:tc>
              <w:tc>
                <w:tcPr>
                  <w:tcW w:w="682" w:type="dxa"/>
                  <w:tcBorders>
                    <w:tl2br w:val="nil"/>
                    <w:tr2bl w:val="nil"/>
                  </w:tcBorders>
                  <w:noWrap w:val="0"/>
                  <w:vAlign w:val="center"/>
                </w:tcPr>
                <w:p w14:paraId="62FAD59D">
                  <w:pPr>
                    <w:keepNext w:val="0"/>
                    <w:keepLines w:val="0"/>
                    <w:pageBreakBefore w:val="0"/>
                    <w:widowControl w:val="0"/>
                    <w:suppressLineNumbers w:val="0"/>
                    <w:kinsoku/>
                    <w:wordWrap w:val="0"/>
                    <w:overflowPunct/>
                    <w:topLinePunct/>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000000" w:themeColor="text1"/>
                      <w:sz w:val="20"/>
                      <w:szCs w:val="22"/>
                      <w:lang w:val="en-US" w:eastAsia="zh-CN"/>
                      <w14:textFill>
                        <w14:solidFill>
                          <w14:schemeClr w14:val="tx1"/>
                        </w14:solidFill>
                      </w14:textFill>
                    </w:rPr>
                  </w:pPr>
                  <w:r>
                    <w:rPr>
                      <w:rFonts w:hint="default" w:ascii="Times New Roman" w:hAnsi="Times New Roman" w:cs="Times New Roman"/>
                      <w:b w:val="0"/>
                      <w:bCs w:val="0"/>
                      <w:color w:val="000000" w:themeColor="text1"/>
                      <w:sz w:val="20"/>
                      <w:szCs w:val="22"/>
                      <w:lang w:val="en-US" w:eastAsia="zh-CN"/>
                      <w14:textFill>
                        <w14:solidFill>
                          <w14:schemeClr w14:val="tx1"/>
                        </w14:solidFill>
                      </w14:textFill>
                    </w:rPr>
                    <w:t>120</w:t>
                  </w:r>
                </w:p>
              </w:tc>
              <w:tc>
                <w:tcPr>
                  <w:tcW w:w="849" w:type="dxa"/>
                  <w:tcBorders>
                    <w:tl2br w:val="nil"/>
                    <w:tr2bl w:val="nil"/>
                  </w:tcBorders>
                  <w:noWrap w:val="0"/>
                  <w:vAlign w:val="center"/>
                </w:tcPr>
                <w:p w14:paraId="41172EA1">
                  <w:pPr>
                    <w:keepNext w:val="0"/>
                    <w:keepLines w:val="0"/>
                    <w:pageBreakBefore w:val="0"/>
                    <w:widowControl w:val="0"/>
                    <w:suppressLineNumbers w:val="0"/>
                    <w:kinsoku/>
                    <w:wordWrap w:val="0"/>
                    <w:overflowPunct/>
                    <w:topLinePunct/>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000000" w:themeColor="text1"/>
                      <w:sz w:val="20"/>
                      <w:szCs w:val="22"/>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0"/>
                      <w:szCs w:val="22"/>
                      <w14:textFill>
                        <w14:solidFill>
                          <w14:schemeClr w14:val="tx1"/>
                        </w14:solidFill>
                      </w14:textFill>
                    </w:rPr>
                    <w:t>mg/m</w:t>
                  </w:r>
                  <w:r>
                    <w:rPr>
                      <w:rFonts w:hint="default" w:ascii="Times New Roman" w:hAnsi="Times New Roman" w:eastAsia="宋体" w:cs="Times New Roman"/>
                      <w:b w:val="0"/>
                      <w:bCs w:val="0"/>
                      <w:color w:val="000000" w:themeColor="text1"/>
                      <w:sz w:val="20"/>
                      <w:szCs w:val="22"/>
                      <w:vertAlign w:val="superscript"/>
                      <w14:textFill>
                        <w14:solidFill>
                          <w14:schemeClr w14:val="tx1"/>
                        </w14:solidFill>
                      </w14:textFill>
                    </w:rPr>
                    <w:t>3</w:t>
                  </w:r>
                </w:p>
              </w:tc>
            </w:tr>
            <w:tr w14:paraId="1F4DFC7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28" w:type="dxa"/>
                  <w:vMerge w:val="continue"/>
                  <w:tcBorders>
                    <w:tl2br w:val="nil"/>
                    <w:tr2bl w:val="nil"/>
                  </w:tcBorders>
                  <w:noWrap w:val="0"/>
                  <w:vAlign w:val="center"/>
                </w:tcPr>
                <w:p w14:paraId="7E5BE84A">
                  <w:pPr>
                    <w:keepNext w:val="0"/>
                    <w:keepLines w:val="0"/>
                    <w:pageBreakBefore w:val="0"/>
                    <w:widowControl w:val="0"/>
                    <w:suppressLineNumbers w:val="0"/>
                    <w:kinsoku/>
                    <w:wordWrap w:val="0"/>
                    <w:overflowPunct/>
                    <w:topLinePunct/>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000000" w:themeColor="text1"/>
                      <w:sz w:val="20"/>
                      <w:szCs w:val="22"/>
                      <w14:textFill>
                        <w14:solidFill>
                          <w14:schemeClr w14:val="tx1"/>
                        </w14:solidFill>
                      </w14:textFill>
                    </w:rPr>
                  </w:pPr>
                </w:p>
              </w:tc>
              <w:tc>
                <w:tcPr>
                  <w:tcW w:w="2348" w:type="dxa"/>
                  <w:vMerge w:val="continue"/>
                  <w:tcBorders>
                    <w:tl2br w:val="nil"/>
                    <w:tr2bl w:val="nil"/>
                  </w:tcBorders>
                  <w:noWrap w:val="0"/>
                  <w:vAlign w:val="center"/>
                </w:tcPr>
                <w:p w14:paraId="7F9B4A29">
                  <w:pPr>
                    <w:keepNext w:val="0"/>
                    <w:keepLines w:val="0"/>
                    <w:pageBreakBefore w:val="0"/>
                    <w:widowControl w:val="0"/>
                    <w:suppressLineNumbers w:val="0"/>
                    <w:kinsoku/>
                    <w:wordWrap w:val="0"/>
                    <w:overflowPunct/>
                    <w:topLinePunct/>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themeColor="text1"/>
                      <w:sz w:val="20"/>
                      <w:szCs w:val="22"/>
                      <w:lang w:bidi="ar"/>
                      <w14:textFill>
                        <w14:solidFill>
                          <w14:schemeClr w14:val="tx1"/>
                        </w14:solidFill>
                      </w14:textFill>
                    </w:rPr>
                  </w:pPr>
                </w:p>
              </w:tc>
              <w:tc>
                <w:tcPr>
                  <w:tcW w:w="963" w:type="dxa"/>
                  <w:vMerge w:val="continue"/>
                  <w:tcBorders>
                    <w:tl2br w:val="nil"/>
                    <w:tr2bl w:val="nil"/>
                  </w:tcBorders>
                  <w:noWrap w:val="0"/>
                  <w:vAlign w:val="center"/>
                </w:tcPr>
                <w:p w14:paraId="18470965">
                  <w:pPr>
                    <w:keepNext w:val="0"/>
                    <w:keepLines w:val="0"/>
                    <w:pageBreakBefore w:val="0"/>
                    <w:widowControl w:val="0"/>
                    <w:suppressLineNumbers w:val="0"/>
                    <w:kinsoku/>
                    <w:wordWrap w:val="0"/>
                    <w:overflowPunct/>
                    <w:topLinePunct/>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000000" w:themeColor="text1"/>
                      <w:sz w:val="20"/>
                      <w:szCs w:val="22"/>
                      <w:lang w:eastAsia="zh-CN"/>
                      <w14:textFill>
                        <w14:solidFill>
                          <w14:schemeClr w14:val="tx1"/>
                        </w14:solidFill>
                      </w14:textFill>
                    </w:rPr>
                  </w:pPr>
                </w:p>
              </w:tc>
              <w:tc>
                <w:tcPr>
                  <w:tcW w:w="2667" w:type="dxa"/>
                  <w:tcBorders>
                    <w:tl2br w:val="nil"/>
                    <w:tr2bl w:val="nil"/>
                  </w:tcBorders>
                  <w:noWrap w:val="0"/>
                  <w:vAlign w:val="center"/>
                </w:tcPr>
                <w:p w14:paraId="75EC9879">
                  <w:pPr>
                    <w:keepNext w:val="0"/>
                    <w:keepLines w:val="0"/>
                    <w:pageBreakBefore w:val="0"/>
                    <w:widowControl w:val="0"/>
                    <w:suppressLineNumbers w:val="0"/>
                    <w:kinsoku/>
                    <w:wordWrap w:val="0"/>
                    <w:overflowPunct/>
                    <w:topLinePunct/>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themeColor="text1"/>
                      <w:kern w:val="2"/>
                      <w:sz w:val="20"/>
                      <w:szCs w:val="22"/>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0"/>
                      <w:szCs w:val="22"/>
                      <w14:textFill>
                        <w14:solidFill>
                          <w14:schemeClr w14:val="tx1"/>
                        </w14:solidFill>
                      </w14:textFill>
                    </w:rPr>
                    <w:t>企业边界大气污染物浓度排放限值</w:t>
                  </w:r>
                </w:p>
              </w:tc>
              <w:tc>
                <w:tcPr>
                  <w:tcW w:w="682" w:type="dxa"/>
                  <w:tcBorders>
                    <w:tl2br w:val="nil"/>
                    <w:tr2bl w:val="nil"/>
                  </w:tcBorders>
                  <w:noWrap w:val="0"/>
                  <w:vAlign w:val="center"/>
                </w:tcPr>
                <w:p w14:paraId="77AE14D0">
                  <w:pPr>
                    <w:keepNext w:val="0"/>
                    <w:keepLines w:val="0"/>
                    <w:pageBreakBefore w:val="0"/>
                    <w:widowControl w:val="0"/>
                    <w:suppressLineNumbers w:val="0"/>
                    <w:kinsoku/>
                    <w:wordWrap w:val="0"/>
                    <w:overflowPunct/>
                    <w:topLinePunct/>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themeColor="text1"/>
                      <w:kern w:val="2"/>
                      <w:sz w:val="20"/>
                      <w:szCs w:val="22"/>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0"/>
                      <w:szCs w:val="22"/>
                      <w14:textFill>
                        <w14:solidFill>
                          <w14:schemeClr w14:val="tx1"/>
                        </w14:solidFill>
                      </w14:textFill>
                    </w:rPr>
                    <w:t>1</w:t>
                  </w:r>
                  <w:r>
                    <w:rPr>
                      <w:rFonts w:hint="default" w:ascii="Times New Roman" w:hAnsi="Times New Roman" w:eastAsia="宋体" w:cs="Times New Roman"/>
                      <w:b w:val="0"/>
                      <w:bCs w:val="0"/>
                      <w:color w:val="000000" w:themeColor="text1"/>
                      <w:sz w:val="20"/>
                      <w:szCs w:val="22"/>
                      <w:lang w:val="en-US" w:eastAsia="zh-CN"/>
                      <w14:textFill>
                        <w14:solidFill>
                          <w14:schemeClr w14:val="tx1"/>
                        </w14:solidFill>
                      </w14:textFill>
                    </w:rPr>
                    <w:t>.0</w:t>
                  </w:r>
                </w:p>
              </w:tc>
              <w:tc>
                <w:tcPr>
                  <w:tcW w:w="849" w:type="dxa"/>
                  <w:tcBorders>
                    <w:tl2br w:val="nil"/>
                    <w:tr2bl w:val="nil"/>
                  </w:tcBorders>
                  <w:noWrap w:val="0"/>
                  <w:vAlign w:val="center"/>
                </w:tcPr>
                <w:p w14:paraId="49F9D6D2">
                  <w:pPr>
                    <w:keepNext w:val="0"/>
                    <w:keepLines w:val="0"/>
                    <w:pageBreakBefore w:val="0"/>
                    <w:widowControl w:val="0"/>
                    <w:suppressLineNumbers w:val="0"/>
                    <w:kinsoku/>
                    <w:wordWrap w:val="0"/>
                    <w:overflowPunct/>
                    <w:topLinePunct/>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themeColor="text1"/>
                      <w:kern w:val="2"/>
                      <w:sz w:val="20"/>
                      <w:szCs w:val="22"/>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0"/>
                      <w:szCs w:val="22"/>
                      <w14:textFill>
                        <w14:solidFill>
                          <w14:schemeClr w14:val="tx1"/>
                        </w14:solidFill>
                      </w14:textFill>
                    </w:rPr>
                    <w:t>mg/m</w:t>
                  </w:r>
                  <w:r>
                    <w:rPr>
                      <w:rFonts w:hint="default" w:ascii="Times New Roman" w:hAnsi="Times New Roman" w:eastAsia="宋体" w:cs="Times New Roman"/>
                      <w:b w:val="0"/>
                      <w:bCs w:val="0"/>
                      <w:color w:val="000000" w:themeColor="text1"/>
                      <w:sz w:val="20"/>
                      <w:szCs w:val="22"/>
                      <w:vertAlign w:val="superscript"/>
                      <w14:textFill>
                        <w14:solidFill>
                          <w14:schemeClr w14:val="tx1"/>
                        </w14:solidFill>
                      </w14:textFill>
                    </w:rPr>
                    <w:t>3</w:t>
                  </w:r>
                </w:p>
              </w:tc>
            </w:tr>
            <w:tr w14:paraId="3E50285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28" w:type="dxa"/>
                  <w:vMerge w:val="continue"/>
                  <w:tcBorders>
                    <w:tl2br w:val="nil"/>
                    <w:tr2bl w:val="nil"/>
                  </w:tcBorders>
                  <w:noWrap w:val="0"/>
                  <w:vAlign w:val="center"/>
                </w:tcPr>
                <w:p w14:paraId="20D5CEA1">
                  <w:pPr>
                    <w:keepNext w:val="0"/>
                    <w:keepLines w:val="0"/>
                    <w:pageBreakBefore w:val="0"/>
                    <w:widowControl w:val="0"/>
                    <w:suppressLineNumbers w:val="0"/>
                    <w:kinsoku/>
                    <w:wordWrap w:val="0"/>
                    <w:overflowPunct/>
                    <w:topLinePunct/>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000000" w:themeColor="text1"/>
                      <w:sz w:val="20"/>
                      <w:szCs w:val="22"/>
                      <w14:textFill>
                        <w14:solidFill>
                          <w14:schemeClr w14:val="tx1"/>
                        </w14:solidFill>
                      </w14:textFill>
                    </w:rPr>
                  </w:pPr>
                </w:p>
              </w:tc>
              <w:tc>
                <w:tcPr>
                  <w:tcW w:w="2348" w:type="dxa"/>
                  <w:vMerge w:val="continue"/>
                  <w:tcBorders>
                    <w:tl2br w:val="nil"/>
                    <w:tr2bl w:val="nil"/>
                  </w:tcBorders>
                  <w:noWrap w:val="0"/>
                  <w:vAlign w:val="center"/>
                </w:tcPr>
                <w:p w14:paraId="4C263CE7">
                  <w:pPr>
                    <w:keepNext w:val="0"/>
                    <w:keepLines w:val="0"/>
                    <w:pageBreakBefore w:val="0"/>
                    <w:widowControl w:val="0"/>
                    <w:suppressLineNumbers w:val="0"/>
                    <w:kinsoku/>
                    <w:wordWrap w:val="0"/>
                    <w:overflowPunct/>
                    <w:topLinePunct/>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Cs w:val="0"/>
                      <w:color w:val="000000" w:themeColor="text1"/>
                      <w:sz w:val="20"/>
                      <w:szCs w:val="22"/>
                      <w14:textFill>
                        <w14:solidFill>
                          <w14:schemeClr w14:val="tx1"/>
                        </w14:solidFill>
                      </w14:textFill>
                    </w:rPr>
                  </w:pPr>
                </w:p>
              </w:tc>
              <w:tc>
                <w:tcPr>
                  <w:tcW w:w="963" w:type="dxa"/>
                  <w:vMerge w:val="restart"/>
                  <w:tcBorders>
                    <w:tl2br w:val="nil"/>
                    <w:tr2bl w:val="nil"/>
                  </w:tcBorders>
                  <w:noWrap w:val="0"/>
                  <w:vAlign w:val="center"/>
                </w:tcPr>
                <w:p w14:paraId="0EA68694">
                  <w:pPr>
                    <w:keepNext w:val="0"/>
                    <w:keepLines w:val="0"/>
                    <w:pageBreakBefore w:val="0"/>
                    <w:widowControl w:val="0"/>
                    <w:suppressLineNumbers w:val="0"/>
                    <w:kinsoku/>
                    <w:wordWrap w:val="0"/>
                    <w:overflowPunct/>
                    <w:topLinePunct/>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themeColor="text1"/>
                      <w:kern w:val="2"/>
                      <w:sz w:val="20"/>
                      <w:szCs w:val="22"/>
                      <w:lang w:val="en-US" w:eastAsia="zh-CN" w:bidi="ar-SA"/>
                      <w14:textFill>
                        <w14:solidFill>
                          <w14:schemeClr w14:val="tx1"/>
                        </w14:solidFill>
                      </w14:textFill>
                    </w:rPr>
                  </w:pPr>
                  <w:r>
                    <w:rPr>
                      <w:rFonts w:hint="default" w:ascii="Times New Roman" w:hAnsi="Times New Roman" w:cs="Times New Roman"/>
                      <w:b w:val="0"/>
                      <w:bCs w:val="0"/>
                      <w:color w:val="000000" w:themeColor="text1"/>
                      <w:sz w:val="20"/>
                      <w:szCs w:val="22"/>
                      <w:lang w:eastAsia="zh-CN"/>
                      <w14:textFill>
                        <w14:solidFill>
                          <w14:schemeClr w14:val="tx1"/>
                        </w14:solidFill>
                      </w14:textFill>
                    </w:rPr>
                    <w:t>锡及其化合物</w:t>
                  </w:r>
                </w:p>
              </w:tc>
              <w:tc>
                <w:tcPr>
                  <w:tcW w:w="2667" w:type="dxa"/>
                  <w:tcBorders>
                    <w:tl2br w:val="nil"/>
                    <w:tr2bl w:val="nil"/>
                  </w:tcBorders>
                  <w:noWrap w:val="0"/>
                  <w:vAlign w:val="center"/>
                </w:tcPr>
                <w:p w14:paraId="29B66911">
                  <w:pPr>
                    <w:keepNext w:val="0"/>
                    <w:keepLines w:val="0"/>
                    <w:pageBreakBefore w:val="0"/>
                    <w:widowControl w:val="0"/>
                    <w:suppressLineNumbers w:val="0"/>
                    <w:kinsoku/>
                    <w:wordWrap w:val="0"/>
                    <w:overflowPunct/>
                    <w:topLinePunct/>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0"/>
                      <w:szCs w:val="22"/>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sz w:val="20"/>
                      <w:szCs w:val="22"/>
                      <w14:textFill>
                        <w14:solidFill>
                          <w14:schemeClr w14:val="tx1"/>
                        </w14:solidFill>
                      </w14:textFill>
                    </w:rPr>
                    <w:t>有组织排放限值</w:t>
                  </w:r>
                </w:p>
              </w:tc>
              <w:tc>
                <w:tcPr>
                  <w:tcW w:w="682" w:type="dxa"/>
                  <w:tcBorders>
                    <w:tl2br w:val="nil"/>
                    <w:tr2bl w:val="nil"/>
                  </w:tcBorders>
                  <w:noWrap w:val="0"/>
                  <w:vAlign w:val="center"/>
                </w:tcPr>
                <w:p w14:paraId="528FF7FD">
                  <w:pPr>
                    <w:keepNext w:val="0"/>
                    <w:keepLines w:val="0"/>
                    <w:pageBreakBefore w:val="0"/>
                    <w:widowControl w:val="0"/>
                    <w:suppressLineNumbers w:val="0"/>
                    <w:kinsoku/>
                    <w:wordWrap w:val="0"/>
                    <w:overflowPunct/>
                    <w:topLinePunct/>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themeColor="text1"/>
                      <w:kern w:val="2"/>
                      <w:sz w:val="20"/>
                      <w:szCs w:val="22"/>
                      <w:lang w:val="en-US" w:eastAsia="zh-CN" w:bidi="ar-SA"/>
                      <w14:textFill>
                        <w14:solidFill>
                          <w14:schemeClr w14:val="tx1"/>
                        </w14:solidFill>
                      </w14:textFill>
                    </w:rPr>
                  </w:pPr>
                  <w:r>
                    <w:rPr>
                      <w:rFonts w:hint="default" w:ascii="Times New Roman" w:hAnsi="Times New Roman" w:cs="Times New Roman"/>
                      <w:b w:val="0"/>
                      <w:bCs w:val="0"/>
                      <w:color w:val="000000" w:themeColor="text1"/>
                      <w:sz w:val="20"/>
                      <w:szCs w:val="22"/>
                      <w:lang w:val="en-US" w:eastAsia="zh-CN"/>
                      <w14:textFill>
                        <w14:solidFill>
                          <w14:schemeClr w14:val="tx1"/>
                        </w14:solidFill>
                      </w14:textFill>
                    </w:rPr>
                    <w:t>8.5</w:t>
                  </w:r>
                </w:p>
              </w:tc>
              <w:tc>
                <w:tcPr>
                  <w:tcW w:w="849" w:type="dxa"/>
                  <w:tcBorders>
                    <w:tl2br w:val="nil"/>
                    <w:tr2bl w:val="nil"/>
                  </w:tcBorders>
                  <w:noWrap w:val="0"/>
                  <w:vAlign w:val="center"/>
                </w:tcPr>
                <w:p w14:paraId="4C56801E">
                  <w:pPr>
                    <w:keepNext w:val="0"/>
                    <w:keepLines w:val="0"/>
                    <w:pageBreakBefore w:val="0"/>
                    <w:widowControl w:val="0"/>
                    <w:suppressLineNumbers w:val="0"/>
                    <w:kinsoku/>
                    <w:wordWrap w:val="0"/>
                    <w:overflowPunct/>
                    <w:topLinePunct/>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themeColor="text1"/>
                      <w:kern w:val="2"/>
                      <w:sz w:val="20"/>
                      <w:szCs w:val="22"/>
                      <w:lang w:val="en-US" w:eastAsia="zh-CN" w:bidi="ar-SA"/>
                      <w14:textFill>
                        <w14:solidFill>
                          <w14:schemeClr w14:val="tx1"/>
                        </w14:solidFill>
                      </w14:textFill>
                    </w:rPr>
                  </w:pPr>
                  <w:r>
                    <w:rPr>
                      <w:rFonts w:hint="default" w:ascii="Times New Roman" w:hAnsi="Times New Roman" w:cs="Times New Roman"/>
                      <w:b w:val="0"/>
                      <w:bCs w:val="0"/>
                      <w:color w:val="000000" w:themeColor="text1"/>
                      <w:sz w:val="20"/>
                      <w:szCs w:val="22"/>
                      <w:lang w:eastAsia="zh-CN"/>
                      <w14:textFill>
                        <w14:solidFill>
                          <w14:schemeClr w14:val="tx1"/>
                        </w14:solidFill>
                      </w14:textFill>
                    </w:rPr>
                    <w:t>mg/m</w:t>
                  </w:r>
                  <w:r>
                    <w:rPr>
                      <w:rFonts w:hint="default" w:ascii="Times New Roman" w:hAnsi="Times New Roman" w:cs="Times New Roman"/>
                      <w:b w:val="0"/>
                      <w:bCs w:val="0"/>
                      <w:color w:val="000000" w:themeColor="text1"/>
                      <w:sz w:val="20"/>
                      <w:szCs w:val="22"/>
                      <w:vertAlign w:val="superscript"/>
                      <w:lang w:eastAsia="zh-CN"/>
                      <w14:textFill>
                        <w14:solidFill>
                          <w14:schemeClr w14:val="tx1"/>
                        </w14:solidFill>
                      </w14:textFill>
                    </w:rPr>
                    <w:t>3</w:t>
                  </w:r>
                </w:p>
              </w:tc>
            </w:tr>
            <w:tr w14:paraId="58C637F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28" w:type="dxa"/>
                  <w:vMerge w:val="continue"/>
                  <w:tcBorders>
                    <w:tl2br w:val="nil"/>
                    <w:tr2bl w:val="nil"/>
                  </w:tcBorders>
                  <w:noWrap w:val="0"/>
                  <w:vAlign w:val="center"/>
                </w:tcPr>
                <w:p w14:paraId="0016597D">
                  <w:pPr>
                    <w:keepNext w:val="0"/>
                    <w:keepLines w:val="0"/>
                    <w:pageBreakBefore w:val="0"/>
                    <w:widowControl w:val="0"/>
                    <w:suppressLineNumbers w:val="0"/>
                    <w:kinsoku/>
                    <w:wordWrap w:val="0"/>
                    <w:overflowPunct/>
                    <w:topLinePunct/>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000000" w:themeColor="text1"/>
                      <w:sz w:val="20"/>
                      <w:szCs w:val="22"/>
                      <w14:textFill>
                        <w14:solidFill>
                          <w14:schemeClr w14:val="tx1"/>
                        </w14:solidFill>
                      </w14:textFill>
                    </w:rPr>
                  </w:pPr>
                </w:p>
              </w:tc>
              <w:tc>
                <w:tcPr>
                  <w:tcW w:w="2348" w:type="dxa"/>
                  <w:vMerge w:val="continue"/>
                  <w:tcBorders>
                    <w:tl2br w:val="nil"/>
                    <w:tr2bl w:val="nil"/>
                  </w:tcBorders>
                  <w:noWrap w:val="0"/>
                  <w:vAlign w:val="center"/>
                </w:tcPr>
                <w:p w14:paraId="0B79EAAA">
                  <w:pPr>
                    <w:keepNext w:val="0"/>
                    <w:keepLines w:val="0"/>
                    <w:pageBreakBefore w:val="0"/>
                    <w:widowControl w:val="0"/>
                    <w:suppressLineNumbers w:val="0"/>
                    <w:kinsoku/>
                    <w:wordWrap w:val="0"/>
                    <w:overflowPunct/>
                    <w:topLinePunct/>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themeColor="text1"/>
                      <w:sz w:val="20"/>
                      <w:szCs w:val="22"/>
                      <w14:textFill>
                        <w14:solidFill>
                          <w14:schemeClr w14:val="tx1"/>
                        </w14:solidFill>
                      </w14:textFill>
                    </w:rPr>
                  </w:pPr>
                </w:p>
              </w:tc>
              <w:tc>
                <w:tcPr>
                  <w:tcW w:w="963" w:type="dxa"/>
                  <w:vMerge w:val="continue"/>
                  <w:tcBorders>
                    <w:tl2br w:val="nil"/>
                    <w:tr2bl w:val="nil"/>
                  </w:tcBorders>
                  <w:noWrap w:val="0"/>
                  <w:vAlign w:val="center"/>
                </w:tcPr>
                <w:p w14:paraId="30214C36">
                  <w:pPr>
                    <w:keepNext w:val="0"/>
                    <w:keepLines w:val="0"/>
                    <w:pageBreakBefore w:val="0"/>
                    <w:widowControl w:val="0"/>
                    <w:suppressLineNumbers w:val="0"/>
                    <w:kinsoku/>
                    <w:wordWrap w:val="0"/>
                    <w:overflowPunct/>
                    <w:topLinePunct/>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themeColor="text1"/>
                      <w:kern w:val="2"/>
                      <w:sz w:val="20"/>
                      <w:szCs w:val="22"/>
                      <w:lang w:val="en-US" w:eastAsia="zh-CN" w:bidi="ar-SA"/>
                      <w14:textFill>
                        <w14:solidFill>
                          <w14:schemeClr w14:val="tx1"/>
                        </w14:solidFill>
                      </w14:textFill>
                    </w:rPr>
                  </w:pPr>
                </w:p>
              </w:tc>
              <w:tc>
                <w:tcPr>
                  <w:tcW w:w="2667" w:type="dxa"/>
                  <w:tcBorders>
                    <w:tl2br w:val="nil"/>
                    <w:tr2bl w:val="nil"/>
                  </w:tcBorders>
                  <w:noWrap w:val="0"/>
                  <w:vAlign w:val="center"/>
                </w:tcPr>
                <w:p w14:paraId="5E122943">
                  <w:pPr>
                    <w:keepNext w:val="0"/>
                    <w:keepLines w:val="0"/>
                    <w:pageBreakBefore w:val="0"/>
                    <w:widowControl w:val="0"/>
                    <w:suppressLineNumbers w:val="0"/>
                    <w:kinsoku/>
                    <w:wordWrap w:val="0"/>
                    <w:overflowPunct/>
                    <w:topLinePunct/>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0"/>
                      <w:szCs w:val="22"/>
                      <w:lang w:val="en-US" w:eastAsia="zh-CN" w:bidi="ar"/>
                      <w14:textFill>
                        <w14:solidFill>
                          <w14:schemeClr w14:val="tx1"/>
                        </w14:solidFill>
                      </w14:textFill>
                    </w:rPr>
                  </w:pPr>
                  <w:r>
                    <w:rPr>
                      <w:rFonts w:hint="default" w:ascii="Times New Roman" w:hAnsi="Times New Roman" w:cs="Times New Roman"/>
                      <w:color w:val="000000" w:themeColor="text1"/>
                      <w:kern w:val="2"/>
                      <w:sz w:val="20"/>
                      <w:szCs w:val="22"/>
                      <w:lang w:val="en-US" w:eastAsia="zh-CN" w:bidi="ar"/>
                      <w14:textFill>
                        <w14:solidFill>
                          <w14:schemeClr w14:val="tx1"/>
                        </w14:solidFill>
                      </w14:textFill>
                    </w:rPr>
                    <w:t>周界外浓度最高点</w:t>
                  </w:r>
                </w:p>
              </w:tc>
              <w:tc>
                <w:tcPr>
                  <w:tcW w:w="682" w:type="dxa"/>
                  <w:tcBorders>
                    <w:tl2br w:val="nil"/>
                    <w:tr2bl w:val="nil"/>
                  </w:tcBorders>
                  <w:noWrap w:val="0"/>
                  <w:vAlign w:val="center"/>
                </w:tcPr>
                <w:p w14:paraId="5E1C3AB3">
                  <w:pPr>
                    <w:keepNext w:val="0"/>
                    <w:keepLines w:val="0"/>
                    <w:pageBreakBefore w:val="0"/>
                    <w:widowControl w:val="0"/>
                    <w:suppressLineNumbers w:val="0"/>
                    <w:kinsoku/>
                    <w:wordWrap w:val="0"/>
                    <w:overflowPunct/>
                    <w:topLinePunct/>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themeColor="text1"/>
                      <w:kern w:val="2"/>
                      <w:sz w:val="20"/>
                      <w:szCs w:val="22"/>
                      <w:lang w:val="en-US" w:eastAsia="zh-CN" w:bidi="ar-SA"/>
                      <w14:textFill>
                        <w14:solidFill>
                          <w14:schemeClr w14:val="tx1"/>
                        </w14:solidFill>
                      </w14:textFill>
                    </w:rPr>
                  </w:pPr>
                  <w:r>
                    <w:rPr>
                      <w:rFonts w:hint="default" w:ascii="Times New Roman" w:hAnsi="Times New Roman" w:cs="Times New Roman"/>
                      <w:b w:val="0"/>
                      <w:bCs w:val="0"/>
                      <w:color w:val="000000" w:themeColor="text1"/>
                      <w:sz w:val="20"/>
                      <w:szCs w:val="22"/>
                      <w:lang w:val="en-US" w:eastAsia="zh-CN"/>
                      <w14:textFill>
                        <w14:solidFill>
                          <w14:schemeClr w14:val="tx1"/>
                        </w14:solidFill>
                      </w14:textFill>
                    </w:rPr>
                    <w:t>0.24</w:t>
                  </w:r>
                </w:p>
              </w:tc>
              <w:tc>
                <w:tcPr>
                  <w:tcW w:w="849" w:type="dxa"/>
                  <w:tcBorders>
                    <w:tl2br w:val="nil"/>
                    <w:tr2bl w:val="nil"/>
                  </w:tcBorders>
                  <w:noWrap w:val="0"/>
                  <w:vAlign w:val="center"/>
                </w:tcPr>
                <w:p w14:paraId="2FAF78D8">
                  <w:pPr>
                    <w:keepNext w:val="0"/>
                    <w:keepLines w:val="0"/>
                    <w:pageBreakBefore w:val="0"/>
                    <w:widowControl w:val="0"/>
                    <w:suppressLineNumbers w:val="0"/>
                    <w:kinsoku/>
                    <w:wordWrap w:val="0"/>
                    <w:overflowPunct/>
                    <w:topLinePunct/>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themeColor="text1"/>
                      <w:kern w:val="2"/>
                      <w:sz w:val="20"/>
                      <w:szCs w:val="22"/>
                      <w:lang w:val="en-US" w:eastAsia="zh-CN" w:bidi="ar-SA"/>
                      <w14:textFill>
                        <w14:solidFill>
                          <w14:schemeClr w14:val="tx1"/>
                        </w14:solidFill>
                      </w14:textFill>
                    </w:rPr>
                  </w:pPr>
                  <w:r>
                    <w:rPr>
                      <w:rFonts w:hint="default" w:ascii="Times New Roman" w:hAnsi="Times New Roman" w:cs="Times New Roman"/>
                      <w:b w:val="0"/>
                      <w:bCs w:val="0"/>
                      <w:color w:val="000000" w:themeColor="text1"/>
                      <w:sz w:val="20"/>
                      <w:szCs w:val="22"/>
                      <w:lang w:eastAsia="zh-CN"/>
                      <w14:textFill>
                        <w14:solidFill>
                          <w14:schemeClr w14:val="tx1"/>
                        </w14:solidFill>
                      </w14:textFill>
                    </w:rPr>
                    <w:t>mg/m</w:t>
                  </w:r>
                  <w:r>
                    <w:rPr>
                      <w:rFonts w:hint="default" w:ascii="Times New Roman" w:hAnsi="Times New Roman" w:cs="Times New Roman"/>
                      <w:b w:val="0"/>
                      <w:bCs w:val="0"/>
                      <w:color w:val="000000" w:themeColor="text1"/>
                      <w:sz w:val="20"/>
                      <w:szCs w:val="22"/>
                      <w:vertAlign w:val="superscript"/>
                      <w:lang w:eastAsia="zh-CN"/>
                      <w14:textFill>
                        <w14:solidFill>
                          <w14:schemeClr w14:val="tx1"/>
                        </w14:solidFill>
                      </w14:textFill>
                    </w:rPr>
                    <w:t>3</w:t>
                  </w:r>
                </w:p>
              </w:tc>
            </w:tr>
            <w:tr w14:paraId="18F04A1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28" w:type="dxa"/>
                  <w:vMerge w:val="continue"/>
                  <w:tcBorders>
                    <w:tl2br w:val="nil"/>
                    <w:tr2bl w:val="nil"/>
                  </w:tcBorders>
                  <w:noWrap w:val="0"/>
                  <w:vAlign w:val="center"/>
                </w:tcPr>
                <w:p w14:paraId="6961E1B1">
                  <w:pPr>
                    <w:keepNext w:val="0"/>
                    <w:keepLines w:val="0"/>
                    <w:pageBreakBefore w:val="0"/>
                    <w:widowControl w:val="0"/>
                    <w:suppressLineNumbers w:val="0"/>
                    <w:kinsoku/>
                    <w:wordWrap w:val="0"/>
                    <w:overflowPunct/>
                    <w:topLinePunct/>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000000" w:themeColor="text1"/>
                      <w:sz w:val="20"/>
                      <w:szCs w:val="22"/>
                      <w14:textFill>
                        <w14:solidFill>
                          <w14:schemeClr w14:val="tx1"/>
                        </w14:solidFill>
                      </w14:textFill>
                    </w:rPr>
                  </w:pPr>
                </w:p>
              </w:tc>
              <w:tc>
                <w:tcPr>
                  <w:tcW w:w="2348" w:type="dxa"/>
                  <w:vMerge w:val="restart"/>
                  <w:tcBorders>
                    <w:tl2br w:val="nil"/>
                    <w:tr2bl w:val="nil"/>
                  </w:tcBorders>
                  <w:noWrap w:val="0"/>
                  <w:vAlign w:val="center"/>
                </w:tcPr>
                <w:p w14:paraId="74C09D5B">
                  <w:pPr>
                    <w:keepNext w:val="0"/>
                    <w:keepLines w:val="0"/>
                    <w:pageBreakBefore w:val="0"/>
                    <w:widowControl w:val="0"/>
                    <w:kinsoku/>
                    <w:wordWrap w:val="0"/>
                    <w:overflowPunct/>
                    <w:topLinePunct/>
                    <w:autoSpaceDE/>
                    <w:autoSpaceDN/>
                    <w:bidi w:val="0"/>
                    <w:adjustRightInd/>
                    <w:jc w:val="center"/>
                    <w:textAlignment w:val="auto"/>
                    <w:rPr>
                      <w:rFonts w:hint="default" w:ascii="Times New Roman" w:hAnsi="Times New Roman" w:eastAsia="宋体" w:cs="Times New Roman"/>
                      <w:b w:val="0"/>
                      <w:bCs w:val="0"/>
                      <w:color w:val="000000" w:themeColor="text1"/>
                      <w:sz w:val="20"/>
                      <w:szCs w:val="22"/>
                      <w14:textFill>
                        <w14:solidFill>
                          <w14:schemeClr w14:val="tx1"/>
                        </w14:solidFill>
                      </w14:textFill>
                    </w:rPr>
                  </w:pPr>
                  <w:r>
                    <w:rPr>
                      <w:rFonts w:hint="default" w:ascii="Times New Roman" w:hAnsi="Times New Roman" w:eastAsia="宋体" w:cs="Times New Roman"/>
                      <w:b w:val="0"/>
                      <w:bCs w:val="0"/>
                      <w:color w:val="000000" w:themeColor="text1"/>
                      <w:sz w:val="20"/>
                      <w:szCs w:val="22"/>
                      <w:lang w:val="en-US" w:eastAsia="zh-CN"/>
                      <w14:textFill>
                        <w14:solidFill>
                          <w14:schemeClr w14:val="tx1"/>
                        </w14:solidFill>
                      </w14:textFill>
                    </w:rPr>
                    <w:t>《挥发性有机物排放控制标准》（DB61/T</w:t>
                  </w:r>
                  <w:r>
                    <w:rPr>
                      <w:rFonts w:hint="eastAsia" w:cs="Times New Roman"/>
                      <w:b w:val="0"/>
                      <w:bCs w:val="0"/>
                      <w:color w:val="000000" w:themeColor="text1"/>
                      <w:sz w:val="20"/>
                      <w:szCs w:val="22"/>
                      <w:lang w:val="en-US" w:eastAsia="zh-CN"/>
                      <w14:textFill>
                        <w14:solidFill>
                          <w14:schemeClr w14:val="tx1"/>
                        </w14:solidFill>
                      </w14:textFill>
                    </w:rPr>
                    <w:t xml:space="preserve"> </w:t>
                  </w:r>
                  <w:r>
                    <w:rPr>
                      <w:rFonts w:hint="default" w:ascii="Times New Roman" w:hAnsi="Times New Roman" w:eastAsia="宋体" w:cs="Times New Roman"/>
                      <w:b w:val="0"/>
                      <w:bCs w:val="0"/>
                      <w:color w:val="000000" w:themeColor="text1"/>
                      <w:sz w:val="20"/>
                      <w:szCs w:val="22"/>
                      <w:lang w:val="en-US" w:eastAsia="zh-CN"/>
                      <w14:textFill>
                        <w14:solidFill>
                          <w14:schemeClr w14:val="tx1"/>
                        </w14:solidFill>
                      </w14:textFill>
                    </w:rPr>
                    <w:t>1061-2017）</w:t>
                  </w:r>
                </w:p>
              </w:tc>
              <w:tc>
                <w:tcPr>
                  <w:tcW w:w="963" w:type="dxa"/>
                  <w:vMerge w:val="restart"/>
                  <w:tcBorders>
                    <w:tl2br w:val="nil"/>
                    <w:tr2bl w:val="nil"/>
                  </w:tcBorders>
                  <w:noWrap w:val="0"/>
                  <w:vAlign w:val="center"/>
                </w:tcPr>
                <w:p w14:paraId="53D2CDAB">
                  <w:pPr>
                    <w:keepNext w:val="0"/>
                    <w:keepLines w:val="0"/>
                    <w:pageBreakBefore w:val="0"/>
                    <w:widowControl w:val="0"/>
                    <w:kinsoku/>
                    <w:wordWrap w:val="0"/>
                    <w:overflowPunct/>
                    <w:topLinePunct/>
                    <w:autoSpaceDE/>
                    <w:autoSpaceDN/>
                    <w:bidi w:val="0"/>
                    <w:adjustRightInd/>
                    <w:jc w:val="center"/>
                    <w:textAlignment w:val="auto"/>
                    <w:rPr>
                      <w:rFonts w:hint="default" w:ascii="Times New Roman" w:hAnsi="Times New Roman" w:eastAsia="宋体" w:cs="Times New Roman"/>
                      <w:b w:val="0"/>
                      <w:bCs w:val="0"/>
                      <w:color w:val="000000" w:themeColor="text1"/>
                      <w:sz w:val="20"/>
                      <w:szCs w:val="22"/>
                      <w14:textFill>
                        <w14:solidFill>
                          <w14:schemeClr w14:val="tx1"/>
                        </w14:solidFill>
                      </w14:textFill>
                    </w:rPr>
                  </w:pPr>
                  <w:r>
                    <w:rPr>
                      <w:rFonts w:hint="default" w:ascii="Times New Roman" w:hAnsi="Times New Roman" w:eastAsia="宋体" w:cs="Times New Roman"/>
                      <w:b w:val="0"/>
                      <w:bCs w:val="0"/>
                      <w:color w:val="000000" w:themeColor="text1"/>
                      <w:sz w:val="20"/>
                      <w:szCs w:val="22"/>
                      <w:lang w:eastAsia="zh-CN"/>
                      <w14:textFill>
                        <w14:solidFill>
                          <w14:schemeClr w14:val="tx1"/>
                        </w14:solidFill>
                      </w14:textFill>
                    </w:rPr>
                    <w:t>非甲烷总烃</w:t>
                  </w:r>
                </w:p>
              </w:tc>
              <w:tc>
                <w:tcPr>
                  <w:tcW w:w="2667" w:type="dxa"/>
                  <w:tcBorders>
                    <w:tl2br w:val="nil"/>
                    <w:tr2bl w:val="nil"/>
                  </w:tcBorders>
                  <w:noWrap w:val="0"/>
                  <w:vAlign w:val="center"/>
                </w:tcPr>
                <w:p w14:paraId="20B9FD75">
                  <w:pPr>
                    <w:keepNext w:val="0"/>
                    <w:keepLines w:val="0"/>
                    <w:pageBreakBefore w:val="0"/>
                    <w:widowControl w:val="0"/>
                    <w:suppressLineNumbers w:val="0"/>
                    <w:kinsoku/>
                    <w:wordWrap w:val="0"/>
                    <w:overflowPunct/>
                    <w:topLinePunct/>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000000" w:themeColor="text1"/>
                      <w:kern w:val="2"/>
                      <w:sz w:val="20"/>
                      <w:szCs w:val="22"/>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sz w:val="20"/>
                      <w:szCs w:val="22"/>
                      <w:lang w:eastAsia="zh-CN"/>
                      <w14:textFill>
                        <w14:solidFill>
                          <w14:schemeClr w14:val="tx1"/>
                        </w14:solidFill>
                      </w14:textFill>
                    </w:rPr>
                    <w:t>有组织最高允许排放浓度</w:t>
                  </w:r>
                </w:p>
              </w:tc>
              <w:tc>
                <w:tcPr>
                  <w:tcW w:w="682" w:type="dxa"/>
                  <w:tcBorders>
                    <w:tl2br w:val="nil"/>
                    <w:tr2bl w:val="nil"/>
                  </w:tcBorders>
                  <w:noWrap w:val="0"/>
                  <w:vAlign w:val="center"/>
                </w:tcPr>
                <w:p w14:paraId="5AF153C8">
                  <w:pPr>
                    <w:keepNext w:val="0"/>
                    <w:keepLines w:val="0"/>
                    <w:pageBreakBefore w:val="0"/>
                    <w:widowControl w:val="0"/>
                    <w:suppressLineNumbers w:val="0"/>
                    <w:kinsoku/>
                    <w:wordWrap w:val="0"/>
                    <w:overflowPunct/>
                    <w:topLinePunct/>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000000" w:themeColor="text1"/>
                      <w:kern w:val="2"/>
                      <w:sz w:val="20"/>
                      <w:szCs w:val="22"/>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sz w:val="20"/>
                      <w:szCs w:val="22"/>
                      <w:lang w:val="en-US" w:eastAsia="zh-CN"/>
                      <w14:textFill>
                        <w14:solidFill>
                          <w14:schemeClr w14:val="tx1"/>
                        </w14:solidFill>
                      </w14:textFill>
                    </w:rPr>
                    <w:t>50</w:t>
                  </w:r>
                </w:p>
              </w:tc>
              <w:tc>
                <w:tcPr>
                  <w:tcW w:w="849" w:type="dxa"/>
                  <w:tcBorders>
                    <w:tl2br w:val="nil"/>
                    <w:tr2bl w:val="nil"/>
                  </w:tcBorders>
                  <w:noWrap w:val="0"/>
                  <w:vAlign w:val="center"/>
                </w:tcPr>
                <w:p w14:paraId="4874D56F">
                  <w:pPr>
                    <w:keepNext w:val="0"/>
                    <w:keepLines w:val="0"/>
                    <w:pageBreakBefore w:val="0"/>
                    <w:widowControl w:val="0"/>
                    <w:suppressLineNumbers w:val="0"/>
                    <w:kinsoku/>
                    <w:wordWrap w:val="0"/>
                    <w:overflowPunct/>
                    <w:topLinePunct/>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000000" w:themeColor="text1"/>
                      <w:kern w:val="2"/>
                      <w:sz w:val="20"/>
                      <w:szCs w:val="22"/>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sz w:val="20"/>
                      <w:szCs w:val="22"/>
                      <w14:textFill>
                        <w14:solidFill>
                          <w14:schemeClr w14:val="tx1"/>
                        </w14:solidFill>
                      </w14:textFill>
                    </w:rPr>
                    <w:t>mg/m</w:t>
                  </w:r>
                  <w:r>
                    <w:rPr>
                      <w:rFonts w:hint="default" w:ascii="Times New Roman" w:hAnsi="Times New Roman" w:eastAsia="宋体" w:cs="Times New Roman"/>
                      <w:b w:val="0"/>
                      <w:bCs w:val="0"/>
                      <w:color w:val="000000" w:themeColor="text1"/>
                      <w:sz w:val="20"/>
                      <w:szCs w:val="22"/>
                      <w:vertAlign w:val="superscript"/>
                      <w14:textFill>
                        <w14:solidFill>
                          <w14:schemeClr w14:val="tx1"/>
                        </w14:solidFill>
                      </w14:textFill>
                    </w:rPr>
                    <w:t>3</w:t>
                  </w:r>
                </w:p>
              </w:tc>
            </w:tr>
            <w:tr w14:paraId="5A9EDCE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28" w:type="dxa"/>
                  <w:vMerge w:val="continue"/>
                  <w:tcBorders>
                    <w:tl2br w:val="nil"/>
                    <w:tr2bl w:val="nil"/>
                  </w:tcBorders>
                  <w:noWrap w:val="0"/>
                  <w:vAlign w:val="center"/>
                </w:tcPr>
                <w:p w14:paraId="4757EE13">
                  <w:pPr>
                    <w:keepNext w:val="0"/>
                    <w:keepLines w:val="0"/>
                    <w:pageBreakBefore w:val="0"/>
                    <w:widowControl w:val="0"/>
                    <w:suppressLineNumbers w:val="0"/>
                    <w:kinsoku/>
                    <w:wordWrap w:val="0"/>
                    <w:overflowPunct/>
                    <w:topLinePunct/>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000000" w:themeColor="text1"/>
                      <w:sz w:val="20"/>
                      <w:szCs w:val="22"/>
                      <w14:textFill>
                        <w14:solidFill>
                          <w14:schemeClr w14:val="tx1"/>
                        </w14:solidFill>
                      </w14:textFill>
                    </w:rPr>
                  </w:pPr>
                </w:p>
              </w:tc>
              <w:tc>
                <w:tcPr>
                  <w:tcW w:w="2348" w:type="dxa"/>
                  <w:vMerge w:val="continue"/>
                  <w:tcBorders>
                    <w:tl2br w:val="nil"/>
                    <w:tr2bl w:val="nil"/>
                  </w:tcBorders>
                  <w:noWrap w:val="0"/>
                  <w:vAlign w:val="center"/>
                </w:tcPr>
                <w:p w14:paraId="350F1B7B">
                  <w:pPr>
                    <w:keepNext w:val="0"/>
                    <w:keepLines w:val="0"/>
                    <w:pageBreakBefore w:val="0"/>
                    <w:widowControl w:val="0"/>
                    <w:suppressLineNumbers w:val="0"/>
                    <w:kinsoku/>
                    <w:wordWrap w:val="0"/>
                    <w:overflowPunct/>
                    <w:topLinePunct/>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000000" w:themeColor="text1"/>
                      <w:sz w:val="20"/>
                      <w:szCs w:val="22"/>
                      <w14:textFill>
                        <w14:solidFill>
                          <w14:schemeClr w14:val="tx1"/>
                        </w14:solidFill>
                      </w14:textFill>
                    </w:rPr>
                  </w:pPr>
                </w:p>
              </w:tc>
              <w:tc>
                <w:tcPr>
                  <w:tcW w:w="963" w:type="dxa"/>
                  <w:vMerge w:val="continue"/>
                  <w:tcBorders>
                    <w:tl2br w:val="nil"/>
                    <w:tr2bl w:val="nil"/>
                  </w:tcBorders>
                  <w:noWrap w:val="0"/>
                  <w:vAlign w:val="center"/>
                </w:tcPr>
                <w:p w14:paraId="3DAE4F45">
                  <w:pPr>
                    <w:keepNext w:val="0"/>
                    <w:keepLines w:val="0"/>
                    <w:pageBreakBefore w:val="0"/>
                    <w:widowControl w:val="0"/>
                    <w:suppressLineNumbers w:val="0"/>
                    <w:kinsoku/>
                    <w:wordWrap w:val="0"/>
                    <w:overflowPunct/>
                    <w:topLinePunct/>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000000" w:themeColor="text1"/>
                      <w:sz w:val="20"/>
                      <w:szCs w:val="22"/>
                      <w14:textFill>
                        <w14:solidFill>
                          <w14:schemeClr w14:val="tx1"/>
                        </w14:solidFill>
                      </w14:textFill>
                    </w:rPr>
                  </w:pPr>
                </w:p>
              </w:tc>
              <w:tc>
                <w:tcPr>
                  <w:tcW w:w="2667" w:type="dxa"/>
                  <w:tcBorders>
                    <w:tl2br w:val="nil"/>
                    <w:tr2bl w:val="nil"/>
                  </w:tcBorders>
                  <w:noWrap w:val="0"/>
                  <w:vAlign w:val="center"/>
                </w:tcPr>
                <w:p w14:paraId="0E6BEBF7">
                  <w:pPr>
                    <w:keepNext w:val="0"/>
                    <w:keepLines w:val="0"/>
                    <w:pageBreakBefore w:val="0"/>
                    <w:widowControl w:val="0"/>
                    <w:suppressLineNumbers w:val="0"/>
                    <w:kinsoku/>
                    <w:wordWrap w:val="0"/>
                    <w:overflowPunct/>
                    <w:topLinePunct/>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000000" w:themeColor="text1"/>
                      <w:kern w:val="2"/>
                      <w:sz w:val="20"/>
                      <w:szCs w:val="22"/>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sz w:val="20"/>
                      <w:szCs w:val="22"/>
                      <w:lang w:val="en-US" w:eastAsia="zh-CN"/>
                      <w14:textFill>
                        <w14:solidFill>
                          <w14:schemeClr w14:val="tx1"/>
                        </w14:solidFill>
                      </w14:textFill>
                    </w:rPr>
                    <w:t>NMHC最低去除效率</w:t>
                  </w:r>
                </w:p>
              </w:tc>
              <w:tc>
                <w:tcPr>
                  <w:tcW w:w="682" w:type="dxa"/>
                  <w:tcBorders>
                    <w:tl2br w:val="nil"/>
                    <w:tr2bl w:val="nil"/>
                  </w:tcBorders>
                  <w:noWrap w:val="0"/>
                  <w:vAlign w:val="center"/>
                </w:tcPr>
                <w:p w14:paraId="6D7452EB">
                  <w:pPr>
                    <w:keepNext w:val="0"/>
                    <w:keepLines w:val="0"/>
                    <w:pageBreakBefore w:val="0"/>
                    <w:widowControl w:val="0"/>
                    <w:suppressLineNumbers w:val="0"/>
                    <w:kinsoku/>
                    <w:wordWrap w:val="0"/>
                    <w:overflowPunct/>
                    <w:topLinePunct/>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000000" w:themeColor="text1"/>
                      <w:kern w:val="2"/>
                      <w:sz w:val="20"/>
                      <w:szCs w:val="22"/>
                      <w:lang w:val="en-US" w:eastAsia="zh-CN" w:bidi="ar"/>
                      <w14:textFill>
                        <w14:solidFill>
                          <w14:schemeClr w14:val="tx1"/>
                        </w14:solidFill>
                      </w14:textFill>
                    </w:rPr>
                  </w:pPr>
                  <w:r>
                    <w:rPr>
                      <w:rFonts w:hint="default" w:ascii="Times New Roman" w:hAnsi="Times New Roman" w:cs="Times New Roman"/>
                      <w:b w:val="0"/>
                      <w:bCs w:val="0"/>
                      <w:color w:val="000000" w:themeColor="text1"/>
                      <w:sz w:val="20"/>
                      <w:szCs w:val="22"/>
                      <w:lang w:val="en-US" w:eastAsia="zh-CN"/>
                      <w14:textFill>
                        <w14:solidFill>
                          <w14:schemeClr w14:val="tx1"/>
                        </w14:solidFill>
                      </w14:textFill>
                    </w:rPr>
                    <w:t>85</w:t>
                  </w:r>
                </w:p>
              </w:tc>
              <w:tc>
                <w:tcPr>
                  <w:tcW w:w="849" w:type="dxa"/>
                  <w:tcBorders>
                    <w:tl2br w:val="nil"/>
                    <w:tr2bl w:val="nil"/>
                  </w:tcBorders>
                  <w:noWrap w:val="0"/>
                  <w:vAlign w:val="center"/>
                </w:tcPr>
                <w:p w14:paraId="3C0C296C">
                  <w:pPr>
                    <w:keepNext w:val="0"/>
                    <w:keepLines w:val="0"/>
                    <w:pageBreakBefore w:val="0"/>
                    <w:widowControl w:val="0"/>
                    <w:suppressLineNumbers w:val="0"/>
                    <w:kinsoku/>
                    <w:wordWrap w:val="0"/>
                    <w:overflowPunct/>
                    <w:topLinePunct/>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000000" w:themeColor="text1"/>
                      <w:kern w:val="2"/>
                      <w:sz w:val="20"/>
                      <w:szCs w:val="22"/>
                      <w:lang w:val="en-US" w:eastAsia="zh-CN" w:bidi="ar"/>
                      <w14:textFill>
                        <w14:solidFill>
                          <w14:schemeClr w14:val="tx1"/>
                        </w14:solidFill>
                      </w14:textFill>
                    </w:rPr>
                  </w:pPr>
                  <w:r>
                    <w:rPr>
                      <w:rFonts w:hint="default" w:ascii="Times New Roman" w:hAnsi="Times New Roman" w:cs="Times New Roman"/>
                      <w:b w:val="0"/>
                      <w:bCs w:val="0"/>
                      <w:color w:val="000000" w:themeColor="text1"/>
                      <w:sz w:val="20"/>
                      <w:szCs w:val="22"/>
                      <w:lang w:val="en-US" w:eastAsia="zh-CN"/>
                      <w14:textFill>
                        <w14:solidFill>
                          <w14:schemeClr w14:val="tx1"/>
                        </w14:solidFill>
                      </w14:textFill>
                    </w:rPr>
                    <w:t>%</w:t>
                  </w:r>
                </w:p>
              </w:tc>
            </w:tr>
            <w:tr w14:paraId="3F91151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433" w:hRule="atLeast"/>
                <w:jc w:val="center"/>
              </w:trPr>
              <w:tc>
                <w:tcPr>
                  <w:tcW w:w="428" w:type="dxa"/>
                  <w:vMerge w:val="continue"/>
                </w:tcPr>
                <w:p w14:paraId="3A53CC2F">
                  <w:pPr>
                    <w:keepNext w:val="0"/>
                    <w:keepLines w:val="0"/>
                    <w:pageBreakBefore w:val="0"/>
                    <w:widowControl w:val="0"/>
                    <w:suppressLineNumbers w:val="0"/>
                    <w:kinsoku/>
                    <w:wordWrap w:val="0"/>
                    <w:overflowPunct/>
                    <w:topLinePunct/>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000000" w:themeColor="text1"/>
                      <w:sz w:val="20"/>
                      <w:szCs w:val="22"/>
                      <w14:textFill>
                        <w14:solidFill>
                          <w14:schemeClr w14:val="tx1"/>
                        </w14:solidFill>
                      </w14:textFill>
                    </w:rPr>
                  </w:pPr>
                </w:p>
              </w:tc>
              <w:tc>
                <w:tcPr>
                  <w:tcW w:w="2348" w:type="dxa"/>
                  <w:vMerge w:val="continue"/>
                  <w:vAlign w:val="center"/>
                </w:tcPr>
                <w:p w14:paraId="4E4B18DF">
                  <w:pPr>
                    <w:keepNext w:val="0"/>
                    <w:keepLines w:val="0"/>
                    <w:pageBreakBefore w:val="0"/>
                    <w:widowControl w:val="0"/>
                    <w:suppressLineNumbers w:val="0"/>
                    <w:kinsoku/>
                    <w:wordWrap w:val="0"/>
                    <w:overflowPunct/>
                    <w:topLinePunct/>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000000" w:themeColor="text1"/>
                      <w:sz w:val="20"/>
                      <w:szCs w:val="22"/>
                      <w14:textFill>
                        <w14:solidFill>
                          <w14:schemeClr w14:val="tx1"/>
                        </w14:solidFill>
                      </w14:textFill>
                    </w:rPr>
                  </w:pPr>
                </w:p>
              </w:tc>
              <w:tc>
                <w:tcPr>
                  <w:tcW w:w="963" w:type="dxa"/>
                  <w:vMerge w:val="continue"/>
                  <w:vAlign w:val="center"/>
                </w:tcPr>
                <w:p w14:paraId="761C82F6">
                  <w:pPr>
                    <w:keepNext w:val="0"/>
                    <w:keepLines w:val="0"/>
                    <w:pageBreakBefore w:val="0"/>
                    <w:widowControl w:val="0"/>
                    <w:suppressLineNumbers w:val="0"/>
                    <w:kinsoku/>
                    <w:wordWrap w:val="0"/>
                    <w:overflowPunct/>
                    <w:topLinePunct/>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000000" w:themeColor="text1"/>
                      <w:sz w:val="20"/>
                      <w:szCs w:val="22"/>
                      <w14:textFill>
                        <w14:solidFill>
                          <w14:schemeClr w14:val="tx1"/>
                        </w14:solidFill>
                      </w14:textFill>
                    </w:rPr>
                  </w:pPr>
                </w:p>
              </w:tc>
              <w:tc>
                <w:tcPr>
                  <w:tcW w:w="2667" w:type="dxa"/>
                  <w:vAlign w:val="center"/>
                </w:tcPr>
                <w:p w14:paraId="1C2437AE">
                  <w:pPr>
                    <w:keepNext w:val="0"/>
                    <w:keepLines w:val="0"/>
                    <w:pageBreakBefore w:val="0"/>
                    <w:widowControl w:val="0"/>
                    <w:suppressLineNumbers w:val="0"/>
                    <w:kinsoku/>
                    <w:wordWrap w:val="0"/>
                    <w:overflowPunct/>
                    <w:topLinePunct/>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000000" w:themeColor="text1"/>
                      <w:kern w:val="2"/>
                      <w:sz w:val="20"/>
                      <w:szCs w:val="22"/>
                      <w:lang w:val="en-US" w:eastAsia="zh-CN" w:bidi="ar"/>
                      <w14:textFill>
                        <w14:solidFill>
                          <w14:schemeClr w14:val="tx1"/>
                        </w14:solidFill>
                      </w14:textFill>
                    </w:rPr>
                  </w:pPr>
                  <w:r>
                    <w:rPr>
                      <w:rFonts w:hint="default" w:ascii="Times New Roman" w:hAnsi="Times New Roman" w:cs="Times New Roman"/>
                      <w:bCs w:val="0"/>
                      <w:color w:val="000000" w:themeColor="text1"/>
                      <w:sz w:val="20"/>
                      <w:szCs w:val="22"/>
                      <w14:textFill>
                        <w14:solidFill>
                          <w14:schemeClr w14:val="tx1"/>
                        </w14:solidFill>
                      </w14:textFill>
                    </w:rPr>
                    <w:t>企业边界监控点浓度限值</w:t>
                  </w:r>
                </w:p>
              </w:tc>
              <w:tc>
                <w:tcPr>
                  <w:tcW w:w="682" w:type="dxa"/>
                  <w:vAlign w:val="center"/>
                </w:tcPr>
                <w:p w14:paraId="6ECBD246">
                  <w:pPr>
                    <w:keepNext w:val="0"/>
                    <w:keepLines w:val="0"/>
                    <w:pageBreakBefore w:val="0"/>
                    <w:widowControl w:val="0"/>
                    <w:suppressLineNumbers w:val="0"/>
                    <w:kinsoku/>
                    <w:wordWrap w:val="0"/>
                    <w:overflowPunct/>
                    <w:topLinePunct/>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000000" w:themeColor="text1"/>
                      <w:kern w:val="2"/>
                      <w:sz w:val="20"/>
                      <w:szCs w:val="22"/>
                      <w:lang w:val="en-US" w:eastAsia="zh-CN" w:bidi="ar"/>
                      <w14:textFill>
                        <w14:solidFill>
                          <w14:schemeClr w14:val="tx1"/>
                        </w14:solidFill>
                      </w14:textFill>
                    </w:rPr>
                  </w:pPr>
                  <w:r>
                    <w:rPr>
                      <w:rFonts w:hint="default" w:ascii="Times New Roman" w:hAnsi="Times New Roman" w:cs="Times New Roman"/>
                      <w:b w:val="0"/>
                      <w:bCs w:val="0"/>
                      <w:color w:val="000000" w:themeColor="text1"/>
                      <w:sz w:val="20"/>
                      <w:szCs w:val="22"/>
                      <w:lang w:val="en-US" w:eastAsia="zh-CN"/>
                      <w14:textFill>
                        <w14:solidFill>
                          <w14:schemeClr w14:val="tx1"/>
                        </w14:solidFill>
                      </w14:textFill>
                    </w:rPr>
                    <w:t>3</w:t>
                  </w:r>
                </w:p>
              </w:tc>
              <w:tc>
                <w:tcPr>
                  <w:tcW w:w="849" w:type="dxa"/>
                  <w:vAlign w:val="center"/>
                </w:tcPr>
                <w:p w14:paraId="132B76BD">
                  <w:pPr>
                    <w:keepNext w:val="0"/>
                    <w:keepLines w:val="0"/>
                    <w:pageBreakBefore w:val="0"/>
                    <w:widowControl w:val="0"/>
                    <w:suppressLineNumbers w:val="0"/>
                    <w:kinsoku/>
                    <w:wordWrap w:val="0"/>
                    <w:overflowPunct/>
                    <w:topLinePunct/>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000000" w:themeColor="text1"/>
                      <w:kern w:val="2"/>
                      <w:sz w:val="20"/>
                      <w:szCs w:val="22"/>
                      <w:lang w:val="en-US" w:eastAsia="zh-CN" w:bidi="ar"/>
                      <w14:textFill>
                        <w14:solidFill>
                          <w14:schemeClr w14:val="tx1"/>
                        </w14:solidFill>
                      </w14:textFill>
                    </w:rPr>
                  </w:pPr>
                  <w:r>
                    <w:rPr>
                      <w:rFonts w:hint="default" w:ascii="Times New Roman" w:hAnsi="Times New Roman" w:cs="Times New Roman"/>
                      <w:b w:val="0"/>
                      <w:bCs w:val="0"/>
                      <w:color w:val="000000" w:themeColor="text1"/>
                      <w:sz w:val="20"/>
                      <w:szCs w:val="22"/>
                      <w:lang w:eastAsia="zh-CN"/>
                      <w14:textFill>
                        <w14:solidFill>
                          <w14:schemeClr w14:val="tx1"/>
                        </w14:solidFill>
                      </w14:textFill>
                    </w:rPr>
                    <w:t>mg/m</w:t>
                  </w:r>
                  <w:r>
                    <w:rPr>
                      <w:rFonts w:hint="default" w:ascii="Times New Roman" w:hAnsi="Times New Roman" w:cs="Times New Roman"/>
                      <w:b w:val="0"/>
                      <w:bCs w:val="0"/>
                      <w:color w:val="000000" w:themeColor="text1"/>
                      <w:sz w:val="20"/>
                      <w:szCs w:val="22"/>
                      <w:vertAlign w:val="superscript"/>
                      <w:lang w:eastAsia="zh-CN"/>
                      <w14:textFill>
                        <w14:solidFill>
                          <w14:schemeClr w14:val="tx1"/>
                        </w14:solidFill>
                      </w14:textFill>
                    </w:rPr>
                    <w:t>3</w:t>
                  </w:r>
                </w:p>
              </w:tc>
            </w:tr>
            <w:tr w14:paraId="2F5F25B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28" w:type="dxa"/>
                  <w:vMerge w:val="continue"/>
                </w:tcPr>
                <w:p w14:paraId="24B9EC71">
                  <w:pPr>
                    <w:keepNext w:val="0"/>
                    <w:keepLines w:val="0"/>
                    <w:pageBreakBefore w:val="0"/>
                    <w:widowControl w:val="0"/>
                    <w:suppressLineNumbers w:val="0"/>
                    <w:kinsoku/>
                    <w:wordWrap w:val="0"/>
                    <w:overflowPunct/>
                    <w:topLinePunct/>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000000" w:themeColor="text1"/>
                      <w:sz w:val="20"/>
                      <w:szCs w:val="22"/>
                      <w14:textFill>
                        <w14:solidFill>
                          <w14:schemeClr w14:val="tx1"/>
                        </w14:solidFill>
                      </w14:textFill>
                    </w:rPr>
                  </w:pPr>
                </w:p>
              </w:tc>
              <w:tc>
                <w:tcPr>
                  <w:tcW w:w="2348" w:type="dxa"/>
                  <w:vMerge w:val="restart"/>
                  <w:vAlign w:val="center"/>
                </w:tcPr>
                <w:p w14:paraId="565A3E51">
                  <w:pPr>
                    <w:keepNext w:val="0"/>
                    <w:keepLines w:val="0"/>
                    <w:pageBreakBefore w:val="0"/>
                    <w:widowControl w:val="0"/>
                    <w:suppressLineNumbers w:val="0"/>
                    <w:kinsoku/>
                    <w:wordWrap w:val="0"/>
                    <w:overflowPunct/>
                    <w:topLinePunct/>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000000" w:themeColor="text1"/>
                      <w:sz w:val="20"/>
                      <w:szCs w:val="22"/>
                      <w14:textFill>
                        <w14:solidFill>
                          <w14:schemeClr w14:val="tx1"/>
                        </w14:solidFill>
                      </w14:textFill>
                    </w:rPr>
                  </w:pPr>
                  <w:r>
                    <w:rPr>
                      <w:rFonts w:hint="default" w:ascii="Times New Roman" w:hAnsi="Times New Roman" w:eastAsia="宋体" w:cs="Times New Roman"/>
                      <w:b w:val="0"/>
                      <w:bCs w:val="0"/>
                      <w:color w:val="000000" w:themeColor="text1"/>
                      <w:sz w:val="20"/>
                      <w:szCs w:val="22"/>
                      <w14:textFill>
                        <w14:solidFill>
                          <w14:schemeClr w14:val="tx1"/>
                        </w14:solidFill>
                      </w14:textFill>
                    </w:rPr>
                    <w:t>《挥发性有机物无组织排放控制标准》（GB</w:t>
                  </w:r>
                  <w:r>
                    <w:rPr>
                      <w:rFonts w:hint="eastAsia" w:cs="Times New Roman"/>
                      <w:b w:val="0"/>
                      <w:bCs w:val="0"/>
                      <w:color w:val="000000" w:themeColor="text1"/>
                      <w:sz w:val="20"/>
                      <w:szCs w:val="22"/>
                      <w:lang w:val="en-US" w:eastAsia="zh-CN"/>
                      <w14:textFill>
                        <w14:solidFill>
                          <w14:schemeClr w14:val="tx1"/>
                        </w14:solidFill>
                      </w14:textFill>
                    </w:rPr>
                    <w:t xml:space="preserve"> </w:t>
                  </w:r>
                  <w:r>
                    <w:rPr>
                      <w:rFonts w:hint="default" w:ascii="Times New Roman" w:hAnsi="Times New Roman" w:cs="Times New Roman"/>
                      <w:b w:val="0"/>
                      <w:bCs w:val="0"/>
                      <w:color w:val="000000" w:themeColor="text1"/>
                      <w:sz w:val="20"/>
                      <w:szCs w:val="22"/>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0"/>
                      <w:szCs w:val="22"/>
                      <w14:textFill>
                        <w14:solidFill>
                          <w14:schemeClr w14:val="tx1"/>
                        </w14:solidFill>
                      </w14:textFill>
                    </w:rPr>
                    <w:t>7822-2019）</w:t>
                  </w:r>
                </w:p>
              </w:tc>
              <w:tc>
                <w:tcPr>
                  <w:tcW w:w="963" w:type="dxa"/>
                  <w:vMerge w:val="restart"/>
                  <w:vAlign w:val="center"/>
                </w:tcPr>
                <w:p w14:paraId="2E9D4972">
                  <w:pPr>
                    <w:keepNext w:val="0"/>
                    <w:keepLines w:val="0"/>
                    <w:pageBreakBefore w:val="0"/>
                    <w:widowControl w:val="0"/>
                    <w:kinsoku/>
                    <w:wordWrap w:val="0"/>
                    <w:overflowPunct/>
                    <w:topLinePunct/>
                    <w:autoSpaceDE/>
                    <w:autoSpaceDN/>
                    <w:bidi w:val="0"/>
                    <w:adjustRightInd/>
                    <w:jc w:val="center"/>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宋体" w:cs="Times New Roman"/>
                      <w:b w:val="0"/>
                      <w:bCs w:val="0"/>
                      <w:color w:val="000000" w:themeColor="text1"/>
                      <w:sz w:val="20"/>
                      <w:szCs w:val="22"/>
                      <w:lang w:eastAsia="zh-CN"/>
                      <w14:textFill>
                        <w14:solidFill>
                          <w14:schemeClr w14:val="tx1"/>
                        </w14:solidFill>
                      </w14:textFill>
                    </w:rPr>
                    <w:t>非甲烷总烃</w:t>
                  </w:r>
                </w:p>
                <w:p w14:paraId="0B559BF1">
                  <w:pPr>
                    <w:keepNext w:val="0"/>
                    <w:keepLines w:val="0"/>
                    <w:pageBreakBefore w:val="0"/>
                    <w:widowControl w:val="0"/>
                    <w:suppressLineNumbers w:val="0"/>
                    <w:kinsoku/>
                    <w:wordWrap w:val="0"/>
                    <w:overflowPunct/>
                    <w:topLinePunct/>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000000" w:themeColor="text1"/>
                      <w:sz w:val="20"/>
                      <w:szCs w:val="22"/>
                      <w14:textFill>
                        <w14:solidFill>
                          <w14:schemeClr w14:val="tx1"/>
                        </w14:solidFill>
                      </w14:textFill>
                    </w:rPr>
                  </w:pPr>
                </w:p>
              </w:tc>
              <w:tc>
                <w:tcPr>
                  <w:tcW w:w="2667" w:type="dxa"/>
                  <w:vAlign w:val="center"/>
                </w:tcPr>
                <w:p w14:paraId="493EF565">
                  <w:pPr>
                    <w:keepNext w:val="0"/>
                    <w:keepLines w:val="0"/>
                    <w:pageBreakBefore w:val="0"/>
                    <w:widowControl w:val="0"/>
                    <w:suppressLineNumbers w:val="0"/>
                    <w:kinsoku/>
                    <w:wordWrap w:val="0"/>
                    <w:overflowPunct/>
                    <w:topLinePunct/>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val="0"/>
                      <w:color w:val="000000" w:themeColor="text1"/>
                      <w:sz w:val="20"/>
                      <w:szCs w:val="22"/>
                      <w:lang w:val="en-US" w:eastAsia="zh-CN"/>
                      <w14:textFill>
                        <w14:solidFill>
                          <w14:schemeClr w14:val="tx1"/>
                        </w14:solidFill>
                      </w14:textFill>
                    </w:rPr>
                  </w:pPr>
                  <w:r>
                    <w:rPr>
                      <w:rFonts w:hint="default" w:ascii="Times New Roman" w:hAnsi="Times New Roman" w:cs="Times New Roman"/>
                      <w:bCs w:val="0"/>
                      <w:color w:val="000000" w:themeColor="text1"/>
                      <w:sz w:val="20"/>
                      <w:szCs w:val="22"/>
                      <w14:textFill>
                        <w14:solidFill>
                          <w14:schemeClr w14:val="tx1"/>
                        </w14:solidFill>
                      </w14:textFill>
                    </w:rPr>
                    <w:t>厂区内</w:t>
                  </w:r>
                  <w:r>
                    <w:rPr>
                      <w:rFonts w:hint="default" w:ascii="Times New Roman" w:hAnsi="Times New Roman" w:cs="Times New Roman"/>
                      <w:bCs w:val="0"/>
                      <w:color w:val="000000" w:themeColor="text1"/>
                      <w:sz w:val="20"/>
                      <w:szCs w:val="22"/>
                      <w:lang w:val="en-US" w:eastAsia="zh-CN"/>
                      <w14:textFill>
                        <w14:solidFill>
                          <w14:schemeClr w14:val="tx1"/>
                        </w14:solidFill>
                      </w14:textFill>
                    </w:rPr>
                    <w:t>VOCs</w:t>
                  </w:r>
                  <w:r>
                    <w:rPr>
                      <w:rFonts w:hint="default" w:ascii="Times New Roman" w:hAnsi="Times New Roman" w:cs="Times New Roman"/>
                      <w:bCs w:val="0"/>
                      <w:color w:val="000000" w:themeColor="text1"/>
                      <w:sz w:val="20"/>
                      <w:szCs w:val="22"/>
                      <w14:textFill>
                        <w14:solidFill>
                          <w14:schemeClr w14:val="tx1"/>
                        </w14:solidFill>
                      </w14:textFill>
                    </w:rPr>
                    <w:t>无组织排放限值</w:t>
                  </w:r>
                  <w:r>
                    <w:rPr>
                      <w:rFonts w:hint="default" w:ascii="Times New Roman" w:hAnsi="Times New Roman" w:cs="Times New Roman"/>
                      <w:bCs w:val="0"/>
                      <w:color w:val="000000" w:themeColor="text1"/>
                      <w:sz w:val="20"/>
                      <w:szCs w:val="22"/>
                      <w:lang w:eastAsia="zh-CN"/>
                      <w14:textFill>
                        <w14:solidFill>
                          <w14:schemeClr w14:val="tx1"/>
                        </w14:solidFill>
                      </w14:textFill>
                    </w:rPr>
                    <w:t>监控点处</w:t>
                  </w:r>
                  <w:r>
                    <w:rPr>
                      <w:rFonts w:hint="default" w:ascii="Times New Roman" w:hAnsi="Times New Roman" w:cs="Times New Roman"/>
                      <w:bCs w:val="0"/>
                      <w:color w:val="000000" w:themeColor="text1"/>
                      <w:sz w:val="20"/>
                      <w:szCs w:val="22"/>
                      <w:lang w:val="en-US" w:eastAsia="zh-CN"/>
                      <w14:textFill>
                        <w14:solidFill>
                          <w14:schemeClr w14:val="tx1"/>
                        </w14:solidFill>
                      </w14:textFill>
                    </w:rPr>
                    <w:t>1h平均浓度</w:t>
                  </w:r>
                </w:p>
              </w:tc>
              <w:tc>
                <w:tcPr>
                  <w:tcW w:w="682" w:type="dxa"/>
                  <w:vAlign w:val="center"/>
                </w:tcPr>
                <w:p w14:paraId="2B18ED8E">
                  <w:pPr>
                    <w:keepNext w:val="0"/>
                    <w:keepLines w:val="0"/>
                    <w:pageBreakBefore w:val="0"/>
                    <w:widowControl w:val="0"/>
                    <w:suppressLineNumbers w:val="0"/>
                    <w:kinsoku/>
                    <w:wordWrap w:val="0"/>
                    <w:overflowPunct/>
                    <w:topLinePunct/>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000000" w:themeColor="text1"/>
                      <w:sz w:val="20"/>
                      <w:szCs w:val="22"/>
                      <w:lang w:val="en-US" w:eastAsia="zh-CN"/>
                      <w14:textFill>
                        <w14:solidFill>
                          <w14:schemeClr w14:val="tx1"/>
                        </w14:solidFill>
                      </w14:textFill>
                    </w:rPr>
                  </w:pPr>
                  <w:r>
                    <w:rPr>
                      <w:rFonts w:hint="default" w:ascii="Times New Roman" w:hAnsi="Times New Roman" w:cs="Times New Roman"/>
                      <w:b w:val="0"/>
                      <w:bCs w:val="0"/>
                      <w:color w:val="000000" w:themeColor="text1"/>
                      <w:sz w:val="20"/>
                      <w:szCs w:val="22"/>
                      <w:lang w:val="en-US" w:eastAsia="zh-CN"/>
                      <w14:textFill>
                        <w14:solidFill>
                          <w14:schemeClr w14:val="tx1"/>
                        </w14:solidFill>
                      </w14:textFill>
                    </w:rPr>
                    <w:t>6</w:t>
                  </w:r>
                </w:p>
              </w:tc>
              <w:tc>
                <w:tcPr>
                  <w:tcW w:w="849" w:type="dxa"/>
                  <w:vAlign w:val="center"/>
                </w:tcPr>
                <w:p w14:paraId="077A06DF">
                  <w:pPr>
                    <w:keepNext w:val="0"/>
                    <w:keepLines w:val="0"/>
                    <w:pageBreakBefore w:val="0"/>
                    <w:widowControl w:val="0"/>
                    <w:suppressLineNumbers w:val="0"/>
                    <w:kinsoku/>
                    <w:wordWrap w:val="0"/>
                    <w:overflowPunct/>
                    <w:topLinePunct/>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000000" w:themeColor="text1"/>
                      <w:sz w:val="20"/>
                      <w:szCs w:val="22"/>
                      <w:lang w:eastAsia="zh-CN"/>
                      <w14:textFill>
                        <w14:solidFill>
                          <w14:schemeClr w14:val="tx1"/>
                        </w14:solidFill>
                      </w14:textFill>
                    </w:rPr>
                  </w:pPr>
                  <w:r>
                    <w:rPr>
                      <w:rFonts w:hint="default" w:ascii="Times New Roman" w:hAnsi="Times New Roman" w:cs="Times New Roman"/>
                      <w:b w:val="0"/>
                      <w:bCs w:val="0"/>
                      <w:color w:val="000000" w:themeColor="text1"/>
                      <w:sz w:val="20"/>
                      <w:szCs w:val="22"/>
                      <w:lang w:eastAsia="zh-CN"/>
                      <w14:textFill>
                        <w14:solidFill>
                          <w14:schemeClr w14:val="tx1"/>
                        </w14:solidFill>
                      </w14:textFill>
                    </w:rPr>
                    <w:t>mg/m</w:t>
                  </w:r>
                  <w:r>
                    <w:rPr>
                      <w:rFonts w:hint="default" w:ascii="Times New Roman" w:hAnsi="Times New Roman" w:cs="Times New Roman"/>
                      <w:b w:val="0"/>
                      <w:bCs w:val="0"/>
                      <w:color w:val="000000" w:themeColor="text1"/>
                      <w:sz w:val="20"/>
                      <w:szCs w:val="22"/>
                      <w:vertAlign w:val="superscript"/>
                      <w:lang w:eastAsia="zh-CN"/>
                      <w14:textFill>
                        <w14:solidFill>
                          <w14:schemeClr w14:val="tx1"/>
                        </w14:solidFill>
                      </w14:textFill>
                    </w:rPr>
                    <w:t>3</w:t>
                  </w:r>
                </w:p>
              </w:tc>
            </w:tr>
            <w:tr w14:paraId="3428BAE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28" w:type="dxa"/>
                  <w:vMerge w:val="continue"/>
                </w:tcPr>
                <w:p w14:paraId="4CC2AC2A">
                  <w:pPr>
                    <w:keepNext w:val="0"/>
                    <w:keepLines w:val="0"/>
                    <w:pageBreakBefore w:val="0"/>
                    <w:widowControl w:val="0"/>
                    <w:suppressLineNumbers w:val="0"/>
                    <w:kinsoku/>
                    <w:wordWrap w:val="0"/>
                    <w:overflowPunct/>
                    <w:topLinePunct/>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000000" w:themeColor="text1"/>
                      <w:sz w:val="20"/>
                      <w:szCs w:val="22"/>
                      <w14:textFill>
                        <w14:solidFill>
                          <w14:schemeClr w14:val="tx1"/>
                        </w14:solidFill>
                      </w14:textFill>
                    </w:rPr>
                  </w:pPr>
                </w:p>
              </w:tc>
              <w:tc>
                <w:tcPr>
                  <w:tcW w:w="2348" w:type="dxa"/>
                  <w:vMerge w:val="continue"/>
                  <w:vAlign w:val="center"/>
                </w:tcPr>
                <w:p w14:paraId="2607A325">
                  <w:pPr>
                    <w:keepNext w:val="0"/>
                    <w:keepLines w:val="0"/>
                    <w:pageBreakBefore w:val="0"/>
                    <w:widowControl w:val="0"/>
                    <w:suppressLineNumbers w:val="0"/>
                    <w:kinsoku/>
                    <w:wordWrap w:val="0"/>
                    <w:overflowPunct/>
                    <w:topLinePunct/>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000000" w:themeColor="text1"/>
                      <w:sz w:val="20"/>
                      <w:szCs w:val="22"/>
                      <w14:textFill>
                        <w14:solidFill>
                          <w14:schemeClr w14:val="tx1"/>
                        </w14:solidFill>
                      </w14:textFill>
                    </w:rPr>
                  </w:pPr>
                </w:p>
              </w:tc>
              <w:tc>
                <w:tcPr>
                  <w:tcW w:w="963" w:type="dxa"/>
                  <w:vMerge w:val="continue"/>
                  <w:vAlign w:val="center"/>
                </w:tcPr>
                <w:p w14:paraId="1B3C3221">
                  <w:pPr>
                    <w:keepNext w:val="0"/>
                    <w:keepLines w:val="0"/>
                    <w:pageBreakBefore w:val="0"/>
                    <w:widowControl w:val="0"/>
                    <w:suppressLineNumbers w:val="0"/>
                    <w:kinsoku/>
                    <w:wordWrap w:val="0"/>
                    <w:overflowPunct/>
                    <w:topLinePunct/>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000000" w:themeColor="text1"/>
                      <w:sz w:val="20"/>
                      <w:szCs w:val="22"/>
                      <w14:textFill>
                        <w14:solidFill>
                          <w14:schemeClr w14:val="tx1"/>
                        </w14:solidFill>
                      </w14:textFill>
                    </w:rPr>
                  </w:pPr>
                </w:p>
              </w:tc>
              <w:tc>
                <w:tcPr>
                  <w:tcW w:w="2667" w:type="dxa"/>
                  <w:vAlign w:val="center"/>
                </w:tcPr>
                <w:p w14:paraId="54D45B88">
                  <w:pPr>
                    <w:keepNext w:val="0"/>
                    <w:keepLines w:val="0"/>
                    <w:pageBreakBefore w:val="0"/>
                    <w:widowControl w:val="0"/>
                    <w:suppressLineNumbers w:val="0"/>
                    <w:kinsoku/>
                    <w:wordWrap w:val="0"/>
                    <w:overflowPunct/>
                    <w:topLinePunct/>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Cs w:val="0"/>
                      <w:color w:val="000000" w:themeColor="text1"/>
                      <w:sz w:val="20"/>
                      <w:szCs w:val="22"/>
                      <w14:textFill>
                        <w14:solidFill>
                          <w14:schemeClr w14:val="tx1"/>
                        </w14:solidFill>
                      </w14:textFill>
                    </w:rPr>
                  </w:pPr>
                  <w:r>
                    <w:rPr>
                      <w:rFonts w:hint="default" w:ascii="Times New Roman" w:hAnsi="Times New Roman" w:cs="Times New Roman"/>
                      <w:bCs w:val="0"/>
                      <w:color w:val="000000" w:themeColor="text1"/>
                      <w:sz w:val="20"/>
                      <w:szCs w:val="22"/>
                      <w14:textFill>
                        <w14:solidFill>
                          <w14:schemeClr w14:val="tx1"/>
                        </w14:solidFill>
                      </w14:textFill>
                    </w:rPr>
                    <w:t>厂区内</w:t>
                  </w:r>
                  <w:r>
                    <w:rPr>
                      <w:rFonts w:hint="default" w:ascii="Times New Roman" w:hAnsi="Times New Roman" w:cs="Times New Roman"/>
                      <w:bCs w:val="0"/>
                      <w:color w:val="000000" w:themeColor="text1"/>
                      <w:sz w:val="20"/>
                      <w:szCs w:val="22"/>
                      <w:lang w:val="en-US" w:eastAsia="zh-CN"/>
                      <w14:textFill>
                        <w14:solidFill>
                          <w14:schemeClr w14:val="tx1"/>
                        </w14:solidFill>
                      </w14:textFill>
                    </w:rPr>
                    <w:t>VOCs</w:t>
                  </w:r>
                  <w:r>
                    <w:rPr>
                      <w:rFonts w:hint="default" w:ascii="Times New Roman" w:hAnsi="Times New Roman" w:cs="Times New Roman"/>
                      <w:bCs w:val="0"/>
                      <w:color w:val="000000" w:themeColor="text1"/>
                      <w:sz w:val="20"/>
                      <w:szCs w:val="22"/>
                      <w14:textFill>
                        <w14:solidFill>
                          <w14:schemeClr w14:val="tx1"/>
                        </w14:solidFill>
                      </w14:textFill>
                    </w:rPr>
                    <w:t>无组织排放限值</w:t>
                  </w:r>
                  <w:r>
                    <w:rPr>
                      <w:rFonts w:hint="default" w:ascii="Times New Roman" w:hAnsi="Times New Roman" w:cs="Times New Roman"/>
                      <w:bCs w:val="0"/>
                      <w:color w:val="000000" w:themeColor="text1"/>
                      <w:sz w:val="20"/>
                      <w:szCs w:val="22"/>
                      <w:lang w:eastAsia="zh-CN"/>
                      <w14:textFill>
                        <w14:solidFill>
                          <w14:schemeClr w14:val="tx1"/>
                        </w14:solidFill>
                      </w14:textFill>
                    </w:rPr>
                    <w:t>监控点处</w:t>
                  </w:r>
                  <w:r>
                    <w:rPr>
                      <w:rFonts w:hint="default" w:ascii="Times New Roman" w:hAnsi="Times New Roman" w:cs="Times New Roman"/>
                      <w:bCs w:val="0"/>
                      <w:color w:val="000000" w:themeColor="text1"/>
                      <w:sz w:val="20"/>
                      <w:szCs w:val="22"/>
                      <w:lang w:val="en-US" w:eastAsia="zh-CN"/>
                      <w14:textFill>
                        <w14:solidFill>
                          <w14:schemeClr w14:val="tx1"/>
                        </w14:solidFill>
                      </w14:textFill>
                    </w:rPr>
                    <w:t>任意一次浓度</w:t>
                  </w:r>
                </w:p>
              </w:tc>
              <w:tc>
                <w:tcPr>
                  <w:tcW w:w="682" w:type="dxa"/>
                  <w:vAlign w:val="center"/>
                </w:tcPr>
                <w:p w14:paraId="18B589FB">
                  <w:pPr>
                    <w:keepNext w:val="0"/>
                    <w:keepLines w:val="0"/>
                    <w:pageBreakBefore w:val="0"/>
                    <w:widowControl w:val="0"/>
                    <w:suppressLineNumbers w:val="0"/>
                    <w:kinsoku/>
                    <w:wordWrap w:val="0"/>
                    <w:overflowPunct/>
                    <w:topLinePunct/>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000000" w:themeColor="text1"/>
                      <w:sz w:val="20"/>
                      <w:szCs w:val="22"/>
                      <w:lang w:val="en-US" w:eastAsia="zh-CN"/>
                      <w14:textFill>
                        <w14:solidFill>
                          <w14:schemeClr w14:val="tx1"/>
                        </w14:solidFill>
                      </w14:textFill>
                    </w:rPr>
                  </w:pPr>
                  <w:r>
                    <w:rPr>
                      <w:rFonts w:hint="default" w:ascii="Times New Roman" w:hAnsi="Times New Roman" w:cs="Times New Roman"/>
                      <w:b w:val="0"/>
                      <w:bCs w:val="0"/>
                      <w:color w:val="000000" w:themeColor="text1"/>
                      <w:sz w:val="20"/>
                      <w:szCs w:val="22"/>
                      <w:lang w:val="en-US" w:eastAsia="zh-CN"/>
                      <w14:textFill>
                        <w14:solidFill>
                          <w14:schemeClr w14:val="tx1"/>
                        </w14:solidFill>
                      </w14:textFill>
                    </w:rPr>
                    <w:t>20</w:t>
                  </w:r>
                </w:p>
              </w:tc>
              <w:tc>
                <w:tcPr>
                  <w:tcW w:w="849" w:type="dxa"/>
                  <w:vAlign w:val="center"/>
                </w:tcPr>
                <w:p w14:paraId="6A946513">
                  <w:pPr>
                    <w:keepNext w:val="0"/>
                    <w:keepLines w:val="0"/>
                    <w:pageBreakBefore w:val="0"/>
                    <w:widowControl w:val="0"/>
                    <w:suppressLineNumbers w:val="0"/>
                    <w:kinsoku/>
                    <w:wordWrap w:val="0"/>
                    <w:overflowPunct/>
                    <w:topLinePunct/>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000000" w:themeColor="text1"/>
                      <w:sz w:val="20"/>
                      <w:szCs w:val="22"/>
                      <w:lang w:eastAsia="zh-CN"/>
                      <w14:textFill>
                        <w14:solidFill>
                          <w14:schemeClr w14:val="tx1"/>
                        </w14:solidFill>
                      </w14:textFill>
                    </w:rPr>
                  </w:pPr>
                  <w:r>
                    <w:rPr>
                      <w:rFonts w:hint="default" w:ascii="Times New Roman" w:hAnsi="Times New Roman" w:cs="Times New Roman"/>
                      <w:b w:val="0"/>
                      <w:bCs w:val="0"/>
                      <w:color w:val="000000" w:themeColor="text1"/>
                      <w:sz w:val="20"/>
                      <w:szCs w:val="22"/>
                      <w:lang w:eastAsia="zh-CN"/>
                      <w14:textFill>
                        <w14:solidFill>
                          <w14:schemeClr w14:val="tx1"/>
                        </w14:solidFill>
                      </w14:textFill>
                    </w:rPr>
                    <w:t>mg/m</w:t>
                  </w:r>
                  <w:r>
                    <w:rPr>
                      <w:rFonts w:hint="default" w:ascii="Times New Roman" w:hAnsi="Times New Roman" w:cs="Times New Roman"/>
                      <w:b w:val="0"/>
                      <w:bCs w:val="0"/>
                      <w:color w:val="000000" w:themeColor="text1"/>
                      <w:sz w:val="20"/>
                      <w:szCs w:val="22"/>
                      <w:vertAlign w:val="superscript"/>
                      <w:lang w:eastAsia="zh-CN"/>
                      <w14:textFill>
                        <w14:solidFill>
                          <w14:schemeClr w14:val="tx1"/>
                        </w14:solidFill>
                      </w14:textFill>
                    </w:rPr>
                    <w:t>3</w:t>
                  </w:r>
                </w:p>
              </w:tc>
            </w:tr>
          </w:tbl>
          <w:p w14:paraId="357CFB2D">
            <w:pPr>
              <w:widowControl/>
              <w:spacing w:line="360" w:lineRule="auto"/>
              <w:ind w:firstLine="482" w:firstLineChars="200"/>
              <w:rPr>
                <w:rFonts w:hint="default" w:ascii="Times New Roman" w:hAnsi="Times New Roman" w:cs="Times New Roman"/>
                <w:b/>
                <w:bCs/>
                <w:color w:val="000000" w:themeColor="text1"/>
                <w:sz w:val="24"/>
                <w14:textFill>
                  <w14:solidFill>
                    <w14:schemeClr w14:val="tx1"/>
                  </w14:solidFill>
                </w14:textFill>
              </w:rPr>
            </w:pPr>
            <w:r>
              <w:rPr>
                <w:rFonts w:hint="default" w:ascii="Times New Roman" w:hAnsi="Times New Roman" w:cs="Times New Roman"/>
                <w:b/>
                <w:bCs/>
                <w:color w:val="000000" w:themeColor="text1"/>
                <w:sz w:val="24"/>
                <w:lang w:eastAsia="zh-CN"/>
                <w14:textFill>
                  <w14:solidFill>
                    <w14:schemeClr w14:val="tx1"/>
                  </w14:solidFill>
                </w14:textFill>
              </w:rPr>
              <w:t>2.</w:t>
            </w:r>
            <w:r>
              <w:rPr>
                <w:rFonts w:hint="default" w:ascii="Times New Roman" w:hAnsi="Times New Roman" w:cs="Times New Roman"/>
                <w:b/>
                <w:bCs/>
                <w:color w:val="000000" w:themeColor="text1"/>
                <w:sz w:val="24"/>
                <w14:textFill>
                  <w14:solidFill>
                    <w14:schemeClr w14:val="tx1"/>
                  </w14:solidFill>
                </w14:textFill>
              </w:rPr>
              <w:t>废水排放标准</w:t>
            </w:r>
          </w:p>
          <w:p w14:paraId="18946E84">
            <w:pPr>
              <w:keepNext/>
              <w:keepLines/>
              <w:widowControl/>
              <w:adjustRightInd w:val="0"/>
              <w:snapToGrid w:val="0"/>
              <w:spacing w:line="360" w:lineRule="auto"/>
              <w:ind w:firstLine="480" w:firstLineChars="200"/>
              <w:jc w:val="left"/>
              <w:outlineLvl w:val="1"/>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本项目</w:t>
            </w:r>
            <w:r>
              <w:rPr>
                <w:rFonts w:hint="default" w:ascii="Times New Roman" w:hAnsi="Times New Roman" w:cs="Times New Roman"/>
                <w:color w:val="000000" w:themeColor="text1"/>
                <w:sz w:val="24"/>
                <w:lang w:val="en-US" w:eastAsia="zh-CN"/>
                <w14:textFill>
                  <w14:solidFill>
                    <w14:schemeClr w14:val="tx1"/>
                  </w14:solidFill>
                </w14:textFill>
              </w:rPr>
              <w:t>设备清洗用水沉淀后综合利用</w:t>
            </w:r>
            <w:r>
              <w:rPr>
                <w:rFonts w:hint="default" w:ascii="Times New Roman" w:hAnsi="Times New Roman" w:cs="Times New Roman"/>
                <w:color w:val="000000" w:themeColor="text1"/>
                <w:sz w:val="24"/>
                <w:lang w:eastAsia="zh-CN"/>
                <w14:textFill>
                  <w14:solidFill>
                    <w14:schemeClr w14:val="tx1"/>
                  </w14:solidFill>
                </w14:textFill>
              </w:rPr>
              <w:t>，</w:t>
            </w:r>
            <w:r>
              <w:rPr>
                <w:rFonts w:hint="eastAsia" w:cs="Times New Roman"/>
                <w:color w:val="000000" w:themeColor="text1"/>
                <w:sz w:val="24"/>
                <w:lang w:val="en-US" w:eastAsia="zh-CN"/>
                <w14:textFill>
                  <w14:solidFill>
                    <w14:schemeClr w14:val="tx1"/>
                  </w14:solidFill>
                </w14:textFill>
              </w:rPr>
              <w:t>浓水和膜冲洗废水经处理后与其他</w:t>
            </w:r>
            <w:r>
              <w:rPr>
                <w:rFonts w:hint="default" w:ascii="Times New Roman" w:hAnsi="Times New Roman" w:cs="Times New Roman"/>
                <w:color w:val="000000" w:themeColor="text1"/>
                <w:sz w:val="24"/>
                <w:lang w:eastAsia="zh-CN"/>
                <w14:textFill>
                  <w14:solidFill>
                    <w14:schemeClr w14:val="tx1"/>
                  </w14:solidFill>
                </w14:textFill>
              </w:rPr>
              <w:t>生活污水经</w:t>
            </w:r>
            <w:r>
              <w:rPr>
                <w:rFonts w:hint="default" w:ascii="Times New Roman" w:hAnsi="Times New Roman" w:cs="Times New Roman"/>
                <w:color w:val="000000" w:themeColor="text1"/>
                <w:sz w:val="24"/>
                <w:lang w:val="en-US" w:eastAsia="zh-CN"/>
                <w14:textFill>
                  <w14:solidFill>
                    <w14:schemeClr w14:val="tx1"/>
                  </w14:solidFill>
                </w14:textFill>
              </w:rPr>
              <w:t>园区公用</w:t>
            </w:r>
            <w:r>
              <w:rPr>
                <w:rFonts w:hint="default" w:ascii="Times New Roman" w:hAnsi="Times New Roman" w:cs="Times New Roman"/>
                <w:color w:val="000000" w:themeColor="text1"/>
                <w:sz w:val="24"/>
                <w:lang w:eastAsia="zh-CN"/>
                <w14:textFill>
                  <w14:solidFill>
                    <w14:schemeClr w14:val="tx1"/>
                  </w14:solidFill>
                </w14:textFill>
              </w:rPr>
              <w:t>化粪池处理后沿市政污水管网排入凤翔区第二污水处理厂</w:t>
            </w:r>
            <w:r>
              <w:rPr>
                <w:rFonts w:hint="default" w:ascii="Times New Roman" w:hAnsi="Times New Roman" w:cs="Times New Roman"/>
                <w:color w:val="000000" w:themeColor="text1"/>
                <w:sz w:val="24"/>
                <w:lang w:val="en-US" w:eastAsia="zh-CN"/>
                <w14:textFill>
                  <w14:solidFill>
                    <w14:schemeClr w14:val="tx1"/>
                  </w14:solidFill>
                </w14:textFill>
              </w:rPr>
              <w:t>处理</w:t>
            </w:r>
            <w:r>
              <w:rPr>
                <w:rFonts w:hint="default" w:ascii="Times New Roman" w:hAnsi="Times New Roman" w:cs="Times New Roman"/>
                <w:color w:val="000000" w:themeColor="text1"/>
                <w:sz w:val="24"/>
                <w14:textFill>
                  <w14:solidFill>
                    <w14:schemeClr w14:val="tx1"/>
                  </w14:solidFill>
                </w14:textFill>
              </w:rPr>
              <w:t>。</w:t>
            </w:r>
            <w:r>
              <w:rPr>
                <w:rFonts w:hint="default" w:ascii="Times New Roman" w:hAnsi="Times New Roman" w:cs="Times New Roman"/>
                <w:color w:val="000000" w:themeColor="text1"/>
                <w:sz w:val="24"/>
                <w:lang w:val="en-US" w:eastAsia="zh-CN"/>
                <w14:textFill>
                  <w14:solidFill>
                    <w14:schemeClr w14:val="tx1"/>
                  </w14:solidFill>
                </w14:textFill>
              </w:rPr>
              <w:t>排入污水管网的水质达到《污水排入城镇下水道水质标准》</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lang w:val="en-US" w:eastAsia="zh-CN"/>
                <w14:textFill>
                  <w14:solidFill>
                    <w14:schemeClr w14:val="tx1"/>
                  </w14:solidFill>
                </w14:textFill>
              </w:rPr>
              <w:t>GB/T31962-2015</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lang w:val="en-US" w:eastAsia="zh-CN"/>
                <w14:textFill>
                  <w14:solidFill>
                    <w14:schemeClr w14:val="tx1"/>
                  </w14:solidFill>
                </w14:textFill>
              </w:rPr>
              <w:t>中B级标准。</w:t>
            </w:r>
          </w:p>
          <w:p w14:paraId="369A7B0D">
            <w:pPr>
              <w:widowControl/>
              <w:spacing w:line="440" w:lineRule="exact"/>
              <w:ind w:firstLine="482" w:firstLineChars="200"/>
              <w:rPr>
                <w:rFonts w:hint="default" w:ascii="Times New Roman" w:hAnsi="Times New Roman" w:cs="Times New Roman"/>
                <w:b/>
                <w:bCs/>
                <w:color w:val="000000" w:themeColor="text1"/>
                <w:sz w:val="24"/>
                <w14:textFill>
                  <w14:solidFill>
                    <w14:schemeClr w14:val="tx1"/>
                  </w14:solidFill>
                </w14:textFill>
              </w:rPr>
            </w:pPr>
            <w:r>
              <w:rPr>
                <w:rFonts w:hint="default" w:ascii="Times New Roman" w:hAnsi="Times New Roman" w:cs="Times New Roman"/>
                <w:b/>
                <w:bCs/>
                <w:color w:val="000000" w:themeColor="text1"/>
                <w:sz w:val="24"/>
                <w14:textFill>
                  <w14:solidFill>
                    <w14:schemeClr w14:val="tx1"/>
                  </w14:solidFill>
                </w14:textFill>
              </w:rPr>
              <w:t>表3-</w:t>
            </w:r>
            <w:r>
              <w:rPr>
                <w:rFonts w:hint="default" w:ascii="Times New Roman" w:hAnsi="Times New Roman" w:cs="Times New Roman"/>
                <w:b/>
                <w:bCs/>
                <w:color w:val="000000" w:themeColor="text1"/>
                <w:sz w:val="24"/>
                <w:lang w:val="en-US" w:eastAsia="zh-CN"/>
                <w14:textFill>
                  <w14:solidFill>
                    <w14:schemeClr w14:val="tx1"/>
                  </w14:solidFill>
                </w14:textFill>
              </w:rPr>
              <w:t>6</w:t>
            </w:r>
            <w:r>
              <w:rPr>
                <w:rFonts w:hint="default" w:ascii="Times New Roman" w:hAnsi="Times New Roman" w:cs="Times New Roman"/>
                <w:b/>
                <w:bCs/>
                <w:color w:val="000000" w:themeColor="text1"/>
                <w:sz w:val="24"/>
                <w14:textFill>
                  <w14:solidFill>
                    <w14:schemeClr w14:val="tx1"/>
                  </w14:solidFill>
                </w14:textFill>
              </w:rPr>
              <w:t xml:space="preserve">  </w:t>
            </w:r>
            <w:r>
              <w:rPr>
                <w:rFonts w:hint="default" w:ascii="Times New Roman" w:hAnsi="Times New Roman" w:cs="Times New Roman"/>
                <w:b/>
                <w:bCs/>
                <w:color w:val="000000" w:themeColor="text1"/>
                <w:sz w:val="24"/>
                <w:lang w:val="en-US" w:eastAsia="zh-CN"/>
                <w14:textFill>
                  <w14:solidFill>
                    <w14:schemeClr w14:val="tx1"/>
                  </w14:solidFill>
                </w14:textFill>
              </w:rPr>
              <w:t xml:space="preserve">  设计进水水质指标一览表</w:t>
            </w:r>
            <w:r>
              <w:rPr>
                <w:rFonts w:hint="default" w:ascii="Times New Roman" w:hAnsi="Times New Roman" w:cs="Times New Roman"/>
                <w:b/>
                <w:bCs/>
                <w:color w:val="000000" w:themeColor="text1"/>
                <w:sz w:val="24"/>
                <w14:textFill>
                  <w14:solidFill>
                    <w14:schemeClr w14:val="tx1"/>
                  </w14:solidFill>
                </w14:textFill>
              </w:rPr>
              <w:t xml:space="preserve">  </w:t>
            </w:r>
            <w:r>
              <w:rPr>
                <w:rFonts w:hint="default" w:ascii="Times New Roman" w:hAnsi="Times New Roman" w:cs="Times New Roman"/>
                <w:b/>
                <w:bCs/>
                <w:color w:val="000000" w:themeColor="text1"/>
                <w:sz w:val="24"/>
                <w:lang w:val="en-US" w:eastAsia="zh-CN"/>
                <w14:textFill>
                  <w14:solidFill>
                    <w14:schemeClr w14:val="tx1"/>
                  </w14:solidFill>
                </w14:textFill>
              </w:rPr>
              <w:t xml:space="preserve">     </w:t>
            </w:r>
            <w:r>
              <w:rPr>
                <w:rFonts w:hint="default" w:ascii="Times New Roman" w:hAnsi="Times New Roman" w:cs="Times New Roman"/>
                <w:b/>
                <w:bCs/>
                <w:color w:val="000000" w:themeColor="text1"/>
                <w:sz w:val="24"/>
                <w14:textFill>
                  <w14:solidFill>
                    <w14:schemeClr w14:val="tx1"/>
                  </w14:solidFill>
                </w14:textFill>
              </w:rPr>
              <w:t>单位：mg/L（pH除外）</w:t>
            </w:r>
          </w:p>
          <w:tbl>
            <w:tblPr>
              <w:tblStyle w:val="36"/>
              <w:tblW w:w="499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61"/>
              <w:gridCol w:w="969"/>
              <w:gridCol w:w="947"/>
              <w:gridCol w:w="935"/>
              <w:gridCol w:w="876"/>
              <w:gridCol w:w="876"/>
              <w:gridCol w:w="720"/>
              <w:gridCol w:w="1264"/>
              <w:gridCol w:w="938"/>
            </w:tblGrid>
            <w:tr w14:paraId="3548DB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1" w:hRule="atLeast"/>
                <w:jc w:val="center"/>
              </w:trPr>
              <w:tc>
                <w:tcPr>
                  <w:tcW w:w="513" w:type="pct"/>
                  <w:noWrap w:val="0"/>
                  <w:vAlign w:val="center"/>
                </w:tcPr>
                <w:p w14:paraId="7A0379AB">
                  <w:pPr>
                    <w:widowControl/>
                    <w:adjustRightInd w:val="0"/>
                    <w:snapToGrid w:val="0"/>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color w:val="000000" w:themeColor="text1"/>
                      <w:szCs w:val="21"/>
                      <w:lang w:bidi="ar"/>
                      <w14:textFill>
                        <w14:solidFill>
                          <w14:schemeClr w14:val="tx1"/>
                        </w14:solidFill>
                      </w14:textFill>
                    </w:rPr>
                    <w:t>项目</w:t>
                  </w:r>
                </w:p>
              </w:tc>
              <w:tc>
                <w:tcPr>
                  <w:tcW w:w="577" w:type="pct"/>
                  <w:noWrap w:val="0"/>
                  <w:vAlign w:val="center"/>
                </w:tcPr>
                <w:p w14:paraId="20ADE3B0">
                  <w:pPr>
                    <w:widowControl/>
                    <w:adjustRightInd w:val="0"/>
                    <w:snapToGrid w:val="0"/>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color w:val="000000" w:themeColor="text1"/>
                      <w:szCs w:val="21"/>
                      <w:lang w:bidi="ar"/>
                      <w14:textFill>
                        <w14:solidFill>
                          <w14:schemeClr w14:val="tx1"/>
                        </w14:solidFill>
                      </w14:textFill>
                    </w:rPr>
                    <w:t>COD</w:t>
                  </w:r>
                </w:p>
              </w:tc>
              <w:tc>
                <w:tcPr>
                  <w:tcW w:w="564" w:type="pct"/>
                  <w:noWrap w:val="0"/>
                  <w:vAlign w:val="center"/>
                </w:tcPr>
                <w:p w14:paraId="279AD9E4">
                  <w:pPr>
                    <w:widowControl/>
                    <w:adjustRightInd w:val="0"/>
                    <w:snapToGrid w:val="0"/>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BOD</w:t>
                  </w:r>
                  <w:r>
                    <w:rPr>
                      <w:rFonts w:hint="default" w:ascii="Times New Roman" w:hAnsi="Times New Roman" w:cs="Times New Roman"/>
                      <w:b/>
                      <w:bCs/>
                      <w:color w:val="000000" w:themeColor="text1"/>
                      <w:szCs w:val="21"/>
                      <w:vertAlign w:val="subscript"/>
                      <w14:textFill>
                        <w14:solidFill>
                          <w14:schemeClr w14:val="tx1"/>
                        </w14:solidFill>
                      </w14:textFill>
                    </w:rPr>
                    <w:t>5</w:t>
                  </w:r>
                </w:p>
              </w:tc>
              <w:tc>
                <w:tcPr>
                  <w:tcW w:w="557" w:type="pct"/>
                  <w:noWrap w:val="0"/>
                  <w:vAlign w:val="center"/>
                </w:tcPr>
                <w:p w14:paraId="38AC29B0">
                  <w:pPr>
                    <w:widowControl/>
                    <w:adjustRightInd w:val="0"/>
                    <w:snapToGrid w:val="0"/>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color w:val="000000" w:themeColor="text1"/>
                      <w:szCs w:val="21"/>
                      <w:lang w:bidi="ar"/>
                      <w14:textFill>
                        <w14:solidFill>
                          <w14:schemeClr w14:val="tx1"/>
                        </w14:solidFill>
                      </w14:textFill>
                    </w:rPr>
                    <w:t>SS</w:t>
                  </w:r>
                </w:p>
              </w:tc>
              <w:tc>
                <w:tcPr>
                  <w:tcW w:w="522" w:type="pct"/>
                  <w:noWrap w:val="0"/>
                  <w:vAlign w:val="center"/>
                </w:tcPr>
                <w:p w14:paraId="65876FE3">
                  <w:pPr>
                    <w:widowControl/>
                    <w:adjustRightInd w:val="0"/>
                    <w:snapToGrid w:val="0"/>
                    <w:jc w:val="center"/>
                    <w:rPr>
                      <w:rFonts w:hint="default" w:ascii="Times New Roman" w:hAnsi="Times New Roman" w:eastAsia="宋体" w:cs="Times New Roman"/>
                      <w:b/>
                      <w:color w:val="000000" w:themeColor="text1"/>
                      <w:szCs w:val="21"/>
                      <w:lang w:val="en-US" w:eastAsia="zh-CN" w:bidi="ar"/>
                      <w14:textFill>
                        <w14:solidFill>
                          <w14:schemeClr w14:val="tx1"/>
                        </w14:solidFill>
                      </w14:textFill>
                    </w:rPr>
                  </w:pPr>
                  <w:r>
                    <w:rPr>
                      <w:rFonts w:hint="default" w:ascii="Times New Roman" w:hAnsi="Times New Roman" w:cs="Times New Roman"/>
                      <w:b/>
                      <w:color w:val="000000" w:themeColor="text1"/>
                      <w:szCs w:val="21"/>
                      <w:lang w:val="en-US" w:eastAsia="zh-CN" w:bidi="ar"/>
                      <w14:textFill>
                        <w14:solidFill>
                          <w14:schemeClr w14:val="tx1"/>
                        </w14:solidFill>
                      </w14:textFill>
                    </w:rPr>
                    <w:t>氨氮</w:t>
                  </w:r>
                </w:p>
              </w:tc>
              <w:tc>
                <w:tcPr>
                  <w:tcW w:w="522" w:type="pct"/>
                  <w:noWrap w:val="0"/>
                  <w:vAlign w:val="center"/>
                </w:tcPr>
                <w:p w14:paraId="3529E61F">
                  <w:pPr>
                    <w:widowControl/>
                    <w:adjustRightInd w:val="0"/>
                    <w:snapToGrid w:val="0"/>
                    <w:jc w:val="center"/>
                    <w:rPr>
                      <w:rFonts w:hint="default" w:ascii="Times New Roman" w:hAnsi="Times New Roman" w:cs="Times New Roman"/>
                      <w:b/>
                      <w:color w:val="000000" w:themeColor="text1"/>
                      <w:szCs w:val="21"/>
                      <w:lang w:val="en-US" w:eastAsia="zh-CN" w:bidi="ar"/>
                      <w14:textFill>
                        <w14:solidFill>
                          <w14:schemeClr w14:val="tx1"/>
                        </w14:solidFill>
                      </w14:textFill>
                    </w:rPr>
                  </w:pPr>
                  <w:r>
                    <w:rPr>
                      <w:rFonts w:hint="default" w:ascii="Times New Roman" w:hAnsi="Times New Roman" w:cs="Times New Roman"/>
                      <w:b/>
                      <w:color w:val="000000" w:themeColor="text1"/>
                      <w:szCs w:val="21"/>
                      <w:lang w:val="en-US" w:eastAsia="zh-CN" w:bidi="ar"/>
                      <w14:textFill>
                        <w14:solidFill>
                          <w14:schemeClr w14:val="tx1"/>
                        </w14:solidFill>
                      </w14:textFill>
                    </w:rPr>
                    <w:t>总氮</w:t>
                  </w:r>
                </w:p>
              </w:tc>
              <w:tc>
                <w:tcPr>
                  <w:tcW w:w="429" w:type="pct"/>
                  <w:noWrap w:val="0"/>
                  <w:vAlign w:val="center"/>
                </w:tcPr>
                <w:p w14:paraId="562B1AA7">
                  <w:pPr>
                    <w:widowControl/>
                    <w:adjustRightInd w:val="0"/>
                    <w:snapToGrid w:val="0"/>
                    <w:jc w:val="center"/>
                    <w:rPr>
                      <w:rFonts w:hint="default" w:ascii="Times New Roman" w:hAnsi="Times New Roman" w:cs="Times New Roman"/>
                      <w:b/>
                      <w:color w:val="000000" w:themeColor="text1"/>
                      <w:szCs w:val="21"/>
                      <w:lang w:val="en-US" w:eastAsia="zh-CN" w:bidi="ar"/>
                      <w14:textFill>
                        <w14:solidFill>
                          <w14:schemeClr w14:val="tx1"/>
                        </w14:solidFill>
                      </w14:textFill>
                    </w:rPr>
                  </w:pPr>
                  <w:r>
                    <w:rPr>
                      <w:rFonts w:hint="default" w:ascii="Times New Roman" w:hAnsi="Times New Roman" w:cs="Times New Roman"/>
                      <w:b/>
                      <w:color w:val="000000" w:themeColor="text1"/>
                      <w:szCs w:val="21"/>
                      <w:lang w:val="en-US" w:eastAsia="zh-CN" w:bidi="ar"/>
                      <w14:textFill>
                        <w14:solidFill>
                          <w14:schemeClr w14:val="tx1"/>
                        </w14:solidFill>
                      </w14:textFill>
                    </w:rPr>
                    <w:t>总磷</w:t>
                  </w:r>
                </w:p>
              </w:tc>
              <w:tc>
                <w:tcPr>
                  <w:tcW w:w="753" w:type="pct"/>
                  <w:noWrap w:val="0"/>
                  <w:vAlign w:val="center"/>
                </w:tcPr>
                <w:p w14:paraId="05B975B4">
                  <w:pPr>
                    <w:widowControl/>
                    <w:adjustRightInd w:val="0"/>
                    <w:snapToGrid w:val="0"/>
                    <w:jc w:val="center"/>
                    <w:rPr>
                      <w:rFonts w:hint="default" w:ascii="Times New Roman" w:hAnsi="Times New Roman" w:cs="Times New Roman"/>
                      <w:b/>
                      <w:color w:val="000000" w:themeColor="text1"/>
                      <w:szCs w:val="21"/>
                      <w:lang w:val="en-US" w:eastAsia="zh-CN" w:bidi="ar"/>
                      <w14:textFill>
                        <w14:solidFill>
                          <w14:schemeClr w14:val="tx1"/>
                        </w14:solidFill>
                      </w14:textFill>
                    </w:rPr>
                  </w:pPr>
                  <w:r>
                    <w:rPr>
                      <w:rFonts w:hint="eastAsia" w:ascii="Times New Roman" w:hAnsi="Times New Roman" w:cs="Times New Roman"/>
                      <w:b/>
                      <w:color w:val="000000" w:themeColor="text1"/>
                      <w:szCs w:val="21"/>
                      <w:lang w:val="en-US" w:eastAsia="zh-CN" w:bidi="ar"/>
                      <w14:textFill>
                        <w14:solidFill>
                          <w14:schemeClr w14:val="tx1"/>
                        </w14:solidFill>
                      </w14:textFill>
                    </w:rPr>
                    <w:t>溶解性总固体（TDS）</w:t>
                  </w:r>
                </w:p>
              </w:tc>
              <w:tc>
                <w:tcPr>
                  <w:tcW w:w="558" w:type="pct"/>
                  <w:noWrap w:val="0"/>
                  <w:vAlign w:val="center"/>
                </w:tcPr>
                <w:p w14:paraId="476F8DCB">
                  <w:pPr>
                    <w:widowControl/>
                    <w:adjustRightInd w:val="0"/>
                    <w:snapToGrid w:val="0"/>
                    <w:jc w:val="center"/>
                    <w:rPr>
                      <w:rFonts w:hint="default" w:ascii="Times New Roman" w:hAnsi="Times New Roman" w:cs="Times New Roman"/>
                      <w:b/>
                      <w:color w:val="000000" w:themeColor="text1"/>
                      <w:szCs w:val="21"/>
                      <w:lang w:val="en-US" w:eastAsia="zh-CN" w:bidi="ar"/>
                      <w14:textFill>
                        <w14:solidFill>
                          <w14:schemeClr w14:val="tx1"/>
                        </w14:solidFill>
                      </w14:textFill>
                    </w:rPr>
                  </w:pPr>
                  <w:r>
                    <w:rPr>
                      <w:rFonts w:hint="eastAsia" w:ascii="Times New Roman" w:hAnsi="Times New Roman" w:cs="Times New Roman"/>
                      <w:b/>
                      <w:color w:val="000000" w:themeColor="text1"/>
                      <w:szCs w:val="21"/>
                      <w:lang w:val="en-US" w:eastAsia="zh-CN" w:bidi="ar"/>
                      <w14:textFill>
                        <w14:solidFill>
                          <w14:schemeClr w14:val="tx1"/>
                        </w14:solidFill>
                      </w14:textFill>
                    </w:rPr>
                    <w:t>氯化物</w:t>
                  </w:r>
                </w:p>
              </w:tc>
            </w:tr>
            <w:tr w14:paraId="4AA0AF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1" w:hRule="atLeast"/>
                <w:jc w:val="center"/>
              </w:trPr>
              <w:tc>
                <w:tcPr>
                  <w:tcW w:w="513" w:type="pct"/>
                  <w:noWrap w:val="0"/>
                  <w:vAlign w:val="center"/>
                </w:tcPr>
                <w:p w14:paraId="6034BDC5">
                  <w:pPr>
                    <w:widowControl/>
                    <w:adjustRightInd w:val="0"/>
                    <w:snapToGrid w:val="0"/>
                    <w:jc w:val="center"/>
                    <w:rPr>
                      <w:rFonts w:hint="default" w:ascii="Times New Roman" w:hAnsi="Times New Roman" w:eastAsia="宋体" w:cs="Times New Roman"/>
                      <w:bCs/>
                      <w:color w:val="000000" w:themeColor="text1"/>
                      <w:szCs w:val="21"/>
                      <w:lang w:eastAsia="zh-CN"/>
                      <w14:textFill>
                        <w14:solidFill>
                          <w14:schemeClr w14:val="tx1"/>
                        </w14:solidFill>
                      </w14:textFill>
                    </w:rPr>
                  </w:pPr>
                  <w:r>
                    <w:rPr>
                      <w:rFonts w:hint="default" w:ascii="Times New Roman" w:hAnsi="Times New Roman" w:cs="Times New Roman"/>
                      <w:bCs/>
                      <w:color w:val="000000" w:themeColor="text1"/>
                      <w:szCs w:val="21"/>
                      <w:lang w:val="en-US" w:eastAsia="zh-CN" w:bidi="ar"/>
                      <w14:textFill>
                        <w14:solidFill>
                          <w14:schemeClr w14:val="tx1"/>
                        </w14:solidFill>
                      </w14:textFill>
                    </w:rPr>
                    <w:t>主要指标</w:t>
                  </w:r>
                </w:p>
              </w:tc>
              <w:tc>
                <w:tcPr>
                  <w:tcW w:w="577" w:type="pct"/>
                  <w:noWrap w:val="0"/>
                  <w:vAlign w:val="center"/>
                </w:tcPr>
                <w:p w14:paraId="36FA7F46">
                  <w:pPr>
                    <w:widowControl/>
                    <w:adjustRightInd w:val="0"/>
                    <w:snapToGrid w:val="0"/>
                    <w:jc w:val="center"/>
                    <w:rPr>
                      <w:rFonts w:hint="default" w:ascii="Times New Roman" w:hAnsi="Times New Roman" w:cs="Times New Roman"/>
                      <w:bCs/>
                      <w:color w:val="000000" w:themeColor="text1"/>
                      <w:szCs w:val="21"/>
                      <w:lang w:val="en-US"/>
                      <w14:textFill>
                        <w14:solidFill>
                          <w14:schemeClr w14:val="tx1"/>
                        </w14:solidFill>
                      </w14:textFill>
                    </w:rPr>
                  </w:pPr>
                  <w:r>
                    <w:rPr>
                      <w:rFonts w:hint="default" w:ascii="Times New Roman" w:hAnsi="Times New Roman" w:cs="Times New Roman"/>
                      <w:bCs/>
                      <w:color w:val="000000" w:themeColor="text1"/>
                      <w:szCs w:val="21"/>
                      <w:lang w:val="en-US" w:eastAsia="zh-CN" w:bidi="ar"/>
                      <w14:textFill>
                        <w14:solidFill>
                          <w14:schemeClr w14:val="tx1"/>
                        </w14:solidFill>
                      </w14:textFill>
                    </w:rPr>
                    <w:t>500</w:t>
                  </w:r>
                </w:p>
              </w:tc>
              <w:tc>
                <w:tcPr>
                  <w:tcW w:w="564" w:type="pct"/>
                  <w:noWrap w:val="0"/>
                  <w:vAlign w:val="center"/>
                </w:tcPr>
                <w:p w14:paraId="6CC33533">
                  <w:pPr>
                    <w:widowControl/>
                    <w:adjustRightInd w:val="0"/>
                    <w:snapToGrid w:val="0"/>
                    <w:jc w:val="center"/>
                    <w:rPr>
                      <w:rFonts w:hint="default" w:ascii="Times New Roman" w:hAnsi="Times New Roman" w:eastAsia="宋体" w:cs="Times New Roman"/>
                      <w:bCs/>
                      <w:color w:val="000000" w:themeColor="text1"/>
                      <w:szCs w:val="21"/>
                      <w:lang w:val="en-US" w:eastAsia="zh-CN"/>
                      <w14:textFill>
                        <w14:solidFill>
                          <w14:schemeClr w14:val="tx1"/>
                        </w14:solidFill>
                      </w14:textFill>
                    </w:rPr>
                  </w:pPr>
                  <w:r>
                    <w:rPr>
                      <w:rFonts w:hint="default" w:ascii="Times New Roman" w:hAnsi="Times New Roman" w:cs="Times New Roman"/>
                      <w:bCs/>
                      <w:color w:val="000000" w:themeColor="text1"/>
                      <w:szCs w:val="21"/>
                      <w:lang w:val="en-US" w:eastAsia="zh-CN"/>
                      <w14:textFill>
                        <w14:solidFill>
                          <w14:schemeClr w14:val="tx1"/>
                        </w14:solidFill>
                      </w14:textFill>
                    </w:rPr>
                    <w:t>350</w:t>
                  </w:r>
                </w:p>
              </w:tc>
              <w:tc>
                <w:tcPr>
                  <w:tcW w:w="557" w:type="pct"/>
                  <w:noWrap w:val="0"/>
                  <w:vAlign w:val="center"/>
                </w:tcPr>
                <w:p w14:paraId="6E912B1B">
                  <w:pPr>
                    <w:widowControl/>
                    <w:adjustRightInd w:val="0"/>
                    <w:snapToGrid w:val="0"/>
                    <w:jc w:val="center"/>
                    <w:rPr>
                      <w:rFonts w:hint="default" w:ascii="Times New Roman" w:hAnsi="Times New Roman" w:eastAsia="宋体" w:cs="Times New Roman"/>
                      <w:bCs/>
                      <w:color w:val="000000" w:themeColor="text1"/>
                      <w:szCs w:val="21"/>
                      <w:lang w:val="en-US" w:eastAsia="zh-CN"/>
                      <w14:textFill>
                        <w14:solidFill>
                          <w14:schemeClr w14:val="tx1"/>
                        </w14:solidFill>
                      </w14:textFill>
                    </w:rPr>
                  </w:pPr>
                  <w:r>
                    <w:rPr>
                      <w:rFonts w:hint="default" w:ascii="Times New Roman" w:hAnsi="Times New Roman" w:cs="Times New Roman"/>
                      <w:bCs/>
                      <w:color w:val="000000" w:themeColor="text1"/>
                      <w:szCs w:val="21"/>
                      <w:lang w:val="en-US" w:eastAsia="zh-CN" w:bidi="ar"/>
                      <w14:textFill>
                        <w14:solidFill>
                          <w14:schemeClr w14:val="tx1"/>
                        </w14:solidFill>
                      </w14:textFill>
                    </w:rPr>
                    <w:t>400</w:t>
                  </w:r>
                </w:p>
              </w:tc>
              <w:tc>
                <w:tcPr>
                  <w:tcW w:w="522" w:type="pct"/>
                  <w:noWrap w:val="0"/>
                  <w:vAlign w:val="center"/>
                </w:tcPr>
                <w:p w14:paraId="71BFED2D">
                  <w:pPr>
                    <w:widowControl/>
                    <w:adjustRightInd w:val="0"/>
                    <w:snapToGrid w:val="0"/>
                    <w:jc w:val="center"/>
                    <w:rPr>
                      <w:rFonts w:hint="default" w:ascii="Times New Roman" w:hAnsi="Times New Roman" w:eastAsia="宋体" w:cs="Times New Roman"/>
                      <w:bCs/>
                      <w:color w:val="000000" w:themeColor="text1"/>
                      <w:szCs w:val="21"/>
                      <w:lang w:val="en-US" w:eastAsia="zh-CN" w:bidi="ar"/>
                      <w14:textFill>
                        <w14:solidFill>
                          <w14:schemeClr w14:val="tx1"/>
                        </w14:solidFill>
                      </w14:textFill>
                    </w:rPr>
                  </w:pPr>
                  <w:r>
                    <w:rPr>
                      <w:rFonts w:hint="default" w:ascii="Times New Roman" w:hAnsi="Times New Roman" w:cs="Times New Roman"/>
                      <w:bCs/>
                      <w:color w:val="000000" w:themeColor="text1"/>
                      <w:szCs w:val="21"/>
                      <w:lang w:val="en-US" w:eastAsia="zh-CN" w:bidi="ar"/>
                      <w14:textFill>
                        <w14:solidFill>
                          <w14:schemeClr w14:val="tx1"/>
                        </w14:solidFill>
                      </w14:textFill>
                    </w:rPr>
                    <w:t>45</w:t>
                  </w:r>
                </w:p>
              </w:tc>
              <w:tc>
                <w:tcPr>
                  <w:tcW w:w="522" w:type="pct"/>
                  <w:noWrap w:val="0"/>
                  <w:vAlign w:val="center"/>
                </w:tcPr>
                <w:p w14:paraId="47F73A26">
                  <w:pPr>
                    <w:widowControl/>
                    <w:adjustRightInd w:val="0"/>
                    <w:snapToGrid w:val="0"/>
                    <w:jc w:val="center"/>
                    <w:rPr>
                      <w:rFonts w:hint="default" w:ascii="Times New Roman" w:hAnsi="Times New Roman" w:cs="Times New Roman"/>
                      <w:bCs/>
                      <w:color w:val="000000" w:themeColor="text1"/>
                      <w:szCs w:val="21"/>
                      <w:lang w:val="en-US" w:eastAsia="zh-CN" w:bidi="ar"/>
                      <w14:textFill>
                        <w14:solidFill>
                          <w14:schemeClr w14:val="tx1"/>
                        </w14:solidFill>
                      </w14:textFill>
                    </w:rPr>
                  </w:pPr>
                  <w:r>
                    <w:rPr>
                      <w:rFonts w:hint="default" w:ascii="Times New Roman" w:hAnsi="Times New Roman" w:cs="Times New Roman"/>
                      <w:bCs/>
                      <w:color w:val="000000" w:themeColor="text1"/>
                      <w:szCs w:val="21"/>
                      <w:lang w:val="en-US" w:eastAsia="zh-CN" w:bidi="ar"/>
                      <w14:textFill>
                        <w14:solidFill>
                          <w14:schemeClr w14:val="tx1"/>
                        </w14:solidFill>
                      </w14:textFill>
                    </w:rPr>
                    <w:t>70</w:t>
                  </w:r>
                </w:p>
              </w:tc>
              <w:tc>
                <w:tcPr>
                  <w:tcW w:w="429" w:type="pct"/>
                  <w:noWrap w:val="0"/>
                  <w:vAlign w:val="center"/>
                </w:tcPr>
                <w:p w14:paraId="3ABFDB0B">
                  <w:pPr>
                    <w:widowControl/>
                    <w:adjustRightInd w:val="0"/>
                    <w:snapToGrid w:val="0"/>
                    <w:jc w:val="center"/>
                    <w:rPr>
                      <w:rFonts w:hint="default" w:ascii="Times New Roman" w:hAnsi="Times New Roman" w:cs="Times New Roman"/>
                      <w:bCs/>
                      <w:color w:val="000000" w:themeColor="text1"/>
                      <w:szCs w:val="21"/>
                      <w:lang w:val="en-US" w:eastAsia="zh-CN" w:bidi="ar"/>
                      <w14:textFill>
                        <w14:solidFill>
                          <w14:schemeClr w14:val="tx1"/>
                        </w14:solidFill>
                      </w14:textFill>
                    </w:rPr>
                  </w:pPr>
                  <w:r>
                    <w:rPr>
                      <w:rFonts w:hint="default" w:ascii="Times New Roman" w:hAnsi="Times New Roman" w:cs="Times New Roman"/>
                      <w:bCs/>
                      <w:color w:val="000000" w:themeColor="text1"/>
                      <w:szCs w:val="21"/>
                      <w:lang w:val="en-US" w:eastAsia="zh-CN" w:bidi="ar"/>
                      <w14:textFill>
                        <w14:solidFill>
                          <w14:schemeClr w14:val="tx1"/>
                        </w14:solidFill>
                      </w14:textFill>
                    </w:rPr>
                    <w:t>8</w:t>
                  </w:r>
                </w:p>
              </w:tc>
              <w:tc>
                <w:tcPr>
                  <w:tcW w:w="753" w:type="pct"/>
                  <w:noWrap w:val="0"/>
                  <w:vAlign w:val="center"/>
                </w:tcPr>
                <w:p w14:paraId="4E3D7626">
                  <w:pPr>
                    <w:widowControl/>
                    <w:adjustRightInd w:val="0"/>
                    <w:snapToGrid w:val="0"/>
                    <w:jc w:val="center"/>
                    <w:rPr>
                      <w:rFonts w:hint="default" w:ascii="Times New Roman" w:hAnsi="Times New Roman" w:cs="Times New Roman"/>
                      <w:bCs/>
                      <w:color w:val="000000" w:themeColor="text1"/>
                      <w:szCs w:val="21"/>
                      <w:lang w:val="en-US" w:eastAsia="zh-CN" w:bidi="ar"/>
                      <w14:textFill>
                        <w14:solidFill>
                          <w14:schemeClr w14:val="tx1"/>
                        </w14:solidFill>
                      </w14:textFill>
                    </w:rPr>
                  </w:pPr>
                  <w:r>
                    <w:rPr>
                      <w:rFonts w:hint="eastAsia" w:ascii="Times New Roman" w:hAnsi="Times New Roman" w:cs="Times New Roman"/>
                      <w:bCs/>
                      <w:color w:val="000000" w:themeColor="text1"/>
                      <w:szCs w:val="21"/>
                      <w:lang w:val="en-US" w:eastAsia="zh-CN" w:bidi="ar"/>
                      <w14:textFill>
                        <w14:solidFill>
                          <w14:schemeClr w14:val="tx1"/>
                        </w14:solidFill>
                      </w14:textFill>
                    </w:rPr>
                    <w:t>2000</w:t>
                  </w:r>
                </w:p>
              </w:tc>
              <w:tc>
                <w:tcPr>
                  <w:tcW w:w="558" w:type="pct"/>
                  <w:noWrap w:val="0"/>
                  <w:vAlign w:val="center"/>
                </w:tcPr>
                <w:p w14:paraId="1CD54C9C">
                  <w:pPr>
                    <w:widowControl/>
                    <w:adjustRightInd w:val="0"/>
                    <w:snapToGrid w:val="0"/>
                    <w:jc w:val="center"/>
                    <w:rPr>
                      <w:rFonts w:hint="default" w:ascii="Times New Roman" w:hAnsi="Times New Roman" w:cs="Times New Roman"/>
                      <w:bCs/>
                      <w:color w:val="000000" w:themeColor="text1"/>
                      <w:szCs w:val="21"/>
                      <w:lang w:val="en-US" w:eastAsia="zh-CN" w:bidi="ar"/>
                      <w14:textFill>
                        <w14:solidFill>
                          <w14:schemeClr w14:val="tx1"/>
                        </w14:solidFill>
                      </w14:textFill>
                    </w:rPr>
                  </w:pPr>
                  <w:r>
                    <w:rPr>
                      <w:rFonts w:hint="eastAsia" w:ascii="Times New Roman" w:hAnsi="Times New Roman" w:cs="Times New Roman"/>
                      <w:bCs/>
                      <w:color w:val="000000" w:themeColor="text1"/>
                      <w:szCs w:val="21"/>
                      <w:lang w:val="en-US" w:eastAsia="zh-CN" w:bidi="ar"/>
                      <w14:textFill>
                        <w14:solidFill>
                          <w14:schemeClr w14:val="tx1"/>
                        </w14:solidFill>
                      </w14:textFill>
                    </w:rPr>
                    <w:t>800</w:t>
                  </w:r>
                </w:p>
              </w:tc>
            </w:tr>
          </w:tbl>
          <w:p w14:paraId="23A376E3">
            <w:pPr>
              <w:widowControl/>
              <w:spacing w:line="360" w:lineRule="auto"/>
              <w:ind w:firstLine="482" w:firstLineChars="200"/>
              <w:rPr>
                <w:rFonts w:hint="default" w:ascii="Times New Roman" w:hAnsi="Times New Roman" w:cs="Times New Roman"/>
                <w:b/>
                <w:bCs/>
                <w:color w:val="000000" w:themeColor="text1"/>
                <w:sz w:val="24"/>
                <w14:textFill>
                  <w14:solidFill>
                    <w14:schemeClr w14:val="tx1"/>
                  </w14:solidFill>
                </w14:textFill>
              </w:rPr>
            </w:pPr>
            <w:r>
              <w:rPr>
                <w:rFonts w:hint="default" w:ascii="Times New Roman" w:hAnsi="Times New Roman" w:cs="Times New Roman"/>
                <w:b/>
                <w:bCs/>
                <w:color w:val="000000" w:themeColor="text1"/>
                <w:sz w:val="24"/>
                <w:lang w:eastAsia="zh-CN"/>
                <w14:textFill>
                  <w14:solidFill>
                    <w14:schemeClr w14:val="tx1"/>
                  </w14:solidFill>
                </w14:textFill>
              </w:rPr>
              <w:t>3.</w:t>
            </w:r>
            <w:r>
              <w:rPr>
                <w:rFonts w:hint="default" w:ascii="Times New Roman" w:hAnsi="Times New Roman" w:cs="Times New Roman"/>
                <w:b/>
                <w:bCs/>
                <w:color w:val="000000" w:themeColor="text1"/>
                <w:sz w:val="24"/>
                <w14:textFill>
                  <w14:solidFill>
                    <w14:schemeClr w14:val="tx1"/>
                  </w14:solidFill>
                </w14:textFill>
              </w:rPr>
              <w:t>噪声排放标准</w:t>
            </w:r>
          </w:p>
          <w:p w14:paraId="6CF2616B">
            <w:pPr>
              <w:widowControl/>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bookmarkStart w:id="2" w:name="_Hlk41382489"/>
            <w:r>
              <w:rPr>
                <w:rFonts w:hint="default" w:ascii="Times New Roman" w:hAnsi="Times New Roman" w:cs="Times New Roman"/>
                <w:color w:val="000000" w:themeColor="text1"/>
                <w:sz w:val="24"/>
                <w14:textFill>
                  <w14:solidFill>
                    <w14:schemeClr w14:val="tx1"/>
                  </w14:solidFill>
                </w14:textFill>
              </w:rPr>
              <w:t>本项目</w:t>
            </w:r>
            <w:r>
              <w:rPr>
                <w:rFonts w:hint="default" w:ascii="Times New Roman" w:hAnsi="Times New Roman" w:cs="Times New Roman"/>
                <w:color w:val="000000" w:themeColor="text1"/>
                <w:sz w:val="24"/>
                <w:lang w:val="en-US" w:eastAsia="zh-CN"/>
                <w14:textFill>
                  <w14:solidFill>
                    <w14:schemeClr w14:val="tx1"/>
                  </w14:solidFill>
                </w14:textFill>
              </w:rPr>
              <w:t>厂界四周</w:t>
            </w:r>
            <w:r>
              <w:rPr>
                <w:rFonts w:hint="default" w:ascii="Times New Roman" w:hAnsi="Times New Roman" w:cs="Times New Roman"/>
                <w:color w:val="000000" w:themeColor="text1"/>
                <w:sz w:val="24"/>
                <w14:textFill>
                  <w14:solidFill>
                    <w14:schemeClr w14:val="tx1"/>
                  </w14:solidFill>
                </w14:textFill>
              </w:rPr>
              <w:t>噪声排放执行《工业企业厂界环境噪声排放标准》（GB</w:t>
            </w:r>
            <w:r>
              <w:rPr>
                <w:rFonts w:hint="default" w:ascii="Times New Roman" w:hAnsi="Times New Roman" w:cs="Times New Roman"/>
                <w:color w:val="000000" w:themeColor="text1"/>
                <w:sz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14:textFill>
                  <w14:solidFill>
                    <w14:schemeClr w14:val="tx1"/>
                  </w14:solidFill>
                </w14:textFill>
              </w:rPr>
              <w:t>12348-2008）</w:t>
            </w:r>
            <w:r>
              <w:rPr>
                <w:rFonts w:hint="eastAsia" w:cs="Times New Roman"/>
                <w:color w:val="000000" w:themeColor="text1"/>
                <w:sz w:val="24"/>
                <w:lang w:val="en-US" w:eastAsia="zh-CN"/>
                <w14:textFill>
                  <w14:solidFill>
                    <w14:schemeClr w14:val="tx1"/>
                  </w14:solidFill>
                </w14:textFill>
              </w:rPr>
              <w:t>2</w:t>
            </w:r>
            <w:r>
              <w:rPr>
                <w:rFonts w:hint="default" w:ascii="Times New Roman" w:hAnsi="Times New Roman" w:cs="Times New Roman"/>
                <w:color w:val="000000" w:themeColor="text1"/>
                <w:sz w:val="24"/>
                <w14:textFill>
                  <w14:solidFill>
                    <w14:schemeClr w14:val="tx1"/>
                  </w14:solidFill>
                </w14:textFill>
              </w:rPr>
              <w:t>类标准限</w:t>
            </w:r>
            <w:bookmarkEnd w:id="2"/>
            <w:r>
              <w:rPr>
                <w:rFonts w:hint="default" w:ascii="Times New Roman" w:hAnsi="Times New Roman" w:cs="Times New Roman"/>
                <w:color w:val="000000" w:themeColor="text1"/>
                <w:sz w:val="24"/>
                <w14:textFill>
                  <w14:solidFill>
                    <w14:schemeClr w14:val="tx1"/>
                  </w14:solidFill>
                </w14:textFill>
              </w:rPr>
              <w:t>值，详见表3-</w:t>
            </w:r>
            <w:r>
              <w:rPr>
                <w:rFonts w:hint="default" w:ascii="Times New Roman" w:hAnsi="Times New Roman" w:cs="Times New Roman"/>
                <w:color w:val="000000" w:themeColor="text1"/>
                <w:sz w:val="24"/>
                <w:lang w:val="en-US" w:eastAsia="zh-CN"/>
                <w14:textFill>
                  <w14:solidFill>
                    <w14:schemeClr w14:val="tx1"/>
                  </w14:solidFill>
                </w14:textFill>
              </w:rPr>
              <w:t>8</w:t>
            </w:r>
            <w:r>
              <w:rPr>
                <w:rFonts w:hint="default" w:ascii="Times New Roman" w:hAnsi="Times New Roman" w:cs="Times New Roman"/>
                <w:color w:val="000000" w:themeColor="text1"/>
                <w:sz w:val="24"/>
                <w14:textFill>
                  <w14:solidFill>
                    <w14:schemeClr w14:val="tx1"/>
                  </w14:solidFill>
                </w14:textFill>
              </w:rPr>
              <w:t>。</w:t>
            </w:r>
          </w:p>
          <w:p w14:paraId="45529265">
            <w:pPr>
              <w:widowControl/>
              <w:spacing w:line="440" w:lineRule="exact"/>
              <w:jc w:val="center"/>
              <w:rPr>
                <w:rFonts w:hint="default" w:ascii="Times New Roman" w:hAnsi="Times New Roman" w:cs="Times New Roman"/>
                <w:b/>
                <w:color w:val="000000" w:themeColor="text1"/>
                <w:sz w:val="24"/>
                <w14:textFill>
                  <w14:solidFill>
                    <w14:schemeClr w14:val="tx1"/>
                  </w14:solidFill>
                </w14:textFill>
              </w:rPr>
            </w:pPr>
            <w:bookmarkStart w:id="3" w:name="_Hlk41382497"/>
            <w:r>
              <w:rPr>
                <w:rFonts w:hint="default" w:ascii="Times New Roman" w:hAnsi="Times New Roman" w:cs="Times New Roman"/>
                <w:b/>
                <w:color w:val="000000" w:themeColor="text1"/>
                <w:sz w:val="24"/>
                <w14:textFill>
                  <w14:solidFill>
                    <w14:schemeClr w14:val="tx1"/>
                  </w14:solidFill>
                </w14:textFill>
              </w:rPr>
              <w:t>表3-</w:t>
            </w:r>
            <w:r>
              <w:rPr>
                <w:rFonts w:hint="eastAsia" w:cs="Times New Roman"/>
                <w:b/>
                <w:color w:val="000000" w:themeColor="text1"/>
                <w:sz w:val="24"/>
                <w:lang w:val="en-US" w:eastAsia="zh-CN"/>
                <w14:textFill>
                  <w14:solidFill>
                    <w14:schemeClr w14:val="tx1"/>
                  </w14:solidFill>
                </w14:textFill>
              </w:rPr>
              <w:t>7</w:t>
            </w:r>
            <w:r>
              <w:rPr>
                <w:rFonts w:hint="default" w:ascii="Times New Roman" w:hAnsi="Times New Roman" w:cs="Times New Roman"/>
                <w:b/>
                <w:color w:val="000000" w:themeColor="text1"/>
                <w:sz w:val="24"/>
                <w14:textFill>
                  <w14:solidFill>
                    <w14:schemeClr w14:val="tx1"/>
                  </w14:solidFill>
                </w14:textFill>
              </w:rPr>
              <w:t xml:space="preserve">  《工业企业厂界环境噪声排放标准》（GB</w:t>
            </w:r>
            <w:r>
              <w:rPr>
                <w:rFonts w:hint="default" w:ascii="Times New Roman" w:hAnsi="Times New Roman" w:cs="Times New Roman"/>
                <w:b/>
                <w:color w:val="000000" w:themeColor="text1"/>
                <w:sz w:val="24"/>
                <w:lang w:val="en-US" w:eastAsia="zh-CN"/>
                <w14:textFill>
                  <w14:solidFill>
                    <w14:schemeClr w14:val="tx1"/>
                  </w14:solidFill>
                </w14:textFill>
              </w:rPr>
              <w:t xml:space="preserve"> </w:t>
            </w:r>
            <w:r>
              <w:rPr>
                <w:rFonts w:hint="default" w:ascii="Times New Roman" w:hAnsi="Times New Roman" w:cs="Times New Roman"/>
                <w:b/>
                <w:color w:val="000000" w:themeColor="text1"/>
                <w:sz w:val="24"/>
                <w14:textFill>
                  <w14:solidFill>
                    <w14:schemeClr w14:val="tx1"/>
                  </w14:solidFill>
                </w14:textFill>
              </w:rPr>
              <w:t>12348-2008）</w:t>
            </w:r>
            <w:r>
              <w:rPr>
                <w:rFonts w:hint="default" w:ascii="Times New Roman" w:hAnsi="Times New Roman" w:cs="Times New Roman"/>
                <w:b/>
                <w:color w:val="000000" w:themeColor="text1"/>
                <w:sz w:val="24"/>
                <w:lang w:val="en-US" w:eastAsia="zh-CN"/>
                <w14:textFill>
                  <w14:solidFill>
                    <w14:schemeClr w14:val="tx1"/>
                  </w14:solidFill>
                </w14:textFill>
              </w:rPr>
              <w:t xml:space="preserve"> </w:t>
            </w:r>
            <w:r>
              <w:rPr>
                <w:rFonts w:hint="default" w:ascii="Times New Roman" w:hAnsi="Times New Roman" w:cs="Times New Roman"/>
                <w:b/>
                <w:color w:val="000000" w:themeColor="text1"/>
                <w:sz w:val="24"/>
                <w14:textFill>
                  <w14:solidFill>
                    <w14:schemeClr w14:val="tx1"/>
                  </w14:solidFill>
                </w14:textFill>
              </w:rPr>
              <w:t>单位</w:t>
            </w:r>
            <w:r>
              <w:rPr>
                <w:rFonts w:hint="default" w:ascii="Times New Roman" w:hAnsi="Times New Roman" w:cs="Times New Roman"/>
                <w:b/>
                <w:color w:val="000000" w:themeColor="text1"/>
                <w:sz w:val="24"/>
                <w:lang w:eastAsia="zh-CN"/>
                <w14:textFill>
                  <w14:solidFill>
                    <w14:schemeClr w14:val="tx1"/>
                  </w14:solidFill>
                </w14:textFill>
              </w:rPr>
              <w:t>：</w:t>
            </w:r>
            <w:r>
              <w:rPr>
                <w:rFonts w:hint="default" w:ascii="Times New Roman" w:hAnsi="Times New Roman" w:cs="Times New Roman"/>
                <w:b/>
                <w:color w:val="000000" w:themeColor="text1"/>
                <w:sz w:val="24"/>
                <w14:textFill>
                  <w14:solidFill>
                    <w14:schemeClr w14:val="tx1"/>
                  </w14:solidFill>
                </w14:textFill>
              </w:rPr>
              <w:t>dB（A）</w:t>
            </w:r>
          </w:p>
          <w:tbl>
            <w:tblPr>
              <w:tblStyle w:val="36"/>
              <w:tblW w:w="830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660"/>
              <w:gridCol w:w="1844"/>
              <w:gridCol w:w="2356"/>
              <w:gridCol w:w="1441"/>
            </w:tblGrid>
            <w:tr w14:paraId="2CD426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60" w:type="dxa"/>
                  <w:noWrap w:val="0"/>
                  <w:vAlign w:val="center"/>
                </w:tcPr>
                <w:p w14:paraId="4DADA017">
                  <w:pPr>
                    <w:widowControl/>
                    <w:autoSpaceDE w:val="0"/>
                    <w:adjustRightInd w:val="0"/>
                    <w:snapToGrid w:val="0"/>
                    <w:jc w:val="center"/>
                    <w:rPr>
                      <w:rFonts w:hint="default" w:ascii="Times New Roman" w:hAnsi="Times New Roman" w:cs="Times New Roman"/>
                      <w:b/>
                      <w:bCs/>
                      <w:color w:val="000000" w:themeColor="text1"/>
                      <w:kern w:val="0"/>
                      <w:szCs w:val="21"/>
                      <w14:textFill>
                        <w14:solidFill>
                          <w14:schemeClr w14:val="tx1"/>
                        </w14:solidFill>
                      </w14:textFill>
                    </w:rPr>
                  </w:pPr>
                  <w:r>
                    <w:rPr>
                      <w:rFonts w:hint="default" w:ascii="Times New Roman" w:hAnsi="Times New Roman" w:cs="Times New Roman"/>
                      <w:b/>
                      <w:bCs/>
                      <w:color w:val="000000" w:themeColor="text1"/>
                      <w:kern w:val="0"/>
                      <w:szCs w:val="21"/>
                      <w14:textFill>
                        <w14:solidFill>
                          <w14:schemeClr w14:val="tx1"/>
                        </w14:solidFill>
                      </w14:textFill>
                    </w:rPr>
                    <w:t>声环境功能区类别</w:t>
                  </w:r>
                </w:p>
              </w:tc>
              <w:tc>
                <w:tcPr>
                  <w:tcW w:w="1844" w:type="dxa"/>
                  <w:noWrap w:val="0"/>
                  <w:vAlign w:val="center"/>
                </w:tcPr>
                <w:p w14:paraId="647471EF">
                  <w:pPr>
                    <w:widowControl/>
                    <w:autoSpaceDE w:val="0"/>
                    <w:adjustRightInd w:val="0"/>
                    <w:snapToGrid w:val="0"/>
                    <w:jc w:val="center"/>
                    <w:rPr>
                      <w:rFonts w:hint="default" w:ascii="Times New Roman" w:hAnsi="Times New Roman" w:cs="Times New Roman"/>
                      <w:b/>
                      <w:bCs/>
                      <w:color w:val="000000" w:themeColor="text1"/>
                      <w:kern w:val="0"/>
                      <w:szCs w:val="21"/>
                      <w14:textFill>
                        <w14:solidFill>
                          <w14:schemeClr w14:val="tx1"/>
                        </w14:solidFill>
                      </w14:textFill>
                    </w:rPr>
                  </w:pPr>
                  <w:r>
                    <w:rPr>
                      <w:rFonts w:hint="default" w:ascii="Times New Roman" w:hAnsi="Times New Roman" w:cs="Times New Roman"/>
                      <w:b/>
                      <w:bCs/>
                      <w:color w:val="000000" w:themeColor="text1"/>
                      <w:kern w:val="0"/>
                      <w:szCs w:val="21"/>
                      <w14:textFill>
                        <w14:solidFill>
                          <w14:schemeClr w14:val="tx1"/>
                        </w14:solidFill>
                      </w14:textFill>
                    </w:rPr>
                    <w:t>方位</w:t>
                  </w:r>
                </w:p>
              </w:tc>
              <w:tc>
                <w:tcPr>
                  <w:tcW w:w="2356" w:type="dxa"/>
                  <w:noWrap w:val="0"/>
                  <w:vAlign w:val="center"/>
                </w:tcPr>
                <w:p w14:paraId="0582EFBC">
                  <w:pPr>
                    <w:widowControl/>
                    <w:autoSpaceDE w:val="0"/>
                    <w:adjustRightInd w:val="0"/>
                    <w:snapToGrid w:val="0"/>
                    <w:jc w:val="center"/>
                    <w:rPr>
                      <w:rFonts w:hint="default" w:ascii="Times New Roman" w:hAnsi="Times New Roman" w:cs="Times New Roman"/>
                      <w:b/>
                      <w:bCs/>
                      <w:color w:val="000000" w:themeColor="text1"/>
                      <w:kern w:val="0"/>
                      <w:szCs w:val="21"/>
                      <w14:textFill>
                        <w14:solidFill>
                          <w14:schemeClr w14:val="tx1"/>
                        </w14:solidFill>
                      </w14:textFill>
                    </w:rPr>
                  </w:pPr>
                  <w:r>
                    <w:rPr>
                      <w:rFonts w:hint="default" w:ascii="Times New Roman" w:hAnsi="Times New Roman" w:cs="Times New Roman"/>
                      <w:b/>
                      <w:bCs/>
                      <w:color w:val="000000" w:themeColor="text1"/>
                      <w:kern w:val="0"/>
                      <w:szCs w:val="21"/>
                      <w14:textFill>
                        <w14:solidFill>
                          <w14:schemeClr w14:val="tx1"/>
                        </w14:solidFill>
                      </w14:textFill>
                    </w:rPr>
                    <w:t>昼间</w:t>
                  </w:r>
                </w:p>
              </w:tc>
              <w:tc>
                <w:tcPr>
                  <w:tcW w:w="1441" w:type="dxa"/>
                  <w:noWrap w:val="0"/>
                  <w:vAlign w:val="center"/>
                </w:tcPr>
                <w:p w14:paraId="6CB25E33">
                  <w:pPr>
                    <w:widowControl/>
                    <w:autoSpaceDE w:val="0"/>
                    <w:adjustRightInd w:val="0"/>
                    <w:snapToGrid w:val="0"/>
                    <w:jc w:val="center"/>
                    <w:rPr>
                      <w:rFonts w:hint="default" w:ascii="Times New Roman" w:hAnsi="Times New Roman" w:cs="Times New Roman"/>
                      <w:b/>
                      <w:bCs/>
                      <w:color w:val="000000" w:themeColor="text1"/>
                      <w:kern w:val="0"/>
                      <w:szCs w:val="21"/>
                      <w14:textFill>
                        <w14:solidFill>
                          <w14:schemeClr w14:val="tx1"/>
                        </w14:solidFill>
                      </w14:textFill>
                    </w:rPr>
                  </w:pPr>
                  <w:r>
                    <w:rPr>
                      <w:rFonts w:hint="default" w:ascii="Times New Roman" w:hAnsi="Times New Roman" w:cs="Times New Roman"/>
                      <w:b/>
                      <w:bCs/>
                      <w:color w:val="000000" w:themeColor="text1"/>
                      <w:kern w:val="0"/>
                      <w:szCs w:val="21"/>
                      <w14:textFill>
                        <w14:solidFill>
                          <w14:schemeClr w14:val="tx1"/>
                        </w14:solidFill>
                      </w14:textFill>
                    </w:rPr>
                    <w:t>夜间</w:t>
                  </w:r>
                </w:p>
              </w:tc>
            </w:tr>
            <w:tr w14:paraId="2BBB8D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60" w:type="dxa"/>
                  <w:noWrap w:val="0"/>
                  <w:vAlign w:val="center"/>
                </w:tcPr>
                <w:p w14:paraId="419052B6">
                  <w:pPr>
                    <w:widowControl/>
                    <w:autoSpaceDE w:val="0"/>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eastAsia" w:cs="Times New Roman"/>
                      <w:color w:val="000000" w:themeColor="text1"/>
                      <w:kern w:val="0"/>
                      <w:szCs w:val="21"/>
                      <w:lang w:val="en-US" w:eastAsia="zh-CN"/>
                      <w14:textFill>
                        <w14:solidFill>
                          <w14:schemeClr w14:val="tx1"/>
                        </w14:solidFill>
                      </w14:textFill>
                    </w:rPr>
                    <w:t>2</w:t>
                  </w:r>
                  <w:r>
                    <w:rPr>
                      <w:rFonts w:hint="default" w:ascii="Times New Roman" w:hAnsi="Times New Roman" w:cs="Times New Roman"/>
                      <w:color w:val="000000" w:themeColor="text1"/>
                      <w:kern w:val="0"/>
                      <w:szCs w:val="21"/>
                      <w14:textFill>
                        <w14:solidFill>
                          <w14:schemeClr w14:val="tx1"/>
                        </w14:solidFill>
                      </w14:textFill>
                    </w:rPr>
                    <w:t>类</w:t>
                  </w:r>
                </w:p>
              </w:tc>
              <w:tc>
                <w:tcPr>
                  <w:tcW w:w="1844" w:type="dxa"/>
                  <w:noWrap w:val="0"/>
                  <w:vAlign w:val="center"/>
                </w:tcPr>
                <w:p w14:paraId="6BEC8FB4">
                  <w:pPr>
                    <w:widowControl/>
                    <w:autoSpaceDE w:val="0"/>
                    <w:adjustRightInd w:val="0"/>
                    <w:snapToGrid w:val="0"/>
                    <w:jc w:val="center"/>
                    <w:rPr>
                      <w:rFonts w:hint="default" w:ascii="Times New Roman" w:hAnsi="Times New Roman" w:eastAsia="宋体" w:cs="Times New Roman"/>
                      <w:color w:val="000000" w:themeColor="text1"/>
                      <w:kern w:val="0"/>
                      <w:szCs w:val="21"/>
                      <w:lang w:eastAsia="zh-CN"/>
                      <w14:textFill>
                        <w14:solidFill>
                          <w14:schemeClr w14:val="tx1"/>
                        </w14:solidFill>
                      </w14:textFill>
                    </w:rPr>
                  </w:pPr>
                  <w:r>
                    <w:rPr>
                      <w:rFonts w:hint="default" w:ascii="Times New Roman" w:hAnsi="Times New Roman" w:cs="Times New Roman"/>
                      <w:color w:val="000000" w:themeColor="text1"/>
                      <w:kern w:val="0"/>
                      <w:szCs w:val="21"/>
                      <w:lang w:val="en-US" w:eastAsia="zh-CN"/>
                      <w14:textFill>
                        <w14:solidFill>
                          <w14:schemeClr w14:val="tx1"/>
                        </w14:solidFill>
                      </w14:textFill>
                    </w:rPr>
                    <w:t>厂界四周</w:t>
                  </w:r>
                </w:p>
              </w:tc>
              <w:tc>
                <w:tcPr>
                  <w:tcW w:w="2356" w:type="dxa"/>
                  <w:noWrap w:val="0"/>
                  <w:vAlign w:val="center"/>
                </w:tcPr>
                <w:p w14:paraId="1CEF540C">
                  <w:pPr>
                    <w:widowControl/>
                    <w:autoSpaceDE w:val="0"/>
                    <w:adjustRightInd w:val="0"/>
                    <w:snapToGrid w:val="0"/>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cs="Times New Roman"/>
                      <w:color w:val="000000" w:themeColor="text1"/>
                      <w:kern w:val="0"/>
                      <w:szCs w:val="21"/>
                      <w:lang w:val="en-US" w:eastAsia="zh-CN"/>
                      <w14:textFill>
                        <w14:solidFill>
                          <w14:schemeClr w14:val="tx1"/>
                        </w14:solidFill>
                      </w14:textFill>
                    </w:rPr>
                    <w:t>60</w:t>
                  </w:r>
                </w:p>
              </w:tc>
              <w:tc>
                <w:tcPr>
                  <w:tcW w:w="1441" w:type="dxa"/>
                  <w:noWrap w:val="0"/>
                  <w:vAlign w:val="center"/>
                </w:tcPr>
                <w:p w14:paraId="5B0F1ACE">
                  <w:pPr>
                    <w:widowControl/>
                    <w:autoSpaceDE w:val="0"/>
                    <w:adjustRightInd w:val="0"/>
                    <w:snapToGrid w:val="0"/>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cs="Times New Roman"/>
                      <w:color w:val="000000" w:themeColor="text1"/>
                      <w:kern w:val="0"/>
                      <w:szCs w:val="21"/>
                      <w:lang w:val="en-US" w:eastAsia="zh-CN"/>
                      <w14:textFill>
                        <w14:solidFill>
                          <w14:schemeClr w14:val="tx1"/>
                        </w14:solidFill>
                      </w14:textFill>
                    </w:rPr>
                    <w:t>50</w:t>
                  </w:r>
                </w:p>
              </w:tc>
            </w:tr>
            <w:bookmarkEnd w:id="3"/>
          </w:tbl>
          <w:p w14:paraId="07F411EC">
            <w:pPr>
              <w:widowControl/>
              <w:spacing w:line="360" w:lineRule="auto"/>
              <w:ind w:firstLine="482" w:firstLineChars="200"/>
              <w:rPr>
                <w:rFonts w:hint="default" w:ascii="Times New Roman" w:hAnsi="Times New Roman" w:cs="Times New Roman"/>
                <w:b/>
                <w:bCs/>
                <w:color w:val="000000" w:themeColor="text1"/>
                <w:sz w:val="24"/>
                <w14:textFill>
                  <w14:solidFill>
                    <w14:schemeClr w14:val="tx1"/>
                  </w14:solidFill>
                </w14:textFill>
              </w:rPr>
            </w:pPr>
            <w:r>
              <w:rPr>
                <w:rFonts w:hint="default" w:ascii="Times New Roman" w:hAnsi="Times New Roman" w:cs="Times New Roman"/>
                <w:b/>
                <w:bCs/>
                <w:color w:val="000000" w:themeColor="text1"/>
                <w:sz w:val="24"/>
                <w:lang w:eastAsia="zh-CN"/>
                <w14:textFill>
                  <w14:solidFill>
                    <w14:schemeClr w14:val="tx1"/>
                  </w14:solidFill>
                </w14:textFill>
              </w:rPr>
              <w:t>4.</w:t>
            </w:r>
            <w:r>
              <w:rPr>
                <w:rFonts w:hint="default" w:ascii="Times New Roman" w:hAnsi="Times New Roman" w:cs="Times New Roman"/>
                <w:b/>
                <w:bCs/>
                <w:color w:val="000000" w:themeColor="text1"/>
                <w:sz w:val="24"/>
                <w14:textFill>
                  <w14:solidFill>
                    <w14:schemeClr w14:val="tx1"/>
                  </w14:solidFill>
                </w14:textFill>
              </w:rPr>
              <w:t>固体废物</w:t>
            </w:r>
          </w:p>
          <w:p w14:paraId="71D79803">
            <w:pPr>
              <w:adjustRightInd w:val="0"/>
              <w:snapToGrid w:val="0"/>
              <w:spacing w:line="360" w:lineRule="auto"/>
              <w:ind w:firstLine="480" w:firstLineChars="200"/>
              <w:jc w:val="left"/>
              <w:rPr>
                <w:rFonts w:hint="default" w:ascii="Times New Roman" w:hAnsi="Times New Roman" w:cs="Times New Roman"/>
                <w:bCs/>
                <w:color w:val="000000" w:themeColor="text1"/>
                <w:sz w:val="24"/>
                <w:lang w:bidi="ar"/>
                <w14:textFill>
                  <w14:solidFill>
                    <w14:schemeClr w14:val="tx1"/>
                  </w14:solidFill>
                </w14:textFill>
              </w:rPr>
            </w:pPr>
            <w:bookmarkStart w:id="4" w:name="_Hlk41382555"/>
            <w:r>
              <w:rPr>
                <w:rFonts w:hint="default" w:ascii="Times New Roman" w:hAnsi="Times New Roman" w:cs="Times New Roman"/>
                <w:color w:val="000000" w:themeColor="text1"/>
                <w:sz w:val="24"/>
                <w14:textFill>
                  <w14:solidFill>
                    <w14:schemeClr w14:val="tx1"/>
                  </w14:solidFill>
                </w14:textFill>
              </w:rPr>
              <w:t>本项目固体废物的处理、处置均应满足《中华人民共和国固体废物污染环境防治法</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的有关</w:t>
            </w:r>
            <w:r>
              <w:rPr>
                <w:rFonts w:hint="default" w:ascii="Times New Roman" w:hAnsi="Times New Roman" w:cs="Times New Roman"/>
                <w:color w:val="000000" w:themeColor="text1"/>
                <w:sz w:val="24"/>
                <w:lang w:eastAsia="zh-CN"/>
                <w14:textFill>
                  <w14:solidFill>
                    <w14:schemeClr w14:val="tx1"/>
                  </w14:solidFill>
                </w14:textFill>
              </w:rPr>
              <w:t>规定</w:t>
            </w:r>
            <w:r>
              <w:rPr>
                <w:rFonts w:hint="default" w:ascii="Times New Roman" w:hAnsi="Times New Roman" w:cs="Times New Roman"/>
                <w:bCs/>
                <w:color w:val="000000" w:themeColor="text1"/>
                <w:sz w:val="24"/>
                <w:lang w:bidi="ar"/>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采用库房、包装工具（罐、桶、包装袋等）贮存一般工业固体废物</w:t>
            </w:r>
            <w:r>
              <w:rPr>
                <w:rFonts w:hint="default" w:ascii="Times New Roman" w:hAnsi="Times New Roman" w:cs="Times New Roman"/>
                <w:color w:val="000000" w:themeColor="text1"/>
                <w:sz w:val="24"/>
                <w:lang w:eastAsia="zh-CN"/>
                <w14:textFill>
                  <w14:solidFill>
                    <w14:schemeClr w14:val="tx1"/>
                  </w14:solidFill>
                </w14:textFill>
              </w:rPr>
              <w:t>时</w:t>
            </w:r>
            <w:r>
              <w:rPr>
                <w:rFonts w:hint="default" w:ascii="Times New Roman" w:hAnsi="Times New Roman" w:cs="Times New Roman"/>
                <w:color w:val="000000" w:themeColor="text1"/>
                <w:sz w:val="24"/>
                <w14:textFill>
                  <w14:solidFill>
                    <w14:schemeClr w14:val="tx1"/>
                  </w14:solidFill>
                </w14:textFill>
              </w:rPr>
              <w:t>的污染控制，其贮存过程应满足相应防渗漏、防雨淋、防扬尘等环境保护要求</w:t>
            </w:r>
            <w:r>
              <w:rPr>
                <w:rFonts w:hint="default" w:ascii="Times New Roman" w:hAnsi="Times New Roman" w:cs="Times New Roman"/>
                <w:bCs/>
                <w:color w:val="000000" w:themeColor="text1"/>
                <w:sz w:val="24"/>
                <w:lang w:bidi="ar"/>
                <w14:textFill>
                  <w14:solidFill>
                    <w14:schemeClr w14:val="tx1"/>
                  </w14:solidFill>
                </w14:textFill>
              </w:rPr>
              <w:t>。</w:t>
            </w:r>
          </w:p>
          <w:p w14:paraId="3C15A791">
            <w:pPr>
              <w:adjustRightInd w:val="0"/>
              <w:snapToGrid w:val="0"/>
              <w:spacing w:line="360" w:lineRule="auto"/>
              <w:ind w:firstLine="480" w:firstLineChars="200"/>
              <w:jc w:val="left"/>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危险废物执行《危险废物贮存污染控制标准》</w:t>
            </w:r>
            <w:r>
              <w:rPr>
                <w:rFonts w:hint="default" w:ascii="Times New Roman" w:hAnsi="Times New Roman" w:cs="Times New Roman"/>
                <w:color w:val="000000" w:themeColor="text1"/>
                <w:sz w:val="24"/>
                <w:lang w:eastAsia="zh-CN"/>
                <w14:textFill>
                  <w14:solidFill>
                    <w14:schemeClr w14:val="tx1"/>
                  </w14:solidFill>
                </w14:textFill>
              </w:rPr>
              <w:t>（GB 18597-2023）</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和《危险废物识别标志设置技术规范》（HJ</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1276-2022）相关标准</w:t>
            </w:r>
            <w:r>
              <w:rPr>
                <w:rFonts w:hint="default" w:ascii="Times New Roman" w:hAnsi="Times New Roman" w:cs="Times New Roman"/>
                <w:color w:val="000000" w:themeColor="text1"/>
                <w:sz w:val="24"/>
                <w14:textFill>
                  <w14:solidFill>
                    <w14:schemeClr w14:val="tx1"/>
                  </w14:solidFill>
                </w14:textFill>
              </w:rPr>
              <w:t>。</w:t>
            </w:r>
            <w:bookmarkEnd w:id="4"/>
          </w:p>
        </w:tc>
      </w:tr>
      <w:tr w14:paraId="693C43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66" w:hRule="atLeast"/>
          <w:jc w:val="center"/>
        </w:trPr>
        <w:tc>
          <w:tcPr>
            <w:tcW w:w="475" w:type="dxa"/>
            <w:noWrap w:val="0"/>
            <w:vAlign w:val="center"/>
          </w:tcPr>
          <w:p w14:paraId="46767F0C">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总量</w:t>
            </w:r>
          </w:p>
          <w:p w14:paraId="1839FBB2">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控制</w:t>
            </w:r>
          </w:p>
          <w:p w14:paraId="4AACA882">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指标</w:t>
            </w:r>
          </w:p>
        </w:tc>
        <w:tc>
          <w:tcPr>
            <w:tcW w:w="8586" w:type="dxa"/>
            <w:noWrap w:val="0"/>
            <w:vAlign w:val="center"/>
          </w:tcPr>
          <w:p w14:paraId="235499CB">
            <w:pPr>
              <w:spacing w:line="360" w:lineRule="auto"/>
              <w:ind w:firstLine="480" w:firstLineChars="200"/>
              <w:jc w:val="left"/>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lang w:eastAsia="zh-CN"/>
                <w14:textFill>
                  <w14:solidFill>
                    <w14:schemeClr w14:val="tx1"/>
                  </w14:solidFill>
                </w14:textFill>
              </w:rPr>
              <w:t>结合</w:t>
            </w:r>
            <w:r>
              <w:rPr>
                <w:rFonts w:hint="default" w:ascii="Times New Roman" w:hAnsi="Times New Roman" w:cs="Times New Roman"/>
                <w:color w:val="000000" w:themeColor="text1"/>
                <w:sz w:val="24"/>
                <w14:textFill>
                  <w14:solidFill>
                    <w14:schemeClr w14:val="tx1"/>
                  </w14:solidFill>
                </w14:textFill>
              </w:rPr>
              <w:t>本项目排污特点，本项目运营期产生废气主要为非甲烷总烃，因此本项目建议总量控制指标为VOCs，根据核算，本项目VOCs的总量指标为：</w:t>
            </w:r>
            <w:r>
              <w:rPr>
                <w:rFonts w:hint="eastAsia" w:ascii="Times New Roman" w:hAnsi="Times New Roman" w:cs="Times New Roman"/>
                <w:color w:val="000000" w:themeColor="text1"/>
                <w:sz w:val="24"/>
                <w:lang w:val="en-US" w:eastAsia="zh-CN"/>
                <w14:textFill>
                  <w14:solidFill>
                    <w14:schemeClr w14:val="tx1"/>
                  </w14:solidFill>
                </w14:textFill>
              </w:rPr>
              <w:t>0.1</w:t>
            </w:r>
            <w:r>
              <w:rPr>
                <w:rFonts w:hint="eastAsia" w:cs="Times New Roman"/>
                <w:color w:val="000000" w:themeColor="text1"/>
                <w:sz w:val="24"/>
                <w:lang w:val="en-US" w:eastAsia="zh-CN"/>
                <w14:textFill>
                  <w14:solidFill>
                    <w14:schemeClr w14:val="tx1"/>
                  </w14:solidFill>
                </w14:textFill>
              </w:rPr>
              <w:t>38</w:t>
            </w:r>
            <w:r>
              <w:rPr>
                <w:rFonts w:hint="default" w:ascii="Times New Roman" w:hAnsi="Times New Roman" w:cs="Times New Roman"/>
                <w:color w:val="000000" w:themeColor="text1"/>
                <w:sz w:val="24"/>
                <w14:textFill>
                  <w14:solidFill>
                    <w14:schemeClr w14:val="tx1"/>
                  </w14:solidFill>
                </w14:textFill>
              </w:rPr>
              <w:t>t/a</w:t>
            </w:r>
            <w:r>
              <w:rPr>
                <w:rFonts w:hint="eastAsia" w:ascii="Times New Roman" w:hAnsi="Times New Roman" w:cs="Times New Roman"/>
                <w:color w:val="000000" w:themeColor="text1"/>
                <w:sz w:val="24"/>
                <w:lang w:eastAsia="zh-CN"/>
                <w14:textFill>
                  <w14:solidFill>
                    <w14:schemeClr w14:val="tx1"/>
                  </w14:solidFill>
                </w14:textFill>
              </w:rPr>
              <w:t>，</w:t>
            </w:r>
            <w:r>
              <w:rPr>
                <w:rFonts w:hint="eastAsia" w:ascii="Times New Roman" w:hAnsi="Times New Roman" w:cs="Times New Roman"/>
                <w:color w:val="000000" w:themeColor="text1"/>
                <w:sz w:val="24"/>
                <w:lang w:val="en-US" w:eastAsia="zh-CN"/>
                <w14:textFill>
                  <w14:solidFill>
                    <w14:schemeClr w14:val="tx1"/>
                  </w14:solidFill>
                </w14:textFill>
              </w:rPr>
              <w:t>原有项目实际排放量为0.0075t/a，环评批复总量为0.0725t/a，本次VOCs排放总量超过原有环评量，超出部分企业需购买相应的总量指标</w:t>
            </w:r>
            <w:r>
              <w:rPr>
                <w:rFonts w:hint="default" w:ascii="Times New Roman" w:hAnsi="Times New Roman" w:cs="Times New Roman"/>
                <w:color w:val="000000" w:themeColor="text1"/>
                <w:sz w:val="24"/>
                <w14:textFill>
                  <w14:solidFill>
                    <w14:schemeClr w14:val="tx1"/>
                  </w14:solidFill>
                </w14:textFill>
              </w:rPr>
              <w:t>。</w:t>
            </w:r>
          </w:p>
        </w:tc>
      </w:tr>
    </w:tbl>
    <w:p w14:paraId="096F514C">
      <w:pPr>
        <w:pStyle w:val="31"/>
        <w:numPr>
          <w:ilvl w:val="0"/>
          <w:numId w:val="3"/>
        </w:numPr>
        <w:jc w:val="center"/>
        <w:outlineLvl w:val="0"/>
        <w:rPr>
          <w:rFonts w:hint="default" w:ascii="Times New Roman" w:hAnsi="Times New Roman" w:eastAsia="黑体" w:cs="Times New Roman"/>
          <w:snapToGrid w:val="0"/>
          <w:color w:val="000000" w:themeColor="text1"/>
          <w:sz w:val="30"/>
          <w:szCs w:val="30"/>
          <w14:textFill>
            <w14:solidFill>
              <w14:schemeClr w14:val="tx1"/>
            </w14:solidFill>
          </w14:textFill>
        </w:rPr>
      </w:pPr>
      <w:r>
        <w:rPr>
          <w:rFonts w:hint="default" w:ascii="Times New Roman" w:hAnsi="Times New Roman" w:eastAsia="黑体" w:cs="Times New Roman"/>
          <w:snapToGrid w:val="0"/>
          <w:color w:val="000000" w:themeColor="text1"/>
          <w:sz w:val="36"/>
          <w:szCs w:val="36"/>
          <w14:textFill>
            <w14:solidFill>
              <w14:schemeClr w14:val="tx1"/>
            </w14:solidFill>
          </w14:textFill>
        </w:rPr>
        <w:br w:type="page"/>
      </w:r>
      <w:r>
        <w:rPr>
          <w:rFonts w:hint="default" w:ascii="Times New Roman" w:hAnsi="Times New Roman" w:eastAsia="黑体" w:cs="Times New Roman"/>
          <w:snapToGrid w:val="0"/>
          <w:color w:val="000000" w:themeColor="text1"/>
          <w:sz w:val="30"/>
          <w:szCs w:val="30"/>
          <w14:textFill>
            <w14:solidFill>
              <w14:schemeClr w14:val="tx1"/>
            </w14:solidFill>
          </w14:textFill>
        </w:rPr>
        <w:t>主要环境影响和保护措施</w:t>
      </w: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8266"/>
      </w:tblGrid>
      <w:tr w14:paraId="6E9FA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14:paraId="42AE1009">
            <w:pPr>
              <w:pStyle w:val="31"/>
              <w:adjustRightInd w:val="0"/>
              <w:snapToGrid w:val="0"/>
              <w:spacing w:before="0" w:beforeAutospacing="0" w:after="0" w:afterAutospacing="0"/>
              <w:jc w:val="center"/>
              <w:rPr>
                <w:rFonts w:hint="default" w:ascii="Times New Roman" w:hAnsi="Times New Roman" w:cs="Times New Roman"/>
                <w:color w:val="000000" w:themeColor="text1"/>
                <w:kern w:val="2"/>
                <w:sz w:val="24"/>
                <w:szCs w:val="24"/>
                <w14:textFill>
                  <w14:solidFill>
                    <w14:schemeClr w14:val="tx1"/>
                  </w14:solidFill>
                </w14:textFill>
              </w:rPr>
            </w:pPr>
            <w:r>
              <w:rPr>
                <w:rFonts w:hint="default" w:ascii="Times New Roman" w:hAnsi="Times New Roman" w:cs="Times New Roman"/>
                <w:color w:val="000000" w:themeColor="text1"/>
                <w:kern w:val="2"/>
                <w:sz w:val="24"/>
                <w:szCs w:val="24"/>
                <w14:textFill>
                  <w14:solidFill>
                    <w14:schemeClr w14:val="tx1"/>
                  </w14:solidFill>
                </w14:textFill>
              </w:rPr>
              <w:t>施工</w:t>
            </w:r>
          </w:p>
          <w:p w14:paraId="48082787">
            <w:pPr>
              <w:pStyle w:val="31"/>
              <w:adjustRightInd w:val="0"/>
              <w:snapToGrid w:val="0"/>
              <w:spacing w:before="0" w:beforeAutospacing="0" w:after="0" w:afterAutospacing="0"/>
              <w:jc w:val="center"/>
              <w:rPr>
                <w:rFonts w:hint="default" w:ascii="Times New Roman" w:hAnsi="Times New Roman" w:cs="Times New Roman"/>
                <w:color w:val="000000" w:themeColor="text1"/>
                <w:kern w:val="2"/>
                <w:sz w:val="24"/>
                <w:szCs w:val="24"/>
                <w14:textFill>
                  <w14:solidFill>
                    <w14:schemeClr w14:val="tx1"/>
                  </w14:solidFill>
                </w14:textFill>
              </w:rPr>
            </w:pPr>
            <w:r>
              <w:rPr>
                <w:rFonts w:hint="default" w:ascii="Times New Roman" w:hAnsi="Times New Roman" w:cs="Times New Roman"/>
                <w:color w:val="000000" w:themeColor="text1"/>
                <w:kern w:val="2"/>
                <w:sz w:val="24"/>
                <w:szCs w:val="24"/>
                <w14:textFill>
                  <w14:solidFill>
                    <w14:schemeClr w14:val="tx1"/>
                  </w14:solidFill>
                </w14:textFill>
              </w:rPr>
              <w:t>期环</w:t>
            </w:r>
          </w:p>
          <w:p w14:paraId="76814248">
            <w:pPr>
              <w:pStyle w:val="31"/>
              <w:adjustRightInd w:val="0"/>
              <w:snapToGrid w:val="0"/>
              <w:spacing w:before="0" w:beforeAutospacing="0" w:after="0" w:afterAutospacing="0"/>
              <w:jc w:val="center"/>
              <w:rPr>
                <w:rFonts w:hint="default" w:ascii="Times New Roman" w:hAnsi="Times New Roman" w:cs="Times New Roman"/>
                <w:color w:val="000000" w:themeColor="text1"/>
                <w:kern w:val="2"/>
                <w:sz w:val="24"/>
                <w:szCs w:val="24"/>
                <w14:textFill>
                  <w14:solidFill>
                    <w14:schemeClr w14:val="tx1"/>
                  </w14:solidFill>
                </w14:textFill>
              </w:rPr>
            </w:pPr>
            <w:r>
              <w:rPr>
                <w:rFonts w:hint="default" w:ascii="Times New Roman" w:hAnsi="Times New Roman" w:cs="Times New Roman"/>
                <w:color w:val="000000" w:themeColor="text1"/>
                <w:kern w:val="2"/>
                <w:sz w:val="24"/>
                <w:szCs w:val="24"/>
                <w14:textFill>
                  <w14:solidFill>
                    <w14:schemeClr w14:val="tx1"/>
                  </w14:solidFill>
                </w14:textFill>
              </w:rPr>
              <w:t>境保</w:t>
            </w:r>
          </w:p>
          <w:p w14:paraId="12F32237">
            <w:pPr>
              <w:pStyle w:val="31"/>
              <w:adjustRightInd w:val="0"/>
              <w:snapToGrid w:val="0"/>
              <w:spacing w:before="0" w:beforeAutospacing="0" w:after="0" w:afterAutospacing="0"/>
              <w:jc w:val="center"/>
              <w:rPr>
                <w:rFonts w:hint="default" w:ascii="Times New Roman" w:hAnsi="Times New Roman" w:cs="Times New Roman"/>
                <w:color w:val="000000" w:themeColor="text1"/>
                <w:kern w:val="2"/>
                <w:sz w:val="24"/>
                <w:szCs w:val="24"/>
                <w14:textFill>
                  <w14:solidFill>
                    <w14:schemeClr w14:val="tx1"/>
                  </w14:solidFill>
                </w14:textFill>
              </w:rPr>
            </w:pPr>
            <w:r>
              <w:rPr>
                <w:rFonts w:hint="default" w:ascii="Times New Roman" w:hAnsi="Times New Roman" w:cs="Times New Roman"/>
                <w:color w:val="000000" w:themeColor="text1"/>
                <w:kern w:val="2"/>
                <w:sz w:val="24"/>
                <w:szCs w:val="24"/>
                <w14:textFill>
                  <w14:solidFill>
                    <w14:schemeClr w14:val="tx1"/>
                  </w14:solidFill>
                </w14:textFill>
              </w:rPr>
              <w:t>护措</w:t>
            </w:r>
          </w:p>
          <w:p w14:paraId="0CAF0735">
            <w:pPr>
              <w:pStyle w:val="31"/>
              <w:adjustRightInd w:val="0"/>
              <w:snapToGrid w:val="0"/>
              <w:spacing w:before="0" w:beforeAutospacing="0" w:after="0" w:afterAutospacing="0"/>
              <w:jc w:val="center"/>
              <w:rPr>
                <w:rFonts w:hint="default" w:ascii="Times New Roman" w:hAnsi="Times New Roman" w:eastAsia="黑体" w:cs="Times New Roman"/>
                <w:snapToGrid w:val="0"/>
                <w:color w:val="000000" w:themeColor="text1"/>
                <w:sz w:val="24"/>
                <w:szCs w:val="24"/>
                <w:vertAlign w:val="baseline"/>
                <w14:textFill>
                  <w14:solidFill>
                    <w14:schemeClr w14:val="tx1"/>
                  </w14:solidFill>
                </w14:textFill>
              </w:rPr>
            </w:pPr>
            <w:r>
              <w:rPr>
                <w:rFonts w:hint="default" w:ascii="Times New Roman" w:hAnsi="Times New Roman" w:cs="Times New Roman"/>
                <w:color w:val="000000" w:themeColor="text1"/>
                <w:kern w:val="2"/>
                <w:sz w:val="24"/>
                <w:szCs w:val="24"/>
                <w14:textFill>
                  <w14:solidFill>
                    <w14:schemeClr w14:val="tx1"/>
                  </w14:solidFill>
                </w14:textFill>
              </w:rPr>
              <w:t>施</w:t>
            </w:r>
          </w:p>
        </w:tc>
        <w:tc>
          <w:tcPr>
            <w:tcW w:w="8266" w:type="dxa"/>
            <w:vAlign w:val="top"/>
          </w:tcPr>
          <w:p w14:paraId="2AE74686">
            <w:pPr>
              <w:adjustRightInd w:val="0"/>
              <w:snapToGrid w:val="0"/>
              <w:spacing w:line="360" w:lineRule="auto"/>
              <w:ind w:firstLine="480" w:firstLineChars="200"/>
              <w:jc w:val="both"/>
              <w:rPr>
                <w:rFonts w:hint="default" w:ascii="Times New Roman" w:hAnsi="Times New Roman" w:eastAsia="宋体" w:cs="Times New Roman"/>
                <w:bCs/>
                <w:color w:val="000000" w:themeColor="text1"/>
                <w:kern w:val="0"/>
                <w:sz w:val="24"/>
                <w:szCs w:val="24"/>
                <w:lang w:val="en-US" w:eastAsia="zh-CN"/>
                <w14:textFill>
                  <w14:solidFill>
                    <w14:schemeClr w14:val="tx1"/>
                  </w14:solidFill>
                </w14:textFill>
              </w:rPr>
            </w:pPr>
            <w:r>
              <w:rPr>
                <w:rFonts w:hint="default" w:ascii="Times New Roman" w:hAnsi="Times New Roman" w:eastAsia="宋体" w:cs="Times New Roman"/>
                <w:bCs/>
                <w:color w:val="000000" w:themeColor="text1"/>
                <w:kern w:val="0"/>
                <w:sz w:val="24"/>
                <w:szCs w:val="24"/>
                <w:lang w:val="en-US" w:eastAsia="zh-CN"/>
                <w14:textFill>
                  <w14:solidFill>
                    <w14:schemeClr w14:val="tx1"/>
                  </w14:solidFill>
                </w14:textFill>
              </w:rPr>
              <w:t>根据现场勘查，本项目利用已建成厂房，</w:t>
            </w:r>
            <w:r>
              <w:rPr>
                <w:rFonts w:hint="eastAsia" w:cs="Times New Roman"/>
                <w:bCs/>
                <w:color w:val="000000" w:themeColor="text1"/>
                <w:kern w:val="0"/>
                <w:sz w:val="24"/>
                <w:szCs w:val="24"/>
                <w:lang w:val="en-US" w:eastAsia="zh-CN"/>
                <w14:textFill>
                  <w14:solidFill>
                    <w14:schemeClr w14:val="tx1"/>
                  </w14:solidFill>
                </w14:textFill>
              </w:rPr>
              <w:t>仅进行二层办公楼的简易搭建和设备的安装</w:t>
            </w:r>
            <w:r>
              <w:rPr>
                <w:rFonts w:hint="default" w:ascii="Times New Roman" w:hAnsi="Times New Roman" w:eastAsia="宋体" w:cs="Times New Roman"/>
                <w:bCs/>
                <w:color w:val="000000" w:themeColor="text1"/>
                <w:kern w:val="0"/>
                <w:sz w:val="24"/>
                <w:szCs w:val="24"/>
                <w:lang w:val="en-US" w:eastAsia="zh-CN"/>
                <w14:textFill>
                  <w14:solidFill>
                    <w14:schemeClr w14:val="tx1"/>
                  </w14:solidFill>
                </w14:textFill>
              </w:rPr>
              <w:t>施等，故施工期主要</w:t>
            </w:r>
            <w:r>
              <w:rPr>
                <w:rFonts w:hint="default" w:ascii="Times New Roman" w:hAnsi="Times New Roman" w:cs="Times New Roman"/>
                <w:bCs/>
                <w:color w:val="000000" w:themeColor="text1"/>
                <w:kern w:val="0"/>
                <w:sz w:val="24"/>
                <w:szCs w:val="24"/>
                <w:lang w:val="en-US" w:eastAsia="zh-CN"/>
                <w14:textFill>
                  <w14:solidFill>
                    <w14:schemeClr w14:val="tx1"/>
                  </w14:solidFill>
                </w14:textFill>
              </w:rPr>
              <w:t>污染为</w:t>
            </w:r>
            <w:r>
              <w:rPr>
                <w:rFonts w:hint="eastAsia" w:cs="Times New Roman"/>
                <w:bCs/>
                <w:color w:val="000000" w:themeColor="text1"/>
                <w:kern w:val="0"/>
                <w:sz w:val="24"/>
                <w:szCs w:val="24"/>
                <w:lang w:val="en-US" w:eastAsia="zh-CN"/>
                <w14:textFill>
                  <w14:solidFill>
                    <w14:schemeClr w14:val="tx1"/>
                  </w14:solidFill>
                </w14:textFill>
              </w:rPr>
              <w:t>施工噪声和</w:t>
            </w:r>
            <w:r>
              <w:rPr>
                <w:rFonts w:hint="default" w:ascii="Times New Roman" w:hAnsi="Times New Roman" w:eastAsia="宋体" w:cs="Times New Roman"/>
                <w:bCs/>
                <w:color w:val="000000" w:themeColor="text1"/>
                <w:kern w:val="0"/>
                <w:sz w:val="24"/>
                <w:szCs w:val="24"/>
                <w:lang w:val="en-US" w:eastAsia="zh-CN"/>
                <w14:textFill>
                  <w14:solidFill>
                    <w14:schemeClr w14:val="tx1"/>
                  </w14:solidFill>
                </w14:textFill>
              </w:rPr>
              <w:t>设备安装产生的噪声及</w:t>
            </w:r>
            <w:r>
              <w:rPr>
                <w:rFonts w:hint="eastAsia" w:cs="Times New Roman"/>
                <w:bCs/>
                <w:color w:val="000000" w:themeColor="text1"/>
                <w:kern w:val="0"/>
                <w:sz w:val="24"/>
                <w:szCs w:val="24"/>
                <w:lang w:val="en-US" w:eastAsia="zh-CN"/>
                <w14:textFill>
                  <w14:solidFill>
                    <w14:schemeClr w14:val="tx1"/>
                  </w14:solidFill>
                </w14:textFill>
              </w:rPr>
              <w:t>建筑垃圾、</w:t>
            </w:r>
            <w:r>
              <w:rPr>
                <w:rFonts w:hint="default" w:ascii="Times New Roman" w:hAnsi="Times New Roman" w:eastAsia="宋体" w:cs="Times New Roman"/>
                <w:bCs/>
                <w:color w:val="000000" w:themeColor="text1"/>
                <w:kern w:val="0"/>
                <w:sz w:val="24"/>
                <w:szCs w:val="24"/>
                <w:lang w:val="en-US" w:eastAsia="zh-CN"/>
                <w14:textFill>
                  <w14:solidFill>
                    <w14:schemeClr w14:val="tx1"/>
                  </w14:solidFill>
                </w14:textFill>
              </w:rPr>
              <w:t>包装废料</w:t>
            </w:r>
            <w:r>
              <w:rPr>
                <w:rFonts w:hint="eastAsia" w:cs="Times New Roman"/>
                <w:bCs/>
                <w:color w:val="000000" w:themeColor="text1"/>
                <w:kern w:val="0"/>
                <w:sz w:val="24"/>
                <w:szCs w:val="24"/>
                <w:lang w:val="en-US" w:eastAsia="zh-CN"/>
                <w14:textFill>
                  <w14:solidFill>
                    <w14:schemeClr w14:val="tx1"/>
                  </w14:solidFill>
                </w14:textFill>
              </w:rPr>
              <w:t>、生活垃圾等</w:t>
            </w:r>
            <w:r>
              <w:rPr>
                <w:rFonts w:hint="default" w:ascii="Times New Roman" w:hAnsi="Times New Roman" w:eastAsia="宋体" w:cs="Times New Roman"/>
                <w:bCs/>
                <w:color w:val="000000" w:themeColor="text1"/>
                <w:kern w:val="0"/>
                <w:sz w:val="24"/>
                <w:szCs w:val="24"/>
                <w:lang w:val="en-US" w:eastAsia="zh-CN"/>
                <w14:textFill>
                  <w14:solidFill>
                    <w14:schemeClr w14:val="tx1"/>
                  </w14:solidFill>
                </w14:textFill>
              </w:rPr>
              <w:t>。</w:t>
            </w:r>
          </w:p>
          <w:p w14:paraId="29FA2C4E">
            <w:pPr>
              <w:adjustRightInd w:val="0"/>
              <w:snapToGrid w:val="0"/>
              <w:spacing w:line="360" w:lineRule="auto"/>
              <w:ind w:firstLine="480" w:firstLineChars="200"/>
              <w:jc w:val="both"/>
              <w:rPr>
                <w:rFonts w:hint="default" w:ascii="Times New Roman" w:hAnsi="Times New Roman" w:cs="Times New Roman"/>
                <w:bCs/>
                <w:color w:val="000000" w:themeColor="text1"/>
                <w:kern w:val="0"/>
                <w:sz w:val="24"/>
                <w:szCs w:val="24"/>
                <w:lang w:val="en-US" w:eastAsia="zh-CN"/>
                <w14:textFill>
                  <w14:solidFill>
                    <w14:schemeClr w14:val="tx1"/>
                  </w14:solidFill>
                </w14:textFill>
              </w:rPr>
            </w:pPr>
            <w:r>
              <w:rPr>
                <w:rFonts w:hint="default" w:ascii="Times New Roman" w:hAnsi="Times New Roman" w:eastAsia="宋体" w:cs="Times New Roman"/>
                <w:bCs/>
                <w:color w:val="000000" w:themeColor="text1"/>
                <w:kern w:val="0"/>
                <w:sz w:val="24"/>
                <w:szCs w:val="24"/>
                <w:lang w:val="en-US" w:eastAsia="zh-CN"/>
                <w14:textFill>
                  <w14:solidFill>
                    <w14:schemeClr w14:val="tx1"/>
                  </w14:solidFill>
                </w14:textFill>
              </w:rPr>
              <w:t>（1）评价要求施工作业尽量在生产车间内进行；</w:t>
            </w:r>
            <w:r>
              <w:rPr>
                <w:rFonts w:hint="default" w:ascii="Times New Roman" w:hAnsi="Times New Roman" w:cs="Times New Roman"/>
                <w:bCs/>
                <w:color w:val="000000" w:themeColor="text1"/>
                <w:kern w:val="0"/>
                <w:sz w:val="24"/>
                <w:szCs w:val="24"/>
                <w:lang w:val="en-US" w:eastAsia="zh-CN"/>
                <w14:textFill>
                  <w14:solidFill>
                    <w14:schemeClr w14:val="tx1"/>
                  </w14:solidFill>
                </w14:textFill>
              </w:rPr>
              <w:t>随着施工期的结束，废气的影响将消失，对周围环境的影响也随之消失。</w:t>
            </w:r>
          </w:p>
          <w:p w14:paraId="63D71739">
            <w:pPr>
              <w:adjustRightInd w:val="0"/>
              <w:snapToGrid w:val="0"/>
              <w:spacing w:line="360" w:lineRule="auto"/>
              <w:ind w:firstLine="480" w:firstLineChars="200"/>
              <w:jc w:val="both"/>
              <w:rPr>
                <w:rFonts w:hint="default" w:ascii="Times New Roman" w:hAnsi="Times New Roman" w:cs="Times New Roman"/>
                <w:bCs/>
                <w:color w:val="000000" w:themeColor="text1"/>
                <w:kern w:val="0"/>
                <w:sz w:val="24"/>
                <w:szCs w:val="24"/>
                <w14:textFill>
                  <w14:solidFill>
                    <w14:schemeClr w14:val="tx1"/>
                  </w14:solidFill>
                </w14:textFill>
              </w:rPr>
            </w:pPr>
            <w:r>
              <w:rPr>
                <w:rFonts w:hint="default" w:ascii="Times New Roman" w:hAnsi="Times New Roman" w:cs="Times New Roman"/>
                <w:bCs/>
                <w:color w:val="000000" w:themeColor="text1"/>
                <w:kern w:val="0"/>
                <w:sz w:val="24"/>
                <w:szCs w:val="24"/>
                <w:lang w:eastAsia="zh-CN"/>
                <w14:textFill>
                  <w14:solidFill>
                    <w14:schemeClr w14:val="tx1"/>
                  </w14:solidFill>
                </w14:textFill>
              </w:rPr>
              <w:t>（</w:t>
            </w:r>
            <w:r>
              <w:rPr>
                <w:rFonts w:hint="default" w:ascii="Times New Roman" w:hAnsi="Times New Roman" w:cs="Times New Roman"/>
                <w:bCs/>
                <w:color w:val="000000" w:themeColor="text1"/>
                <w:kern w:val="0"/>
                <w:sz w:val="24"/>
                <w:szCs w:val="24"/>
                <w:lang w:val="en-US" w:eastAsia="zh-CN"/>
                <w14:textFill>
                  <w14:solidFill>
                    <w14:schemeClr w14:val="tx1"/>
                  </w14:solidFill>
                </w14:textFill>
              </w:rPr>
              <w:t>2</w:t>
            </w:r>
            <w:r>
              <w:rPr>
                <w:rFonts w:hint="default" w:ascii="Times New Roman" w:hAnsi="Times New Roman" w:cs="Times New Roman"/>
                <w:bCs/>
                <w:color w:val="000000" w:themeColor="text1"/>
                <w:kern w:val="0"/>
                <w:sz w:val="24"/>
                <w:szCs w:val="24"/>
                <w:lang w:eastAsia="zh-CN"/>
                <w14:textFill>
                  <w14:solidFill>
                    <w14:schemeClr w14:val="tx1"/>
                  </w14:solidFill>
                </w14:textFill>
              </w:rPr>
              <w:t>）</w:t>
            </w:r>
            <w:r>
              <w:rPr>
                <w:rFonts w:hint="default" w:ascii="Times New Roman" w:hAnsi="Times New Roman" w:cs="Times New Roman"/>
                <w:bCs/>
                <w:color w:val="000000" w:themeColor="text1"/>
                <w:kern w:val="0"/>
                <w:sz w:val="24"/>
                <w:szCs w:val="24"/>
                <w:lang w:val="en-US" w:eastAsia="zh-CN"/>
                <w14:textFill>
                  <w14:solidFill>
                    <w14:schemeClr w14:val="tx1"/>
                  </w14:solidFill>
                </w14:textFill>
              </w:rPr>
              <w:t>对</w:t>
            </w:r>
            <w:r>
              <w:rPr>
                <w:rFonts w:hint="default" w:ascii="Times New Roman" w:hAnsi="Times New Roman" w:cs="Times New Roman"/>
                <w:bCs/>
                <w:color w:val="000000" w:themeColor="text1"/>
                <w:kern w:val="0"/>
                <w:sz w:val="24"/>
                <w:szCs w:val="24"/>
                <w:lang w:eastAsia="zh-CN"/>
                <w14:textFill>
                  <w14:solidFill>
                    <w14:schemeClr w14:val="tx1"/>
                  </w14:solidFill>
                </w14:textFill>
              </w:rPr>
              <w:t>施工期</w:t>
            </w:r>
            <w:r>
              <w:rPr>
                <w:rFonts w:hint="default" w:ascii="Times New Roman" w:hAnsi="Times New Roman" w:cs="Times New Roman"/>
                <w:bCs/>
                <w:color w:val="000000" w:themeColor="text1"/>
                <w:kern w:val="0"/>
                <w:sz w:val="24"/>
                <w:szCs w:val="24"/>
                <w:lang w:val="en-US" w:eastAsia="zh-CN"/>
                <w14:textFill>
                  <w14:solidFill>
                    <w14:schemeClr w14:val="tx1"/>
                  </w14:solidFill>
                </w14:textFill>
              </w:rPr>
              <w:t>间</w:t>
            </w:r>
            <w:r>
              <w:rPr>
                <w:rFonts w:hint="default" w:ascii="Times New Roman" w:hAnsi="Times New Roman" w:cs="Times New Roman"/>
                <w:bCs/>
                <w:color w:val="000000" w:themeColor="text1"/>
                <w:kern w:val="0"/>
                <w:sz w:val="24"/>
                <w:szCs w:val="24"/>
                <w:lang w:eastAsia="zh-CN"/>
                <w14:textFill>
                  <w14:solidFill>
                    <w14:schemeClr w14:val="tx1"/>
                  </w14:solidFill>
                </w14:textFill>
              </w:rPr>
              <w:t>产生的</w:t>
            </w:r>
            <w:r>
              <w:rPr>
                <w:rFonts w:hint="default" w:ascii="Times New Roman" w:hAnsi="Times New Roman" w:cs="Times New Roman"/>
                <w:bCs/>
                <w:color w:val="000000" w:themeColor="text1"/>
                <w:kern w:val="0"/>
                <w:sz w:val="24"/>
                <w:szCs w:val="24"/>
                <w14:textFill>
                  <w14:solidFill>
                    <w14:schemeClr w14:val="tx1"/>
                  </w14:solidFill>
                </w14:textFill>
              </w:rPr>
              <w:t xml:space="preserve">噪声控制提出以下措施： </w:t>
            </w:r>
          </w:p>
          <w:p w14:paraId="499D9FC4">
            <w:pPr>
              <w:adjustRightInd w:val="0"/>
              <w:snapToGrid w:val="0"/>
              <w:spacing w:line="360" w:lineRule="auto"/>
              <w:ind w:firstLine="480" w:firstLineChars="200"/>
              <w:jc w:val="both"/>
              <w:rPr>
                <w:rFonts w:hint="default" w:ascii="Times New Roman" w:hAnsi="Times New Roman" w:cs="Times New Roman"/>
                <w:bCs/>
                <w:color w:val="000000" w:themeColor="text1"/>
                <w:kern w:val="0"/>
                <w:sz w:val="24"/>
                <w:szCs w:val="24"/>
                <w14:textFill>
                  <w14:solidFill>
                    <w14:schemeClr w14:val="tx1"/>
                  </w14:solidFill>
                </w14:textFill>
              </w:rPr>
            </w:pPr>
            <w:r>
              <w:rPr>
                <w:rFonts w:hint="default" w:ascii="Times New Roman" w:hAnsi="Times New Roman" w:cs="Times New Roman"/>
                <w:bCs/>
                <w:color w:val="000000" w:themeColor="text1"/>
                <w:kern w:val="0"/>
                <w:sz w:val="24"/>
                <w:szCs w:val="24"/>
                <w14:textFill>
                  <w14:solidFill>
                    <w14:schemeClr w14:val="tx1"/>
                  </w14:solidFill>
                </w14:textFill>
              </w:rPr>
              <w:t>①严格控制施工时间，合理安排施工计划，避开夜间、昼间午休时间施工，以免产生扰民现象。</w:t>
            </w:r>
          </w:p>
          <w:p w14:paraId="7EE6CC8F">
            <w:pPr>
              <w:adjustRightInd w:val="0"/>
              <w:snapToGrid w:val="0"/>
              <w:spacing w:line="360" w:lineRule="auto"/>
              <w:ind w:firstLine="480" w:firstLineChars="200"/>
              <w:jc w:val="both"/>
              <w:rPr>
                <w:rFonts w:hint="default" w:ascii="Times New Roman" w:hAnsi="Times New Roman" w:cs="Times New Roman"/>
                <w:bCs/>
                <w:color w:val="000000" w:themeColor="text1"/>
                <w:kern w:val="0"/>
                <w:sz w:val="24"/>
                <w:szCs w:val="24"/>
                <w14:textFill>
                  <w14:solidFill>
                    <w14:schemeClr w14:val="tx1"/>
                  </w14:solidFill>
                </w14:textFill>
              </w:rPr>
            </w:pPr>
            <w:r>
              <w:rPr>
                <w:rFonts w:hint="default" w:ascii="Times New Roman" w:hAnsi="Times New Roman" w:cs="Times New Roman"/>
                <w:bCs/>
                <w:color w:val="000000" w:themeColor="text1"/>
                <w:kern w:val="0"/>
                <w:sz w:val="24"/>
                <w:szCs w:val="24"/>
                <w14:textFill>
                  <w14:solidFill>
                    <w14:schemeClr w14:val="tx1"/>
                  </w14:solidFill>
                </w14:textFill>
              </w:rPr>
              <w:t>②要求施工单位进行文明施工，减轻施工期间施工人员产生</w:t>
            </w:r>
            <w:r>
              <w:rPr>
                <w:rFonts w:hint="default" w:ascii="Times New Roman" w:hAnsi="Times New Roman" w:cs="Times New Roman"/>
                <w:bCs/>
                <w:color w:val="000000" w:themeColor="text1"/>
                <w:kern w:val="0"/>
                <w:sz w:val="24"/>
                <w:szCs w:val="24"/>
                <w:lang w:eastAsia="zh-CN"/>
                <w14:textFill>
                  <w14:solidFill>
                    <w14:schemeClr w14:val="tx1"/>
                  </w14:solidFill>
                </w14:textFill>
              </w:rPr>
              <w:t>的</w:t>
            </w:r>
            <w:r>
              <w:rPr>
                <w:rFonts w:hint="default" w:ascii="Times New Roman" w:hAnsi="Times New Roman" w:cs="Times New Roman"/>
                <w:bCs/>
                <w:color w:val="000000" w:themeColor="text1"/>
                <w:kern w:val="0"/>
                <w:sz w:val="24"/>
                <w:szCs w:val="24"/>
                <w14:textFill>
                  <w14:solidFill>
                    <w14:schemeClr w14:val="tx1"/>
                  </w14:solidFill>
                </w14:textFill>
              </w:rPr>
              <w:t>噪声对环境的影响。</w:t>
            </w:r>
          </w:p>
          <w:p w14:paraId="71158EB3">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both"/>
              <w:textAlignment w:val="auto"/>
              <w:rPr>
                <w:rFonts w:hint="default" w:ascii="Times New Roman" w:hAnsi="Times New Roman" w:eastAsia="宋体" w:cs="Times New Roman"/>
                <w:bCs/>
                <w:color w:val="000000" w:themeColor="text1"/>
                <w:kern w:val="0"/>
                <w:sz w:val="24"/>
                <w:szCs w:val="24"/>
                <w:lang w:eastAsia="zh-CN"/>
                <w14:textFill>
                  <w14:solidFill>
                    <w14:schemeClr w14:val="tx1"/>
                  </w14:solidFill>
                </w14:textFill>
              </w:rPr>
            </w:pPr>
            <w:r>
              <w:rPr>
                <w:rFonts w:hint="default" w:ascii="Times New Roman" w:hAnsi="Times New Roman" w:cs="Times New Roman"/>
                <w:bCs/>
                <w:color w:val="000000" w:themeColor="text1"/>
                <w:kern w:val="0"/>
                <w:sz w:val="24"/>
                <w:szCs w:val="24"/>
                <w:lang w:eastAsia="zh-CN"/>
                <w14:textFill>
                  <w14:solidFill>
                    <w14:schemeClr w14:val="tx1"/>
                  </w14:solidFill>
                </w14:textFill>
              </w:rPr>
              <w:t>（</w:t>
            </w:r>
            <w:r>
              <w:rPr>
                <w:rFonts w:hint="default" w:ascii="Times New Roman" w:hAnsi="Times New Roman" w:cs="Times New Roman"/>
                <w:bCs/>
                <w:color w:val="000000" w:themeColor="text1"/>
                <w:kern w:val="0"/>
                <w:sz w:val="24"/>
                <w:szCs w:val="24"/>
                <w:lang w:val="en-US" w:eastAsia="zh-CN"/>
                <w14:textFill>
                  <w14:solidFill>
                    <w14:schemeClr w14:val="tx1"/>
                  </w14:solidFill>
                </w14:textFill>
              </w:rPr>
              <w:t>3</w:t>
            </w:r>
            <w:r>
              <w:rPr>
                <w:rFonts w:hint="default" w:ascii="Times New Roman" w:hAnsi="Times New Roman" w:cs="Times New Roman"/>
                <w:bCs/>
                <w:color w:val="000000" w:themeColor="text1"/>
                <w:kern w:val="0"/>
                <w:sz w:val="24"/>
                <w:szCs w:val="24"/>
                <w:lang w:eastAsia="zh-CN"/>
                <w14:textFill>
                  <w14:solidFill>
                    <w14:schemeClr w14:val="tx1"/>
                  </w14:solidFill>
                </w14:textFill>
              </w:rPr>
              <w:t>）本项目施工期较短，工程量较小。施工过程中人员产生的生活污水</w:t>
            </w:r>
            <w:r>
              <w:rPr>
                <w:rFonts w:hint="default" w:ascii="Times New Roman" w:hAnsi="Times New Roman" w:cs="Times New Roman"/>
                <w:bCs/>
                <w:color w:val="000000" w:themeColor="text1"/>
                <w:kern w:val="0"/>
                <w:sz w:val="24"/>
                <w:szCs w:val="24"/>
                <w:lang w:val="en-US" w:eastAsia="zh-CN"/>
                <w14:textFill>
                  <w14:solidFill>
                    <w14:schemeClr w14:val="tx1"/>
                  </w14:solidFill>
                </w14:textFill>
              </w:rPr>
              <w:t>依托园区公用化粪池</w:t>
            </w:r>
            <w:r>
              <w:rPr>
                <w:rFonts w:hint="default" w:ascii="Times New Roman" w:hAnsi="Times New Roman" w:cs="Times New Roman"/>
                <w:bCs/>
                <w:color w:val="000000" w:themeColor="text1"/>
                <w:kern w:val="0"/>
                <w:sz w:val="24"/>
                <w:szCs w:val="24"/>
                <w:lang w:eastAsia="zh-CN"/>
                <w14:textFill>
                  <w14:solidFill>
                    <w14:schemeClr w14:val="tx1"/>
                  </w14:solidFill>
                </w14:textFill>
              </w:rPr>
              <w:t>。</w:t>
            </w:r>
          </w:p>
          <w:p w14:paraId="41D0E822">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both"/>
              <w:textAlignment w:val="auto"/>
              <w:rPr>
                <w:rFonts w:hint="default" w:ascii="Times New Roman" w:hAnsi="Times New Roman" w:eastAsia="宋体" w:cs="Times New Roman"/>
                <w:bCs/>
                <w:color w:val="000000" w:themeColor="text1"/>
                <w:kern w:val="0"/>
                <w:sz w:val="24"/>
                <w:szCs w:val="24"/>
                <w:lang w:val="en-US" w:eastAsia="zh-CN"/>
                <w14:textFill>
                  <w14:solidFill>
                    <w14:schemeClr w14:val="tx1"/>
                  </w14:solidFill>
                </w14:textFill>
              </w:rPr>
            </w:pPr>
            <w:r>
              <w:rPr>
                <w:rFonts w:hint="default" w:ascii="Times New Roman" w:hAnsi="Times New Roman" w:cs="Times New Roman"/>
                <w:bCs/>
                <w:color w:val="000000" w:themeColor="text1"/>
                <w:kern w:val="0"/>
                <w:sz w:val="24"/>
                <w:szCs w:val="24"/>
                <w:lang w:eastAsia="zh-CN"/>
                <w14:textFill>
                  <w14:solidFill>
                    <w14:schemeClr w14:val="tx1"/>
                  </w14:solidFill>
                </w14:textFill>
              </w:rPr>
              <w:t>（</w:t>
            </w:r>
            <w:r>
              <w:rPr>
                <w:rFonts w:hint="default" w:ascii="Times New Roman" w:hAnsi="Times New Roman" w:cs="Times New Roman"/>
                <w:bCs/>
                <w:color w:val="000000" w:themeColor="text1"/>
                <w:kern w:val="0"/>
                <w:sz w:val="24"/>
                <w:szCs w:val="24"/>
                <w:lang w:val="en-US" w:eastAsia="zh-CN"/>
                <w14:textFill>
                  <w14:solidFill>
                    <w14:schemeClr w14:val="tx1"/>
                  </w14:solidFill>
                </w14:textFill>
              </w:rPr>
              <w:t>4</w:t>
            </w:r>
            <w:r>
              <w:rPr>
                <w:rFonts w:hint="default" w:ascii="Times New Roman" w:hAnsi="Times New Roman" w:cs="Times New Roman"/>
                <w:bCs/>
                <w:color w:val="000000" w:themeColor="text1"/>
                <w:kern w:val="0"/>
                <w:sz w:val="24"/>
                <w:szCs w:val="24"/>
                <w:lang w:eastAsia="zh-CN"/>
                <w14:textFill>
                  <w14:solidFill>
                    <w14:schemeClr w14:val="tx1"/>
                  </w14:solidFill>
                </w14:textFill>
              </w:rPr>
              <w:t>）施工过程中产生的固体废物主要为</w:t>
            </w:r>
            <w:r>
              <w:rPr>
                <w:rFonts w:hint="eastAsia" w:cs="Times New Roman"/>
                <w:bCs/>
                <w:color w:val="000000" w:themeColor="text1"/>
                <w:kern w:val="0"/>
                <w:sz w:val="24"/>
                <w:szCs w:val="24"/>
                <w:lang w:val="en-US" w:eastAsia="zh-CN"/>
                <w14:textFill>
                  <w14:solidFill>
                    <w14:schemeClr w14:val="tx1"/>
                  </w14:solidFill>
                </w14:textFill>
              </w:rPr>
              <w:t>建筑垃圾、</w:t>
            </w:r>
            <w:r>
              <w:rPr>
                <w:rFonts w:hint="default" w:ascii="Times New Roman" w:hAnsi="Times New Roman" w:cs="Times New Roman"/>
                <w:bCs/>
                <w:color w:val="000000" w:themeColor="text1"/>
                <w:kern w:val="0"/>
                <w:sz w:val="24"/>
                <w:szCs w:val="24"/>
                <w:lang w:eastAsia="zh-CN"/>
                <w14:textFill>
                  <w14:solidFill>
                    <w14:schemeClr w14:val="tx1"/>
                  </w14:solidFill>
                </w14:textFill>
              </w:rPr>
              <w:t>施工材料的废外包装及施工人员的生活垃圾，</w:t>
            </w:r>
            <w:r>
              <w:rPr>
                <w:rFonts w:hint="eastAsia" w:cs="Times New Roman"/>
                <w:bCs/>
                <w:color w:val="000000" w:themeColor="text1"/>
                <w:kern w:val="0"/>
                <w:sz w:val="24"/>
                <w:szCs w:val="24"/>
                <w:lang w:val="en-US" w:eastAsia="zh-CN"/>
                <w14:textFill>
                  <w14:solidFill>
                    <w14:schemeClr w14:val="tx1"/>
                  </w14:solidFill>
                </w14:textFill>
              </w:rPr>
              <w:t>生活垃圾</w:t>
            </w:r>
            <w:r>
              <w:rPr>
                <w:rFonts w:hint="default" w:ascii="Times New Roman" w:hAnsi="Times New Roman" w:cs="Times New Roman"/>
                <w:bCs/>
                <w:color w:val="000000" w:themeColor="text1"/>
                <w:kern w:val="0"/>
                <w:sz w:val="24"/>
                <w:szCs w:val="24"/>
                <w:lang w:eastAsia="zh-CN"/>
                <w14:textFill>
                  <w14:solidFill>
                    <w14:schemeClr w14:val="tx1"/>
                  </w14:solidFill>
                </w14:textFill>
              </w:rPr>
              <w:t>依托</w:t>
            </w:r>
            <w:r>
              <w:rPr>
                <w:rFonts w:hint="default" w:ascii="Times New Roman" w:hAnsi="Times New Roman" w:cs="Times New Roman"/>
                <w:bCs/>
                <w:color w:val="000000" w:themeColor="text1"/>
                <w:kern w:val="0"/>
                <w:sz w:val="24"/>
                <w:szCs w:val="24"/>
                <w:lang w:val="en-US" w:eastAsia="zh-CN"/>
                <w14:textFill>
                  <w14:solidFill>
                    <w14:schemeClr w14:val="tx1"/>
                  </w14:solidFill>
                </w14:textFill>
              </w:rPr>
              <w:t>园区</w:t>
            </w:r>
            <w:r>
              <w:rPr>
                <w:rFonts w:hint="default" w:ascii="Times New Roman" w:hAnsi="Times New Roman" w:cs="Times New Roman"/>
                <w:bCs/>
                <w:color w:val="000000" w:themeColor="text1"/>
                <w:kern w:val="0"/>
                <w:sz w:val="24"/>
                <w:szCs w:val="24"/>
                <w:lang w:eastAsia="zh-CN"/>
                <w14:textFill>
                  <w14:solidFill>
                    <w14:schemeClr w14:val="tx1"/>
                  </w14:solidFill>
                </w14:textFill>
              </w:rPr>
              <w:t>生活垃圾桶对生活垃圾进行收集，定期交由环卫部门清运处置；废外包装经收集后外售至物资回收公司综合利用</w:t>
            </w:r>
            <w:r>
              <w:rPr>
                <w:rFonts w:hint="eastAsia" w:cs="Times New Roman"/>
                <w:bCs/>
                <w:color w:val="000000" w:themeColor="text1"/>
                <w:kern w:val="0"/>
                <w:sz w:val="24"/>
                <w:szCs w:val="24"/>
                <w:lang w:eastAsia="zh-CN"/>
                <w14:textFill>
                  <w14:solidFill>
                    <w14:schemeClr w14:val="tx1"/>
                  </w14:solidFill>
                </w14:textFill>
              </w:rPr>
              <w:t>，</w:t>
            </w:r>
            <w:r>
              <w:rPr>
                <w:rFonts w:hint="eastAsia" w:cs="Times New Roman"/>
                <w:bCs/>
                <w:color w:val="000000" w:themeColor="text1"/>
                <w:kern w:val="0"/>
                <w:sz w:val="24"/>
                <w:szCs w:val="24"/>
                <w:lang w:val="en-US" w:eastAsia="zh-CN"/>
                <w14:textFill>
                  <w14:solidFill>
                    <w14:schemeClr w14:val="tx1"/>
                  </w14:solidFill>
                </w14:textFill>
              </w:rPr>
              <w:t>建筑垃圾</w:t>
            </w:r>
            <w:r>
              <w:rPr>
                <w:rFonts w:hint="default" w:ascii="Times New Roman" w:hAnsi="Times New Roman" w:eastAsia="宋体" w:cs="Times New Roman"/>
                <w:color w:val="000000" w:themeColor="text1"/>
                <w:sz w:val="24"/>
                <w:szCs w:val="28"/>
                <w:highlight w:val="none"/>
                <w:lang w:val="en-US" w:eastAsia="zh-CN"/>
                <w14:textFill>
                  <w14:solidFill>
                    <w14:schemeClr w14:val="tx1"/>
                  </w14:solidFill>
                </w14:textFill>
              </w:rPr>
              <w:t>分类处理，建筑垃圾集中收集后尽量回收利用，不能回收利用的运至指定地点处置。</w:t>
            </w:r>
          </w:p>
          <w:p w14:paraId="24B949F0">
            <w:pPr>
              <w:widowControl/>
              <w:autoSpaceDN w:val="0"/>
              <w:snapToGrid w:val="0"/>
              <w:spacing w:line="360" w:lineRule="auto"/>
              <w:ind w:firstLine="480" w:firstLineChars="200"/>
              <w:jc w:val="both"/>
              <w:rPr>
                <w:rFonts w:hint="default" w:ascii="Times New Roman" w:hAnsi="Times New Roman" w:eastAsia="黑体" w:cs="Times New Roman"/>
                <w:snapToGrid w:val="0"/>
                <w:color w:val="000000" w:themeColor="text1"/>
                <w:sz w:val="24"/>
                <w:szCs w:val="24"/>
                <w:vertAlign w:val="baseline"/>
                <w14:textFill>
                  <w14:solidFill>
                    <w14:schemeClr w14:val="tx1"/>
                  </w14:solidFill>
                </w14:textFill>
              </w:rPr>
            </w:pPr>
            <w:r>
              <w:rPr>
                <w:rFonts w:hint="default" w:ascii="Times New Roman" w:hAnsi="Times New Roman" w:cs="Times New Roman"/>
                <w:bCs/>
                <w:color w:val="000000" w:themeColor="text1"/>
                <w:kern w:val="0"/>
                <w:sz w:val="24"/>
                <w:szCs w:val="24"/>
                <w:lang w:eastAsia="zh-CN"/>
                <w14:textFill>
                  <w14:solidFill>
                    <w14:schemeClr w14:val="tx1"/>
                  </w14:solidFill>
                </w14:textFill>
              </w:rPr>
              <w:t>经上述措施，</w:t>
            </w:r>
            <w:r>
              <w:rPr>
                <w:rFonts w:hint="default" w:ascii="Times New Roman" w:hAnsi="Times New Roman" w:cs="Times New Roman"/>
                <w:bCs/>
                <w:color w:val="000000" w:themeColor="text1"/>
                <w:kern w:val="0"/>
                <w:sz w:val="24"/>
                <w:szCs w:val="24"/>
                <w14:textFill>
                  <w14:solidFill>
                    <w14:schemeClr w14:val="tx1"/>
                  </w14:solidFill>
                </w14:textFill>
              </w:rPr>
              <w:t>本项目施工期较短，随着施工期的结束，施工期</w:t>
            </w:r>
            <w:r>
              <w:rPr>
                <w:rFonts w:hint="default" w:ascii="Times New Roman" w:hAnsi="Times New Roman" w:cs="Times New Roman"/>
                <w:bCs/>
                <w:color w:val="000000" w:themeColor="text1"/>
                <w:kern w:val="0"/>
                <w:sz w:val="24"/>
                <w:szCs w:val="24"/>
                <w:lang w:eastAsia="zh-CN"/>
                <w14:textFill>
                  <w14:solidFill>
                    <w14:schemeClr w14:val="tx1"/>
                  </w14:solidFill>
                </w14:textFill>
              </w:rPr>
              <w:t>的污染</w:t>
            </w:r>
            <w:r>
              <w:rPr>
                <w:rFonts w:hint="default" w:ascii="Times New Roman" w:hAnsi="Times New Roman" w:cs="Times New Roman"/>
                <w:bCs/>
                <w:color w:val="000000" w:themeColor="text1"/>
                <w:kern w:val="0"/>
                <w:sz w:val="24"/>
                <w:szCs w:val="24"/>
                <w:lang w:val="en-US" w:eastAsia="zh-CN"/>
                <w14:textFill>
                  <w14:solidFill>
                    <w14:schemeClr w14:val="tx1"/>
                  </w14:solidFill>
                </w14:textFill>
              </w:rPr>
              <w:t>也</w:t>
            </w:r>
            <w:r>
              <w:rPr>
                <w:rFonts w:hint="default" w:ascii="Times New Roman" w:hAnsi="Times New Roman" w:cs="Times New Roman"/>
                <w:bCs/>
                <w:color w:val="000000" w:themeColor="text1"/>
                <w:kern w:val="0"/>
                <w:sz w:val="24"/>
                <w:szCs w:val="24"/>
                <w14:textFill>
                  <w14:solidFill>
                    <w14:schemeClr w14:val="tx1"/>
                  </w14:solidFill>
                </w14:textFill>
              </w:rPr>
              <w:t>随之结束，对周围环境影响较小。</w:t>
            </w:r>
          </w:p>
        </w:tc>
      </w:tr>
    </w:tbl>
    <w:p w14:paraId="5A953D28">
      <w:pPr>
        <w:pStyle w:val="31"/>
        <w:numPr>
          <w:ilvl w:val="0"/>
          <w:numId w:val="0"/>
        </w:numPr>
        <w:jc w:val="both"/>
        <w:outlineLvl w:val="0"/>
        <w:rPr>
          <w:rFonts w:hint="default" w:ascii="Times New Roman" w:hAnsi="Times New Roman" w:eastAsia="黑体" w:cs="Times New Roman"/>
          <w:snapToGrid w:val="0"/>
          <w:color w:val="000000" w:themeColor="text1"/>
          <w:sz w:val="30"/>
          <w:szCs w:val="30"/>
          <w14:textFill>
            <w14:solidFill>
              <w14:schemeClr w14:val="tx1"/>
            </w14:solidFill>
          </w14:textFill>
        </w:rPr>
        <w:sectPr>
          <w:pgSz w:w="11907" w:h="16840"/>
          <w:pgMar w:top="1701" w:right="1531" w:bottom="2127" w:left="1531" w:header="851" w:footer="851" w:gutter="0"/>
          <w:pgBorders>
            <w:top w:val="none" w:sz="0" w:space="0"/>
            <w:left w:val="none" w:sz="0" w:space="0"/>
            <w:bottom w:val="none" w:sz="0" w:space="0"/>
            <w:right w:val="none" w:sz="0" w:space="0"/>
          </w:pgBorders>
          <w:cols w:space="720" w:num="1"/>
          <w:docGrid w:linePitch="312" w:charSpace="0"/>
        </w:sectPr>
      </w:pPr>
    </w:p>
    <w:tbl>
      <w:tblPr>
        <w:tblStyle w:val="37"/>
        <w:tblW w:w="132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12783"/>
      </w:tblGrid>
      <w:tr w14:paraId="7C439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4" w:hRule="atLeast"/>
        </w:trPr>
        <w:tc>
          <w:tcPr>
            <w:tcW w:w="433" w:type="dxa"/>
            <w:vAlign w:val="center"/>
          </w:tcPr>
          <w:p w14:paraId="0B933130">
            <w:pPr>
              <w:adjustRightInd w:val="0"/>
              <w:snapToGrid w:val="0"/>
              <w:jc w:val="center"/>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运营</w:t>
            </w:r>
          </w:p>
          <w:p w14:paraId="1B6F3EC3">
            <w:pPr>
              <w:adjustRightInd w:val="0"/>
              <w:snapToGrid w:val="0"/>
              <w:jc w:val="center"/>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期环</w:t>
            </w:r>
          </w:p>
          <w:p w14:paraId="0C9E3553">
            <w:pPr>
              <w:adjustRightInd w:val="0"/>
              <w:snapToGrid w:val="0"/>
              <w:jc w:val="center"/>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境影</w:t>
            </w:r>
          </w:p>
          <w:p w14:paraId="25522B54">
            <w:pPr>
              <w:adjustRightInd w:val="0"/>
              <w:snapToGrid w:val="0"/>
              <w:jc w:val="center"/>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响和</w:t>
            </w:r>
          </w:p>
          <w:p w14:paraId="188FEB7D">
            <w:pPr>
              <w:adjustRightInd w:val="0"/>
              <w:snapToGrid w:val="0"/>
              <w:jc w:val="center"/>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保护</w:t>
            </w:r>
          </w:p>
          <w:p w14:paraId="6C9B56E8">
            <w:pPr>
              <w:pStyle w:val="31"/>
              <w:adjustRightInd w:val="0"/>
              <w:snapToGrid w:val="0"/>
              <w:spacing w:before="0" w:beforeAutospacing="0" w:after="0" w:afterAutospacing="0"/>
              <w:jc w:val="center"/>
              <w:rPr>
                <w:rFonts w:hint="default" w:ascii="Times New Roman" w:hAnsi="Times New Roman" w:eastAsia="黑体" w:cs="Times New Roman"/>
                <w:snapToGrid w:val="0"/>
                <w:color w:val="000000" w:themeColor="text1"/>
                <w:sz w:val="24"/>
                <w:szCs w:val="24"/>
                <w:vertAlign w:val="baseline"/>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措施</w:t>
            </w:r>
          </w:p>
        </w:tc>
        <w:tc>
          <w:tcPr>
            <w:tcW w:w="12806" w:type="dxa"/>
            <w:vAlign w:val="top"/>
          </w:tcPr>
          <w:p w14:paraId="07154F54">
            <w:pPr>
              <w:keepNext/>
              <w:keepLines/>
              <w:widowControl/>
              <w:adjustRightInd w:val="0"/>
              <w:snapToGrid w:val="0"/>
              <w:spacing w:line="360" w:lineRule="auto"/>
              <w:jc w:val="left"/>
              <w:outlineLvl w:val="1"/>
              <w:rPr>
                <w:rFonts w:hint="default" w:ascii="Times New Roman" w:hAnsi="Times New Roman" w:eastAsia="黑体" w:cs="Times New Roman"/>
                <w:bCs/>
                <w:color w:val="000000" w:themeColor="text1"/>
                <w:sz w:val="24"/>
                <w:szCs w:val="28"/>
                <w14:textFill>
                  <w14:solidFill>
                    <w14:schemeClr w14:val="tx1"/>
                  </w14:solidFill>
                </w14:textFill>
              </w:rPr>
            </w:pPr>
            <w:r>
              <w:rPr>
                <w:rFonts w:hint="default" w:ascii="Times New Roman" w:hAnsi="Times New Roman" w:eastAsia="黑体" w:cs="Times New Roman"/>
                <w:bCs/>
                <w:color w:val="000000" w:themeColor="text1"/>
                <w:sz w:val="24"/>
                <w:szCs w:val="28"/>
                <w14:textFill>
                  <w14:solidFill>
                    <w14:schemeClr w14:val="tx1"/>
                  </w14:solidFill>
                </w14:textFill>
              </w:rPr>
              <w:t>一、运营期大气环境影响和保护措施</w:t>
            </w:r>
          </w:p>
          <w:p w14:paraId="02AA3015">
            <w:pPr>
              <w:keepNext/>
              <w:keepLines/>
              <w:widowControl/>
              <w:adjustRightInd w:val="0"/>
              <w:snapToGrid w:val="0"/>
              <w:spacing w:line="360" w:lineRule="auto"/>
              <w:jc w:val="left"/>
              <w:outlineLvl w:val="1"/>
              <w:rPr>
                <w:rFonts w:hint="default" w:ascii="Times New Roman" w:hAnsi="Times New Roman" w:eastAsia="黑体" w:cs="Times New Roman"/>
                <w:bCs/>
                <w:color w:val="000000" w:themeColor="text1"/>
                <w:sz w:val="24"/>
                <w:szCs w:val="28"/>
                <w14:textFill>
                  <w14:solidFill>
                    <w14:schemeClr w14:val="tx1"/>
                  </w14:solidFill>
                </w14:textFill>
              </w:rPr>
            </w:pPr>
            <w:r>
              <w:rPr>
                <w:rFonts w:hint="default" w:ascii="Times New Roman" w:hAnsi="Times New Roman" w:eastAsia="黑体" w:cs="Times New Roman"/>
                <w:bCs/>
                <w:color w:val="000000" w:themeColor="text1"/>
                <w:sz w:val="24"/>
                <w:szCs w:val="28"/>
                <w14:textFill>
                  <w14:solidFill>
                    <w14:schemeClr w14:val="tx1"/>
                  </w14:solidFill>
                </w14:textFill>
              </w:rPr>
              <w:t>1</w:t>
            </w:r>
            <w:r>
              <w:rPr>
                <w:rFonts w:hint="default" w:ascii="Times New Roman" w:hAnsi="Times New Roman" w:eastAsia="黑体" w:cs="Times New Roman"/>
                <w:bCs/>
                <w:color w:val="000000" w:themeColor="text1"/>
                <w:sz w:val="24"/>
                <w:szCs w:val="28"/>
                <w:lang w:eastAsia="zh-CN"/>
                <w14:textFill>
                  <w14:solidFill>
                    <w14:schemeClr w14:val="tx1"/>
                  </w14:solidFill>
                </w14:textFill>
              </w:rPr>
              <w:t>.</w:t>
            </w:r>
            <w:r>
              <w:rPr>
                <w:rFonts w:hint="default" w:ascii="Times New Roman" w:hAnsi="Times New Roman" w:eastAsia="黑体" w:cs="Times New Roman"/>
                <w:bCs/>
                <w:color w:val="000000" w:themeColor="text1"/>
                <w:sz w:val="24"/>
                <w:szCs w:val="28"/>
                <w14:textFill>
                  <w14:solidFill>
                    <w14:schemeClr w14:val="tx1"/>
                  </w14:solidFill>
                </w14:textFill>
              </w:rPr>
              <w:t>大气环境污染工序、源强分析及影响分析</w:t>
            </w:r>
          </w:p>
          <w:p w14:paraId="466F0DC0">
            <w:pPr>
              <w:spacing w:line="360" w:lineRule="auto"/>
              <w:ind w:firstLine="480" w:firstLineChars="200"/>
              <w:jc w:val="left"/>
              <w:rPr>
                <w:rFonts w:hint="default" w:ascii="Times New Roman" w:hAnsi="Times New Roman" w:cs="Times New Roman"/>
                <w:color w:val="000000" w:themeColor="text1"/>
                <w:kern w:val="0"/>
                <w:sz w:val="24"/>
                <w14:textFill>
                  <w14:solidFill>
                    <w14:schemeClr w14:val="tx1"/>
                  </w14:solidFill>
                </w14:textFill>
              </w:rPr>
            </w:pPr>
            <w:r>
              <w:rPr>
                <w:rFonts w:hint="default" w:ascii="Times New Roman" w:hAnsi="Times New Roman" w:cs="Times New Roman"/>
                <w:color w:val="000000" w:themeColor="text1"/>
                <w:kern w:val="0"/>
                <w:sz w:val="24"/>
                <w14:textFill>
                  <w14:solidFill>
                    <w14:schemeClr w14:val="tx1"/>
                  </w14:solidFill>
                </w14:textFill>
              </w:rPr>
              <w:t>（1）废气产排情况</w:t>
            </w:r>
          </w:p>
          <w:p w14:paraId="3AF23F36">
            <w:pPr>
              <w:spacing w:line="360" w:lineRule="auto"/>
              <w:ind w:firstLine="480" w:firstLineChars="200"/>
              <w:jc w:val="left"/>
              <w:rPr>
                <w:rFonts w:hint="default" w:ascii="Times New Roman" w:hAnsi="Times New Roman" w:cs="Times New Roman"/>
                <w:color w:val="000000" w:themeColor="text1"/>
                <w:kern w:val="0"/>
                <w:sz w:val="24"/>
                <w14:textFill>
                  <w14:solidFill>
                    <w14:schemeClr w14:val="tx1"/>
                  </w14:solidFill>
                </w14:textFill>
              </w:rPr>
            </w:pPr>
            <w:r>
              <w:rPr>
                <w:rFonts w:hint="default" w:ascii="Times New Roman" w:hAnsi="Times New Roman" w:cs="Times New Roman"/>
                <w:color w:val="000000" w:themeColor="text1"/>
                <w:kern w:val="0"/>
                <w:sz w:val="24"/>
                <w14:textFill>
                  <w14:solidFill>
                    <w14:schemeClr w14:val="tx1"/>
                  </w14:solidFill>
                </w14:textFill>
              </w:rPr>
              <w:t>本项目</w:t>
            </w:r>
            <w:r>
              <w:rPr>
                <w:rFonts w:hint="default" w:ascii="Times New Roman" w:hAnsi="Times New Roman" w:cs="Times New Roman"/>
                <w:color w:val="000000" w:themeColor="text1"/>
                <w:kern w:val="0"/>
                <w:sz w:val="24"/>
                <w:lang w:val="en-US" w:eastAsia="zh-CN"/>
                <w14:textFill>
                  <w14:solidFill>
                    <w14:schemeClr w14:val="tx1"/>
                  </w14:solidFill>
                </w14:textFill>
              </w:rPr>
              <w:t>废气产生环节主要为</w:t>
            </w:r>
            <w:r>
              <w:rPr>
                <w:rFonts w:hint="eastAsia" w:cs="Times New Roman"/>
                <w:color w:val="000000" w:themeColor="text1"/>
                <w:kern w:val="0"/>
                <w:sz w:val="24"/>
                <w:lang w:val="en-US" w:eastAsia="zh-CN"/>
                <w14:textFill>
                  <w14:solidFill>
                    <w14:schemeClr w14:val="tx1"/>
                  </w14:solidFill>
                </w14:textFill>
              </w:rPr>
              <w:t>进料粉尘、造粒粉尘及烧结、烘干、固化过程中产生的非甲烷总烃和焊接过程产生的锡及其化合物</w:t>
            </w:r>
            <w:r>
              <w:rPr>
                <w:rFonts w:hint="default" w:ascii="Times New Roman" w:hAnsi="Times New Roman" w:cs="Times New Roman"/>
                <w:color w:val="000000" w:themeColor="text1"/>
                <w:kern w:val="0"/>
                <w:sz w:val="24"/>
                <w14:textFill>
                  <w14:solidFill>
                    <w14:schemeClr w14:val="tx1"/>
                  </w14:solidFill>
                </w14:textFill>
              </w:rPr>
              <w:t>。</w:t>
            </w:r>
          </w:p>
          <w:p w14:paraId="2FE3B104">
            <w:pPr>
              <w:spacing w:line="360" w:lineRule="auto"/>
              <w:jc w:val="center"/>
              <w:rPr>
                <w:rFonts w:hint="default" w:ascii="Times New Roman" w:hAnsi="Times New Roman" w:cs="Times New Roman"/>
                <w:b/>
                <w:color w:val="000000" w:themeColor="text1"/>
                <w:sz w:val="24"/>
                <w14:textFill>
                  <w14:solidFill>
                    <w14:schemeClr w14:val="tx1"/>
                  </w14:solidFill>
                </w14:textFill>
              </w:rPr>
            </w:pPr>
            <w:r>
              <w:rPr>
                <w:rFonts w:hint="default" w:ascii="Times New Roman" w:hAnsi="Times New Roman" w:cs="Times New Roman"/>
                <w:b/>
                <w:color w:val="000000" w:themeColor="text1"/>
                <w:sz w:val="24"/>
                <w14:textFill>
                  <w14:solidFill>
                    <w14:schemeClr w14:val="tx1"/>
                  </w14:solidFill>
                </w14:textFill>
              </w:rPr>
              <w:t>表4-1 项目废气产排情况一览表</w:t>
            </w:r>
          </w:p>
          <w:tbl>
            <w:tblPr>
              <w:tblStyle w:val="36"/>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67"/>
              <w:gridCol w:w="1658"/>
              <w:gridCol w:w="840"/>
              <w:gridCol w:w="756"/>
              <w:gridCol w:w="899"/>
              <w:gridCol w:w="606"/>
              <w:gridCol w:w="840"/>
              <w:gridCol w:w="816"/>
              <w:gridCol w:w="840"/>
              <w:gridCol w:w="756"/>
              <w:gridCol w:w="840"/>
              <w:gridCol w:w="816"/>
              <w:gridCol w:w="899"/>
              <w:gridCol w:w="1004"/>
            </w:tblGrid>
            <w:tr w14:paraId="278E3F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gridSpan w:val="2"/>
                  <w:tcBorders>
                    <w:tl2br w:val="nil"/>
                    <w:tr2bl w:val="nil"/>
                  </w:tcBorders>
                  <w:noWrap w:val="0"/>
                  <w:vAlign w:val="center"/>
                </w:tcPr>
                <w:p w14:paraId="1BC45B5C">
                  <w:pPr>
                    <w:pStyle w:val="18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产污环节</w:t>
                  </w:r>
                </w:p>
              </w:tc>
              <w:tc>
                <w:tcPr>
                  <w:tcW w:w="0" w:type="auto"/>
                  <w:gridSpan w:val="2"/>
                  <w:tcBorders>
                    <w:tl2br w:val="nil"/>
                    <w:tr2bl w:val="nil"/>
                  </w:tcBorders>
                  <w:noWrap w:val="0"/>
                  <w:vAlign w:val="center"/>
                </w:tcPr>
                <w:p w14:paraId="7A51CBC6">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进料粉尘</w:t>
                  </w:r>
                </w:p>
              </w:tc>
              <w:tc>
                <w:tcPr>
                  <w:tcW w:w="0" w:type="auto"/>
                  <w:gridSpan w:val="2"/>
                  <w:tcBorders>
                    <w:right w:val="single" w:color="000000" w:sz="12" w:space="0"/>
                    <w:tl2br w:val="nil"/>
                    <w:tr2bl w:val="nil"/>
                  </w:tcBorders>
                  <w:noWrap w:val="0"/>
                  <w:vAlign w:val="center"/>
                </w:tcPr>
                <w:p w14:paraId="0E15A6F3">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造粒废气</w:t>
                  </w:r>
                </w:p>
              </w:tc>
              <w:tc>
                <w:tcPr>
                  <w:tcW w:w="0" w:type="auto"/>
                  <w:gridSpan w:val="2"/>
                  <w:tcBorders>
                    <w:left w:val="single" w:color="000000" w:sz="12" w:space="0"/>
                    <w:right w:val="single" w:color="000000" w:sz="12" w:space="0"/>
                    <w:tl2br w:val="nil"/>
                    <w:tr2bl w:val="nil"/>
                  </w:tcBorders>
                  <w:noWrap w:val="0"/>
                  <w:vAlign w:val="center"/>
                </w:tcPr>
                <w:p w14:paraId="209AEB60">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烧结废气</w:t>
                  </w:r>
                </w:p>
              </w:tc>
              <w:tc>
                <w:tcPr>
                  <w:tcW w:w="0" w:type="auto"/>
                  <w:gridSpan w:val="2"/>
                  <w:tcBorders>
                    <w:left w:val="single" w:color="000000" w:sz="12" w:space="0"/>
                    <w:right w:val="single" w:color="000000" w:sz="12" w:space="0"/>
                    <w:tl2br w:val="nil"/>
                    <w:tr2bl w:val="nil"/>
                  </w:tcBorders>
                  <w:noWrap w:val="0"/>
                  <w:vAlign w:val="center"/>
                </w:tcPr>
                <w:p w14:paraId="4BDE3098">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烘干废气</w:t>
                  </w:r>
                </w:p>
              </w:tc>
              <w:tc>
                <w:tcPr>
                  <w:tcW w:w="0" w:type="auto"/>
                  <w:gridSpan w:val="2"/>
                  <w:tcBorders>
                    <w:left w:val="single" w:color="000000" w:sz="12" w:space="0"/>
                    <w:right w:val="single" w:color="000000" w:sz="12" w:space="0"/>
                    <w:tl2br w:val="nil"/>
                    <w:tr2bl w:val="nil"/>
                  </w:tcBorders>
                  <w:noWrap w:val="0"/>
                  <w:vAlign w:val="center"/>
                </w:tcPr>
                <w:p w14:paraId="4EFE9EF8">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固化废气</w:t>
                  </w:r>
                </w:p>
              </w:tc>
              <w:tc>
                <w:tcPr>
                  <w:tcW w:w="0" w:type="auto"/>
                  <w:gridSpan w:val="2"/>
                  <w:tcBorders>
                    <w:left w:val="single" w:color="000000" w:sz="12" w:space="0"/>
                    <w:tl2br w:val="nil"/>
                    <w:tr2bl w:val="nil"/>
                  </w:tcBorders>
                  <w:noWrap w:val="0"/>
                  <w:vAlign w:val="center"/>
                </w:tcPr>
                <w:p w14:paraId="556FBE4B">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焊接烟尘</w:t>
                  </w:r>
                </w:p>
              </w:tc>
            </w:tr>
            <w:tr w14:paraId="154294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gridSpan w:val="2"/>
                  <w:tcBorders>
                    <w:tl2br w:val="nil"/>
                    <w:tr2bl w:val="nil"/>
                  </w:tcBorders>
                  <w:noWrap w:val="0"/>
                  <w:vAlign w:val="center"/>
                </w:tcPr>
                <w:p w14:paraId="1854A8D3">
                  <w:pPr>
                    <w:pStyle w:val="18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污染物种类</w:t>
                  </w:r>
                </w:p>
              </w:tc>
              <w:tc>
                <w:tcPr>
                  <w:tcW w:w="0" w:type="auto"/>
                  <w:gridSpan w:val="2"/>
                  <w:tcBorders>
                    <w:tl2br w:val="nil"/>
                    <w:tr2bl w:val="nil"/>
                  </w:tcBorders>
                  <w:noWrap w:val="0"/>
                  <w:vAlign w:val="center"/>
                </w:tcPr>
                <w:p w14:paraId="2ECA4F11">
                  <w:pPr>
                    <w:pStyle w:val="183"/>
                    <w:rPr>
                      <w:rFonts w:hint="default" w:ascii="Times New Roman" w:hAnsi="Times New Roman" w:cs="Times New Roman"/>
                      <w:color w:val="000000" w:themeColor="text1"/>
                      <w14:textFill>
                        <w14:solidFill>
                          <w14:schemeClr w14:val="tx1"/>
                        </w14:solidFill>
                      </w14:textFill>
                    </w:rPr>
                  </w:pPr>
                  <w:r>
                    <w:rPr>
                      <w:rFonts w:hint="eastAsia" w:cs="Times New Roman"/>
                      <w:color w:val="000000" w:themeColor="text1"/>
                      <w:lang w:val="en-US" w:eastAsia="zh-CN"/>
                      <w14:textFill>
                        <w14:solidFill>
                          <w14:schemeClr w14:val="tx1"/>
                        </w14:solidFill>
                      </w14:textFill>
                    </w:rPr>
                    <w:t>颗粒物</w:t>
                  </w:r>
                </w:p>
              </w:tc>
              <w:tc>
                <w:tcPr>
                  <w:tcW w:w="0" w:type="auto"/>
                  <w:gridSpan w:val="2"/>
                  <w:tcBorders>
                    <w:right w:val="single" w:color="000000" w:sz="12" w:space="0"/>
                    <w:tl2br w:val="nil"/>
                    <w:tr2bl w:val="nil"/>
                  </w:tcBorders>
                  <w:noWrap w:val="0"/>
                  <w:vAlign w:val="center"/>
                </w:tcPr>
                <w:p w14:paraId="5FA666FC">
                  <w:pPr>
                    <w:pStyle w:val="183"/>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颗粒物</w:t>
                  </w:r>
                </w:p>
              </w:tc>
              <w:tc>
                <w:tcPr>
                  <w:tcW w:w="0" w:type="auto"/>
                  <w:gridSpan w:val="2"/>
                  <w:tcBorders>
                    <w:left w:val="single" w:color="000000" w:sz="12" w:space="0"/>
                    <w:right w:val="single" w:color="000000" w:sz="12" w:space="0"/>
                    <w:tl2br w:val="nil"/>
                    <w:tr2bl w:val="nil"/>
                  </w:tcBorders>
                  <w:noWrap w:val="0"/>
                  <w:vAlign w:val="center"/>
                </w:tcPr>
                <w:p w14:paraId="0E70E163">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非甲烷总烃</w:t>
                  </w:r>
                </w:p>
              </w:tc>
              <w:tc>
                <w:tcPr>
                  <w:tcW w:w="0" w:type="auto"/>
                  <w:gridSpan w:val="2"/>
                  <w:tcBorders>
                    <w:left w:val="single" w:color="000000" w:sz="12" w:space="0"/>
                    <w:right w:val="single" w:color="000000" w:sz="12" w:space="0"/>
                    <w:tl2br w:val="nil"/>
                    <w:tr2bl w:val="nil"/>
                  </w:tcBorders>
                  <w:noWrap w:val="0"/>
                  <w:vAlign w:val="center"/>
                </w:tcPr>
                <w:p w14:paraId="10EF4242">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非甲烷总烃</w:t>
                  </w:r>
                </w:p>
              </w:tc>
              <w:tc>
                <w:tcPr>
                  <w:tcW w:w="0" w:type="auto"/>
                  <w:gridSpan w:val="2"/>
                  <w:tcBorders>
                    <w:left w:val="single" w:color="000000" w:sz="12" w:space="0"/>
                    <w:right w:val="single" w:color="000000" w:sz="12" w:space="0"/>
                    <w:tl2br w:val="nil"/>
                    <w:tr2bl w:val="nil"/>
                  </w:tcBorders>
                  <w:noWrap w:val="0"/>
                  <w:vAlign w:val="center"/>
                </w:tcPr>
                <w:p w14:paraId="4C794881">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非甲烷总烃</w:t>
                  </w:r>
                </w:p>
              </w:tc>
              <w:tc>
                <w:tcPr>
                  <w:tcW w:w="0" w:type="auto"/>
                  <w:gridSpan w:val="2"/>
                  <w:tcBorders>
                    <w:left w:val="single" w:color="000000" w:sz="12" w:space="0"/>
                    <w:tl2br w:val="nil"/>
                    <w:tr2bl w:val="nil"/>
                  </w:tcBorders>
                  <w:noWrap w:val="0"/>
                  <w:vAlign w:val="center"/>
                </w:tcPr>
                <w:p w14:paraId="2DD6AE16">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锡及其化合物</w:t>
                  </w:r>
                </w:p>
              </w:tc>
            </w:tr>
            <w:tr w14:paraId="1807F4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gridSpan w:val="2"/>
                  <w:tcBorders>
                    <w:tl2br w:val="nil"/>
                    <w:tr2bl w:val="nil"/>
                  </w:tcBorders>
                  <w:noWrap w:val="0"/>
                  <w:vAlign w:val="center"/>
                </w:tcPr>
                <w:p w14:paraId="4BF3FC84">
                  <w:pPr>
                    <w:pStyle w:val="18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排放形式</w:t>
                  </w:r>
                </w:p>
              </w:tc>
              <w:tc>
                <w:tcPr>
                  <w:tcW w:w="0" w:type="auto"/>
                  <w:tcBorders>
                    <w:tl2br w:val="nil"/>
                    <w:tr2bl w:val="nil"/>
                  </w:tcBorders>
                  <w:noWrap w:val="0"/>
                  <w:vAlign w:val="center"/>
                </w:tcPr>
                <w:p w14:paraId="047CA64F">
                  <w:pPr>
                    <w:pStyle w:val="183"/>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有组织</w:t>
                  </w:r>
                </w:p>
              </w:tc>
              <w:tc>
                <w:tcPr>
                  <w:tcW w:w="0" w:type="auto"/>
                  <w:tcBorders>
                    <w:tl2br w:val="nil"/>
                    <w:tr2bl w:val="nil"/>
                  </w:tcBorders>
                  <w:noWrap w:val="0"/>
                  <w:vAlign w:val="center"/>
                </w:tcPr>
                <w:p w14:paraId="1D5C59B6">
                  <w:pPr>
                    <w:pStyle w:val="183"/>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无组织</w:t>
                  </w:r>
                </w:p>
              </w:tc>
              <w:tc>
                <w:tcPr>
                  <w:tcW w:w="0" w:type="auto"/>
                  <w:tcBorders>
                    <w:right w:val="single" w:color="000000" w:sz="12" w:space="0"/>
                    <w:tl2br w:val="nil"/>
                    <w:tr2bl w:val="nil"/>
                  </w:tcBorders>
                  <w:noWrap w:val="0"/>
                  <w:vAlign w:val="center"/>
                </w:tcPr>
                <w:p w14:paraId="1A4E403C">
                  <w:pPr>
                    <w:pStyle w:val="183"/>
                    <w:ind w:firstLine="0" w:firstLineChars="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有组织</w:t>
                  </w:r>
                </w:p>
              </w:tc>
              <w:tc>
                <w:tcPr>
                  <w:tcW w:w="0" w:type="auto"/>
                  <w:tcBorders>
                    <w:left w:val="single" w:color="000000" w:sz="12" w:space="0"/>
                    <w:right w:val="single" w:color="000000" w:sz="12" w:space="0"/>
                    <w:tl2br w:val="nil"/>
                    <w:tr2bl w:val="nil"/>
                  </w:tcBorders>
                  <w:noWrap w:val="0"/>
                  <w:vAlign w:val="center"/>
                </w:tcPr>
                <w:p w14:paraId="7AA19500">
                  <w:pPr>
                    <w:pStyle w:val="183"/>
                    <w:ind w:firstLine="0" w:firstLineChars="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无组织</w:t>
                  </w:r>
                </w:p>
              </w:tc>
              <w:tc>
                <w:tcPr>
                  <w:tcW w:w="0" w:type="auto"/>
                  <w:tcBorders>
                    <w:left w:val="single" w:color="000000" w:sz="12" w:space="0"/>
                    <w:right w:val="single" w:color="000000" w:sz="12" w:space="0"/>
                    <w:tl2br w:val="nil"/>
                    <w:tr2bl w:val="nil"/>
                  </w:tcBorders>
                  <w:shd w:val="clear" w:color="auto" w:fill="auto"/>
                  <w:noWrap w:val="0"/>
                  <w:vAlign w:val="center"/>
                </w:tcPr>
                <w:p w14:paraId="2E7EAA3F">
                  <w:pPr>
                    <w:pStyle w:val="183"/>
                    <w:ind w:firstLine="0" w:firstLineChars="0"/>
                    <w:rPr>
                      <w:rFonts w:hint="default"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有组织</w:t>
                  </w:r>
                </w:p>
              </w:tc>
              <w:tc>
                <w:tcPr>
                  <w:tcW w:w="0" w:type="auto"/>
                  <w:tcBorders>
                    <w:left w:val="single" w:color="000000" w:sz="12" w:space="0"/>
                    <w:right w:val="single" w:color="000000" w:sz="12" w:space="0"/>
                    <w:tl2br w:val="nil"/>
                    <w:tr2bl w:val="nil"/>
                  </w:tcBorders>
                  <w:shd w:val="clear" w:color="auto" w:fill="auto"/>
                  <w:noWrap w:val="0"/>
                  <w:vAlign w:val="center"/>
                </w:tcPr>
                <w:p w14:paraId="104610B5">
                  <w:pPr>
                    <w:pStyle w:val="183"/>
                    <w:ind w:firstLine="0" w:firstLineChars="0"/>
                    <w:rPr>
                      <w:rFonts w:hint="default"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无组织</w:t>
                  </w:r>
                </w:p>
              </w:tc>
              <w:tc>
                <w:tcPr>
                  <w:tcW w:w="0" w:type="auto"/>
                  <w:tcBorders>
                    <w:left w:val="single" w:color="000000" w:sz="12" w:space="0"/>
                    <w:right w:val="single" w:color="000000" w:sz="12" w:space="0"/>
                    <w:tl2br w:val="nil"/>
                    <w:tr2bl w:val="nil"/>
                  </w:tcBorders>
                  <w:shd w:val="clear" w:color="auto" w:fill="auto"/>
                  <w:noWrap w:val="0"/>
                  <w:vAlign w:val="center"/>
                </w:tcPr>
                <w:p w14:paraId="78EBDDBD">
                  <w:pPr>
                    <w:pStyle w:val="183"/>
                    <w:ind w:firstLine="0" w:firstLineChars="0"/>
                    <w:rPr>
                      <w:rFonts w:hint="default"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有组织</w:t>
                  </w:r>
                </w:p>
              </w:tc>
              <w:tc>
                <w:tcPr>
                  <w:tcW w:w="0" w:type="auto"/>
                  <w:tcBorders>
                    <w:left w:val="single" w:color="000000" w:sz="12" w:space="0"/>
                    <w:right w:val="single" w:color="000000" w:sz="12" w:space="0"/>
                    <w:tl2br w:val="nil"/>
                    <w:tr2bl w:val="nil"/>
                  </w:tcBorders>
                  <w:shd w:val="clear" w:color="auto" w:fill="auto"/>
                  <w:noWrap w:val="0"/>
                  <w:vAlign w:val="center"/>
                </w:tcPr>
                <w:p w14:paraId="2B3A871A">
                  <w:pPr>
                    <w:pStyle w:val="183"/>
                    <w:ind w:firstLine="0" w:firstLineChars="0"/>
                    <w:rPr>
                      <w:rFonts w:hint="default"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无组织</w:t>
                  </w:r>
                </w:p>
              </w:tc>
              <w:tc>
                <w:tcPr>
                  <w:tcW w:w="0" w:type="auto"/>
                  <w:tcBorders>
                    <w:left w:val="single" w:color="000000" w:sz="12" w:space="0"/>
                    <w:right w:val="single" w:color="000000" w:sz="12" w:space="0"/>
                    <w:tl2br w:val="nil"/>
                    <w:tr2bl w:val="nil"/>
                  </w:tcBorders>
                  <w:shd w:val="clear" w:color="auto" w:fill="auto"/>
                  <w:noWrap w:val="0"/>
                  <w:vAlign w:val="center"/>
                </w:tcPr>
                <w:p w14:paraId="3B0A9B51">
                  <w:pPr>
                    <w:pStyle w:val="183"/>
                    <w:ind w:firstLine="0" w:firstLineChars="0"/>
                    <w:rPr>
                      <w:rFonts w:hint="default"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有组织</w:t>
                  </w:r>
                </w:p>
              </w:tc>
              <w:tc>
                <w:tcPr>
                  <w:tcW w:w="0" w:type="auto"/>
                  <w:tcBorders>
                    <w:left w:val="single" w:color="000000" w:sz="12" w:space="0"/>
                    <w:right w:val="single" w:color="000000" w:sz="12" w:space="0"/>
                    <w:tl2br w:val="nil"/>
                    <w:tr2bl w:val="nil"/>
                  </w:tcBorders>
                  <w:shd w:val="clear" w:color="auto" w:fill="auto"/>
                  <w:noWrap w:val="0"/>
                  <w:vAlign w:val="center"/>
                </w:tcPr>
                <w:p w14:paraId="5CF33B64">
                  <w:pPr>
                    <w:pStyle w:val="183"/>
                    <w:ind w:firstLine="0" w:firstLineChars="0"/>
                    <w:rPr>
                      <w:rFonts w:hint="default"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无组织</w:t>
                  </w:r>
                </w:p>
              </w:tc>
              <w:tc>
                <w:tcPr>
                  <w:tcW w:w="0" w:type="auto"/>
                  <w:tcBorders>
                    <w:left w:val="single" w:color="000000" w:sz="12" w:space="0"/>
                    <w:right w:val="single" w:color="000000" w:sz="12" w:space="0"/>
                    <w:tl2br w:val="nil"/>
                    <w:tr2bl w:val="nil"/>
                  </w:tcBorders>
                  <w:shd w:val="clear" w:color="auto" w:fill="auto"/>
                  <w:noWrap w:val="0"/>
                  <w:vAlign w:val="center"/>
                </w:tcPr>
                <w:p w14:paraId="21C4547B">
                  <w:pPr>
                    <w:pStyle w:val="183"/>
                    <w:ind w:firstLine="0" w:firstLineChars="0"/>
                    <w:rPr>
                      <w:rFonts w:hint="default"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有组织</w:t>
                  </w:r>
                </w:p>
              </w:tc>
              <w:tc>
                <w:tcPr>
                  <w:tcW w:w="0" w:type="auto"/>
                  <w:tcBorders>
                    <w:left w:val="single" w:color="000000" w:sz="12" w:space="0"/>
                    <w:tl2br w:val="nil"/>
                    <w:tr2bl w:val="nil"/>
                  </w:tcBorders>
                  <w:shd w:val="clear" w:color="auto" w:fill="auto"/>
                  <w:noWrap w:val="0"/>
                  <w:vAlign w:val="center"/>
                </w:tcPr>
                <w:p w14:paraId="01CC3884">
                  <w:pPr>
                    <w:pStyle w:val="183"/>
                    <w:ind w:firstLine="0" w:firstLineChars="0"/>
                    <w:rPr>
                      <w:rFonts w:hint="default"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无组织</w:t>
                  </w:r>
                </w:p>
              </w:tc>
            </w:tr>
            <w:tr w14:paraId="47EC94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gridSpan w:val="2"/>
                  <w:tcBorders>
                    <w:tl2br w:val="nil"/>
                    <w:tr2bl w:val="nil"/>
                  </w:tcBorders>
                  <w:noWrap w:val="0"/>
                  <w:vAlign w:val="center"/>
                </w:tcPr>
                <w:p w14:paraId="5F6A19EA">
                  <w:pPr>
                    <w:pStyle w:val="18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污染物产生量（t/a）</w:t>
                  </w:r>
                </w:p>
              </w:tc>
              <w:tc>
                <w:tcPr>
                  <w:tcW w:w="0" w:type="auto"/>
                  <w:gridSpan w:val="2"/>
                  <w:tcBorders>
                    <w:tl2br w:val="nil"/>
                    <w:tr2bl w:val="nil"/>
                  </w:tcBorders>
                  <w:noWrap w:val="0"/>
                  <w:vAlign w:val="center"/>
                </w:tcPr>
                <w:p w14:paraId="49F9353C">
                  <w:pPr>
                    <w:pStyle w:val="22"/>
                    <w:spacing w:after="0" w:line="240" w:lineRule="auto"/>
                    <w:ind w:left="0" w:leftChars="0" w:firstLine="0" w:firstLineChars="0"/>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0.76</w:t>
                  </w:r>
                </w:p>
              </w:tc>
              <w:tc>
                <w:tcPr>
                  <w:tcW w:w="0" w:type="auto"/>
                  <w:gridSpan w:val="2"/>
                  <w:tcBorders>
                    <w:right w:val="single" w:color="000000" w:sz="12" w:space="0"/>
                    <w:tl2br w:val="nil"/>
                    <w:tr2bl w:val="nil"/>
                  </w:tcBorders>
                  <w:noWrap w:val="0"/>
                  <w:vAlign w:val="center"/>
                </w:tcPr>
                <w:p w14:paraId="01A8FD15">
                  <w:pPr>
                    <w:pStyle w:val="22"/>
                    <w:spacing w:after="0" w:line="240" w:lineRule="auto"/>
                    <w:ind w:left="0" w:leftChars="0" w:firstLine="0" w:firstLineChars="0"/>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0.066</w:t>
                  </w:r>
                </w:p>
              </w:tc>
              <w:tc>
                <w:tcPr>
                  <w:tcW w:w="0" w:type="auto"/>
                  <w:gridSpan w:val="2"/>
                  <w:tcBorders>
                    <w:left w:val="single" w:color="000000" w:sz="12" w:space="0"/>
                    <w:right w:val="single" w:color="000000" w:sz="12" w:space="0"/>
                    <w:tl2br w:val="nil"/>
                    <w:tr2bl w:val="nil"/>
                  </w:tcBorders>
                  <w:noWrap w:val="0"/>
                  <w:vAlign w:val="center"/>
                </w:tcPr>
                <w:p w14:paraId="2976004D">
                  <w:pPr>
                    <w:pStyle w:val="22"/>
                    <w:spacing w:after="0" w:line="240" w:lineRule="auto"/>
                    <w:ind w:left="0" w:leftChars="0" w:firstLine="0" w:firstLineChars="0"/>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0.15</w:t>
                  </w:r>
                </w:p>
              </w:tc>
              <w:tc>
                <w:tcPr>
                  <w:tcW w:w="0" w:type="auto"/>
                  <w:gridSpan w:val="2"/>
                  <w:tcBorders>
                    <w:left w:val="single" w:color="000000" w:sz="12" w:space="0"/>
                    <w:right w:val="single" w:color="000000" w:sz="12" w:space="0"/>
                    <w:tl2br w:val="nil"/>
                    <w:tr2bl w:val="nil"/>
                  </w:tcBorders>
                  <w:noWrap w:val="0"/>
                  <w:vAlign w:val="center"/>
                </w:tcPr>
                <w:p w14:paraId="2DE60087">
                  <w:pPr>
                    <w:pStyle w:val="22"/>
                    <w:spacing w:after="0" w:line="240" w:lineRule="auto"/>
                    <w:ind w:left="0" w:leftChars="0" w:firstLine="0" w:firstLineChars="0"/>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0.04</w:t>
                  </w:r>
                </w:p>
              </w:tc>
              <w:tc>
                <w:tcPr>
                  <w:tcW w:w="0" w:type="auto"/>
                  <w:gridSpan w:val="2"/>
                  <w:tcBorders>
                    <w:left w:val="single" w:color="000000" w:sz="12" w:space="0"/>
                    <w:right w:val="single" w:color="000000" w:sz="12" w:space="0"/>
                    <w:tl2br w:val="nil"/>
                    <w:tr2bl w:val="nil"/>
                  </w:tcBorders>
                  <w:noWrap w:val="0"/>
                  <w:vAlign w:val="center"/>
                </w:tcPr>
                <w:p w14:paraId="6F178EBB">
                  <w:pPr>
                    <w:pStyle w:val="22"/>
                    <w:spacing w:after="0" w:line="240" w:lineRule="auto"/>
                    <w:ind w:left="0" w:leftChars="0" w:firstLine="0" w:firstLineChars="0"/>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0.018</w:t>
                  </w:r>
                </w:p>
              </w:tc>
              <w:tc>
                <w:tcPr>
                  <w:tcW w:w="0" w:type="auto"/>
                  <w:gridSpan w:val="2"/>
                  <w:tcBorders>
                    <w:left w:val="single" w:color="000000" w:sz="12" w:space="0"/>
                    <w:tl2br w:val="nil"/>
                    <w:tr2bl w:val="nil"/>
                  </w:tcBorders>
                  <w:noWrap w:val="0"/>
                  <w:vAlign w:val="center"/>
                </w:tcPr>
                <w:p w14:paraId="65A38DE6">
                  <w:pPr>
                    <w:pStyle w:val="22"/>
                    <w:spacing w:after="0" w:line="240" w:lineRule="auto"/>
                    <w:ind w:left="0" w:leftChars="0" w:firstLine="0" w:firstLineChars="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0.00083</w:t>
                  </w:r>
                </w:p>
              </w:tc>
            </w:tr>
            <w:tr w14:paraId="0F558D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gridSpan w:val="2"/>
                  <w:tcBorders>
                    <w:tl2br w:val="nil"/>
                    <w:tr2bl w:val="nil"/>
                  </w:tcBorders>
                  <w:noWrap w:val="0"/>
                  <w:vAlign w:val="center"/>
                </w:tcPr>
                <w:p w14:paraId="553B3EEE">
                  <w:pPr>
                    <w:pStyle w:val="18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污染物产生浓度（mg/m</w:t>
                  </w:r>
                  <w:r>
                    <w:rPr>
                      <w:rFonts w:hint="default" w:ascii="Times New Roman" w:hAnsi="Times New Roman" w:cs="Times New Roman"/>
                      <w:color w:val="000000" w:themeColor="text1"/>
                      <w:vertAlign w:val="superscript"/>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w:t>
                  </w:r>
                </w:p>
              </w:tc>
              <w:tc>
                <w:tcPr>
                  <w:tcW w:w="0" w:type="auto"/>
                  <w:gridSpan w:val="2"/>
                  <w:tcBorders>
                    <w:tl2br w:val="nil"/>
                    <w:tr2bl w:val="nil"/>
                  </w:tcBorders>
                  <w:noWrap w:val="0"/>
                  <w:vAlign w:val="center"/>
                </w:tcPr>
                <w:p w14:paraId="6F1946BE">
                  <w:pPr>
                    <w:pStyle w:val="183"/>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62.96</w:t>
                  </w:r>
                </w:p>
              </w:tc>
              <w:tc>
                <w:tcPr>
                  <w:tcW w:w="0" w:type="auto"/>
                  <w:gridSpan w:val="2"/>
                  <w:tcBorders>
                    <w:right w:val="single" w:color="000000" w:sz="12" w:space="0"/>
                    <w:tl2br w:val="nil"/>
                    <w:tr2bl w:val="nil"/>
                  </w:tcBorders>
                  <w:noWrap w:val="0"/>
                  <w:vAlign w:val="center"/>
                </w:tcPr>
                <w:p w14:paraId="1A633B68">
                  <w:pPr>
                    <w:pStyle w:val="183"/>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5.52</w:t>
                  </w:r>
                </w:p>
              </w:tc>
              <w:tc>
                <w:tcPr>
                  <w:tcW w:w="0" w:type="auto"/>
                  <w:gridSpan w:val="2"/>
                  <w:tcBorders>
                    <w:left w:val="single" w:color="000000" w:sz="12" w:space="0"/>
                    <w:right w:val="single" w:color="000000" w:sz="12" w:space="0"/>
                    <w:tl2br w:val="nil"/>
                    <w:tr2bl w:val="nil"/>
                  </w:tcBorders>
                  <w:noWrap w:val="0"/>
                  <w:vAlign w:val="center"/>
                </w:tcPr>
                <w:p w14:paraId="3A59D090">
                  <w:pPr>
                    <w:pStyle w:val="183"/>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1.85</w:t>
                  </w:r>
                </w:p>
              </w:tc>
              <w:tc>
                <w:tcPr>
                  <w:tcW w:w="0" w:type="auto"/>
                  <w:gridSpan w:val="2"/>
                  <w:tcBorders>
                    <w:left w:val="single" w:color="000000" w:sz="12" w:space="0"/>
                    <w:right w:val="single" w:color="000000" w:sz="12" w:space="0"/>
                    <w:tl2br w:val="nil"/>
                    <w:tr2bl w:val="nil"/>
                  </w:tcBorders>
                  <w:noWrap w:val="0"/>
                  <w:vAlign w:val="center"/>
                </w:tcPr>
                <w:p w14:paraId="4839C25B">
                  <w:pPr>
                    <w:pStyle w:val="183"/>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0.89</w:t>
                  </w:r>
                </w:p>
              </w:tc>
              <w:tc>
                <w:tcPr>
                  <w:tcW w:w="0" w:type="auto"/>
                  <w:gridSpan w:val="2"/>
                  <w:tcBorders>
                    <w:left w:val="single" w:color="000000" w:sz="12" w:space="0"/>
                    <w:right w:val="single" w:color="000000" w:sz="12" w:space="0"/>
                    <w:tl2br w:val="nil"/>
                    <w:tr2bl w:val="nil"/>
                  </w:tcBorders>
                  <w:noWrap w:val="0"/>
                  <w:vAlign w:val="center"/>
                </w:tcPr>
                <w:p w14:paraId="308F570F">
                  <w:pPr>
                    <w:pStyle w:val="183"/>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0.67</w:t>
                  </w:r>
                </w:p>
              </w:tc>
              <w:tc>
                <w:tcPr>
                  <w:tcW w:w="0" w:type="auto"/>
                  <w:gridSpan w:val="2"/>
                  <w:tcBorders>
                    <w:left w:val="single" w:color="000000" w:sz="12" w:space="0"/>
                    <w:tl2br w:val="nil"/>
                    <w:tr2bl w:val="nil"/>
                  </w:tcBorders>
                  <w:noWrap w:val="0"/>
                  <w:vAlign w:val="center"/>
                </w:tcPr>
                <w:p w14:paraId="492A663C">
                  <w:pPr>
                    <w:pStyle w:val="183"/>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0.023</w:t>
                  </w:r>
                </w:p>
              </w:tc>
            </w:tr>
            <w:tr w14:paraId="5CDF1C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Merge w:val="restart"/>
                  <w:tcBorders>
                    <w:tl2br w:val="nil"/>
                    <w:tr2bl w:val="nil"/>
                  </w:tcBorders>
                  <w:noWrap w:val="0"/>
                  <w:vAlign w:val="center"/>
                </w:tcPr>
                <w:p w14:paraId="7F2C68FC">
                  <w:pPr>
                    <w:pStyle w:val="18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治理设施</w:t>
                  </w:r>
                </w:p>
              </w:tc>
              <w:tc>
                <w:tcPr>
                  <w:tcW w:w="0" w:type="auto"/>
                  <w:tcBorders>
                    <w:tl2br w:val="nil"/>
                    <w:tr2bl w:val="nil"/>
                  </w:tcBorders>
                  <w:noWrap w:val="0"/>
                  <w:vAlign w:val="center"/>
                </w:tcPr>
                <w:p w14:paraId="0FCCD06B">
                  <w:pPr>
                    <w:pStyle w:val="18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处理能力（m</w:t>
                  </w:r>
                  <w:r>
                    <w:rPr>
                      <w:rFonts w:hint="default" w:ascii="Times New Roman" w:hAnsi="Times New Roman" w:cs="Times New Roman"/>
                      <w:color w:val="000000" w:themeColor="text1"/>
                      <w:vertAlign w:val="superscript"/>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/h）</w:t>
                  </w:r>
                </w:p>
              </w:tc>
              <w:tc>
                <w:tcPr>
                  <w:tcW w:w="0" w:type="auto"/>
                  <w:tcBorders>
                    <w:tl2br w:val="nil"/>
                    <w:tr2bl w:val="nil"/>
                  </w:tcBorders>
                  <w:noWrap w:val="0"/>
                  <w:vAlign w:val="center"/>
                </w:tcPr>
                <w:p w14:paraId="0874A739">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5000</w:t>
                  </w:r>
                </w:p>
              </w:tc>
              <w:tc>
                <w:tcPr>
                  <w:tcW w:w="0" w:type="auto"/>
                  <w:tcBorders>
                    <w:tl2br w:val="nil"/>
                    <w:tr2bl w:val="nil"/>
                  </w:tcBorders>
                  <w:noWrap w:val="0"/>
                  <w:vAlign w:val="center"/>
                </w:tcPr>
                <w:p w14:paraId="2C682F4E">
                  <w:pPr>
                    <w:pStyle w:val="183"/>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w:t>
                  </w:r>
                </w:p>
              </w:tc>
              <w:tc>
                <w:tcPr>
                  <w:tcW w:w="0" w:type="auto"/>
                  <w:tcBorders>
                    <w:right w:val="single" w:color="000000" w:sz="12" w:space="0"/>
                    <w:tl2br w:val="nil"/>
                    <w:tr2bl w:val="nil"/>
                  </w:tcBorders>
                  <w:noWrap w:val="0"/>
                  <w:vAlign w:val="center"/>
                </w:tcPr>
                <w:p w14:paraId="1F95407D">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5000</w:t>
                  </w:r>
                </w:p>
              </w:tc>
              <w:tc>
                <w:tcPr>
                  <w:tcW w:w="0" w:type="auto"/>
                  <w:tcBorders>
                    <w:left w:val="single" w:color="000000" w:sz="12" w:space="0"/>
                    <w:right w:val="single" w:color="000000" w:sz="12" w:space="0"/>
                    <w:tl2br w:val="nil"/>
                    <w:tr2bl w:val="nil"/>
                  </w:tcBorders>
                  <w:noWrap w:val="0"/>
                  <w:vAlign w:val="center"/>
                </w:tcPr>
                <w:p w14:paraId="72A477E6">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w:t>
                  </w:r>
                </w:p>
              </w:tc>
              <w:tc>
                <w:tcPr>
                  <w:tcW w:w="0" w:type="auto"/>
                  <w:tcBorders>
                    <w:left w:val="single" w:color="000000" w:sz="12" w:space="0"/>
                    <w:right w:val="single" w:color="000000" w:sz="12" w:space="0"/>
                    <w:tl2br w:val="nil"/>
                    <w:tr2bl w:val="nil"/>
                  </w:tcBorders>
                  <w:noWrap w:val="0"/>
                  <w:vAlign w:val="center"/>
                </w:tcPr>
                <w:p w14:paraId="6660FDEC">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15000</w:t>
                  </w:r>
                </w:p>
              </w:tc>
              <w:tc>
                <w:tcPr>
                  <w:tcW w:w="0" w:type="auto"/>
                  <w:tcBorders>
                    <w:left w:val="single" w:color="000000" w:sz="12" w:space="0"/>
                    <w:right w:val="single" w:color="000000" w:sz="12" w:space="0"/>
                    <w:tl2br w:val="nil"/>
                    <w:tr2bl w:val="nil"/>
                  </w:tcBorders>
                  <w:noWrap w:val="0"/>
                  <w:vAlign w:val="center"/>
                </w:tcPr>
                <w:p w14:paraId="49A03A9B">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w:t>
                  </w:r>
                </w:p>
              </w:tc>
              <w:tc>
                <w:tcPr>
                  <w:tcW w:w="0" w:type="auto"/>
                  <w:tcBorders>
                    <w:left w:val="single" w:color="000000" w:sz="12" w:space="0"/>
                    <w:right w:val="single" w:color="000000" w:sz="12" w:space="0"/>
                    <w:tl2br w:val="nil"/>
                    <w:tr2bl w:val="nil"/>
                  </w:tcBorders>
                  <w:noWrap w:val="0"/>
                  <w:vAlign w:val="center"/>
                </w:tcPr>
                <w:p w14:paraId="13F75C2F">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15000</w:t>
                  </w:r>
                </w:p>
              </w:tc>
              <w:tc>
                <w:tcPr>
                  <w:tcW w:w="0" w:type="auto"/>
                  <w:tcBorders>
                    <w:left w:val="single" w:color="000000" w:sz="12" w:space="0"/>
                    <w:right w:val="single" w:color="000000" w:sz="12" w:space="0"/>
                    <w:tl2br w:val="nil"/>
                    <w:tr2bl w:val="nil"/>
                  </w:tcBorders>
                  <w:noWrap w:val="0"/>
                  <w:vAlign w:val="center"/>
                </w:tcPr>
                <w:p w14:paraId="03F0DD33">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w:t>
                  </w:r>
                </w:p>
              </w:tc>
              <w:tc>
                <w:tcPr>
                  <w:tcW w:w="0" w:type="auto"/>
                  <w:tcBorders>
                    <w:left w:val="single" w:color="000000" w:sz="12" w:space="0"/>
                    <w:right w:val="single" w:color="000000" w:sz="12" w:space="0"/>
                    <w:tl2br w:val="nil"/>
                    <w:tr2bl w:val="nil"/>
                  </w:tcBorders>
                  <w:noWrap w:val="0"/>
                  <w:vAlign w:val="center"/>
                </w:tcPr>
                <w:p w14:paraId="44D05861">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15000</w:t>
                  </w:r>
                </w:p>
              </w:tc>
              <w:tc>
                <w:tcPr>
                  <w:tcW w:w="0" w:type="auto"/>
                  <w:tcBorders>
                    <w:left w:val="single" w:color="000000" w:sz="12" w:space="0"/>
                    <w:right w:val="single" w:color="000000" w:sz="12" w:space="0"/>
                    <w:tl2br w:val="nil"/>
                    <w:tr2bl w:val="nil"/>
                  </w:tcBorders>
                  <w:noWrap w:val="0"/>
                  <w:vAlign w:val="center"/>
                </w:tcPr>
                <w:p w14:paraId="06F42AF0">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w:t>
                  </w:r>
                </w:p>
              </w:tc>
              <w:tc>
                <w:tcPr>
                  <w:tcW w:w="0" w:type="auto"/>
                  <w:tcBorders>
                    <w:left w:val="single" w:color="000000" w:sz="12" w:space="0"/>
                    <w:right w:val="single" w:color="000000" w:sz="12" w:space="0"/>
                    <w:tl2br w:val="nil"/>
                    <w:tr2bl w:val="nil"/>
                  </w:tcBorders>
                  <w:noWrap w:val="0"/>
                  <w:vAlign w:val="center"/>
                </w:tcPr>
                <w:p w14:paraId="32528E04">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15000</w:t>
                  </w:r>
                </w:p>
              </w:tc>
              <w:tc>
                <w:tcPr>
                  <w:tcW w:w="0" w:type="auto"/>
                  <w:tcBorders>
                    <w:left w:val="single" w:color="000000" w:sz="12" w:space="0"/>
                    <w:tl2br w:val="nil"/>
                    <w:tr2bl w:val="nil"/>
                  </w:tcBorders>
                  <w:noWrap w:val="0"/>
                  <w:vAlign w:val="center"/>
                </w:tcPr>
                <w:p w14:paraId="5BF88B95">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w:t>
                  </w:r>
                </w:p>
              </w:tc>
            </w:tr>
            <w:tr w14:paraId="36C5BD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Merge w:val="continue"/>
                  <w:tcBorders>
                    <w:tl2br w:val="nil"/>
                    <w:tr2bl w:val="nil"/>
                  </w:tcBorders>
                  <w:noWrap w:val="0"/>
                  <w:vAlign w:val="center"/>
                </w:tcPr>
                <w:p w14:paraId="7E0F6295">
                  <w:pPr>
                    <w:pStyle w:val="183"/>
                    <w:rPr>
                      <w:rFonts w:hint="default" w:ascii="Times New Roman" w:hAnsi="Times New Roman" w:cs="Times New Roman"/>
                      <w:color w:val="000000" w:themeColor="text1"/>
                      <w14:textFill>
                        <w14:solidFill>
                          <w14:schemeClr w14:val="tx1"/>
                        </w14:solidFill>
                      </w14:textFill>
                    </w:rPr>
                  </w:pPr>
                </w:p>
              </w:tc>
              <w:tc>
                <w:tcPr>
                  <w:tcW w:w="0" w:type="auto"/>
                  <w:tcBorders>
                    <w:tl2br w:val="nil"/>
                    <w:tr2bl w:val="nil"/>
                  </w:tcBorders>
                  <w:noWrap w:val="0"/>
                  <w:vAlign w:val="center"/>
                </w:tcPr>
                <w:p w14:paraId="286EA031">
                  <w:pPr>
                    <w:pStyle w:val="18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收集效率（%）</w:t>
                  </w:r>
                </w:p>
              </w:tc>
              <w:tc>
                <w:tcPr>
                  <w:tcW w:w="0" w:type="auto"/>
                  <w:tcBorders>
                    <w:tl2br w:val="nil"/>
                    <w:tr2bl w:val="nil"/>
                  </w:tcBorders>
                  <w:noWrap w:val="0"/>
                  <w:vAlign w:val="center"/>
                </w:tcPr>
                <w:p w14:paraId="01EA5379">
                  <w:pPr>
                    <w:pStyle w:val="183"/>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8</w:t>
                  </w:r>
                  <w:r>
                    <w:rPr>
                      <w:rFonts w:hint="eastAsia" w:cs="Times New Roman"/>
                      <w:color w:val="000000" w:themeColor="text1"/>
                      <w:lang w:val="en-US" w:eastAsia="zh-CN"/>
                      <w14:textFill>
                        <w14:solidFill>
                          <w14:schemeClr w14:val="tx1"/>
                        </w14:solidFill>
                      </w14:textFill>
                    </w:rPr>
                    <w:t>0</w:t>
                  </w:r>
                </w:p>
              </w:tc>
              <w:tc>
                <w:tcPr>
                  <w:tcW w:w="0" w:type="auto"/>
                  <w:tcBorders>
                    <w:tl2br w:val="nil"/>
                    <w:tr2bl w:val="nil"/>
                  </w:tcBorders>
                  <w:noWrap w:val="0"/>
                  <w:vAlign w:val="center"/>
                </w:tcPr>
                <w:p w14:paraId="22A77120">
                  <w:pPr>
                    <w:pStyle w:val="183"/>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w:t>
                  </w:r>
                </w:p>
              </w:tc>
              <w:tc>
                <w:tcPr>
                  <w:tcW w:w="0" w:type="auto"/>
                  <w:tcBorders>
                    <w:right w:val="single" w:color="000000" w:sz="12" w:space="0"/>
                    <w:tl2br w:val="nil"/>
                    <w:tr2bl w:val="nil"/>
                  </w:tcBorders>
                  <w:noWrap w:val="0"/>
                  <w:vAlign w:val="center"/>
                </w:tcPr>
                <w:p w14:paraId="67EC86B5">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100</w:t>
                  </w:r>
                </w:p>
              </w:tc>
              <w:tc>
                <w:tcPr>
                  <w:tcW w:w="0" w:type="auto"/>
                  <w:tcBorders>
                    <w:left w:val="single" w:color="000000" w:sz="12" w:space="0"/>
                    <w:right w:val="single" w:color="000000" w:sz="12" w:space="0"/>
                    <w:tl2br w:val="nil"/>
                    <w:tr2bl w:val="nil"/>
                  </w:tcBorders>
                  <w:noWrap w:val="0"/>
                  <w:vAlign w:val="center"/>
                </w:tcPr>
                <w:p w14:paraId="1264347E">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w:t>
                  </w:r>
                </w:p>
              </w:tc>
              <w:tc>
                <w:tcPr>
                  <w:tcW w:w="0" w:type="auto"/>
                  <w:tcBorders>
                    <w:left w:val="single" w:color="000000" w:sz="12" w:space="0"/>
                    <w:right w:val="single" w:color="000000" w:sz="12" w:space="0"/>
                    <w:tl2br w:val="nil"/>
                    <w:tr2bl w:val="nil"/>
                  </w:tcBorders>
                  <w:noWrap w:val="0"/>
                  <w:vAlign w:val="center"/>
                </w:tcPr>
                <w:p w14:paraId="5D776F0C">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90</w:t>
                  </w:r>
                </w:p>
              </w:tc>
              <w:tc>
                <w:tcPr>
                  <w:tcW w:w="0" w:type="auto"/>
                  <w:tcBorders>
                    <w:left w:val="single" w:color="000000" w:sz="12" w:space="0"/>
                    <w:right w:val="single" w:color="000000" w:sz="12" w:space="0"/>
                    <w:tl2br w:val="nil"/>
                    <w:tr2bl w:val="nil"/>
                  </w:tcBorders>
                  <w:noWrap w:val="0"/>
                  <w:vAlign w:val="center"/>
                </w:tcPr>
                <w:p w14:paraId="25FF736B">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w:t>
                  </w:r>
                </w:p>
              </w:tc>
              <w:tc>
                <w:tcPr>
                  <w:tcW w:w="0" w:type="auto"/>
                  <w:tcBorders>
                    <w:left w:val="single" w:color="000000" w:sz="12" w:space="0"/>
                    <w:right w:val="single" w:color="000000" w:sz="12" w:space="0"/>
                    <w:tl2br w:val="nil"/>
                    <w:tr2bl w:val="nil"/>
                  </w:tcBorders>
                  <w:noWrap w:val="0"/>
                  <w:vAlign w:val="center"/>
                </w:tcPr>
                <w:p w14:paraId="74239C0C">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85</w:t>
                  </w:r>
                </w:p>
              </w:tc>
              <w:tc>
                <w:tcPr>
                  <w:tcW w:w="0" w:type="auto"/>
                  <w:tcBorders>
                    <w:left w:val="single" w:color="000000" w:sz="12" w:space="0"/>
                    <w:right w:val="single" w:color="000000" w:sz="12" w:space="0"/>
                    <w:tl2br w:val="nil"/>
                    <w:tr2bl w:val="nil"/>
                  </w:tcBorders>
                  <w:noWrap w:val="0"/>
                  <w:vAlign w:val="center"/>
                </w:tcPr>
                <w:p w14:paraId="505C5724">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w:t>
                  </w:r>
                </w:p>
              </w:tc>
              <w:tc>
                <w:tcPr>
                  <w:tcW w:w="0" w:type="auto"/>
                  <w:tcBorders>
                    <w:left w:val="single" w:color="000000" w:sz="12" w:space="0"/>
                    <w:right w:val="single" w:color="000000" w:sz="12" w:space="0"/>
                    <w:tl2br w:val="nil"/>
                    <w:tr2bl w:val="nil"/>
                  </w:tcBorders>
                  <w:noWrap w:val="0"/>
                  <w:vAlign w:val="center"/>
                </w:tcPr>
                <w:p w14:paraId="50490D68">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90</w:t>
                  </w:r>
                </w:p>
              </w:tc>
              <w:tc>
                <w:tcPr>
                  <w:tcW w:w="0" w:type="auto"/>
                  <w:tcBorders>
                    <w:left w:val="single" w:color="000000" w:sz="12" w:space="0"/>
                    <w:right w:val="single" w:color="000000" w:sz="12" w:space="0"/>
                    <w:tl2br w:val="nil"/>
                    <w:tr2bl w:val="nil"/>
                  </w:tcBorders>
                  <w:noWrap w:val="0"/>
                  <w:vAlign w:val="center"/>
                </w:tcPr>
                <w:p w14:paraId="183D25BE">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w:t>
                  </w:r>
                </w:p>
              </w:tc>
              <w:tc>
                <w:tcPr>
                  <w:tcW w:w="0" w:type="auto"/>
                  <w:tcBorders>
                    <w:left w:val="single" w:color="000000" w:sz="12" w:space="0"/>
                    <w:right w:val="single" w:color="000000" w:sz="12" w:space="0"/>
                    <w:tl2br w:val="nil"/>
                    <w:tr2bl w:val="nil"/>
                  </w:tcBorders>
                  <w:noWrap w:val="0"/>
                  <w:vAlign w:val="center"/>
                </w:tcPr>
                <w:p w14:paraId="61D872FD">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90</w:t>
                  </w:r>
                </w:p>
              </w:tc>
              <w:tc>
                <w:tcPr>
                  <w:tcW w:w="0" w:type="auto"/>
                  <w:tcBorders>
                    <w:left w:val="single" w:color="000000" w:sz="12" w:space="0"/>
                    <w:tl2br w:val="nil"/>
                    <w:tr2bl w:val="nil"/>
                  </w:tcBorders>
                  <w:noWrap w:val="0"/>
                  <w:vAlign w:val="center"/>
                </w:tcPr>
                <w:p w14:paraId="2A8FD677">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w:t>
                  </w:r>
                </w:p>
              </w:tc>
            </w:tr>
            <w:tr w14:paraId="4D1BAF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Merge w:val="continue"/>
                  <w:tcBorders>
                    <w:tl2br w:val="nil"/>
                    <w:tr2bl w:val="nil"/>
                  </w:tcBorders>
                  <w:noWrap w:val="0"/>
                  <w:vAlign w:val="center"/>
                </w:tcPr>
                <w:p w14:paraId="1A9EDF01">
                  <w:pPr>
                    <w:pStyle w:val="183"/>
                    <w:rPr>
                      <w:rFonts w:hint="default" w:ascii="Times New Roman" w:hAnsi="Times New Roman" w:cs="Times New Roman"/>
                      <w:color w:val="000000" w:themeColor="text1"/>
                      <w14:textFill>
                        <w14:solidFill>
                          <w14:schemeClr w14:val="tx1"/>
                        </w14:solidFill>
                      </w14:textFill>
                    </w:rPr>
                  </w:pPr>
                </w:p>
              </w:tc>
              <w:tc>
                <w:tcPr>
                  <w:tcW w:w="0" w:type="auto"/>
                  <w:tcBorders>
                    <w:tl2br w:val="nil"/>
                    <w:tr2bl w:val="nil"/>
                  </w:tcBorders>
                  <w:noWrap w:val="0"/>
                  <w:vAlign w:val="center"/>
                </w:tcPr>
                <w:p w14:paraId="3E000D6E">
                  <w:pPr>
                    <w:pStyle w:val="18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治理工艺去除效率（%）</w:t>
                  </w:r>
                </w:p>
              </w:tc>
              <w:tc>
                <w:tcPr>
                  <w:tcW w:w="0" w:type="auto"/>
                  <w:tcBorders>
                    <w:tl2br w:val="nil"/>
                    <w:tr2bl w:val="nil"/>
                  </w:tcBorders>
                  <w:noWrap w:val="0"/>
                  <w:vAlign w:val="center"/>
                </w:tcPr>
                <w:p w14:paraId="4892AD31">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98</w:t>
                  </w:r>
                </w:p>
              </w:tc>
              <w:tc>
                <w:tcPr>
                  <w:tcW w:w="0" w:type="auto"/>
                  <w:tcBorders>
                    <w:tl2br w:val="nil"/>
                    <w:tr2bl w:val="nil"/>
                  </w:tcBorders>
                  <w:noWrap w:val="0"/>
                  <w:vAlign w:val="center"/>
                </w:tcPr>
                <w:p w14:paraId="582FDE4E">
                  <w:pPr>
                    <w:pStyle w:val="183"/>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w:t>
                  </w:r>
                </w:p>
              </w:tc>
              <w:tc>
                <w:tcPr>
                  <w:tcW w:w="0" w:type="auto"/>
                  <w:tcBorders>
                    <w:right w:val="single" w:color="000000" w:sz="12" w:space="0"/>
                    <w:tl2br w:val="nil"/>
                    <w:tr2bl w:val="nil"/>
                  </w:tcBorders>
                  <w:noWrap w:val="0"/>
                  <w:vAlign w:val="center"/>
                </w:tcPr>
                <w:p w14:paraId="15B552CA">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98</w:t>
                  </w:r>
                </w:p>
              </w:tc>
              <w:tc>
                <w:tcPr>
                  <w:tcW w:w="0" w:type="auto"/>
                  <w:tcBorders>
                    <w:left w:val="single" w:color="000000" w:sz="12" w:space="0"/>
                    <w:right w:val="single" w:color="000000" w:sz="12" w:space="0"/>
                    <w:tl2br w:val="nil"/>
                    <w:tr2bl w:val="nil"/>
                  </w:tcBorders>
                  <w:noWrap w:val="0"/>
                  <w:vAlign w:val="center"/>
                </w:tcPr>
                <w:p w14:paraId="1E6FFCE9">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w:t>
                  </w:r>
                </w:p>
              </w:tc>
              <w:tc>
                <w:tcPr>
                  <w:tcW w:w="0" w:type="auto"/>
                  <w:tcBorders>
                    <w:left w:val="single" w:color="000000" w:sz="12" w:space="0"/>
                    <w:right w:val="single" w:color="000000" w:sz="12" w:space="0"/>
                    <w:tl2br w:val="nil"/>
                    <w:tr2bl w:val="nil"/>
                  </w:tcBorders>
                  <w:noWrap w:val="0"/>
                  <w:vAlign w:val="center"/>
                </w:tcPr>
                <w:p w14:paraId="2B5EE70C">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38</w:t>
                  </w:r>
                </w:p>
              </w:tc>
              <w:tc>
                <w:tcPr>
                  <w:tcW w:w="0" w:type="auto"/>
                  <w:tcBorders>
                    <w:left w:val="single" w:color="000000" w:sz="12" w:space="0"/>
                    <w:right w:val="single" w:color="000000" w:sz="12" w:space="0"/>
                    <w:tl2br w:val="nil"/>
                    <w:tr2bl w:val="nil"/>
                  </w:tcBorders>
                  <w:noWrap w:val="0"/>
                  <w:vAlign w:val="center"/>
                </w:tcPr>
                <w:p w14:paraId="1C23EF74">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w:t>
                  </w:r>
                </w:p>
              </w:tc>
              <w:tc>
                <w:tcPr>
                  <w:tcW w:w="0" w:type="auto"/>
                  <w:tcBorders>
                    <w:left w:val="single" w:color="000000" w:sz="12" w:space="0"/>
                    <w:right w:val="single" w:color="000000" w:sz="12" w:space="0"/>
                    <w:tl2br w:val="nil"/>
                    <w:tr2bl w:val="nil"/>
                  </w:tcBorders>
                  <w:noWrap w:val="0"/>
                  <w:vAlign w:val="center"/>
                </w:tcPr>
                <w:p w14:paraId="6460FF9A">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38</w:t>
                  </w:r>
                </w:p>
              </w:tc>
              <w:tc>
                <w:tcPr>
                  <w:tcW w:w="0" w:type="auto"/>
                  <w:tcBorders>
                    <w:left w:val="single" w:color="000000" w:sz="12" w:space="0"/>
                    <w:right w:val="single" w:color="000000" w:sz="12" w:space="0"/>
                    <w:tl2br w:val="nil"/>
                    <w:tr2bl w:val="nil"/>
                  </w:tcBorders>
                  <w:noWrap w:val="0"/>
                  <w:vAlign w:val="center"/>
                </w:tcPr>
                <w:p w14:paraId="6A6309A7">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w:t>
                  </w:r>
                </w:p>
              </w:tc>
              <w:tc>
                <w:tcPr>
                  <w:tcW w:w="0" w:type="auto"/>
                  <w:tcBorders>
                    <w:left w:val="single" w:color="000000" w:sz="12" w:space="0"/>
                    <w:right w:val="single" w:color="000000" w:sz="12" w:space="0"/>
                    <w:tl2br w:val="nil"/>
                    <w:tr2bl w:val="nil"/>
                  </w:tcBorders>
                  <w:noWrap w:val="0"/>
                  <w:vAlign w:val="center"/>
                </w:tcPr>
                <w:p w14:paraId="63A7DB37">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38</w:t>
                  </w:r>
                </w:p>
              </w:tc>
              <w:tc>
                <w:tcPr>
                  <w:tcW w:w="0" w:type="auto"/>
                  <w:tcBorders>
                    <w:left w:val="single" w:color="000000" w:sz="12" w:space="0"/>
                    <w:right w:val="single" w:color="000000" w:sz="12" w:space="0"/>
                    <w:tl2br w:val="nil"/>
                    <w:tr2bl w:val="nil"/>
                  </w:tcBorders>
                  <w:noWrap w:val="0"/>
                  <w:vAlign w:val="center"/>
                </w:tcPr>
                <w:p w14:paraId="6101C309">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w:t>
                  </w:r>
                </w:p>
              </w:tc>
              <w:tc>
                <w:tcPr>
                  <w:tcW w:w="0" w:type="auto"/>
                  <w:tcBorders>
                    <w:left w:val="single" w:color="000000" w:sz="12" w:space="0"/>
                    <w:right w:val="single" w:color="000000" w:sz="12" w:space="0"/>
                    <w:tl2br w:val="nil"/>
                    <w:tr2bl w:val="nil"/>
                  </w:tcBorders>
                  <w:noWrap w:val="0"/>
                  <w:vAlign w:val="center"/>
                </w:tcPr>
                <w:p w14:paraId="36A6EDBA">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80</w:t>
                  </w:r>
                </w:p>
              </w:tc>
              <w:tc>
                <w:tcPr>
                  <w:tcW w:w="0" w:type="auto"/>
                  <w:tcBorders>
                    <w:left w:val="single" w:color="000000" w:sz="12" w:space="0"/>
                    <w:tl2br w:val="nil"/>
                    <w:tr2bl w:val="nil"/>
                  </w:tcBorders>
                  <w:noWrap w:val="0"/>
                  <w:vAlign w:val="center"/>
                </w:tcPr>
                <w:p w14:paraId="179FE11C">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w:t>
                  </w:r>
                </w:p>
              </w:tc>
            </w:tr>
            <w:tr w14:paraId="055F82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Merge w:val="continue"/>
                  <w:tcBorders>
                    <w:tl2br w:val="nil"/>
                    <w:tr2bl w:val="nil"/>
                  </w:tcBorders>
                  <w:noWrap w:val="0"/>
                  <w:vAlign w:val="center"/>
                </w:tcPr>
                <w:p w14:paraId="419D4EEE">
                  <w:pPr>
                    <w:pStyle w:val="183"/>
                    <w:rPr>
                      <w:rFonts w:hint="default" w:ascii="Times New Roman" w:hAnsi="Times New Roman" w:cs="Times New Roman"/>
                      <w:color w:val="000000" w:themeColor="text1"/>
                      <w14:textFill>
                        <w14:solidFill>
                          <w14:schemeClr w14:val="tx1"/>
                        </w14:solidFill>
                      </w14:textFill>
                    </w:rPr>
                  </w:pPr>
                </w:p>
              </w:tc>
              <w:tc>
                <w:tcPr>
                  <w:tcW w:w="0" w:type="auto"/>
                  <w:tcBorders>
                    <w:tl2br w:val="nil"/>
                    <w:tr2bl w:val="nil"/>
                  </w:tcBorders>
                  <w:noWrap w:val="0"/>
                  <w:vAlign w:val="center"/>
                </w:tcPr>
                <w:p w14:paraId="25186351">
                  <w:pPr>
                    <w:pStyle w:val="183"/>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污染治理设施</w:t>
                  </w:r>
                </w:p>
              </w:tc>
              <w:tc>
                <w:tcPr>
                  <w:tcW w:w="0" w:type="auto"/>
                  <w:gridSpan w:val="4"/>
                  <w:tcBorders>
                    <w:right w:val="single" w:color="000000" w:sz="12" w:space="0"/>
                    <w:tl2br w:val="nil"/>
                    <w:tr2bl w:val="nil"/>
                  </w:tcBorders>
                  <w:noWrap w:val="0"/>
                  <w:vAlign w:val="center"/>
                </w:tcPr>
                <w:p w14:paraId="448DB374">
                  <w:pPr>
                    <w:pStyle w:val="183"/>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布袋除尘器</w:t>
                  </w:r>
                  <w:r>
                    <w:rPr>
                      <w:rFonts w:hint="default" w:ascii="Times New Roman" w:hAnsi="Times New Roman" w:cs="Times New Roman"/>
                      <w:color w:val="000000" w:themeColor="text1"/>
                      <w:sz w:val="21"/>
                      <w:szCs w:val="21"/>
                      <w14:textFill>
                        <w14:solidFill>
                          <w14:schemeClr w14:val="tx1"/>
                        </w14:solidFill>
                      </w14:textFill>
                    </w:rPr>
                    <w:t>（TA001）</w:t>
                  </w:r>
                </w:p>
              </w:tc>
              <w:tc>
                <w:tcPr>
                  <w:tcW w:w="0" w:type="auto"/>
                  <w:gridSpan w:val="8"/>
                  <w:tcBorders>
                    <w:left w:val="single" w:color="000000" w:sz="12" w:space="0"/>
                    <w:tl2br w:val="nil"/>
                    <w:tr2bl w:val="nil"/>
                  </w:tcBorders>
                  <w:noWrap w:val="0"/>
                  <w:vAlign w:val="center"/>
                </w:tcPr>
                <w:p w14:paraId="48801FA8">
                  <w:pPr>
                    <w:pStyle w:val="183"/>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过滤棉+二级活性炭（TA002）</w:t>
                  </w:r>
                </w:p>
              </w:tc>
            </w:tr>
            <w:tr w14:paraId="06629E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Merge w:val="continue"/>
                  <w:tcBorders>
                    <w:tl2br w:val="nil"/>
                    <w:tr2bl w:val="nil"/>
                  </w:tcBorders>
                  <w:noWrap w:val="0"/>
                  <w:vAlign w:val="center"/>
                </w:tcPr>
                <w:p w14:paraId="1591E68F">
                  <w:pPr>
                    <w:pStyle w:val="183"/>
                    <w:rPr>
                      <w:rFonts w:hint="default" w:ascii="Times New Roman" w:hAnsi="Times New Roman" w:cs="Times New Roman"/>
                      <w:color w:val="000000" w:themeColor="text1"/>
                      <w14:textFill>
                        <w14:solidFill>
                          <w14:schemeClr w14:val="tx1"/>
                        </w14:solidFill>
                      </w14:textFill>
                    </w:rPr>
                  </w:pPr>
                </w:p>
              </w:tc>
              <w:tc>
                <w:tcPr>
                  <w:tcW w:w="0" w:type="auto"/>
                  <w:tcBorders>
                    <w:tl2br w:val="nil"/>
                    <w:tr2bl w:val="nil"/>
                  </w:tcBorders>
                  <w:noWrap w:val="0"/>
                  <w:vAlign w:val="center"/>
                </w:tcPr>
                <w:p w14:paraId="45CD60BE">
                  <w:pPr>
                    <w:pStyle w:val="18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是否为可行性技术</w:t>
                  </w:r>
                </w:p>
              </w:tc>
              <w:tc>
                <w:tcPr>
                  <w:tcW w:w="0" w:type="auto"/>
                  <w:tcBorders>
                    <w:tl2br w:val="nil"/>
                    <w:tr2bl w:val="nil"/>
                  </w:tcBorders>
                  <w:noWrap w:val="0"/>
                  <w:vAlign w:val="center"/>
                </w:tcPr>
                <w:p w14:paraId="3CEE9725">
                  <w:pPr>
                    <w:pStyle w:val="18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是</w:t>
                  </w:r>
                </w:p>
              </w:tc>
              <w:tc>
                <w:tcPr>
                  <w:tcW w:w="0" w:type="auto"/>
                  <w:tcBorders>
                    <w:tl2br w:val="nil"/>
                    <w:tr2bl w:val="nil"/>
                  </w:tcBorders>
                  <w:noWrap w:val="0"/>
                  <w:vAlign w:val="center"/>
                </w:tcPr>
                <w:p w14:paraId="7CC77B0A">
                  <w:pPr>
                    <w:pStyle w:val="183"/>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w:t>
                  </w:r>
                </w:p>
              </w:tc>
              <w:tc>
                <w:tcPr>
                  <w:tcW w:w="0" w:type="auto"/>
                  <w:tcBorders>
                    <w:right w:val="single" w:color="000000" w:sz="12" w:space="0"/>
                    <w:tl2br w:val="nil"/>
                    <w:tr2bl w:val="nil"/>
                  </w:tcBorders>
                  <w:noWrap w:val="0"/>
                  <w:vAlign w:val="center"/>
                </w:tcPr>
                <w:p w14:paraId="75EA7791">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是</w:t>
                  </w:r>
                </w:p>
              </w:tc>
              <w:tc>
                <w:tcPr>
                  <w:tcW w:w="0" w:type="auto"/>
                  <w:tcBorders>
                    <w:left w:val="single" w:color="000000" w:sz="12" w:space="0"/>
                    <w:right w:val="single" w:color="000000" w:sz="12" w:space="0"/>
                    <w:tl2br w:val="nil"/>
                    <w:tr2bl w:val="nil"/>
                  </w:tcBorders>
                  <w:noWrap w:val="0"/>
                  <w:vAlign w:val="center"/>
                </w:tcPr>
                <w:p w14:paraId="59B31BFA">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w:t>
                  </w:r>
                </w:p>
              </w:tc>
              <w:tc>
                <w:tcPr>
                  <w:tcW w:w="0" w:type="auto"/>
                  <w:tcBorders>
                    <w:left w:val="single" w:color="000000" w:sz="12" w:space="0"/>
                    <w:right w:val="single" w:color="000000" w:sz="12" w:space="0"/>
                    <w:tl2br w:val="nil"/>
                    <w:tr2bl w:val="nil"/>
                  </w:tcBorders>
                  <w:shd w:val="clear" w:color="auto" w:fill="auto"/>
                  <w:noWrap w:val="0"/>
                  <w:vAlign w:val="center"/>
                </w:tcPr>
                <w:p w14:paraId="21DFF7BE">
                  <w:pPr>
                    <w:pStyle w:val="183"/>
                    <w:ind w:firstLine="0" w:firstLineChars="0"/>
                    <w:rPr>
                      <w:rFonts w:hint="default"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eastAsia" w:cs="Times New Roman"/>
                      <w:color w:val="000000" w:themeColor="text1"/>
                      <w:lang w:val="en-US" w:eastAsia="zh-CN"/>
                      <w14:textFill>
                        <w14:solidFill>
                          <w14:schemeClr w14:val="tx1"/>
                        </w14:solidFill>
                      </w14:textFill>
                    </w:rPr>
                    <w:t>是</w:t>
                  </w:r>
                </w:p>
              </w:tc>
              <w:tc>
                <w:tcPr>
                  <w:tcW w:w="0" w:type="auto"/>
                  <w:tcBorders>
                    <w:left w:val="single" w:color="000000" w:sz="12" w:space="0"/>
                    <w:right w:val="single" w:color="000000" w:sz="12" w:space="0"/>
                    <w:tl2br w:val="nil"/>
                    <w:tr2bl w:val="nil"/>
                  </w:tcBorders>
                  <w:shd w:val="clear" w:color="auto" w:fill="auto"/>
                  <w:noWrap w:val="0"/>
                  <w:vAlign w:val="center"/>
                </w:tcPr>
                <w:p w14:paraId="08180AC0">
                  <w:pPr>
                    <w:pStyle w:val="183"/>
                    <w:ind w:firstLine="0" w:firstLineChars="0"/>
                    <w:rPr>
                      <w:rFonts w:hint="default"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eastAsia" w:cs="Times New Roman"/>
                      <w:color w:val="000000" w:themeColor="text1"/>
                      <w:lang w:val="en-US" w:eastAsia="zh-CN"/>
                      <w14:textFill>
                        <w14:solidFill>
                          <w14:schemeClr w14:val="tx1"/>
                        </w14:solidFill>
                      </w14:textFill>
                    </w:rPr>
                    <w:t>/</w:t>
                  </w:r>
                </w:p>
              </w:tc>
              <w:tc>
                <w:tcPr>
                  <w:tcW w:w="0" w:type="auto"/>
                  <w:tcBorders>
                    <w:left w:val="single" w:color="000000" w:sz="12" w:space="0"/>
                    <w:right w:val="single" w:color="000000" w:sz="12" w:space="0"/>
                    <w:tl2br w:val="nil"/>
                    <w:tr2bl w:val="nil"/>
                  </w:tcBorders>
                  <w:shd w:val="clear" w:color="auto" w:fill="auto"/>
                  <w:noWrap w:val="0"/>
                  <w:vAlign w:val="center"/>
                </w:tcPr>
                <w:p w14:paraId="677A1294">
                  <w:pPr>
                    <w:pStyle w:val="183"/>
                    <w:ind w:firstLine="0" w:firstLineChars="0"/>
                    <w:rPr>
                      <w:rFonts w:hint="default"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eastAsia" w:cs="Times New Roman"/>
                      <w:color w:val="000000" w:themeColor="text1"/>
                      <w:lang w:val="en-US" w:eastAsia="zh-CN"/>
                      <w14:textFill>
                        <w14:solidFill>
                          <w14:schemeClr w14:val="tx1"/>
                        </w14:solidFill>
                      </w14:textFill>
                    </w:rPr>
                    <w:t>是</w:t>
                  </w:r>
                </w:p>
              </w:tc>
              <w:tc>
                <w:tcPr>
                  <w:tcW w:w="0" w:type="auto"/>
                  <w:tcBorders>
                    <w:left w:val="single" w:color="000000" w:sz="12" w:space="0"/>
                    <w:right w:val="single" w:color="000000" w:sz="12" w:space="0"/>
                    <w:tl2br w:val="nil"/>
                    <w:tr2bl w:val="nil"/>
                  </w:tcBorders>
                  <w:shd w:val="clear" w:color="auto" w:fill="auto"/>
                  <w:noWrap w:val="0"/>
                  <w:vAlign w:val="center"/>
                </w:tcPr>
                <w:p w14:paraId="0E2F305C">
                  <w:pPr>
                    <w:pStyle w:val="183"/>
                    <w:ind w:firstLine="0" w:firstLineChars="0"/>
                    <w:rPr>
                      <w:rFonts w:hint="default"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eastAsia" w:cs="Times New Roman"/>
                      <w:color w:val="000000" w:themeColor="text1"/>
                      <w:lang w:val="en-US" w:eastAsia="zh-CN"/>
                      <w14:textFill>
                        <w14:solidFill>
                          <w14:schemeClr w14:val="tx1"/>
                        </w14:solidFill>
                      </w14:textFill>
                    </w:rPr>
                    <w:t>/</w:t>
                  </w:r>
                </w:p>
              </w:tc>
              <w:tc>
                <w:tcPr>
                  <w:tcW w:w="0" w:type="auto"/>
                  <w:tcBorders>
                    <w:left w:val="single" w:color="000000" w:sz="12" w:space="0"/>
                    <w:right w:val="single" w:color="000000" w:sz="12" w:space="0"/>
                    <w:tl2br w:val="nil"/>
                    <w:tr2bl w:val="nil"/>
                  </w:tcBorders>
                  <w:shd w:val="clear" w:color="auto" w:fill="auto"/>
                  <w:noWrap w:val="0"/>
                  <w:vAlign w:val="center"/>
                </w:tcPr>
                <w:p w14:paraId="7E8F00E8">
                  <w:pPr>
                    <w:pStyle w:val="183"/>
                    <w:ind w:firstLine="0" w:firstLineChars="0"/>
                    <w:rPr>
                      <w:rFonts w:hint="default"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eastAsia" w:cs="Times New Roman"/>
                      <w:color w:val="000000" w:themeColor="text1"/>
                      <w:lang w:val="en-US" w:eastAsia="zh-CN"/>
                      <w14:textFill>
                        <w14:solidFill>
                          <w14:schemeClr w14:val="tx1"/>
                        </w14:solidFill>
                      </w14:textFill>
                    </w:rPr>
                    <w:t>是</w:t>
                  </w:r>
                </w:p>
              </w:tc>
              <w:tc>
                <w:tcPr>
                  <w:tcW w:w="0" w:type="auto"/>
                  <w:tcBorders>
                    <w:left w:val="single" w:color="000000" w:sz="12" w:space="0"/>
                    <w:right w:val="single" w:color="000000" w:sz="12" w:space="0"/>
                    <w:tl2br w:val="nil"/>
                    <w:tr2bl w:val="nil"/>
                  </w:tcBorders>
                  <w:shd w:val="clear" w:color="auto" w:fill="auto"/>
                  <w:noWrap w:val="0"/>
                  <w:vAlign w:val="center"/>
                </w:tcPr>
                <w:p w14:paraId="244B827D">
                  <w:pPr>
                    <w:pStyle w:val="183"/>
                    <w:ind w:firstLine="0" w:firstLineChars="0"/>
                    <w:rPr>
                      <w:rFonts w:hint="default"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eastAsia" w:cs="Times New Roman"/>
                      <w:color w:val="000000" w:themeColor="text1"/>
                      <w:lang w:val="en-US" w:eastAsia="zh-CN"/>
                      <w14:textFill>
                        <w14:solidFill>
                          <w14:schemeClr w14:val="tx1"/>
                        </w14:solidFill>
                      </w14:textFill>
                    </w:rPr>
                    <w:t>/</w:t>
                  </w:r>
                </w:p>
              </w:tc>
              <w:tc>
                <w:tcPr>
                  <w:tcW w:w="0" w:type="auto"/>
                  <w:tcBorders>
                    <w:left w:val="single" w:color="000000" w:sz="12" w:space="0"/>
                    <w:right w:val="single" w:color="000000" w:sz="12" w:space="0"/>
                    <w:tl2br w:val="nil"/>
                    <w:tr2bl w:val="nil"/>
                  </w:tcBorders>
                  <w:noWrap w:val="0"/>
                  <w:vAlign w:val="center"/>
                </w:tcPr>
                <w:p w14:paraId="1791F1D6">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w:t>
                  </w:r>
                </w:p>
              </w:tc>
              <w:tc>
                <w:tcPr>
                  <w:tcW w:w="0" w:type="auto"/>
                  <w:tcBorders>
                    <w:left w:val="single" w:color="000000" w:sz="12" w:space="0"/>
                    <w:tl2br w:val="nil"/>
                    <w:tr2bl w:val="nil"/>
                  </w:tcBorders>
                  <w:noWrap w:val="0"/>
                  <w:vAlign w:val="center"/>
                </w:tcPr>
                <w:p w14:paraId="72C29EF8">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w:t>
                  </w:r>
                </w:p>
              </w:tc>
            </w:tr>
            <w:tr w14:paraId="15FDAC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gridSpan w:val="2"/>
                  <w:tcBorders>
                    <w:tl2br w:val="nil"/>
                    <w:tr2bl w:val="nil"/>
                  </w:tcBorders>
                  <w:noWrap w:val="0"/>
                  <w:vAlign w:val="center"/>
                </w:tcPr>
                <w:p w14:paraId="0F79D946">
                  <w:pPr>
                    <w:pStyle w:val="18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污染物排放浓度（mg/m</w:t>
                  </w:r>
                  <w:r>
                    <w:rPr>
                      <w:rFonts w:hint="default" w:ascii="Times New Roman" w:hAnsi="Times New Roman" w:cs="Times New Roman"/>
                      <w:color w:val="000000" w:themeColor="text1"/>
                      <w:vertAlign w:val="superscript"/>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w:t>
                  </w:r>
                </w:p>
              </w:tc>
              <w:tc>
                <w:tcPr>
                  <w:tcW w:w="0" w:type="auto"/>
                  <w:tcBorders>
                    <w:tl2br w:val="nil"/>
                    <w:tr2bl w:val="nil"/>
                  </w:tcBorders>
                  <w:noWrap w:val="0"/>
                  <w:vAlign w:val="center"/>
                </w:tcPr>
                <w:p w14:paraId="68CA3FC7">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1.01</w:t>
                  </w:r>
                </w:p>
              </w:tc>
              <w:tc>
                <w:tcPr>
                  <w:tcW w:w="0" w:type="auto"/>
                  <w:tcBorders>
                    <w:tl2br w:val="nil"/>
                    <w:tr2bl w:val="nil"/>
                  </w:tcBorders>
                  <w:noWrap w:val="0"/>
                  <w:vAlign w:val="center"/>
                </w:tcPr>
                <w:p w14:paraId="52858303">
                  <w:pPr>
                    <w:pStyle w:val="183"/>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w:t>
                  </w:r>
                </w:p>
              </w:tc>
              <w:tc>
                <w:tcPr>
                  <w:tcW w:w="0" w:type="auto"/>
                  <w:tcBorders>
                    <w:right w:val="single" w:color="000000" w:sz="12" w:space="0"/>
                    <w:tl2br w:val="nil"/>
                    <w:tr2bl w:val="nil"/>
                  </w:tcBorders>
                  <w:noWrap w:val="0"/>
                  <w:vAlign w:val="center"/>
                </w:tcPr>
                <w:p w14:paraId="6B3D1AC6">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0.11</w:t>
                  </w:r>
                </w:p>
              </w:tc>
              <w:tc>
                <w:tcPr>
                  <w:tcW w:w="0" w:type="auto"/>
                  <w:tcBorders>
                    <w:left w:val="single" w:color="000000" w:sz="12" w:space="0"/>
                    <w:right w:val="single" w:color="000000" w:sz="12" w:space="0"/>
                    <w:tl2br w:val="nil"/>
                    <w:tr2bl w:val="nil"/>
                  </w:tcBorders>
                  <w:noWrap w:val="0"/>
                  <w:vAlign w:val="center"/>
                </w:tcPr>
                <w:p w14:paraId="4E13A455">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w:t>
                  </w:r>
                </w:p>
              </w:tc>
              <w:tc>
                <w:tcPr>
                  <w:tcW w:w="0" w:type="auto"/>
                  <w:tcBorders>
                    <w:left w:val="single" w:color="000000" w:sz="12" w:space="0"/>
                    <w:right w:val="single" w:color="000000" w:sz="12" w:space="0"/>
                    <w:tl2br w:val="nil"/>
                    <w:tr2bl w:val="nil"/>
                  </w:tcBorders>
                  <w:noWrap w:val="0"/>
                  <w:vAlign w:val="center"/>
                </w:tcPr>
                <w:p w14:paraId="74FB49AC">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1.03</w:t>
                  </w:r>
                </w:p>
              </w:tc>
              <w:tc>
                <w:tcPr>
                  <w:tcW w:w="0" w:type="auto"/>
                  <w:tcBorders>
                    <w:left w:val="single" w:color="000000" w:sz="12" w:space="0"/>
                    <w:right w:val="single" w:color="000000" w:sz="12" w:space="0"/>
                    <w:tl2br w:val="nil"/>
                    <w:tr2bl w:val="nil"/>
                  </w:tcBorders>
                  <w:noWrap w:val="0"/>
                  <w:vAlign w:val="center"/>
                </w:tcPr>
                <w:p w14:paraId="6D7A018B">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w:t>
                  </w:r>
                </w:p>
              </w:tc>
              <w:tc>
                <w:tcPr>
                  <w:tcW w:w="0" w:type="auto"/>
                  <w:tcBorders>
                    <w:left w:val="single" w:color="000000" w:sz="12" w:space="0"/>
                    <w:right w:val="single" w:color="000000" w:sz="12" w:space="0"/>
                    <w:tl2br w:val="nil"/>
                    <w:tr2bl w:val="nil"/>
                  </w:tcBorders>
                  <w:noWrap w:val="0"/>
                  <w:vAlign w:val="center"/>
                </w:tcPr>
                <w:p w14:paraId="1FE582AD">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0.47</w:t>
                  </w:r>
                </w:p>
              </w:tc>
              <w:tc>
                <w:tcPr>
                  <w:tcW w:w="0" w:type="auto"/>
                  <w:tcBorders>
                    <w:left w:val="single" w:color="000000" w:sz="12" w:space="0"/>
                    <w:right w:val="single" w:color="000000" w:sz="12" w:space="0"/>
                    <w:tl2br w:val="nil"/>
                    <w:tr2bl w:val="nil"/>
                  </w:tcBorders>
                  <w:noWrap w:val="0"/>
                  <w:vAlign w:val="center"/>
                </w:tcPr>
                <w:p w14:paraId="1B8C6443">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w:t>
                  </w:r>
                </w:p>
              </w:tc>
              <w:tc>
                <w:tcPr>
                  <w:tcW w:w="0" w:type="auto"/>
                  <w:tcBorders>
                    <w:left w:val="single" w:color="000000" w:sz="12" w:space="0"/>
                    <w:right w:val="single" w:color="000000" w:sz="12" w:space="0"/>
                    <w:tl2br w:val="nil"/>
                    <w:tr2bl w:val="nil"/>
                  </w:tcBorders>
                  <w:noWrap w:val="0"/>
                  <w:vAlign w:val="center"/>
                </w:tcPr>
                <w:p w14:paraId="6CCCDDDB">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0.37</w:t>
                  </w:r>
                </w:p>
              </w:tc>
              <w:tc>
                <w:tcPr>
                  <w:tcW w:w="0" w:type="auto"/>
                  <w:tcBorders>
                    <w:left w:val="single" w:color="000000" w:sz="12" w:space="0"/>
                    <w:right w:val="single" w:color="000000" w:sz="12" w:space="0"/>
                    <w:tl2br w:val="nil"/>
                    <w:tr2bl w:val="nil"/>
                  </w:tcBorders>
                  <w:noWrap w:val="0"/>
                  <w:vAlign w:val="center"/>
                </w:tcPr>
                <w:p w14:paraId="7D71B4C0">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w:t>
                  </w:r>
                </w:p>
              </w:tc>
              <w:tc>
                <w:tcPr>
                  <w:tcW w:w="0" w:type="auto"/>
                  <w:tcBorders>
                    <w:left w:val="single" w:color="000000" w:sz="12" w:space="0"/>
                    <w:right w:val="single" w:color="000000" w:sz="12" w:space="0"/>
                    <w:tl2br w:val="nil"/>
                    <w:tr2bl w:val="nil"/>
                  </w:tcBorders>
                  <w:noWrap w:val="0"/>
                  <w:vAlign w:val="center"/>
                </w:tcPr>
                <w:p w14:paraId="6EDB4A6A">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4.13</w:t>
                  </w:r>
                </w:p>
              </w:tc>
              <w:tc>
                <w:tcPr>
                  <w:tcW w:w="0" w:type="auto"/>
                  <w:tcBorders>
                    <w:left w:val="single" w:color="000000" w:sz="12" w:space="0"/>
                    <w:tl2br w:val="nil"/>
                    <w:tr2bl w:val="nil"/>
                  </w:tcBorders>
                  <w:noWrap w:val="0"/>
                  <w:vAlign w:val="center"/>
                </w:tcPr>
                <w:p w14:paraId="02D14BD6">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w:t>
                  </w:r>
                </w:p>
              </w:tc>
            </w:tr>
            <w:tr w14:paraId="57C1EA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gridSpan w:val="2"/>
                  <w:tcBorders>
                    <w:tl2br w:val="nil"/>
                    <w:tr2bl w:val="nil"/>
                  </w:tcBorders>
                  <w:noWrap w:val="0"/>
                  <w:vAlign w:val="center"/>
                </w:tcPr>
                <w:p w14:paraId="6C512384">
                  <w:pPr>
                    <w:pStyle w:val="18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污染物排放速率（kg/h）</w:t>
                  </w:r>
                </w:p>
              </w:tc>
              <w:tc>
                <w:tcPr>
                  <w:tcW w:w="0" w:type="auto"/>
                  <w:tcBorders>
                    <w:tl2br w:val="nil"/>
                    <w:tr2bl w:val="nil"/>
                  </w:tcBorders>
                  <w:noWrap w:val="0"/>
                  <w:vAlign w:val="center"/>
                </w:tcPr>
                <w:p w14:paraId="0F769E66">
                  <w:pPr>
                    <w:pStyle w:val="22"/>
                    <w:spacing w:after="0" w:line="240" w:lineRule="auto"/>
                    <w:ind w:left="0" w:leftChars="0" w:firstLine="0" w:firstLineChars="0"/>
                    <w:jc w:val="center"/>
                    <w:rPr>
                      <w:rFonts w:hint="default"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eastAsia" w:cs="Times New Roman"/>
                      <w:bCs/>
                      <w:color w:val="000000" w:themeColor="text1"/>
                      <w:kern w:val="0"/>
                      <w:sz w:val="21"/>
                      <w:szCs w:val="21"/>
                      <w:lang w:val="en-US" w:eastAsia="zh-CN" w:bidi="ar-SA"/>
                      <w14:textFill>
                        <w14:solidFill>
                          <w14:schemeClr w14:val="tx1"/>
                        </w14:solidFill>
                      </w14:textFill>
                    </w:rPr>
                    <w:t>0.005</w:t>
                  </w:r>
                </w:p>
              </w:tc>
              <w:tc>
                <w:tcPr>
                  <w:tcW w:w="0" w:type="auto"/>
                  <w:tcBorders>
                    <w:tl2br w:val="nil"/>
                    <w:tr2bl w:val="nil"/>
                  </w:tcBorders>
                  <w:noWrap w:val="0"/>
                  <w:vAlign w:val="center"/>
                </w:tcPr>
                <w:p w14:paraId="64EA41B5">
                  <w:pPr>
                    <w:pStyle w:val="22"/>
                    <w:spacing w:after="0" w:line="240" w:lineRule="auto"/>
                    <w:ind w:left="0" w:leftChars="0" w:firstLine="0" w:firstLineChars="0"/>
                    <w:jc w:val="center"/>
                    <w:rPr>
                      <w:rFonts w:hint="default"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eastAsia" w:cs="Times New Roman"/>
                      <w:bCs/>
                      <w:color w:val="000000" w:themeColor="text1"/>
                      <w:kern w:val="0"/>
                      <w:sz w:val="21"/>
                      <w:szCs w:val="21"/>
                      <w:lang w:val="en-US" w:eastAsia="zh-CN" w:bidi="ar-SA"/>
                      <w14:textFill>
                        <w14:solidFill>
                          <w14:schemeClr w14:val="tx1"/>
                        </w14:solidFill>
                      </w14:textFill>
                    </w:rPr>
                    <w:t>0.019</w:t>
                  </w:r>
                </w:p>
              </w:tc>
              <w:tc>
                <w:tcPr>
                  <w:tcW w:w="0" w:type="auto"/>
                  <w:tcBorders>
                    <w:right w:val="single" w:color="000000" w:sz="12" w:space="0"/>
                    <w:tl2br w:val="nil"/>
                    <w:tr2bl w:val="nil"/>
                  </w:tcBorders>
                  <w:noWrap w:val="0"/>
                  <w:vAlign w:val="center"/>
                </w:tcPr>
                <w:p w14:paraId="11D3A16F">
                  <w:pPr>
                    <w:pStyle w:val="22"/>
                    <w:spacing w:after="0" w:line="240" w:lineRule="auto"/>
                    <w:ind w:left="0" w:leftChars="0" w:firstLine="0" w:firstLineChars="0"/>
                    <w:jc w:val="center"/>
                    <w:rPr>
                      <w:rFonts w:hint="default"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eastAsia" w:cs="Times New Roman"/>
                      <w:bCs/>
                      <w:color w:val="000000" w:themeColor="text1"/>
                      <w:kern w:val="0"/>
                      <w:sz w:val="21"/>
                      <w:szCs w:val="21"/>
                      <w:lang w:val="en-US" w:eastAsia="zh-CN" w:bidi="ar-SA"/>
                      <w14:textFill>
                        <w14:solidFill>
                          <w14:schemeClr w14:val="tx1"/>
                        </w14:solidFill>
                      </w14:textFill>
                    </w:rPr>
                    <w:t>0.00055</w:t>
                  </w:r>
                </w:p>
              </w:tc>
              <w:tc>
                <w:tcPr>
                  <w:tcW w:w="0" w:type="auto"/>
                  <w:tcBorders>
                    <w:left w:val="single" w:color="000000" w:sz="12" w:space="0"/>
                    <w:right w:val="single" w:color="000000" w:sz="12" w:space="0"/>
                    <w:tl2br w:val="nil"/>
                    <w:tr2bl w:val="nil"/>
                  </w:tcBorders>
                  <w:noWrap w:val="0"/>
                  <w:vAlign w:val="center"/>
                </w:tcPr>
                <w:p w14:paraId="318A5E6E">
                  <w:pPr>
                    <w:pStyle w:val="22"/>
                    <w:spacing w:after="0" w:line="240" w:lineRule="auto"/>
                    <w:ind w:left="0" w:leftChars="0" w:firstLine="0" w:firstLineChars="0"/>
                    <w:jc w:val="center"/>
                    <w:rPr>
                      <w:rFonts w:hint="default" w:ascii="Times New Roman" w:hAnsi="Times New Roman" w:cs="Times New Roman"/>
                      <w:bCs/>
                      <w:color w:val="000000" w:themeColor="text1"/>
                      <w:kern w:val="0"/>
                      <w:sz w:val="21"/>
                      <w:szCs w:val="21"/>
                      <w:lang w:val="en-US" w:eastAsia="zh-CN" w:bidi="ar-SA"/>
                      <w14:textFill>
                        <w14:solidFill>
                          <w14:schemeClr w14:val="tx1"/>
                        </w14:solidFill>
                      </w14:textFill>
                    </w:rPr>
                  </w:pPr>
                  <w:r>
                    <w:rPr>
                      <w:rFonts w:hint="eastAsia" w:cs="Times New Roman"/>
                      <w:bCs/>
                      <w:color w:val="000000" w:themeColor="text1"/>
                      <w:kern w:val="0"/>
                      <w:sz w:val="21"/>
                      <w:szCs w:val="21"/>
                      <w:lang w:val="en-US" w:eastAsia="zh-CN" w:bidi="ar-SA"/>
                      <w14:textFill>
                        <w14:solidFill>
                          <w14:schemeClr w14:val="tx1"/>
                        </w14:solidFill>
                      </w14:textFill>
                    </w:rPr>
                    <w:t>/</w:t>
                  </w:r>
                </w:p>
              </w:tc>
              <w:tc>
                <w:tcPr>
                  <w:tcW w:w="0" w:type="auto"/>
                  <w:tcBorders>
                    <w:left w:val="single" w:color="000000" w:sz="12" w:space="0"/>
                    <w:right w:val="single" w:color="000000" w:sz="12" w:space="0"/>
                    <w:tl2br w:val="nil"/>
                    <w:tr2bl w:val="nil"/>
                  </w:tcBorders>
                  <w:noWrap w:val="0"/>
                  <w:vAlign w:val="center"/>
                </w:tcPr>
                <w:p w14:paraId="55A2DD3F">
                  <w:pPr>
                    <w:pStyle w:val="22"/>
                    <w:spacing w:after="0" w:line="240" w:lineRule="auto"/>
                    <w:ind w:left="0" w:leftChars="0" w:firstLine="0" w:firstLineChars="0"/>
                    <w:jc w:val="center"/>
                    <w:rPr>
                      <w:rFonts w:hint="default" w:ascii="Times New Roman" w:hAnsi="Times New Roman" w:cs="Times New Roman"/>
                      <w:bCs/>
                      <w:color w:val="000000" w:themeColor="text1"/>
                      <w:kern w:val="0"/>
                      <w:sz w:val="21"/>
                      <w:szCs w:val="21"/>
                      <w:lang w:val="en-US" w:eastAsia="zh-CN" w:bidi="ar-SA"/>
                      <w14:textFill>
                        <w14:solidFill>
                          <w14:schemeClr w14:val="tx1"/>
                        </w14:solidFill>
                      </w14:textFill>
                    </w:rPr>
                  </w:pPr>
                  <w:r>
                    <w:rPr>
                      <w:rFonts w:hint="eastAsia" w:cs="Times New Roman"/>
                      <w:bCs/>
                      <w:color w:val="000000" w:themeColor="text1"/>
                      <w:kern w:val="0"/>
                      <w:sz w:val="21"/>
                      <w:szCs w:val="21"/>
                      <w:lang w:val="en-US" w:eastAsia="zh-CN" w:bidi="ar-SA"/>
                      <w14:textFill>
                        <w14:solidFill>
                          <w14:schemeClr w14:val="tx1"/>
                        </w14:solidFill>
                      </w14:textFill>
                    </w:rPr>
                    <w:t>0.016</w:t>
                  </w:r>
                </w:p>
              </w:tc>
              <w:tc>
                <w:tcPr>
                  <w:tcW w:w="0" w:type="auto"/>
                  <w:tcBorders>
                    <w:left w:val="single" w:color="000000" w:sz="12" w:space="0"/>
                    <w:right w:val="single" w:color="000000" w:sz="12" w:space="0"/>
                    <w:tl2br w:val="nil"/>
                    <w:tr2bl w:val="nil"/>
                  </w:tcBorders>
                  <w:noWrap w:val="0"/>
                  <w:vAlign w:val="center"/>
                </w:tcPr>
                <w:p w14:paraId="12481AB0">
                  <w:pPr>
                    <w:pStyle w:val="22"/>
                    <w:spacing w:after="0" w:line="240" w:lineRule="auto"/>
                    <w:ind w:left="0" w:leftChars="0" w:firstLine="0" w:firstLineChars="0"/>
                    <w:jc w:val="center"/>
                    <w:rPr>
                      <w:rFonts w:hint="default" w:ascii="Times New Roman" w:hAnsi="Times New Roman" w:cs="Times New Roman"/>
                      <w:bCs/>
                      <w:color w:val="000000" w:themeColor="text1"/>
                      <w:kern w:val="0"/>
                      <w:sz w:val="21"/>
                      <w:szCs w:val="21"/>
                      <w:lang w:val="en-US" w:eastAsia="zh-CN" w:bidi="ar-SA"/>
                      <w14:textFill>
                        <w14:solidFill>
                          <w14:schemeClr w14:val="tx1"/>
                        </w14:solidFill>
                      </w14:textFill>
                    </w:rPr>
                  </w:pPr>
                  <w:r>
                    <w:rPr>
                      <w:rFonts w:hint="eastAsia" w:cs="Times New Roman"/>
                      <w:bCs/>
                      <w:color w:val="000000" w:themeColor="text1"/>
                      <w:kern w:val="0"/>
                      <w:sz w:val="21"/>
                      <w:szCs w:val="21"/>
                      <w:lang w:val="en-US" w:eastAsia="zh-CN" w:bidi="ar-SA"/>
                      <w14:textFill>
                        <w14:solidFill>
                          <w14:schemeClr w14:val="tx1"/>
                        </w14:solidFill>
                      </w14:textFill>
                    </w:rPr>
                    <w:t>0.0028</w:t>
                  </w:r>
                </w:p>
              </w:tc>
              <w:tc>
                <w:tcPr>
                  <w:tcW w:w="0" w:type="auto"/>
                  <w:tcBorders>
                    <w:left w:val="single" w:color="000000" w:sz="12" w:space="0"/>
                    <w:right w:val="single" w:color="000000" w:sz="12" w:space="0"/>
                    <w:tl2br w:val="nil"/>
                    <w:tr2bl w:val="nil"/>
                  </w:tcBorders>
                  <w:noWrap w:val="0"/>
                  <w:vAlign w:val="center"/>
                </w:tcPr>
                <w:p w14:paraId="5CDB8F36">
                  <w:pPr>
                    <w:pStyle w:val="22"/>
                    <w:spacing w:after="0" w:line="240" w:lineRule="auto"/>
                    <w:ind w:left="0" w:leftChars="0" w:firstLine="0" w:firstLineChars="0"/>
                    <w:jc w:val="center"/>
                    <w:rPr>
                      <w:rFonts w:hint="default" w:ascii="Times New Roman" w:hAnsi="Times New Roman" w:cs="Times New Roman"/>
                      <w:bCs/>
                      <w:color w:val="000000" w:themeColor="text1"/>
                      <w:kern w:val="0"/>
                      <w:sz w:val="21"/>
                      <w:szCs w:val="21"/>
                      <w:lang w:val="en-US" w:eastAsia="zh-CN" w:bidi="ar-SA"/>
                      <w14:textFill>
                        <w14:solidFill>
                          <w14:schemeClr w14:val="tx1"/>
                        </w14:solidFill>
                      </w14:textFill>
                    </w:rPr>
                  </w:pPr>
                  <w:r>
                    <w:rPr>
                      <w:rFonts w:hint="eastAsia" w:cs="Times New Roman"/>
                      <w:bCs/>
                      <w:color w:val="000000" w:themeColor="text1"/>
                      <w:kern w:val="0"/>
                      <w:sz w:val="21"/>
                      <w:szCs w:val="21"/>
                      <w:lang w:val="en-US" w:eastAsia="zh-CN" w:bidi="ar-SA"/>
                      <w14:textFill>
                        <w14:solidFill>
                          <w14:schemeClr w14:val="tx1"/>
                        </w14:solidFill>
                      </w14:textFill>
                    </w:rPr>
                    <w:t>0.007</w:t>
                  </w:r>
                </w:p>
              </w:tc>
              <w:tc>
                <w:tcPr>
                  <w:tcW w:w="0" w:type="auto"/>
                  <w:tcBorders>
                    <w:left w:val="single" w:color="000000" w:sz="12" w:space="0"/>
                    <w:right w:val="single" w:color="000000" w:sz="12" w:space="0"/>
                    <w:tl2br w:val="nil"/>
                    <w:tr2bl w:val="nil"/>
                  </w:tcBorders>
                  <w:noWrap w:val="0"/>
                  <w:vAlign w:val="center"/>
                </w:tcPr>
                <w:p w14:paraId="75D79484">
                  <w:pPr>
                    <w:pStyle w:val="22"/>
                    <w:spacing w:after="0" w:line="240" w:lineRule="auto"/>
                    <w:ind w:left="0" w:leftChars="0" w:firstLine="0" w:firstLineChars="0"/>
                    <w:jc w:val="center"/>
                    <w:rPr>
                      <w:rFonts w:hint="default" w:ascii="Times New Roman" w:hAnsi="Times New Roman" w:cs="Times New Roman"/>
                      <w:bCs/>
                      <w:color w:val="000000" w:themeColor="text1"/>
                      <w:kern w:val="0"/>
                      <w:sz w:val="21"/>
                      <w:szCs w:val="21"/>
                      <w:lang w:val="en-US" w:eastAsia="zh-CN" w:bidi="ar-SA"/>
                      <w14:textFill>
                        <w14:solidFill>
                          <w14:schemeClr w14:val="tx1"/>
                        </w14:solidFill>
                      </w14:textFill>
                    </w:rPr>
                  </w:pPr>
                  <w:r>
                    <w:rPr>
                      <w:rFonts w:hint="eastAsia" w:cs="Times New Roman"/>
                      <w:bCs/>
                      <w:color w:val="000000" w:themeColor="text1"/>
                      <w:kern w:val="0"/>
                      <w:sz w:val="21"/>
                      <w:szCs w:val="21"/>
                      <w:lang w:val="en-US" w:eastAsia="zh-CN" w:bidi="ar-SA"/>
                      <w14:textFill>
                        <w14:solidFill>
                          <w14:schemeClr w14:val="tx1"/>
                        </w14:solidFill>
                      </w14:textFill>
                    </w:rPr>
                    <w:t>0.002</w:t>
                  </w:r>
                </w:p>
              </w:tc>
              <w:tc>
                <w:tcPr>
                  <w:tcW w:w="0" w:type="auto"/>
                  <w:tcBorders>
                    <w:left w:val="single" w:color="000000" w:sz="12" w:space="0"/>
                    <w:right w:val="single" w:color="000000" w:sz="12" w:space="0"/>
                    <w:tl2br w:val="nil"/>
                    <w:tr2bl w:val="nil"/>
                  </w:tcBorders>
                  <w:noWrap w:val="0"/>
                  <w:vAlign w:val="center"/>
                </w:tcPr>
                <w:p w14:paraId="424380B0">
                  <w:pPr>
                    <w:pStyle w:val="22"/>
                    <w:spacing w:after="0" w:line="240" w:lineRule="auto"/>
                    <w:ind w:left="0" w:leftChars="0" w:firstLine="0" w:firstLineChars="0"/>
                    <w:jc w:val="center"/>
                    <w:rPr>
                      <w:rFonts w:hint="default" w:ascii="Times New Roman" w:hAnsi="Times New Roman" w:cs="Times New Roman"/>
                      <w:bCs/>
                      <w:color w:val="000000" w:themeColor="text1"/>
                      <w:kern w:val="0"/>
                      <w:sz w:val="21"/>
                      <w:szCs w:val="21"/>
                      <w:lang w:val="en-US" w:eastAsia="zh-CN" w:bidi="ar-SA"/>
                      <w14:textFill>
                        <w14:solidFill>
                          <w14:schemeClr w14:val="tx1"/>
                        </w14:solidFill>
                      </w14:textFill>
                    </w:rPr>
                  </w:pPr>
                  <w:r>
                    <w:rPr>
                      <w:rFonts w:hint="eastAsia" w:cs="Times New Roman"/>
                      <w:bCs/>
                      <w:color w:val="000000" w:themeColor="text1"/>
                      <w:kern w:val="0"/>
                      <w:sz w:val="21"/>
                      <w:szCs w:val="21"/>
                      <w:lang w:val="en-US" w:eastAsia="zh-CN" w:bidi="ar-SA"/>
                      <w14:textFill>
                        <w14:solidFill>
                          <w14:schemeClr w14:val="tx1"/>
                        </w14:solidFill>
                      </w14:textFill>
                    </w:rPr>
                    <w:t>0.0056</w:t>
                  </w:r>
                </w:p>
              </w:tc>
              <w:tc>
                <w:tcPr>
                  <w:tcW w:w="0" w:type="auto"/>
                  <w:tcBorders>
                    <w:left w:val="single" w:color="000000" w:sz="12" w:space="0"/>
                    <w:right w:val="single" w:color="000000" w:sz="12" w:space="0"/>
                    <w:tl2br w:val="nil"/>
                    <w:tr2bl w:val="nil"/>
                  </w:tcBorders>
                  <w:noWrap w:val="0"/>
                  <w:vAlign w:val="center"/>
                </w:tcPr>
                <w:p w14:paraId="043E7478">
                  <w:pPr>
                    <w:pStyle w:val="22"/>
                    <w:spacing w:after="0" w:line="240" w:lineRule="auto"/>
                    <w:ind w:left="0" w:leftChars="0" w:firstLine="0" w:firstLineChars="0"/>
                    <w:jc w:val="center"/>
                    <w:rPr>
                      <w:rFonts w:hint="default" w:ascii="Times New Roman" w:hAnsi="Times New Roman" w:cs="Times New Roman"/>
                      <w:bCs/>
                      <w:color w:val="000000" w:themeColor="text1"/>
                      <w:kern w:val="0"/>
                      <w:sz w:val="21"/>
                      <w:szCs w:val="21"/>
                      <w:lang w:val="en-US" w:eastAsia="zh-CN" w:bidi="ar-SA"/>
                      <w14:textFill>
                        <w14:solidFill>
                          <w14:schemeClr w14:val="tx1"/>
                        </w14:solidFill>
                      </w14:textFill>
                    </w:rPr>
                  </w:pPr>
                  <w:r>
                    <w:rPr>
                      <w:rFonts w:hint="eastAsia" w:cs="Times New Roman"/>
                      <w:bCs/>
                      <w:color w:val="000000" w:themeColor="text1"/>
                      <w:kern w:val="0"/>
                      <w:sz w:val="21"/>
                      <w:szCs w:val="21"/>
                      <w:lang w:val="en-US" w:eastAsia="zh-CN" w:bidi="ar-SA"/>
                      <w14:textFill>
                        <w14:solidFill>
                          <w14:schemeClr w14:val="tx1"/>
                        </w14:solidFill>
                      </w14:textFill>
                    </w:rPr>
                    <w:t>0.001</w:t>
                  </w:r>
                </w:p>
              </w:tc>
              <w:tc>
                <w:tcPr>
                  <w:tcW w:w="0" w:type="auto"/>
                  <w:tcBorders>
                    <w:left w:val="single" w:color="000000" w:sz="12" w:space="0"/>
                    <w:right w:val="single" w:color="000000" w:sz="12" w:space="0"/>
                    <w:tl2br w:val="nil"/>
                    <w:tr2bl w:val="nil"/>
                  </w:tcBorders>
                  <w:noWrap w:val="0"/>
                  <w:vAlign w:val="center"/>
                </w:tcPr>
                <w:p w14:paraId="6E78D86D">
                  <w:pPr>
                    <w:pStyle w:val="22"/>
                    <w:spacing w:after="0" w:line="240" w:lineRule="auto"/>
                    <w:ind w:left="0" w:leftChars="0" w:firstLine="0" w:firstLineChars="0"/>
                    <w:jc w:val="center"/>
                    <w:rPr>
                      <w:rFonts w:hint="default" w:ascii="Times New Roman" w:hAnsi="Times New Roman" w:cs="Times New Roman"/>
                      <w:bCs/>
                      <w:color w:val="000000" w:themeColor="text1"/>
                      <w:kern w:val="0"/>
                      <w:sz w:val="21"/>
                      <w:szCs w:val="21"/>
                      <w:lang w:val="en-US" w:eastAsia="zh-CN" w:bidi="ar-SA"/>
                      <w14:textFill>
                        <w14:solidFill>
                          <w14:schemeClr w14:val="tx1"/>
                        </w14:solidFill>
                      </w14:textFill>
                    </w:rPr>
                  </w:pPr>
                  <w:r>
                    <w:rPr>
                      <w:rFonts w:hint="eastAsia" w:cs="Times New Roman"/>
                      <w:bCs/>
                      <w:color w:val="000000" w:themeColor="text1"/>
                      <w:kern w:val="0"/>
                      <w:sz w:val="21"/>
                      <w:szCs w:val="21"/>
                      <w:lang w:val="en-US" w:eastAsia="zh-CN" w:bidi="ar-SA"/>
                      <w14:textFill>
                        <w14:solidFill>
                          <w14:schemeClr w14:val="tx1"/>
                        </w14:solidFill>
                      </w14:textFill>
                    </w:rPr>
                    <w:t>0.062</w:t>
                  </w:r>
                </w:p>
              </w:tc>
              <w:tc>
                <w:tcPr>
                  <w:tcW w:w="0" w:type="auto"/>
                  <w:tcBorders>
                    <w:left w:val="single" w:color="000000" w:sz="12" w:space="0"/>
                    <w:tl2br w:val="nil"/>
                    <w:tr2bl w:val="nil"/>
                  </w:tcBorders>
                  <w:noWrap w:val="0"/>
                  <w:vAlign w:val="center"/>
                </w:tcPr>
                <w:p w14:paraId="307F2208">
                  <w:pPr>
                    <w:pStyle w:val="22"/>
                    <w:spacing w:after="0" w:line="240" w:lineRule="auto"/>
                    <w:ind w:left="0" w:leftChars="0" w:firstLine="0" w:firstLineChars="0"/>
                    <w:jc w:val="center"/>
                    <w:rPr>
                      <w:rFonts w:hint="default" w:ascii="Times New Roman" w:hAnsi="Times New Roman" w:cs="Times New Roman"/>
                      <w:bCs/>
                      <w:color w:val="000000" w:themeColor="text1"/>
                      <w:kern w:val="0"/>
                      <w:sz w:val="21"/>
                      <w:szCs w:val="21"/>
                      <w:lang w:val="en-US" w:eastAsia="zh-CN" w:bidi="ar-SA"/>
                      <w14:textFill>
                        <w14:solidFill>
                          <w14:schemeClr w14:val="tx1"/>
                        </w14:solidFill>
                      </w14:textFill>
                    </w:rPr>
                  </w:pPr>
                  <w:r>
                    <w:rPr>
                      <w:rFonts w:hint="eastAsia" w:cs="Times New Roman"/>
                      <w:bCs/>
                      <w:color w:val="000000" w:themeColor="text1"/>
                      <w:kern w:val="0"/>
                      <w:sz w:val="21"/>
                      <w:szCs w:val="21"/>
                      <w:lang w:val="en-US" w:eastAsia="zh-CN" w:bidi="ar-SA"/>
                      <w14:textFill>
                        <w14:solidFill>
                          <w14:schemeClr w14:val="tx1"/>
                        </w14:solidFill>
                      </w14:textFill>
                    </w:rPr>
                    <w:t>0.034</w:t>
                  </w:r>
                </w:p>
              </w:tc>
            </w:tr>
            <w:tr w14:paraId="715258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gridSpan w:val="2"/>
                  <w:tcBorders>
                    <w:tl2br w:val="nil"/>
                    <w:tr2bl w:val="nil"/>
                  </w:tcBorders>
                  <w:noWrap w:val="0"/>
                  <w:vAlign w:val="center"/>
                </w:tcPr>
                <w:p w14:paraId="0F08E947">
                  <w:pPr>
                    <w:pStyle w:val="18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污染物排放量（t/a）</w:t>
                  </w:r>
                </w:p>
              </w:tc>
              <w:tc>
                <w:tcPr>
                  <w:tcW w:w="0" w:type="auto"/>
                  <w:tcBorders>
                    <w:tl2br w:val="nil"/>
                    <w:tr2bl w:val="nil"/>
                  </w:tcBorders>
                  <w:noWrap w:val="0"/>
                  <w:vAlign w:val="center"/>
                </w:tcPr>
                <w:p w14:paraId="53B4EB79">
                  <w:pPr>
                    <w:pStyle w:val="22"/>
                    <w:spacing w:after="0" w:line="240" w:lineRule="auto"/>
                    <w:ind w:left="0" w:leftChars="0" w:firstLine="0" w:firstLineChars="0"/>
                    <w:jc w:val="center"/>
                    <w:rPr>
                      <w:rFonts w:hint="default"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eastAsia" w:cs="Times New Roman"/>
                      <w:bCs/>
                      <w:color w:val="000000" w:themeColor="text1"/>
                      <w:kern w:val="0"/>
                      <w:sz w:val="21"/>
                      <w:szCs w:val="21"/>
                      <w:lang w:val="en-US" w:eastAsia="zh-CN" w:bidi="ar-SA"/>
                      <w14:textFill>
                        <w14:solidFill>
                          <w14:schemeClr w14:val="tx1"/>
                        </w14:solidFill>
                      </w14:textFill>
                    </w:rPr>
                    <w:t>0.012</w:t>
                  </w:r>
                </w:p>
              </w:tc>
              <w:tc>
                <w:tcPr>
                  <w:tcW w:w="0" w:type="auto"/>
                  <w:tcBorders>
                    <w:tl2br w:val="nil"/>
                    <w:tr2bl w:val="nil"/>
                  </w:tcBorders>
                  <w:noWrap w:val="0"/>
                  <w:vAlign w:val="center"/>
                </w:tcPr>
                <w:p w14:paraId="25327395">
                  <w:pPr>
                    <w:pStyle w:val="22"/>
                    <w:spacing w:after="0" w:line="240" w:lineRule="auto"/>
                    <w:ind w:left="0" w:leftChars="0" w:firstLine="0" w:firstLineChars="0"/>
                    <w:jc w:val="center"/>
                    <w:rPr>
                      <w:rFonts w:hint="default"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eastAsia" w:cs="Times New Roman"/>
                      <w:bCs/>
                      <w:color w:val="000000" w:themeColor="text1"/>
                      <w:kern w:val="0"/>
                      <w:sz w:val="21"/>
                      <w:szCs w:val="21"/>
                      <w:lang w:val="en-US" w:eastAsia="zh-CN" w:bidi="ar-SA"/>
                      <w14:textFill>
                        <w14:solidFill>
                          <w14:schemeClr w14:val="tx1"/>
                        </w14:solidFill>
                      </w14:textFill>
                    </w:rPr>
                    <w:t>0.045</w:t>
                  </w:r>
                </w:p>
              </w:tc>
              <w:tc>
                <w:tcPr>
                  <w:tcW w:w="0" w:type="auto"/>
                  <w:tcBorders>
                    <w:right w:val="single" w:color="000000" w:sz="12" w:space="0"/>
                    <w:tl2br w:val="nil"/>
                    <w:tr2bl w:val="nil"/>
                  </w:tcBorders>
                  <w:noWrap w:val="0"/>
                  <w:vAlign w:val="center"/>
                </w:tcPr>
                <w:p w14:paraId="1422B105">
                  <w:pPr>
                    <w:pStyle w:val="22"/>
                    <w:spacing w:after="0" w:line="240" w:lineRule="auto"/>
                    <w:ind w:left="0" w:leftChars="0" w:firstLine="0" w:firstLineChars="0"/>
                    <w:jc w:val="center"/>
                    <w:rPr>
                      <w:rFonts w:hint="default"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eastAsia" w:cs="Times New Roman"/>
                      <w:bCs/>
                      <w:color w:val="000000" w:themeColor="text1"/>
                      <w:kern w:val="0"/>
                      <w:sz w:val="21"/>
                      <w:szCs w:val="21"/>
                      <w:lang w:val="en-US" w:eastAsia="zh-CN" w:bidi="ar-SA"/>
                      <w14:textFill>
                        <w14:solidFill>
                          <w14:schemeClr w14:val="tx1"/>
                        </w14:solidFill>
                      </w14:textFill>
                    </w:rPr>
                    <w:t>0.0013</w:t>
                  </w:r>
                </w:p>
              </w:tc>
              <w:tc>
                <w:tcPr>
                  <w:tcW w:w="0" w:type="auto"/>
                  <w:tcBorders>
                    <w:left w:val="single" w:color="000000" w:sz="12" w:space="0"/>
                    <w:right w:val="single" w:color="000000" w:sz="12" w:space="0"/>
                    <w:tl2br w:val="nil"/>
                    <w:tr2bl w:val="nil"/>
                  </w:tcBorders>
                  <w:noWrap w:val="0"/>
                  <w:vAlign w:val="center"/>
                </w:tcPr>
                <w:p w14:paraId="1853E3AC">
                  <w:pPr>
                    <w:pStyle w:val="22"/>
                    <w:spacing w:after="0" w:line="240" w:lineRule="auto"/>
                    <w:ind w:left="0" w:leftChars="0" w:firstLine="0" w:firstLineChars="0"/>
                    <w:jc w:val="center"/>
                    <w:rPr>
                      <w:rFonts w:hint="default" w:ascii="Times New Roman" w:hAnsi="Times New Roman" w:cs="Times New Roman"/>
                      <w:bCs/>
                      <w:color w:val="000000" w:themeColor="text1"/>
                      <w:kern w:val="0"/>
                      <w:sz w:val="21"/>
                      <w:szCs w:val="21"/>
                      <w:lang w:val="en-US" w:eastAsia="zh-CN" w:bidi="ar-SA"/>
                      <w14:textFill>
                        <w14:solidFill>
                          <w14:schemeClr w14:val="tx1"/>
                        </w14:solidFill>
                      </w14:textFill>
                    </w:rPr>
                  </w:pPr>
                  <w:r>
                    <w:rPr>
                      <w:rFonts w:hint="eastAsia" w:cs="Times New Roman"/>
                      <w:bCs/>
                      <w:color w:val="000000" w:themeColor="text1"/>
                      <w:kern w:val="0"/>
                      <w:sz w:val="21"/>
                      <w:szCs w:val="21"/>
                      <w:lang w:val="en-US" w:eastAsia="zh-CN" w:bidi="ar-SA"/>
                      <w14:textFill>
                        <w14:solidFill>
                          <w14:schemeClr w14:val="tx1"/>
                        </w14:solidFill>
                      </w14:textFill>
                    </w:rPr>
                    <w:t>/</w:t>
                  </w:r>
                </w:p>
              </w:tc>
              <w:tc>
                <w:tcPr>
                  <w:tcW w:w="0" w:type="auto"/>
                  <w:tcBorders>
                    <w:left w:val="single" w:color="000000" w:sz="12" w:space="0"/>
                    <w:right w:val="single" w:color="000000" w:sz="12" w:space="0"/>
                    <w:tl2br w:val="nil"/>
                    <w:tr2bl w:val="nil"/>
                  </w:tcBorders>
                  <w:noWrap w:val="0"/>
                  <w:vAlign w:val="center"/>
                </w:tcPr>
                <w:p w14:paraId="61038E3F">
                  <w:pPr>
                    <w:pStyle w:val="22"/>
                    <w:spacing w:after="0" w:line="240" w:lineRule="auto"/>
                    <w:ind w:left="0" w:leftChars="0" w:firstLine="0" w:firstLineChars="0"/>
                    <w:jc w:val="center"/>
                    <w:rPr>
                      <w:rFonts w:hint="default" w:ascii="Times New Roman" w:hAnsi="Times New Roman" w:cs="Times New Roman"/>
                      <w:bCs/>
                      <w:color w:val="000000" w:themeColor="text1"/>
                      <w:kern w:val="0"/>
                      <w:sz w:val="21"/>
                      <w:szCs w:val="21"/>
                      <w:lang w:val="en-US" w:eastAsia="zh-CN" w:bidi="ar-SA"/>
                      <w14:textFill>
                        <w14:solidFill>
                          <w14:schemeClr w14:val="tx1"/>
                        </w14:solidFill>
                      </w14:textFill>
                    </w:rPr>
                  </w:pPr>
                  <w:r>
                    <w:rPr>
                      <w:rFonts w:hint="eastAsia" w:cs="Times New Roman"/>
                      <w:bCs/>
                      <w:color w:val="000000" w:themeColor="text1"/>
                      <w:kern w:val="0"/>
                      <w:sz w:val="21"/>
                      <w:szCs w:val="21"/>
                      <w:lang w:val="en-US" w:eastAsia="zh-CN" w:bidi="ar-SA"/>
                      <w14:textFill>
                        <w14:solidFill>
                          <w14:schemeClr w14:val="tx1"/>
                        </w14:solidFill>
                      </w14:textFill>
                    </w:rPr>
                    <w:t>0.084</w:t>
                  </w:r>
                </w:p>
              </w:tc>
              <w:tc>
                <w:tcPr>
                  <w:tcW w:w="0" w:type="auto"/>
                  <w:tcBorders>
                    <w:left w:val="single" w:color="000000" w:sz="12" w:space="0"/>
                    <w:right w:val="single" w:color="000000" w:sz="12" w:space="0"/>
                    <w:tl2br w:val="nil"/>
                    <w:tr2bl w:val="nil"/>
                  </w:tcBorders>
                  <w:noWrap w:val="0"/>
                  <w:vAlign w:val="center"/>
                </w:tcPr>
                <w:p w14:paraId="11D33BE1">
                  <w:pPr>
                    <w:pStyle w:val="22"/>
                    <w:spacing w:after="0" w:line="240" w:lineRule="auto"/>
                    <w:ind w:left="0" w:leftChars="0" w:firstLine="0" w:firstLineChars="0"/>
                    <w:jc w:val="center"/>
                    <w:rPr>
                      <w:rFonts w:hint="default" w:ascii="Times New Roman" w:hAnsi="Times New Roman" w:cs="Times New Roman"/>
                      <w:bCs/>
                      <w:color w:val="000000" w:themeColor="text1"/>
                      <w:kern w:val="0"/>
                      <w:sz w:val="21"/>
                      <w:szCs w:val="21"/>
                      <w:lang w:val="en-US" w:eastAsia="zh-CN" w:bidi="ar-SA"/>
                      <w14:textFill>
                        <w14:solidFill>
                          <w14:schemeClr w14:val="tx1"/>
                        </w14:solidFill>
                      </w14:textFill>
                    </w:rPr>
                  </w:pPr>
                  <w:r>
                    <w:rPr>
                      <w:rFonts w:hint="eastAsia" w:cs="Times New Roman"/>
                      <w:bCs/>
                      <w:color w:val="000000" w:themeColor="text1"/>
                      <w:kern w:val="0"/>
                      <w:sz w:val="21"/>
                      <w:szCs w:val="21"/>
                      <w:lang w:val="en-US" w:eastAsia="zh-CN" w:bidi="ar-SA"/>
                      <w14:textFill>
                        <w14:solidFill>
                          <w14:schemeClr w14:val="tx1"/>
                        </w14:solidFill>
                      </w14:textFill>
                    </w:rPr>
                    <w:t>0.015</w:t>
                  </w:r>
                </w:p>
              </w:tc>
              <w:tc>
                <w:tcPr>
                  <w:tcW w:w="0" w:type="auto"/>
                  <w:tcBorders>
                    <w:left w:val="single" w:color="000000" w:sz="12" w:space="0"/>
                    <w:right w:val="single" w:color="000000" w:sz="12" w:space="0"/>
                    <w:tl2br w:val="nil"/>
                    <w:tr2bl w:val="nil"/>
                  </w:tcBorders>
                  <w:noWrap w:val="0"/>
                  <w:vAlign w:val="center"/>
                </w:tcPr>
                <w:p w14:paraId="0AC4FD71">
                  <w:pPr>
                    <w:pStyle w:val="22"/>
                    <w:spacing w:after="0" w:line="240" w:lineRule="auto"/>
                    <w:ind w:left="0" w:leftChars="0" w:firstLine="0" w:firstLineChars="0"/>
                    <w:jc w:val="center"/>
                    <w:rPr>
                      <w:rFonts w:hint="default" w:ascii="Times New Roman" w:hAnsi="Times New Roman" w:cs="Times New Roman"/>
                      <w:bCs/>
                      <w:color w:val="000000" w:themeColor="text1"/>
                      <w:kern w:val="0"/>
                      <w:sz w:val="21"/>
                      <w:szCs w:val="21"/>
                      <w:lang w:val="en-US" w:eastAsia="zh-CN" w:bidi="ar-SA"/>
                      <w14:textFill>
                        <w14:solidFill>
                          <w14:schemeClr w14:val="tx1"/>
                        </w14:solidFill>
                      </w14:textFill>
                    </w:rPr>
                  </w:pPr>
                  <w:r>
                    <w:rPr>
                      <w:rFonts w:hint="eastAsia" w:cs="Times New Roman"/>
                      <w:bCs/>
                      <w:color w:val="000000" w:themeColor="text1"/>
                      <w:kern w:val="0"/>
                      <w:sz w:val="21"/>
                      <w:szCs w:val="21"/>
                      <w:lang w:val="en-US" w:eastAsia="zh-CN" w:bidi="ar-SA"/>
                      <w14:textFill>
                        <w14:solidFill>
                          <w14:schemeClr w14:val="tx1"/>
                        </w14:solidFill>
                      </w14:textFill>
                    </w:rPr>
                    <w:t>0.021</w:t>
                  </w:r>
                </w:p>
              </w:tc>
              <w:tc>
                <w:tcPr>
                  <w:tcW w:w="0" w:type="auto"/>
                  <w:tcBorders>
                    <w:left w:val="single" w:color="000000" w:sz="12" w:space="0"/>
                    <w:right w:val="single" w:color="000000" w:sz="12" w:space="0"/>
                    <w:tl2br w:val="nil"/>
                    <w:tr2bl w:val="nil"/>
                  </w:tcBorders>
                  <w:noWrap w:val="0"/>
                  <w:vAlign w:val="center"/>
                </w:tcPr>
                <w:p w14:paraId="42049562">
                  <w:pPr>
                    <w:pStyle w:val="22"/>
                    <w:spacing w:after="0" w:line="240" w:lineRule="auto"/>
                    <w:ind w:left="0" w:leftChars="0" w:firstLine="0" w:firstLineChars="0"/>
                    <w:jc w:val="center"/>
                    <w:rPr>
                      <w:rFonts w:hint="default" w:ascii="Times New Roman" w:hAnsi="Times New Roman" w:cs="Times New Roman"/>
                      <w:bCs/>
                      <w:color w:val="000000" w:themeColor="text1"/>
                      <w:kern w:val="0"/>
                      <w:sz w:val="21"/>
                      <w:szCs w:val="21"/>
                      <w:lang w:val="en-US" w:eastAsia="zh-CN" w:bidi="ar-SA"/>
                      <w14:textFill>
                        <w14:solidFill>
                          <w14:schemeClr w14:val="tx1"/>
                        </w14:solidFill>
                      </w14:textFill>
                    </w:rPr>
                  </w:pPr>
                  <w:r>
                    <w:rPr>
                      <w:rFonts w:hint="eastAsia" w:cs="Times New Roman"/>
                      <w:bCs/>
                      <w:color w:val="000000" w:themeColor="text1"/>
                      <w:kern w:val="0"/>
                      <w:sz w:val="21"/>
                      <w:szCs w:val="21"/>
                      <w:lang w:val="en-US" w:eastAsia="zh-CN" w:bidi="ar-SA"/>
                      <w14:textFill>
                        <w14:solidFill>
                          <w14:schemeClr w14:val="tx1"/>
                        </w14:solidFill>
                      </w14:textFill>
                    </w:rPr>
                    <w:t>0.006</w:t>
                  </w:r>
                </w:p>
              </w:tc>
              <w:tc>
                <w:tcPr>
                  <w:tcW w:w="0" w:type="auto"/>
                  <w:tcBorders>
                    <w:left w:val="single" w:color="000000" w:sz="12" w:space="0"/>
                    <w:right w:val="single" w:color="000000" w:sz="12" w:space="0"/>
                    <w:tl2br w:val="nil"/>
                    <w:tr2bl w:val="nil"/>
                  </w:tcBorders>
                  <w:noWrap w:val="0"/>
                  <w:vAlign w:val="center"/>
                </w:tcPr>
                <w:p w14:paraId="58B362CE">
                  <w:pPr>
                    <w:pStyle w:val="22"/>
                    <w:spacing w:after="0" w:line="240" w:lineRule="auto"/>
                    <w:ind w:left="0" w:leftChars="0" w:firstLine="0" w:firstLineChars="0"/>
                    <w:jc w:val="center"/>
                    <w:rPr>
                      <w:rFonts w:hint="default" w:ascii="Times New Roman" w:hAnsi="Times New Roman" w:cs="Times New Roman"/>
                      <w:bCs/>
                      <w:color w:val="000000" w:themeColor="text1"/>
                      <w:kern w:val="0"/>
                      <w:sz w:val="21"/>
                      <w:szCs w:val="21"/>
                      <w:lang w:val="en-US" w:eastAsia="zh-CN" w:bidi="ar-SA"/>
                      <w14:textFill>
                        <w14:solidFill>
                          <w14:schemeClr w14:val="tx1"/>
                        </w14:solidFill>
                      </w14:textFill>
                    </w:rPr>
                  </w:pPr>
                  <w:r>
                    <w:rPr>
                      <w:rFonts w:hint="eastAsia" w:cs="Times New Roman"/>
                      <w:bCs/>
                      <w:color w:val="000000" w:themeColor="text1"/>
                      <w:kern w:val="0"/>
                      <w:sz w:val="21"/>
                      <w:szCs w:val="21"/>
                      <w:lang w:val="en-US" w:eastAsia="zh-CN" w:bidi="ar-SA"/>
                      <w14:textFill>
                        <w14:solidFill>
                          <w14:schemeClr w14:val="tx1"/>
                        </w14:solidFill>
                      </w14:textFill>
                    </w:rPr>
                    <w:t>0.01</w:t>
                  </w:r>
                </w:p>
              </w:tc>
              <w:tc>
                <w:tcPr>
                  <w:tcW w:w="0" w:type="auto"/>
                  <w:tcBorders>
                    <w:left w:val="single" w:color="000000" w:sz="12" w:space="0"/>
                    <w:right w:val="single" w:color="000000" w:sz="12" w:space="0"/>
                    <w:tl2br w:val="nil"/>
                    <w:tr2bl w:val="nil"/>
                  </w:tcBorders>
                  <w:noWrap w:val="0"/>
                  <w:vAlign w:val="center"/>
                </w:tcPr>
                <w:p w14:paraId="68418977">
                  <w:pPr>
                    <w:pStyle w:val="22"/>
                    <w:spacing w:after="0" w:line="240" w:lineRule="auto"/>
                    <w:ind w:left="0" w:leftChars="0" w:firstLine="0" w:firstLineChars="0"/>
                    <w:jc w:val="center"/>
                    <w:rPr>
                      <w:rFonts w:hint="default" w:ascii="Times New Roman" w:hAnsi="Times New Roman" w:cs="Times New Roman"/>
                      <w:bCs/>
                      <w:color w:val="000000" w:themeColor="text1"/>
                      <w:kern w:val="0"/>
                      <w:sz w:val="21"/>
                      <w:szCs w:val="21"/>
                      <w:lang w:val="en-US" w:eastAsia="zh-CN" w:bidi="ar-SA"/>
                      <w14:textFill>
                        <w14:solidFill>
                          <w14:schemeClr w14:val="tx1"/>
                        </w14:solidFill>
                      </w14:textFill>
                    </w:rPr>
                  </w:pPr>
                  <w:r>
                    <w:rPr>
                      <w:rFonts w:hint="eastAsia" w:cs="Times New Roman"/>
                      <w:bCs/>
                      <w:color w:val="000000" w:themeColor="text1"/>
                      <w:kern w:val="0"/>
                      <w:sz w:val="21"/>
                      <w:szCs w:val="21"/>
                      <w:lang w:val="en-US" w:eastAsia="zh-CN" w:bidi="ar-SA"/>
                      <w14:textFill>
                        <w14:solidFill>
                          <w14:schemeClr w14:val="tx1"/>
                        </w14:solidFill>
                      </w14:textFill>
                    </w:rPr>
                    <w:t>0.0018</w:t>
                  </w:r>
                </w:p>
              </w:tc>
              <w:tc>
                <w:tcPr>
                  <w:tcW w:w="0" w:type="auto"/>
                  <w:tcBorders>
                    <w:left w:val="single" w:color="000000" w:sz="12" w:space="0"/>
                    <w:right w:val="single" w:color="000000" w:sz="12" w:space="0"/>
                    <w:tl2br w:val="nil"/>
                    <w:tr2bl w:val="nil"/>
                  </w:tcBorders>
                  <w:noWrap w:val="0"/>
                  <w:vAlign w:val="center"/>
                </w:tcPr>
                <w:p w14:paraId="6473B880">
                  <w:pPr>
                    <w:pStyle w:val="22"/>
                    <w:spacing w:after="0" w:line="240" w:lineRule="auto"/>
                    <w:ind w:left="0" w:leftChars="0" w:firstLine="0" w:firstLineChars="0"/>
                    <w:jc w:val="center"/>
                    <w:rPr>
                      <w:rFonts w:hint="default" w:ascii="Times New Roman" w:hAnsi="Times New Roman" w:cs="Times New Roman"/>
                      <w:bCs/>
                      <w:color w:val="000000" w:themeColor="text1"/>
                      <w:kern w:val="0"/>
                      <w:sz w:val="21"/>
                      <w:szCs w:val="21"/>
                      <w:lang w:val="en-US" w:eastAsia="zh-CN" w:bidi="ar-SA"/>
                      <w14:textFill>
                        <w14:solidFill>
                          <w14:schemeClr w14:val="tx1"/>
                        </w14:solidFill>
                      </w14:textFill>
                    </w:rPr>
                  </w:pPr>
                  <w:r>
                    <w:rPr>
                      <w:rFonts w:hint="eastAsia" w:cs="Times New Roman"/>
                      <w:bCs/>
                      <w:color w:val="000000" w:themeColor="text1"/>
                      <w:kern w:val="0"/>
                      <w:sz w:val="21"/>
                      <w:szCs w:val="21"/>
                      <w:lang w:val="en-US" w:eastAsia="zh-CN" w:bidi="ar-SA"/>
                      <w14:textFill>
                        <w14:solidFill>
                          <w14:schemeClr w14:val="tx1"/>
                        </w14:solidFill>
                      </w14:textFill>
                    </w:rPr>
                    <w:t>0.00015</w:t>
                  </w:r>
                </w:p>
              </w:tc>
              <w:tc>
                <w:tcPr>
                  <w:tcW w:w="0" w:type="auto"/>
                  <w:tcBorders>
                    <w:left w:val="single" w:color="000000" w:sz="12" w:space="0"/>
                    <w:tl2br w:val="nil"/>
                    <w:tr2bl w:val="nil"/>
                  </w:tcBorders>
                  <w:noWrap w:val="0"/>
                  <w:vAlign w:val="center"/>
                </w:tcPr>
                <w:p w14:paraId="6BF7472C">
                  <w:pPr>
                    <w:pStyle w:val="22"/>
                    <w:spacing w:after="0" w:line="240" w:lineRule="auto"/>
                    <w:ind w:left="0" w:leftChars="0" w:firstLine="0" w:firstLineChars="0"/>
                    <w:jc w:val="center"/>
                    <w:rPr>
                      <w:rFonts w:hint="default" w:ascii="Times New Roman" w:hAnsi="Times New Roman" w:cs="Times New Roman"/>
                      <w:bCs/>
                      <w:color w:val="000000" w:themeColor="text1"/>
                      <w:kern w:val="0"/>
                      <w:sz w:val="21"/>
                      <w:szCs w:val="21"/>
                      <w:lang w:val="en-US" w:eastAsia="zh-CN" w:bidi="ar-SA"/>
                      <w14:textFill>
                        <w14:solidFill>
                          <w14:schemeClr w14:val="tx1"/>
                        </w14:solidFill>
                      </w14:textFill>
                    </w:rPr>
                  </w:pPr>
                  <w:r>
                    <w:rPr>
                      <w:rFonts w:hint="eastAsia" w:cs="Times New Roman"/>
                      <w:bCs/>
                      <w:color w:val="000000" w:themeColor="text1"/>
                      <w:kern w:val="0"/>
                      <w:sz w:val="21"/>
                      <w:szCs w:val="21"/>
                      <w:lang w:val="en-US" w:eastAsia="zh-CN" w:bidi="ar-SA"/>
                      <w14:textFill>
                        <w14:solidFill>
                          <w14:schemeClr w14:val="tx1"/>
                        </w14:solidFill>
                      </w14:textFill>
                    </w:rPr>
                    <w:t>0.000083</w:t>
                  </w:r>
                </w:p>
              </w:tc>
            </w:tr>
            <w:tr w14:paraId="0E7F0E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Merge w:val="restart"/>
                  <w:tcBorders>
                    <w:tl2br w:val="nil"/>
                    <w:tr2bl w:val="nil"/>
                  </w:tcBorders>
                  <w:noWrap w:val="0"/>
                  <w:vAlign w:val="center"/>
                </w:tcPr>
                <w:p w14:paraId="29CCD32E">
                  <w:pPr>
                    <w:pStyle w:val="18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排放口基本信息</w:t>
                  </w:r>
                </w:p>
              </w:tc>
              <w:tc>
                <w:tcPr>
                  <w:tcW w:w="0" w:type="auto"/>
                  <w:tcBorders>
                    <w:tl2br w:val="nil"/>
                    <w:tr2bl w:val="nil"/>
                  </w:tcBorders>
                  <w:noWrap w:val="0"/>
                  <w:vAlign w:val="center"/>
                </w:tcPr>
                <w:p w14:paraId="6777F174">
                  <w:pPr>
                    <w:pStyle w:val="18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高度（m）</w:t>
                  </w:r>
                </w:p>
              </w:tc>
              <w:tc>
                <w:tcPr>
                  <w:tcW w:w="0" w:type="auto"/>
                  <w:tcBorders>
                    <w:tl2br w:val="nil"/>
                    <w:tr2bl w:val="nil"/>
                  </w:tcBorders>
                  <w:noWrap w:val="0"/>
                  <w:vAlign w:val="center"/>
                </w:tcPr>
                <w:p w14:paraId="5CD23CB9">
                  <w:pPr>
                    <w:pStyle w:val="183"/>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15</w:t>
                  </w:r>
                </w:p>
              </w:tc>
              <w:tc>
                <w:tcPr>
                  <w:tcW w:w="0" w:type="auto"/>
                  <w:tcBorders>
                    <w:tl2br w:val="nil"/>
                    <w:tr2bl w:val="nil"/>
                  </w:tcBorders>
                  <w:noWrap w:val="0"/>
                  <w:vAlign w:val="center"/>
                </w:tcPr>
                <w:p w14:paraId="613B37C0">
                  <w:pPr>
                    <w:pStyle w:val="183"/>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w:t>
                  </w:r>
                </w:p>
              </w:tc>
              <w:tc>
                <w:tcPr>
                  <w:tcW w:w="0" w:type="auto"/>
                  <w:tcBorders>
                    <w:right w:val="single" w:color="000000" w:sz="12" w:space="0"/>
                    <w:tl2br w:val="nil"/>
                    <w:tr2bl w:val="nil"/>
                  </w:tcBorders>
                  <w:noWrap w:val="0"/>
                  <w:vAlign w:val="center"/>
                </w:tcPr>
                <w:p w14:paraId="1466598F">
                  <w:pPr>
                    <w:pStyle w:val="183"/>
                    <w:ind w:firstLine="0" w:firstLineChars="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15</w:t>
                  </w:r>
                </w:p>
              </w:tc>
              <w:tc>
                <w:tcPr>
                  <w:tcW w:w="0" w:type="auto"/>
                  <w:tcBorders>
                    <w:left w:val="single" w:color="000000" w:sz="12" w:space="0"/>
                    <w:right w:val="single" w:color="000000" w:sz="12" w:space="0"/>
                    <w:tl2br w:val="nil"/>
                    <w:tr2bl w:val="nil"/>
                  </w:tcBorders>
                  <w:noWrap w:val="0"/>
                  <w:vAlign w:val="center"/>
                </w:tcPr>
                <w:p w14:paraId="5D1020B9">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w:t>
                  </w:r>
                </w:p>
              </w:tc>
              <w:tc>
                <w:tcPr>
                  <w:tcW w:w="0" w:type="auto"/>
                  <w:tcBorders>
                    <w:left w:val="single" w:color="000000" w:sz="12" w:space="0"/>
                    <w:right w:val="single" w:color="000000" w:sz="12" w:space="0"/>
                    <w:tl2br w:val="nil"/>
                    <w:tr2bl w:val="nil"/>
                  </w:tcBorders>
                  <w:shd w:val="clear" w:color="auto" w:fill="auto"/>
                  <w:noWrap w:val="0"/>
                  <w:vAlign w:val="center"/>
                </w:tcPr>
                <w:p w14:paraId="2975AC92">
                  <w:pPr>
                    <w:pStyle w:val="183"/>
                    <w:ind w:firstLine="0" w:firstLineChars="0"/>
                    <w:rPr>
                      <w:rFonts w:hint="default"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15</w:t>
                  </w:r>
                </w:p>
              </w:tc>
              <w:tc>
                <w:tcPr>
                  <w:tcW w:w="0" w:type="auto"/>
                  <w:tcBorders>
                    <w:left w:val="single" w:color="000000" w:sz="12" w:space="0"/>
                    <w:right w:val="single" w:color="000000" w:sz="12" w:space="0"/>
                    <w:tl2br w:val="nil"/>
                    <w:tr2bl w:val="nil"/>
                  </w:tcBorders>
                  <w:shd w:val="clear" w:color="auto" w:fill="auto"/>
                  <w:noWrap w:val="0"/>
                  <w:vAlign w:val="center"/>
                </w:tcPr>
                <w:p w14:paraId="266358EF">
                  <w:pPr>
                    <w:pStyle w:val="183"/>
                    <w:ind w:firstLine="0" w:firstLineChars="0"/>
                    <w:rPr>
                      <w:rFonts w:hint="default"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eastAsia" w:cs="Times New Roman"/>
                      <w:color w:val="000000" w:themeColor="text1"/>
                      <w:lang w:val="en-US" w:eastAsia="zh-CN"/>
                      <w14:textFill>
                        <w14:solidFill>
                          <w14:schemeClr w14:val="tx1"/>
                        </w14:solidFill>
                      </w14:textFill>
                    </w:rPr>
                    <w:t>/</w:t>
                  </w:r>
                </w:p>
              </w:tc>
              <w:tc>
                <w:tcPr>
                  <w:tcW w:w="0" w:type="auto"/>
                  <w:tcBorders>
                    <w:left w:val="single" w:color="000000" w:sz="12" w:space="0"/>
                    <w:right w:val="single" w:color="000000" w:sz="12" w:space="0"/>
                    <w:tl2br w:val="nil"/>
                    <w:tr2bl w:val="nil"/>
                  </w:tcBorders>
                  <w:shd w:val="clear" w:color="auto" w:fill="auto"/>
                  <w:noWrap w:val="0"/>
                  <w:vAlign w:val="center"/>
                </w:tcPr>
                <w:p w14:paraId="2DFA5982">
                  <w:pPr>
                    <w:pStyle w:val="183"/>
                    <w:ind w:firstLine="0" w:firstLineChars="0"/>
                    <w:rPr>
                      <w:rFonts w:hint="default"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15</w:t>
                  </w:r>
                </w:p>
              </w:tc>
              <w:tc>
                <w:tcPr>
                  <w:tcW w:w="0" w:type="auto"/>
                  <w:tcBorders>
                    <w:left w:val="single" w:color="000000" w:sz="12" w:space="0"/>
                    <w:right w:val="single" w:color="000000" w:sz="12" w:space="0"/>
                    <w:tl2br w:val="nil"/>
                    <w:tr2bl w:val="nil"/>
                  </w:tcBorders>
                  <w:shd w:val="clear" w:color="auto" w:fill="auto"/>
                  <w:noWrap w:val="0"/>
                  <w:vAlign w:val="center"/>
                </w:tcPr>
                <w:p w14:paraId="70F269C6">
                  <w:pPr>
                    <w:pStyle w:val="183"/>
                    <w:ind w:firstLine="0" w:firstLineChars="0"/>
                    <w:rPr>
                      <w:rFonts w:hint="default"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eastAsia" w:cs="Times New Roman"/>
                      <w:color w:val="000000" w:themeColor="text1"/>
                      <w:lang w:val="en-US" w:eastAsia="zh-CN"/>
                      <w14:textFill>
                        <w14:solidFill>
                          <w14:schemeClr w14:val="tx1"/>
                        </w14:solidFill>
                      </w14:textFill>
                    </w:rPr>
                    <w:t>/</w:t>
                  </w:r>
                </w:p>
              </w:tc>
              <w:tc>
                <w:tcPr>
                  <w:tcW w:w="0" w:type="auto"/>
                  <w:tcBorders>
                    <w:left w:val="single" w:color="000000" w:sz="12" w:space="0"/>
                    <w:right w:val="single" w:color="000000" w:sz="12" w:space="0"/>
                    <w:tl2br w:val="nil"/>
                    <w:tr2bl w:val="nil"/>
                  </w:tcBorders>
                  <w:shd w:val="clear" w:color="auto" w:fill="auto"/>
                  <w:noWrap w:val="0"/>
                  <w:vAlign w:val="center"/>
                </w:tcPr>
                <w:p w14:paraId="40E05CE7">
                  <w:pPr>
                    <w:pStyle w:val="183"/>
                    <w:ind w:firstLine="0" w:firstLineChars="0"/>
                    <w:rPr>
                      <w:rFonts w:hint="default"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15</w:t>
                  </w:r>
                </w:p>
              </w:tc>
              <w:tc>
                <w:tcPr>
                  <w:tcW w:w="0" w:type="auto"/>
                  <w:tcBorders>
                    <w:left w:val="single" w:color="000000" w:sz="12" w:space="0"/>
                    <w:right w:val="single" w:color="000000" w:sz="12" w:space="0"/>
                    <w:tl2br w:val="nil"/>
                    <w:tr2bl w:val="nil"/>
                  </w:tcBorders>
                  <w:shd w:val="clear" w:color="auto" w:fill="auto"/>
                  <w:noWrap w:val="0"/>
                  <w:vAlign w:val="center"/>
                </w:tcPr>
                <w:p w14:paraId="6E47FEAB">
                  <w:pPr>
                    <w:pStyle w:val="183"/>
                    <w:ind w:firstLine="0" w:firstLineChars="0"/>
                    <w:rPr>
                      <w:rFonts w:hint="default"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eastAsia" w:cs="Times New Roman"/>
                      <w:color w:val="000000" w:themeColor="text1"/>
                      <w:lang w:val="en-US" w:eastAsia="zh-CN"/>
                      <w14:textFill>
                        <w14:solidFill>
                          <w14:schemeClr w14:val="tx1"/>
                        </w14:solidFill>
                      </w14:textFill>
                    </w:rPr>
                    <w:t>/</w:t>
                  </w:r>
                </w:p>
              </w:tc>
              <w:tc>
                <w:tcPr>
                  <w:tcW w:w="0" w:type="auto"/>
                  <w:tcBorders>
                    <w:left w:val="single" w:color="000000" w:sz="12" w:space="0"/>
                    <w:right w:val="single" w:color="000000" w:sz="12" w:space="0"/>
                    <w:tl2br w:val="nil"/>
                    <w:tr2bl w:val="nil"/>
                  </w:tcBorders>
                  <w:shd w:val="clear" w:color="auto" w:fill="auto"/>
                  <w:noWrap w:val="0"/>
                  <w:vAlign w:val="center"/>
                </w:tcPr>
                <w:p w14:paraId="5285427C">
                  <w:pPr>
                    <w:pStyle w:val="183"/>
                    <w:ind w:firstLine="0" w:firstLineChars="0"/>
                    <w:rPr>
                      <w:rFonts w:hint="default"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15</w:t>
                  </w:r>
                </w:p>
              </w:tc>
              <w:tc>
                <w:tcPr>
                  <w:tcW w:w="0" w:type="auto"/>
                  <w:tcBorders>
                    <w:left w:val="single" w:color="000000" w:sz="12" w:space="0"/>
                    <w:tl2br w:val="nil"/>
                    <w:tr2bl w:val="nil"/>
                  </w:tcBorders>
                  <w:shd w:val="clear" w:color="auto" w:fill="auto"/>
                  <w:noWrap w:val="0"/>
                  <w:vAlign w:val="center"/>
                </w:tcPr>
                <w:p w14:paraId="21E4F4CC">
                  <w:pPr>
                    <w:pStyle w:val="183"/>
                    <w:ind w:firstLine="0" w:firstLineChars="0"/>
                    <w:rPr>
                      <w:rFonts w:hint="default"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eastAsia" w:cs="Times New Roman"/>
                      <w:color w:val="000000" w:themeColor="text1"/>
                      <w:lang w:val="en-US" w:eastAsia="zh-CN"/>
                      <w14:textFill>
                        <w14:solidFill>
                          <w14:schemeClr w14:val="tx1"/>
                        </w14:solidFill>
                      </w14:textFill>
                    </w:rPr>
                    <w:t>/</w:t>
                  </w:r>
                </w:p>
              </w:tc>
            </w:tr>
            <w:tr w14:paraId="7D0D8C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Merge w:val="continue"/>
                  <w:tcBorders>
                    <w:tl2br w:val="nil"/>
                    <w:tr2bl w:val="nil"/>
                  </w:tcBorders>
                  <w:noWrap w:val="0"/>
                  <w:vAlign w:val="center"/>
                </w:tcPr>
                <w:p w14:paraId="35972C1C">
                  <w:pPr>
                    <w:pStyle w:val="183"/>
                    <w:rPr>
                      <w:rFonts w:hint="default" w:ascii="Times New Roman" w:hAnsi="Times New Roman" w:cs="Times New Roman"/>
                      <w:color w:val="000000" w:themeColor="text1"/>
                      <w14:textFill>
                        <w14:solidFill>
                          <w14:schemeClr w14:val="tx1"/>
                        </w14:solidFill>
                      </w14:textFill>
                    </w:rPr>
                  </w:pPr>
                </w:p>
              </w:tc>
              <w:tc>
                <w:tcPr>
                  <w:tcW w:w="0" w:type="auto"/>
                  <w:tcBorders>
                    <w:tl2br w:val="nil"/>
                    <w:tr2bl w:val="nil"/>
                  </w:tcBorders>
                  <w:noWrap w:val="0"/>
                  <w:vAlign w:val="center"/>
                </w:tcPr>
                <w:p w14:paraId="71DA86D0">
                  <w:pPr>
                    <w:pStyle w:val="18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排气筒内径（m）</w:t>
                  </w:r>
                </w:p>
              </w:tc>
              <w:tc>
                <w:tcPr>
                  <w:tcW w:w="0" w:type="auto"/>
                  <w:tcBorders>
                    <w:tl2br w:val="nil"/>
                    <w:tr2bl w:val="nil"/>
                  </w:tcBorders>
                  <w:noWrap w:val="0"/>
                  <w:vAlign w:val="center"/>
                </w:tcPr>
                <w:p w14:paraId="313C1A22">
                  <w:pPr>
                    <w:pStyle w:val="183"/>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0.6</w:t>
                  </w:r>
                </w:p>
              </w:tc>
              <w:tc>
                <w:tcPr>
                  <w:tcW w:w="0" w:type="auto"/>
                  <w:tcBorders>
                    <w:tl2br w:val="nil"/>
                    <w:tr2bl w:val="nil"/>
                  </w:tcBorders>
                  <w:noWrap w:val="0"/>
                  <w:vAlign w:val="center"/>
                </w:tcPr>
                <w:p w14:paraId="0EACF03B">
                  <w:pPr>
                    <w:pStyle w:val="183"/>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w:t>
                  </w:r>
                </w:p>
              </w:tc>
              <w:tc>
                <w:tcPr>
                  <w:tcW w:w="0" w:type="auto"/>
                  <w:tcBorders>
                    <w:right w:val="single" w:color="000000" w:sz="12" w:space="0"/>
                    <w:tl2br w:val="nil"/>
                    <w:tr2bl w:val="nil"/>
                  </w:tcBorders>
                  <w:noWrap w:val="0"/>
                  <w:vAlign w:val="center"/>
                </w:tcPr>
                <w:p w14:paraId="7CE9B257">
                  <w:pPr>
                    <w:pStyle w:val="183"/>
                    <w:ind w:firstLine="0" w:firstLineChars="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0.6</w:t>
                  </w:r>
                </w:p>
              </w:tc>
              <w:tc>
                <w:tcPr>
                  <w:tcW w:w="0" w:type="auto"/>
                  <w:tcBorders>
                    <w:left w:val="single" w:color="000000" w:sz="12" w:space="0"/>
                    <w:right w:val="single" w:color="000000" w:sz="12" w:space="0"/>
                    <w:tl2br w:val="nil"/>
                    <w:tr2bl w:val="nil"/>
                  </w:tcBorders>
                  <w:noWrap w:val="0"/>
                  <w:vAlign w:val="center"/>
                </w:tcPr>
                <w:p w14:paraId="75030C09">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w:t>
                  </w:r>
                </w:p>
              </w:tc>
              <w:tc>
                <w:tcPr>
                  <w:tcW w:w="0" w:type="auto"/>
                  <w:tcBorders>
                    <w:left w:val="single" w:color="000000" w:sz="12" w:space="0"/>
                    <w:right w:val="single" w:color="000000" w:sz="12" w:space="0"/>
                    <w:tl2br w:val="nil"/>
                    <w:tr2bl w:val="nil"/>
                  </w:tcBorders>
                  <w:shd w:val="clear" w:color="auto" w:fill="auto"/>
                  <w:noWrap w:val="0"/>
                  <w:vAlign w:val="center"/>
                </w:tcPr>
                <w:p w14:paraId="37CA7D7E">
                  <w:pPr>
                    <w:pStyle w:val="183"/>
                    <w:ind w:firstLine="0" w:firstLineChars="0"/>
                    <w:rPr>
                      <w:rFonts w:hint="default"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0.6</w:t>
                  </w:r>
                </w:p>
              </w:tc>
              <w:tc>
                <w:tcPr>
                  <w:tcW w:w="0" w:type="auto"/>
                  <w:tcBorders>
                    <w:left w:val="single" w:color="000000" w:sz="12" w:space="0"/>
                    <w:right w:val="single" w:color="000000" w:sz="12" w:space="0"/>
                    <w:tl2br w:val="nil"/>
                    <w:tr2bl w:val="nil"/>
                  </w:tcBorders>
                  <w:shd w:val="clear" w:color="auto" w:fill="auto"/>
                  <w:noWrap w:val="0"/>
                  <w:vAlign w:val="center"/>
                </w:tcPr>
                <w:p w14:paraId="1E512A22">
                  <w:pPr>
                    <w:pStyle w:val="183"/>
                    <w:ind w:firstLine="0" w:firstLineChars="0"/>
                    <w:rPr>
                      <w:rFonts w:hint="default"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eastAsia" w:cs="Times New Roman"/>
                      <w:color w:val="000000" w:themeColor="text1"/>
                      <w:lang w:val="en-US" w:eastAsia="zh-CN"/>
                      <w14:textFill>
                        <w14:solidFill>
                          <w14:schemeClr w14:val="tx1"/>
                        </w14:solidFill>
                      </w14:textFill>
                    </w:rPr>
                    <w:t>/</w:t>
                  </w:r>
                </w:p>
              </w:tc>
              <w:tc>
                <w:tcPr>
                  <w:tcW w:w="0" w:type="auto"/>
                  <w:tcBorders>
                    <w:left w:val="single" w:color="000000" w:sz="12" w:space="0"/>
                    <w:right w:val="single" w:color="000000" w:sz="12" w:space="0"/>
                    <w:tl2br w:val="nil"/>
                    <w:tr2bl w:val="nil"/>
                  </w:tcBorders>
                  <w:shd w:val="clear" w:color="auto" w:fill="auto"/>
                  <w:noWrap w:val="0"/>
                  <w:vAlign w:val="center"/>
                </w:tcPr>
                <w:p w14:paraId="127BF5CC">
                  <w:pPr>
                    <w:pStyle w:val="183"/>
                    <w:ind w:firstLine="0" w:firstLineChars="0"/>
                    <w:rPr>
                      <w:rFonts w:hint="default"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0.6</w:t>
                  </w:r>
                </w:p>
              </w:tc>
              <w:tc>
                <w:tcPr>
                  <w:tcW w:w="0" w:type="auto"/>
                  <w:tcBorders>
                    <w:left w:val="single" w:color="000000" w:sz="12" w:space="0"/>
                    <w:right w:val="single" w:color="000000" w:sz="12" w:space="0"/>
                    <w:tl2br w:val="nil"/>
                    <w:tr2bl w:val="nil"/>
                  </w:tcBorders>
                  <w:shd w:val="clear" w:color="auto" w:fill="auto"/>
                  <w:noWrap w:val="0"/>
                  <w:vAlign w:val="center"/>
                </w:tcPr>
                <w:p w14:paraId="6BBE2FC5">
                  <w:pPr>
                    <w:pStyle w:val="183"/>
                    <w:ind w:firstLine="0" w:firstLineChars="0"/>
                    <w:rPr>
                      <w:rFonts w:hint="default"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eastAsia" w:cs="Times New Roman"/>
                      <w:color w:val="000000" w:themeColor="text1"/>
                      <w:lang w:val="en-US" w:eastAsia="zh-CN"/>
                      <w14:textFill>
                        <w14:solidFill>
                          <w14:schemeClr w14:val="tx1"/>
                        </w14:solidFill>
                      </w14:textFill>
                    </w:rPr>
                    <w:t>/</w:t>
                  </w:r>
                </w:p>
              </w:tc>
              <w:tc>
                <w:tcPr>
                  <w:tcW w:w="0" w:type="auto"/>
                  <w:tcBorders>
                    <w:left w:val="single" w:color="000000" w:sz="12" w:space="0"/>
                    <w:right w:val="single" w:color="000000" w:sz="12" w:space="0"/>
                    <w:tl2br w:val="nil"/>
                    <w:tr2bl w:val="nil"/>
                  </w:tcBorders>
                  <w:shd w:val="clear" w:color="auto" w:fill="auto"/>
                  <w:noWrap w:val="0"/>
                  <w:vAlign w:val="center"/>
                </w:tcPr>
                <w:p w14:paraId="041D1879">
                  <w:pPr>
                    <w:pStyle w:val="183"/>
                    <w:ind w:firstLine="0" w:firstLineChars="0"/>
                    <w:rPr>
                      <w:rFonts w:hint="default"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0.6</w:t>
                  </w:r>
                </w:p>
              </w:tc>
              <w:tc>
                <w:tcPr>
                  <w:tcW w:w="0" w:type="auto"/>
                  <w:tcBorders>
                    <w:left w:val="single" w:color="000000" w:sz="12" w:space="0"/>
                    <w:right w:val="single" w:color="000000" w:sz="12" w:space="0"/>
                    <w:tl2br w:val="nil"/>
                    <w:tr2bl w:val="nil"/>
                  </w:tcBorders>
                  <w:shd w:val="clear" w:color="auto" w:fill="auto"/>
                  <w:noWrap w:val="0"/>
                  <w:vAlign w:val="center"/>
                </w:tcPr>
                <w:p w14:paraId="74C36CC3">
                  <w:pPr>
                    <w:pStyle w:val="183"/>
                    <w:ind w:firstLine="0" w:firstLineChars="0"/>
                    <w:rPr>
                      <w:rFonts w:hint="default"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eastAsia" w:cs="Times New Roman"/>
                      <w:color w:val="000000" w:themeColor="text1"/>
                      <w:lang w:val="en-US" w:eastAsia="zh-CN"/>
                      <w14:textFill>
                        <w14:solidFill>
                          <w14:schemeClr w14:val="tx1"/>
                        </w14:solidFill>
                      </w14:textFill>
                    </w:rPr>
                    <w:t>/</w:t>
                  </w:r>
                </w:p>
              </w:tc>
              <w:tc>
                <w:tcPr>
                  <w:tcW w:w="0" w:type="auto"/>
                  <w:tcBorders>
                    <w:left w:val="single" w:color="000000" w:sz="12" w:space="0"/>
                    <w:right w:val="single" w:color="000000" w:sz="12" w:space="0"/>
                    <w:tl2br w:val="nil"/>
                    <w:tr2bl w:val="nil"/>
                  </w:tcBorders>
                  <w:shd w:val="clear" w:color="auto" w:fill="auto"/>
                  <w:noWrap w:val="0"/>
                  <w:vAlign w:val="center"/>
                </w:tcPr>
                <w:p w14:paraId="26B50B0E">
                  <w:pPr>
                    <w:pStyle w:val="183"/>
                    <w:ind w:firstLine="0" w:firstLineChars="0"/>
                    <w:rPr>
                      <w:rFonts w:hint="default"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0.6</w:t>
                  </w:r>
                </w:p>
              </w:tc>
              <w:tc>
                <w:tcPr>
                  <w:tcW w:w="0" w:type="auto"/>
                  <w:tcBorders>
                    <w:left w:val="single" w:color="000000" w:sz="12" w:space="0"/>
                    <w:tl2br w:val="nil"/>
                    <w:tr2bl w:val="nil"/>
                  </w:tcBorders>
                  <w:shd w:val="clear" w:color="auto" w:fill="auto"/>
                  <w:noWrap w:val="0"/>
                  <w:vAlign w:val="center"/>
                </w:tcPr>
                <w:p w14:paraId="333A18C2">
                  <w:pPr>
                    <w:pStyle w:val="183"/>
                    <w:ind w:firstLine="0" w:firstLineChars="0"/>
                    <w:rPr>
                      <w:rFonts w:hint="default"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eastAsia" w:cs="Times New Roman"/>
                      <w:color w:val="000000" w:themeColor="text1"/>
                      <w:lang w:val="en-US" w:eastAsia="zh-CN"/>
                      <w14:textFill>
                        <w14:solidFill>
                          <w14:schemeClr w14:val="tx1"/>
                        </w14:solidFill>
                      </w14:textFill>
                    </w:rPr>
                    <w:t>/</w:t>
                  </w:r>
                </w:p>
              </w:tc>
            </w:tr>
            <w:tr w14:paraId="2C1B34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Merge w:val="continue"/>
                  <w:tcBorders>
                    <w:tl2br w:val="nil"/>
                    <w:tr2bl w:val="nil"/>
                  </w:tcBorders>
                  <w:noWrap w:val="0"/>
                  <w:vAlign w:val="center"/>
                </w:tcPr>
                <w:p w14:paraId="2C46BD19">
                  <w:pPr>
                    <w:pStyle w:val="183"/>
                    <w:rPr>
                      <w:rFonts w:hint="default" w:ascii="Times New Roman" w:hAnsi="Times New Roman" w:cs="Times New Roman"/>
                      <w:color w:val="000000" w:themeColor="text1"/>
                      <w14:textFill>
                        <w14:solidFill>
                          <w14:schemeClr w14:val="tx1"/>
                        </w14:solidFill>
                      </w14:textFill>
                    </w:rPr>
                  </w:pPr>
                </w:p>
              </w:tc>
              <w:tc>
                <w:tcPr>
                  <w:tcW w:w="0" w:type="auto"/>
                  <w:tcBorders>
                    <w:tl2br w:val="nil"/>
                    <w:tr2bl w:val="nil"/>
                  </w:tcBorders>
                  <w:noWrap w:val="0"/>
                  <w:vAlign w:val="center"/>
                </w:tcPr>
                <w:p w14:paraId="4B00C2EA">
                  <w:pPr>
                    <w:pStyle w:val="18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温度（℃）</w:t>
                  </w:r>
                </w:p>
              </w:tc>
              <w:tc>
                <w:tcPr>
                  <w:tcW w:w="0" w:type="auto"/>
                  <w:tcBorders>
                    <w:tl2br w:val="nil"/>
                    <w:tr2bl w:val="nil"/>
                  </w:tcBorders>
                  <w:noWrap w:val="0"/>
                  <w:vAlign w:val="center"/>
                </w:tcPr>
                <w:p w14:paraId="781AAB0C">
                  <w:pPr>
                    <w:pStyle w:val="183"/>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25</w:t>
                  </w:r>
                </w:p>
              </w:tc>
              <w:tc>
                <w:tcPr>
                  <w:tcW w:w="0" w:type="auto"/>
                  <w:tcBorders>
                    <w:tl2br w:val="nil"/>
                    <w:tr2bl w:val="nil"/>
                  </w:tcBorders>
                  <w:noWrap w:val="0"/>
                  <w:vAlign w:val="center"/>
                </w:tcPr>
                <w:p w14:paraId="22934413">
                  <w:pPr>
                    <w:pStyle w:val="183"/>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w:t>
                  </w:r>
                </w:p>
              </w:tc>
              <w:tc>
                <w:tcPr>
                  <w:tcW w:w="0" w:type="auto"/>
                  <w:tcBorders>
                    <w:right w:val="single" w:color="000000" w:sz="12" w:space="0"/>
                    <w:tl2br w:val="nil"/>
                    <w:tr2bl w:val="nil"/>
                  </w:tcBorders>
                  <w:noWrap w:val="0"/>
                  <w:vAlign w:val="center"/>
                </w:tcPr>
                <w:p w14:paraId="3724AA30">
                  <w:pPr>
                    <w:pStyle w:val="183"/>
                    <w:ind w:firstLine="0" w:firstLineChars="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25</w:t>
                  </w:r>
                </w:p>
              </w:tc>
              <w:tc>
                <w:tcPr>
                  <w:tcW w:w="0" w:type="auto"/>
                  <w:tcBorders>
                    <w:left w:val="single" w:color="000000" w:sz="12" w:space="0"/>
                    <w:right w:val="single" w:color="000000" w:sz="12" w:space="0"/>
                    <w:tl2br w:val="nil"/>
                    <w:tr2bl w:val="nil"/>
                  </w:tcBorders>
                  <w:noWrap w:val="0"/>
                  <w:vAlign w:val="center"/>
                </w:tcPr>
                <w:p w14:paraId="136BF088">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w:t>
                  </w:r>
                </w:p>
              </w:tc>
              <w:tc>
                <w:tcPr>
                  <w:tcW w:w="0" w:type="auto"/>
                  <w:tcBorders>
                    <w:left w:val="single" w:color="000000" w:sz="12" w:space="0"/>
                    <w:right w:val="single" w:color="000000" w:sz="12" w:space="0"/>
                    <w:tl2br w:val="nil"/>
                    <w:tr2bl w:val="nil"/>
                  </w:tcBorders>
                  <w:noWrap w:val="0"/>
                  <w:vAlign w:val="center"/>
                </w:tcPr>
                <w:p w14:paraId="65E43898">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60</w:t>
                  </w:r>
                </w:p>
              </w:tc>
              <w:tc>
                <w:tcPr>
                  <w:tcW w:w="0" w:type="auto"/>
                  <w:tcBorders>
                    <w:left w:val="single" w:color="000000" w:sz="12" w:space="0"/>
                    <w:right w:val="single" w:color="000000" w:sz="12" w:space="0"/>
                    <w:tl2br w:val="nil"/>
                    <w:tr2bl w:val="nil"/>
                  </w:tcBorders>
                  <w:noWrap w:val="0"/>
                  <w:vAlign w:val="center"/>
                </w:tcPr>
                <w:p w14:paraId="1FCCE93C">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w:t>
                  </w:r>
                </w:p>
              </w:tc>
              <w:tc>
                <w:tcPr>
                  <w:tcW w:w="0" w:type="auto"/>
                  <w:tcBorders>
                    <w:left w:val="single" w:color="000000" w:sz="12" w:space="0"/>
                    <w:right w:val="single" w:color="000000" w:sz="12" w:space="0"/>
                    <w:tl2br w:val="nil"/>
                    <w:tr2bl w:val="nil"/>
                  </w:tcBorders>
                  <w:shd w:val="clear" w:color="auto" w:fill="auto"/>
                  <w:noWrap w:val="0"/>
                  <w:vAlign w:val="center"/>
                </w:tcPr>
                <w:p w14:paraId="13B9942C">
                  <w:pPr>
                    <w:pStyle w:val="183"/>
                    <w:ind w:firstLine="0" w:firstLineChars="0"/>
                    <w:rPr>
                      <w:rFonts w:hint="default"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eastAsia" w:cs="Times New Roman"/>
                      <w:color w:val="000000" w:themeColor="text1"/>
                      <w:lang w:val="en-US" w:eastAsia="zh-CN"/>
                      <w14:textFill>
                        <w14:solidFill>
                          <w14:schemeClr w14:val="tx1"/>
                        </w14:solidFill>
                      </w14:textFill>
                    </w:rPr>
                    <w:t>60</w:t>
                  </w:r>
                </w:p>
              </w:tc>
              <w:tc>
                <w:tcPr>
                  <w:tcW w:w="0" w:type="auto"/>
                  <w:tcBorders>
                    <w:left w:val="single" w:color="000000" w:sz="12" w:space="0"/>
                    <w:right w:val="single" w:color="000000" w:sz="12" w:space="0"/>
                    <w:tl2br w:val="nil"/>
                    <w:tr2bl w:val="nil"/>
                  </w:tcBorders>
                  <w:shd w:val="clear" w:color="auto" w:fill="auto"/>
                  <w:noWrap w:val="0"/>
                  <w:vAlign w:val="center"/>
                </w:tcPr>
                <w:p w14:paraId="2A4C5A23">
                  <w:pPr>
                    <w:pStyle w:val="183"/>
                    <w:ind w:firstLine="0" w:firstLineChars="0"/>
                    <w:rPr>
                      <w:rFonts w:hint="default"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eastAsia" w:cs="Times New Roman"/>
                      <w:color w:val="000000" w:themeColor="text1"/>
                      <w:lang w:val="en-US" w:eastAsia="zh-CN"/>
                      <w14:textFill>
                        <w14:solidFill>
                          <w14:schemeClr w14:val="tx1"/>
                        </w14:solidFill>
                      </w14:textFill>
                    </w:rPr>
                    <w:t>/</w:t>
                  </w:r>
                </w:p>
              </w:tc>
              <w:tc>
                <w:tcPr>
                  <w:tcW w:w="0" w:type="auto"/>
                  <w:tcBorders>
                    <w:left w:val="single" w:color="000000" w:sz="12" w:space="0"/>
                    <w:right w:val="single" w:color="000000" w:sz="12" w:space="0"/>
                    <w:tl2br w:val="nil"/>
                    <w:tr2bl w:val="nil"/>
                  </w:tcBorders>
                  <w:shd w:val="clear" w:color="auto" w:fill="auto"/>
                  <w:noWrap w:val="0"/>
                  <w:vAlign w:val="center"/>
                </w:tcPr>
                <w:p w14:paraId="7269AC67">
                  <w:pPr>
                    <w:pStyle w:val="183"/>
                    <w:ind w:firstLine="0" w:firstLineChars="0"/>
                    <w:rPr>
                      <w:rFonts w:hint="default"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eastAsia" w:cs="Times New Roman"/>
                      <w:color w:val="000000" w:themeColor="text1"/>
                      <w:lang w:val="en-US" w:eastAsia="zh-CN"/>
                      <w14:textFill>
                        <w14:solidFill>
                          <w14:schemeClr w14:val="tx1"/>
                        </w14:solidFill>
                      </w14:textFill>
                    </w:rPr>
                    <w:t>60</w:t>
                  </w:r>
                </w:p>
              </w:tc>
              <w:tc>
                <w:tcPr>
                  <w:tcW w:w="0" w:type="auto"/>
                  <w:tcBorders>
                    <w:left w:val="single" w:color="000000" w:sz="12" w:space="0"/>
                    <w:right w:val="single" w:color="000000" w:sz="12" w:space="0"/>
                    <w:tl2br w:val="nil"/>
                    <w:tr2bl w:val="nil"/>
                  </w:tcBorders>
                  <w:shd w:val="clear" w:color="auto" w:fill="auto"/>
                  <w:noWrap w:val="0"/>
                  <w:vAlign w:val="center"/>
                </w:tcPr>
                <w:p w14:paraId="46BAF35C">
                  <w:pPr>
                    <w:pStyle w:val="183"/>
                    <w:ind w:firstLine="0" w:firstLineChars="0"/>
                    <w:rPr>
                      <w:rFonts w:hint="default"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eastAsia" w:cs="Times New Roman"/>
                      <w:color w:val="000000" w:themeColor="text1"/>
                      <w:lang w:val="en-US" w:eastAsia="zh-CN"/>
                      <w14:textFill>
                        <w14:solidFill>
                          <w14:schemeClr w14:val="tx1"/>
                        </w14:solidFill>
                      </w14:textFill>
                    </w:rPr>
                    <w:t>/</w:t>
                  </w:r>
                </w:p>
              </w:tc>
              <w:tc>
                <w:tcPr>
                  <w:tcW w:w="0" w:type="auto"/>
                  <w:tcBorders>
                    <w:left w:val="single" w:color="000000" w:sz="12" w:space="0"/>
                    <w:right w:val="single" w:color="000000" w:sz="12" w:space="0"/>
                    <w:tl2br w:val="nil"/>
                    <w:tr2bl w:val="nil"/>
                  </w:tcBorders>
                  <w:shd w:val="clear" w:color="auto" w:fill="auto"/>
                  <w:noWrap w:val="0"/>
                  <w:vAlign w:val="center"/>
                </w:tcPr>
                <w:p w14:paraId="072B255C">
                  <w:pPr>
                    <w:pStyle w:val="183"/>
                    <w:ind w:firstLine="0" w:firstLineChars="0"/>
                    <w:rPr>
                      <w:rFonts w:hint="default"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eastAsia" w:cs="Times New Roman"/>
                      <w:color w:val="000000" w:themeColor="text1"/>
                      <w:lang w:val="en-US" w:eastAsia="zh-CN"/>
                      <w14:textFill>
                        <w14:solidFill>
                          <w14:schemeClr w14:val="tx1"/>
                        </w14:solidFill>
                      </w14:textFill>
                    </w:rPr>
                    <w:t>60</w:t>
                  </w:r>
                </w:p>
              </w:tc>
              <w:tc>
                <w:tcPr>
                  <w:tcW w:w="0" w:type="auto"/>
                  <w:tcBorders>
                    <w:left w:val="single" w:color="000000" w:sz="12" w:space="0"/>
                    <w:tl2br w:val="nil"/>
                    <w:tr2bl w:val="nil"/>
                  </w:tcBorders>
                  <w:shd w:val="clear" w:color="auto" w:fill="auto"/>
                  <w:noWrap w:val="0"/>
                  <w:vAlign w:val="center"/>
                </w:tcPr>
                <w:p w14:paraId="12DD6D2F">
                  <w:pPr>
                    <w:pStyle w:val="183"/>
                    <w:ind w:firstLine="0" w:firstLineChars="0"/>
                    <w:rPr>
                      <w:rFonts w:hint="default"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eastAsia" w:cs="Times New Roman"/>
                      <w:color w:val="000000" w:themeColor="text1"/>
                      <w:lang w:val="en-US" w:eastAsia="zh-CN"/>
                      <w14:textFill>
                        <w14:solidFill>
                          <w14:schemeClr w14:val="tx1"/>
                        </w14:solidFill>
                      </w14:textFill>
                    </w:rPr>
                    <w:t>/</w:t>
                  </w:r>
                </w:p>
              </w:tc>
            </w:tr>
            <w:tr w14:paraId="22AE04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Merge w:val="restart"/>
                  <w:tcBorders>
                    <w:tl2br w:val="nil"/>
                    <w:tr2bl w:val="nil"/>
                  </w:tcBorders>
                  <w:noWrap w:val="0"/>
                  <w:vAlign w:val="center"/>
                </w:tcPr>
                <w:p w14:paraId="1713EB41">
                  <w:pPr>
                    <w:pStyle w:val="183"/>
                    <w:rPr>
                      <w:rFonts w:hint="default" w:ascii="Times New Roman" w:hAnsi="Times New Roman" w:cs="Times New Roman"/>
                      <w:color w:val="000000" w:themeColor="text1"/>
                      <w14:textFill>
                        <w14:solidFill>
                          <w14:schemeClr w14:val="tx1"/>
                        </w14:solidFill>
                      </w14:textFill>
                    </w:rPr>
                  </w:pPr>
                </w:p>
              </w:tc>
              <w:tc>
                <w:tcPr>
                  <w:tcW w:w="0" w:type="auto"/>
                  <w:tcBorders>
                    <w:tl2br w:val="nil"/>
                    <w:tr2bl w:val="nil"/>
                  </w:tcBorders>
                  <w:noWrap w:val="0"/>
                  <w:vAlign w:val="center"/>
                </w:tcPr>
                <w:p w14:paraId="549654F6">
                  <w:pPr>
                    <w:pStyle w:val="18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编号及名称</w:t>
                  </w:r>
                </w:p>
              </w:tc>
              <w:tc>
                <w:tcPr>
                  <w:tcW w:w="0" w:type="auto"/>
                  <w:tcBorders>
                    <w:tl2br w:val="nil"/>
                    <w:tr2bl w:val="nil"/>
                  </w:tcBorders>
                  <w:noWrap w:val="0"/>
                  <w:vAlign w:val="center"/>
                </w:tcPr>
                <w:p w14:paraId="146290BB">
                  <w:pPr>
                    <w:pStyle w:val="18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DA001</w:t>
                  </w:r>
                </w:p>
              </w:tc>
              <w:tc>
                <w:tcPr>
                  <w:tcW w:w="0" w:type="auto"/>
                  <w:tcBorders>
                    <w:tl2br w:val="nil"/>
                    <w:tr2bl w:val="nil"/>
                  </w:tcBorders>
                  <w:noWrap w:val="0"/>
                  <w:vAlign w:val="center"/>
                </w:tcPr>
                <w:p w14:paraId="551BC629">
                  <w:pPr>
                    <w:pStyle w:val="183"/>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w:t>
                  </w:r>
                </w:p>
              </w:tc>
              <w:tc>
                <w:tcPr>
                  <w:tcW w:w="0" w:type="auto"/>
                  <w:tcBorders>
                    <w:right w:val="single" w:color="000000" w:sz="12" w:space="0"/>
                    <w:tl2br w:val="nil"/>
                    <w:tr2bl w:val="nil"/>
                  </w:tcBorders>
                  <w:noWrap w:val="0"/>
                  <w:vAlign w:val="center"/>
                </w:tcPr>
                <w:p w14:paraId="7234CBE3">
                  <w:pPr>
                    <w:pStyle w:val="183"/>
                    <w:ind w:firstLine="0" w:firstLineChars="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DA001</w:t>
                  </w:r>
                </w:p>
              </w:tc>
              <w:tc>
                <w:tcPr>
                  <w:tcW w:w="0" w:type="auto"/>
                  <w:tcBorders>
                    <w:left w:val="single" w:color="000000" w:sz="12" w:space="0"/>
                    <w:right w:val="single" w:color="000000" w:sz="12" w:space="0"/>
                    <w:tl2br w:val="nil"/>
                    <w:tr2bl w:val="nil"/>
                  </w:tcBorders>
                  <w:noWrap w:val="0"/>
                  <w:vAlign w:val="center"/>
                </w:tcPr>
                <w:p w14:paraId="00890119">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w:t>
                  </w:r>
                </w:p>
              </w:tc>
              <w:tc>
                <w:tcPr>
                  <w:tcW w:w="0" w:type="auto"/>
                  <w:tcBorders>
                    <w:left w:val="single" w:color="000000" w:sz="12" w:space="0"/>
                    <w:right w:val="single" w:color="000000" w:sz="12" w:space="0"/>
                    <w:tl2br w:val="nil"/>
                    <w:tr2bl w:val="nil"/>
                  </w:tcBorders>
                  <w:noWrap w:val="0"/>
                  <w:vAlign w:val="center"/>
                </w:tcPr>
                <w:p w14:paraId="3E4F9E74">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DA002</w:t>
                  </w:r>
                </w:p>
              </w:tc>
              <w:tc>
                <w:tcPr>
                  <w:tcW w:w="0" w:type="auto"/>
                  <w:tcBorders>
                    <w:left w:val="single" w:color="000000" w:sz="12" w:space="0"/>
                    <w:right w:val="single" w:color="000000" w:sz="12" w:space="0"/>
                    <w:tl2br w:val="nil"/>
                    <w:tr2bl w:val="nil"/>
                  </w:tcBorders>
                  <w:noWrap w:val="0"/>
                  <w:vAlign w:val="center"/>
                </w:tcPr>
                <w:p w14:paraId="67F36B2B">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w:t>
                  </w:r>
                </w:p>
              </w:tc>
              <w:tc>
                <w:tcPr>
                  <w:tcW w:w="0" w:type="auto"/>
                  <w:tcBorders>
                    <w:left w:val="single" w:color="000000" w:sz="12" w:space="0"/>
                    <w:right w:val="single" w:color="000000" w:sz="12" w:space="0"/>
                    <w:tl2br w:val="nil"/>
                    <w:tr2bl w:val="nil"/>
                  </w:tcBorders>
                  <w:noWrap w:val="0"/>
                  <w:vAlign w:val="center"/>
                </w:tcPr>
                <w:p w14:paraId="474DBC0F">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DA002</w:t>
                  </w:r>
                </w:p>
              </w:tc>
              <w:tc>
                <w:tcPr>
                  <w:tcW w:w="0" w:type="auto"/>
                  <w:tcBorders>
                    <w:left w:val="single" w:color="000000" w:sz="12" w:space="0"/>
                    <w:right w:val="single" w:color="000000" w:sz="12" w:space="0"/>
                    <w:tl2br w:val="nil"/>
                    <w:tr2bl w:val="nil"/>
                  </w:tcBorders>
                  <w:noWrap w:val="0"/>
                  <w:vAlign w:val="center"/>
                </w:tcPr>
                <w:p w14:paraId="786C4A00">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w:t>
                  </w:r>
                </w:p>
              </w:tc>
              <w:tc>
                <w:tcPr>
                  <w:tcW w:w="0" w:type="auto"/>
                  <w:tcBorders>
                    <w:left w:val="single" w:color="000000" w:sz="12" w:space="0"/>
                    <w:right w:val="single" w:color="000000" w:sz="12" w:space="0"/>
                    <w:tl2br w:val="nil"/>
                    <w:tr2bl w:val="nil"/>
                  </w:tcBorders>
                  <w:noWrap w:val="0"/>
                  <w:vAlign w:val="center"/>
                </w:tcPr>
                <w:p w14:paraId="7E883ACB">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DA002</w:t>
                  </w:r>
                </w:p>
              </w:tc>
              <w:tc>
                <w:tcPr>
                  <w:tcW w:w="0" w:type="auto"/>
                  <w:tcBorders>
                    <w:left w:val="single" w:color="000000" w:sz="12" w:space="0"/>
                    <w:right w:val="single" w:color="000000" w:sz="12" w:space="0"/>
                    <w:tl2br w:val="nil"/>
                    <w:tr2bl w:val="nil"/>
                  </w:tcBorders>
                  <w:noWrap w:val="0"/>
                  <w:vAlign w:val="center"/>
                </w:tcPr>
                <w:p w14:paraId="56B8CFC0">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w:t>
                  </w:r>
                </w:p>
              </w:tc>
              <w:tc>
                <w:tcPr>
                  <w:tcW w:w="0" w:type="auto"/>
                  <w:tcBorders>
                    <w:left w:val="single" w:color="000000" w:sz="12" w:space="0"/>
                    <w:right w:val="single" w:color="000000" w:sz="12" w:space="0"/>
                    <w:tl2br w:val="nil"/>
                    <w:tr2bl w:val="nil"/>
                  </w:tcBorders>
                  <w:noWrap w:val="0"/>
                  <w:vAlign w:val="center"/>
                </w:tcPr>
                <w:p w14:paraId="3625A9B3">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DA002</w:t>
                  </w:r>
                </w:p>
              </w:tc>
              <w:tc>
                <w:tcPr>
                  <w:tcW w:w="0" w:type="auto"/>
                  <w:tcBorders>
                    <w:left w:val="single" w:color="000000" w:sz="12" w:space="0"/>
                    <w:tl2br w:val="nil"/>
                    <w:tr2bl w:val="nil"/>
                  </w:tcBorders>
                  <w:noWrap w:val="0"/>
                  <w:vAlign w:val="center"/>
                </w:tcPr>
                <w:p w14:paraId="5686FD01">
                  <w:pPr>
                    <w:pStyle w:val="183"/>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w:t>
                  </w:r>
                </w:p>
              </w:tc>
            </w:tr>
            <w:tr w14:paraId="665F5A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Merge w:val="continue"/>
                  <w:tcBorders>
                    <w:tl2br w:val="nil"/>
                    <w:tr2bl w:val="nil"/>
                  </w:tcBorders>
                  <w:noWrap w:val="0"/>
                  <w:vAlign w:val="center"/>
                </w:tcPr>
                <w:p w14:paraId="725F37CF">
                  <w:pPr>
                    <w:pStyle w:val="183"/>
                    <w:rPr>
                      <w:rFonts w:hint="default" w:ascii="Times New Roman" w:hAnsi="Times New Roman" w:cs="Times New Roman"/>
                      <w:color w:val="000000" w:themeColor="text1"/>
                      <w14:textFill>
                        <w14:solidFill>
                          <w14:schemeClr w14:val="tx1"/>
                        </w14:solidFill>
                      </w14:textFill>
                    </w:rPr>
                  </w:pPr>
                </w:p>
              </w:tc>
              <w:tc>
                <w:tcPr>
                  <w:tcW w:w="0" w:type="auto"/>
                  <w:tcBorders>
                    <w:tl2br w:val="nil"/>
                    <w:tr2bl w:val="nil"/>
                  </w:tcBorders>
                  <w:noWrap w:val="0"/>
                  <w:vAlign w:val="center"/>
                </w:tcPr>
                <w:p w14:paraId="4DF044A7">
                  <w:pPr>
                    <w:pStyle w:val="18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类型</w:t>
                  </w:r>
                </w:p>
              </w:tc>
              <w:tc>
                <w:tcPr>
                  <w:tcW w:w="0" w:type="auto"/>
                  <w:gridSpan w:val="4"/>
                  <w:tcBorders>
                    <w:right w:val="single" w:color="000000" w:sz="12" w:space="0"/>
                    <w:tl2br w:val="nil"/>
                    <w:tr2bl w:val="nil"/>
                  </w:tcBorders>
                  <w:noWrap w:val="0"/>
                  <w:vAlign w:val="center"/>
                </w:tcPr>
                <w:p w14:paraId="5F9961D9">
                  <w:pPr>
                    <w:pStyle w:val="183"/>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一般排放口</w:t>
                  </w:r>
                </w:p>
              </w:tc>
              <w:tc>
                <w:tcPr>
                  <w:tcW w:w="0" w:type="auto"/>
                  <w:gridSpan w:val="8"/>
                  <w:tcBorders>
                    <w:left w:val="single" w:color="000000" w:sz="12" w:space="0"/>
                    <w:tl2br w:val="nil"/>
                    <w:tr2bl w:val="nil"/>
                  </w:tcBorders>
                  <w:shd w:val="clear" w:color="auto" w:fill="auto"/>
                  <w:noWrap w:val="0"/>
                  <w:vAlign w:val="center"/>
                </w:tcPr>
                <w:p w14:paraId="33EC1F46">
                  <w:pPr>
                    <w:pStyle w:val="183"/>
                    <w:ind w:firstLine="0" w:firstLineChars="0"/>
                    <w:rPr>
                      <w:rFonts w:hint="default"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一般排放口</w:t>
                  </w:r>
                </w:p>
              </w:tc>
            </w:tr>
            <w:tr w14:paraId="0947F0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Merge w:val="continue"/>
                  <w:tcBorders>
                    <w:tl2br w:val="nil"/>
                    <w:tr2bl w:val="nil"/>
                  </w:tcBorders>
                  <w:noWrap w:val="0"/>
                  <w:vAlign w:val="center"/>
                </w:tcPr>
                <w:p w14:paraId="6FBD47C5">
                  <w:pPr>
                    <w:pStyle w:val="183"/>
                    <w:rPr>
                      <w:rFonts w:hint="default" w:ascii="Times New Roman" w:hAnsi="Times New Roman" w:cs="Times New Roman"/>
                      <w:color w:val="000000" w:themeColor="text1"/>
                      <w14:textFill>
                        <w14:solidFill>
                          <w14:schemeClr w14:val="tx1"/>
                        </w14:solidFill>
                      </w14:textFill>
                    </w:rPr>
                  </w:pPr>
                </w:p>
              </w:tc>
              <w:tc>
                <w:tcPr>
                  <w:tcW w:w="0" w:type="auto"/>
                  <w:tcBorders>
                    <w:tl2br w:val="nil"/>
                    <w:tr2bl w:val="nil"/>
                  </w:tcBorders>
                  <w:noWrap w:val="0"/>
                  <w:vAlign w:val="center"/>
                </w:tcPr>
                <w:p w14:paraId="0A65D447">
                  <w:pPr>
                    <w:pStyle w:val="18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地理坐标</w:t>
                  </w:r>
                </w:p>
              </w:tc>
              <w:tc>
                <w:tcPr>
                  <w:tcW w:w="3101" w:type="dxa"/>
                  <w:gridSpan w:val="4"/>
                  <w:tcBorders>
                    <w:right w:val="single" w:color="000000" w:sz="12" w:space="0"/>
                    <w:tl2br w:val="nil"/>
                    <w:tr2bl w:val="nil"/>
                  </w:tcBorders>
                  <w:noWrap w:val="0"/>
                  <w:vAlign w:val="center"/>
                </w:tcPr>
                <w:p w14:paraId="5E543516">
                  <w:pPr>
                    <w:pStyle w:val="175"/>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东经</w:t>
                  </w:r>
                  <w:r>
                    <w:rPr>
                      <w:rFonts w:hint="default" w:ascii="Times New Roman" w:hAnsi="Times New Roman" w:cs="Times New Roman"/>
                      <w:color w:val="000000" w:themeColor="text1"/>
                      <w14:textFill>
                        <w14:solidFill>
                          <w14:schemeClr w14:val="tx1"/>
                        </w14:solidFill>
                      </w14:textFill>
                    </w:rPr>
                    <w:t>107°20′49.19</w:t>
                  </w:r>
                  <w:r>
                    <w:rPr>
                      <w:rFonts w:hint="eastAsia" w:cs="Times New Roman"/>
                      <w:color w:val="000000" w:themeColor="text1"/>
                      <w:lang w:val="en-US" w:eastAsia="zh-CN"/>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w:t>
                  </w:r>
                </w:p>
                <w:p w14:paraId="70815281">
                  <w:pPr>
                    <w:pStyle w:val="175"/>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北纬</w:t>
                  </w:r>
                  <w:r>
                    <w:rPr>
                      <w:rFonts w:hint="default" w:ascii="Times New Roman" w:hAnsi="Times New Roman" w:cs="Times New Roman"/>
                      <w:color w:val="000000" w:themeColor="text1"/>
                      <w14:textFill>
                        <w14:solidFill>
                          <w14:schemeClr w14:val="tx1"/>
                        </w14:solidFill>
                      </w14:textFill>
                    </w:rPr>
                    <w:t>34°31′5.86</w:t>
                  </w:r>
                  <w:r>
                    <w:rPr>
                      <w:rFonts w:hint="eastAsia" w:cs="Times New Roman"/>
                      <w:color w:val="000000" w:themeColor="text1"/>
                      <w:lang w:val="en-US" w:eastAsia="zh-CN"/>
                      <w14:textFill>
                        <w14:solidFill>
                          <w14:schemeClr w14:val="tx1"/>
                        </w14:solidFill>
                      </w14:textFill>
                    </w:rPr>
                    <w:t>2</w:t>
                  </w:r>
                  <w:r>
                    <w:rPr>
                      <w:rFonts w:hint="default" w:ascii="Times New Roman" w:hAnsi="Times New Roman" w:cs="Times New Roman"/>
                      <w:color w:val="000000" w:themeColor="text1"/>
                      <w14:textFill>
                        <w14:solidFill>
                          <w14:schemeClr w14:val="tx1"/>
                        </w14:solidFill>
                      </w14:textFill>
                    </w:rPr>
                    <w:t>″</w:t>
                  </w:r>
                </w:p>
              </w:tc>
              <w:tc>
                <w:tcPr>
                  <w:tcW w:w="6811" w:type="dxa"/>
                  <w:gridSpan w:val="8"/>
                  <w:tcBorders>
                    <w:left w:val="single" w:color="000000" w:sz="12" w:space="0"/>
                    <w:tl2br w:val="nil"/>
                    <w:tr2bl w:val="nil"/>
                  </w:tcBorders>
                  <w:shd w:val="clear" w:color="auto" w:fill="auto"/>
                  <w:noWrap w:val="0"/>
                  <w:vAlign w:val="center"/>
                </w:tcPr>
                <w:p w14:paraId="75D4D056">
                  <w:pPr>
                    <w:pStyle w:val="175"/>
                    <w:rPr>
                      <w:rFonts w:hint="eastAsia"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东经</w:t>
                  </w:r>
                  <w:r>
                    <w:rPr>
                      <w:rFonts w:hint="default" w:ascii="Times New Roman" w:hAnsi="Times New Roman" w:cs="Times New Roman"/>
                      <w:color w:val="000000" w:themeColor="text1"/>
                      <w14:textFill>
                        <w14:solidFill>
                          <w14:schemeClr w14:val="tx1"/>
                        </w14:solidFill>
                      </w14:textFill>
                    </w:rPr>
                    <w:t>107°20′50.33</w:t>
                  </w:r>
                  <w:r>
                    <w:rPr>
                      <w:rFonts w:hint="eastAsia" w:cs="Times New Roman"/>
                      <w:color w:val="000000" w:themeColor="text1"/>
                      <w:lang w:val="en-US" w:eastAsia="zh-CN"/>
                      <w14:textFill>
                        <w14:solidFill>
                          <w14:schemeClr w14:val="tx1"/>
                        </w14:solidFill>
                      </w14:textFill>
                    </w:rPr>
                    <w:t>8</w:t>
                  </w:r>
                  <w:r>
                    <w:rPr>
                      <w:rFonts w:hint="default" w:ascii="Times New Roman" w:hAnsi="Times New Roman" w:cs="Times New Roman"/>
                      <w:color w:val="000000" w:themeColor="text1"/>
                      <w14:textFill>
                        <w14:solidFill>
                          <w14:schemeClr w14:val="tx1"/>
                        </w14:solidFill>
                      </w14:textFill>
                    </w:rPr>
                    <w:t>″</w:t>
                  </w:r>
                </w:p>
                <w:p w14:paraId="4B9437E5">
                  <w:pPr>
                    <w:pStyle w:val="175"/>
                    <w:rPr>
                      <w:rFonts w:hint="default" w:ascii="Times New Roman" w:hAnsi="Times New Roman" w:eastAsia="宋体" w:cs="Times New Roman"/>
                      <w:b w:val="0"/>
                      <w:color w:val="000000" w:themeColor="text1"/>
                      <w:kern w:val="0"/>
                      <w:sz w:val="21"/>
                      <w:szCs w:val="20"/>
                      <w:lang w:val="en-US" w:eastAsia="zh-CN" w:bidi="ar-SA"/>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北纬</w:t>
                  </w:r>
                  <w:r>
                    <w:rPr>
                      <w:rFonts w:hint="default" w:ascii="Times New Roman" w:hAnsi="Times New Roman" w:cs="Times New Roman"/>
                      <w:color w:val="000000" w:themeColor="text1"/>
                      <w14:textFill>
                        <w14:solidFill>
                          <w14:schemeClr w14:val="tx1"/>
                        </w14:solidFill>
                      </w14:textFill>
                    </w:rPr>
                    <w:t>34°31′5.21</w:t>
                  </w:r>
                  <w:r>
                    <w:rPr>
                      <w:rFonts w:hint="eastAsia" w:cs="Times New Roman"/>
                      <w:color w:val="000000" w:themeColor="text1"/>
                      <w:lang w:val="en-US" w:eastAsia="zh-CN"/>
                      <w14:textFill>
                        <w14:solidFill>
                          <w14:schemeClr w14:val="tx1"/>
                        </w14:solidFill>
                      </w14:textFill>
                    </w:rPr>
                    <w:t>0</w:t>
                  </w:r>
                  <w:r>
                    <w:rPr>
                      <w:rFonts w:hint="default" w:ascii="Times New Roman" w:hAnsi="Times New Roman" w:cs="Times New Roman"/>
                      <w:color w:val="000000" w:themeColor="text1"/>
                      <w14:textFill>
                        <w14:solidFill>
                          <w14:schemeClr w14:val="tx1"/>
                        </w14:solidFill>
                      </w14:textFill>
                    </w:rPr>
                    <w:t>″</w:t>
                  </w:r>
                </w:p>
              </w:tc>
            </w:tr>
          </w:tbl>
          <w:p w14:paraId="1DF43ED6">
            <w:pPr>
              <w:spacing w:line="360" w:lineRule="auto"/>
              <w:ind w:firstLine="480" w:firstLineChars="200"/>
              <w:jc w:val="left"/>
              <w:rPr>
                <w:rFonts w:hint="default" w:ascii="Times New Roman" w:hAnsi="Times New Roman" w:cs="Times New Roman"/>
                <w:color w:val="000000" w:themeColor="text1"/>
                <w:kern w:val="0"/>
                <w:sz w:val="24"/>
                <w14:textFill>
                  <w14:solidFill>
                    <w14:schemeClr w14:val="tx1"/>
                  </w14:solidFill>
                </w14:textFill>
              </w:rPr>
            </w:pPr>
            <w:r>
              <w:rPr>
                <w:rFonts w:hint="default" w:ascii="Times New Roman" w:hAnsi="Times New Roman" w:cs="Times New Roman"/>
                <w:color w:val="000000" w:themeColor="text1"/>
                <w:kern w:val="0"/>
                <w:sz w:val="24"/>
                <w14:textFill>
                  <w14:solidFill>
                    <w14:schemeClr w14:val="tx1"/>
                  </w14:solidFill>
                </w14:textFill>
              </w:rPr>
              <w:t>（2）污染源源强核算过程</w:t>
            </w:r>
          </w:p>
          <w:p w14:paraId="06A1D470">
            <w:pPr>
              <w:pStyle w:val="28"/>
              <w:keepNext w:val="0"/>
              <w:keepLines w:val="0"/>
              <w:suppressLineNumbers w:val="0"/>
              <w:spacing w:before="0" w:beforeAutospacing="0" w:after="0" w:afterAutospacing="0" w:line="360" w:lineRule="auto"/>
              <w:ind w:left="0" w:leftChars="0" w:right="0" w:firstLine="480" w:firstLineChars="200"/>
              <w:jc w:val="both"/>
              <w:rPr>
                <w:rFonts w:hint="default" w:ascii="Times New Roman" w:hAnsi="Times New Roman"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color w:val="000000" w:themeColor="text1"/>
                <w:kern w:val="0"/>
                <w:sz w:val="24"/>
                <w14:textFill>
                  <w14:solidFill>
                    <w14:schemeClr w14:val="tx1"/>
                  </w14:solidFill>
                </w14:textFill>
              </w:rPr>
              <w:t>1）</w:t>
            </w:r>
            <w:r>
              <w:rPr>
                <w:rFonts w:hint="default" w:ascii="Times New Roman" w:hAnsi="Times New Roman" w:cs="Times New Roman" w:eastAsiaTheme="minorEastAsia"/>
                <w:color w:val="000000" w:themeColor="text1"/>
                <w:sz w:val="24"/>
                <w14:textFill>
                  <w14:solidFill>
                    <w14:schemeClr w14:val="tx1"/>
                  </w14:solidFill>
                </w14:textFill>
              </w:rPr>
              <w:t>本项目营运期大气污染物主要为</w:t>
            </w:r>
            <w:r>
              <w:rPr>
                <w:rFonts w:hint="default" w:ascii="Times New Roman" w:hAnsi="Times New Roman" w:cs="Times New Roman" w:eastAsiaTheme="minorEastAsia"/>
                <w:color w:val="000000" w:themeColor="text1"/>
                <w:sz w:val="24"/>
                <w:lang w:eastAsia="zh-CN"/>
                <w14:textFill>
                  <w14:solidFill>
                    <w14:schemeClr w14:val="tx1"/>
                  </w14:solidFill>
                </w14:textFill>
              </w:rPr>
              <w:t>进料、造粒</w:t>
            </w:r>
            <w:r>
              <w:rPr>
                <w:rFonts w:hint="default" w:ascii="Times New Roman" w:hAnsi="Times New Roman" w:cs="Times New Roman" w:eastAsiaTheme="minorEastAsia"/>
                <w:color w:val="000000" w:themeColor="text1"/>
                <w:sz w:val="24"/>
                <w14:textFill>
                  <w14:solidFill>
                    <w14:schemeClr w14:val="tx1"/>
                  </w14:solidFill>
                </w14:textFill>
              </w:rPr>
              <w:t>过程中产生的</w:t>
            </w:r>
            <w:r>
              <w:rPr>
                <w:rFonts w:hint="default" w:ascii="Times New Roman" w:hAnsi="Times New Roman" w:cs="Times New Roman" w:eastAsiaTheme="minorEastAsia"/>
                <w:color w:val="000000" w:themeColor="text1"/>
                <w:sz w:val="24"/>
                <w:lang w:eastAsia="zh-CN"/>
                <w14:textFill>
                  <w14:solidFill>
                    <w14:schemeClr w14:val="tx1"/>
                  </w14:solidFill>
                </w14:textFill>
              </w:rPr>
              <w:t>粉尘及烧结、烘银、</w:t>
            </w:r>
            <w:r>
              <w:rPr>
                <w:rFonts w:hint="default" w:ascii="Times New Roman" w:hAnsi="Times New Roman" w:cs="Times New Roman" w:eastAsiaTheme="minorEastAsia"/>
                <w:color w:val="000000" w:themeColor="text1"/>
                <w:sz w:val="24"/>
                <w:lang w:val="en-US" w:eastAsia="zh-CN"/>
                <w14:textFill>
                  <w14:solidFill>
                    <w14:schemeClr w14:val="tx1"/>
                  </w14:solidFill>
                </w14:textFill>
              </w:rPr>
              <w:t>固化</w:t>
            </w:r>
            <w:r>
              <w:rPr>
                <w:rFonts w:hint="default" w:ascii="Times New Roman" w:hAnsi="Times New Roman" w:cs="Times New Roman" w:eastAsiaTheme="minorEastAsia"/>
                <w:color w:val="000000" w:themeColor="text1"/>
                <w:sz w:val="24"/>
                <w:lang w:eastAsia="zh-CN"/>
                <w14:textFill>
                  <w14:solidFill>
                    <w14:schemeClr w14:val="tx1"/>
                  </w14:solidFill>
                </w14:textFill>
              </w:rPr>
              <w:t>产生</w:t>
            </w:r>
            <w:r>
              <w:rPr>
                <w:rFonts w:hint="default" w:ascii="Times New Roman" w:hAnsi="Times New Roman" w:cs="Times New Roman" w:eastAsiaTheme="minorEastAsia"/>
                <w:color w:val="000000" w:themeColor="text1"/>
                <w:sz w:val="24"/>
                <w14:textFill>
                  <w14:solidFill>
                    <w14:schemeClr w14:val="tx1"/>
                  </w14:solidFill>
                </w14:textFill>
              </w:rPr>
              <w:t>的非甲烷总烃</w:t>
            </w:r>
            <w:r>
              <w:rPr>
                <w:rFonts w:hint="default" w:ascii="Times New Roman" w:hAnsi="Times New Roman" w:cs="Times New Roman" w:eastAsiaTheme="minorEastAsia"/>
                <w:color w:val="000000" w:themeColor="text1"/>
                <w:sz w:val="24"/>
                <w:lang w:eastAsia="zh-CN"/>
                <w14:textFill>
                  <w14:solidFill>
                    <w14:schemeClr w14:val="tx1"/>
                  </w14:solidFill>
                </w14:textFill>
              </w:rPr>
              <w:t>，</w:t>
            </w:r>
            <w:r>
              <w:rPr>
                <w:rFonts w:hint="default" w:ascii="Times New Roman" w:hAnsi="Times New Roman" w:cs="Times New Roman" w:eastAsiaTheme="minorEastAsia"/>
                <w:color w:val="000000" w:themeColor="text1"/>
                <w:sz w:val="24"/>
                <w:lang w:val="en-US" w:eastAsia="zh-CN"/>
                <w14:textFill>
                  <w14:solidFill>
                    <w14:schemeClr w14:val="tx1"/>
                  </w14:solidFill>
                </w14:textFill>
              </w:rPr>
              <w:t>焊接过程产生的焊接烟尘</w:t>
            </w:r>
            <w:r>
              <w:rPr>
                <w:rFonts w:hint="default" w:ascii="Times New Roman" w:hAnsi="Times New Roman" w:cs="Times New Roman" w:eastAsiaTheme="minorEastAsia"/>
                <w:color w:val="000000" w:themeColor="text1"/>
                <w:sz w:val="24"/>
                <w14:textFill>
                  <w14:solidFill>
                    <w14:schemeClr w14:val="tx1"/>
                  </w14:solidFill>
                </w14:textFill>
              </w:rPr>
              <w:t>。</w:t>
            </w:r>
            <w:bookmarkStart w:id="7" w:name="_GoBack"/>
            <w:bookmarkEnd w:id="7"/>
          </w:p>
          <w:p w14:paraId="7D52C9C7">
            <w:pPr>
              <w:pStyle w:val="28"/>
              <w:keepNext w:val="0"/>
              <w:keepLines w:val="0"/>
              <w:suppressLineNumbers w:val="0"/>
              <w:spacing w:before="0" w:beforeAutospacing="0" w:after="0" w:afterAutospacing="0" w:line="360" w:lineRule="auto"/>
              <w:ind w:left="0" w:leftChars="0" w:right="0" w:firstLine="480" w:firstLineChars="200"/>
              <w:jc w:val="both"/>
              <w:rPr>
                <w:rFonts w:hint="default" w:ascii="Times New Roman" w:hAnsi="Times New Roman"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cs="Times New Roman"/>
                <w:color w:val="000000" w:themeColor="text1"/>
                <w:kern w:val="2"/>
                <w:sz w:val="24"/>
                <w:szCs w:val="24"/>
                <w:highlight w:val="none"/>
                <w:lang w:val="en-US" w:eastAsia="zh-CN" w:bidi="ar-SA"/>
                <w14:textFill>
                  <w14:solidFill>
                    <w14:schemeClr w14:val="tx1"/>
                  </w14:solidFill>
                </w14:textFill>
              </w:rPr>
              <w:t>（1）产污环节及源强核算</w:t>
            </w:r>
          </w:p>
          <w:p w14:paraId="2446ED0A">
            <w:pPr>
              <w:pStyle w:val="28"/>
              <w:keepNext w:val="0"/>
              <w:keepLines w:val="0"/>
              <w:suppressLineNumbers w:val="0"/>
              <w:spacing w:before="0" w:beforeAutospacing="0" w:after="0" w:afterAutospacing="0" w:line="360" w:lineRule="auto"/>
              <w:ind w:left="0" w:leftChars="0" w:right="0" w:firstLine="480" w:firstLineChars="200"/>
              <w:jc w:val="both"/>
              <w:rPr>
                <w:rFonts w:hint="default" w:ascii="Times New Roman" w:hAnsi="Times New Roman" w:cs="Times New Roman" w:eastAsiaTheme="minorEastAsia"/>
                <w:color w:val="000000" w:themeColor="text1"/>
                <w:sz w:val="24"/>
                <w14:textFill>
                  <w14:solidFill>
                    <w14:schemeClr w14:val="tx1"/>
                  </w14:solidFill>
                </w14:textFill>
              </w:rPr>
            </w:pPr>
            <w:r>
              <w:rPr>
                <w:rFonts w:hint="default" w:ascii="Times New Roman" w:hAnsi="Times New Roman" w:cs="Times New Roman" w:eastAsiaTheme="minorEastAsia"/>
                <w:color w:val="000000" w:themeColor="text1"/>
                <w:sz w:val="24"/>
                <w:lang w:val="en-US" w:eastAsia="zh-CN"/>
                <w14:textFill>
                  <w14:solidFill>
                    <w14:schemeClr w14:val="tx1"/>
                  </w14:solidFill>
                </w14:textFill>
              </w:rPr>
              <w:t xml:space="preserve">①进料粉尘 </w:t>
            </w:r>
          </w:p>
          <w:p w14:paraId="1C3F78B6">
            <w:pPr>
              <w:pStyle w:val="28"/>
              <w:keepNext w:val="0"/>
              <w:keepLines w:val="0"/>
              <w:suppressLineNumbers w:val="0"/>
              <w:spacing w:before="0" w:beforeAutospacing="0" w:after="0" w:afterAutospacing="0" w:line="360" w:lineRule="auto"/>
              <w:ind w:left="0" w:leftChars="0" w:right="0" w:firstLine="480" w:firstLineChars="200"/>
              <w:jc w:val="both"/>
              <w:rPr>
                <w:rFonts w:hint="default" w:ascii="Times New Roman" w:hAnsi="Times New Roman" w:cs="Times New Roman" w:eastAsiaTheme="minorEastAsia"/>
                <w:color w:val="000000" w:themeColor="text1"/>
                <w:sz w:val="24"/>
                <w:lang w:val="en-US" w:eastAsia="zh-CN"/>
                <w14:textFill>
                  <w14:solidFill>
                    <w14:schemeClr w14:val="tx1"/>
                  </w14:solidFill>
                </w14:textFill>
              </w:rPr>
            </w:pPr>
            <w:r>
              <w:rPr>
                <w:rFonts w:hint="default" w:ascii="Times New Roman" w:hAnsi="Times New Roman" w:cs="Times New Roman" w:eastAsiaTheme="minorEastAsia"/>
                <w:b w:val="0"/>
                <w:color w:val="000000" w:themeColor="text1"/>
                <w:sz w:val="24"/>
                <w:lang w:val="en-US" w:eastAsia="zh-CN"/>
                <w14:textFill>
                  <w14:solidFill>
                    <w14:schemeClr w14:val="tx1"/>
                  </w14:solidFill>
                </w14:textFill>
              </w:rPr>
              <w:t>项目进料工序由人工将配料卸至球磨机时会逸散出少量粉尘，进料后以</w:t>
            </w:r>
            <w:r>
              <w:rPr>
                <w:rFonts w:hint="eastAsia" w:cs="Times New Roman" w:eastAsiaTheme="minorEastAsia"/>
                <w:b w:val="0"/>
                <w:color w:val="000000" w:themeColor="text1"/>
                <w:sz w:val="24"/>
                <w:lang w:val="en-US" w:eastAsia="zh-CN"/>
                <w14:textFill>
                  <w14:solidFill>
                    <w14:schemeClr w14:val="tx1"/>
                  </w14:solidFill>
                </w14:textFill>
              </w:rPr>
              <w:t>去离子水</w:t>
            </w:r>
            <w:r>
              <w:rPr>
                <w:rFonts w:hint="default" w:ascii="Times New Roman" w:hAnsi="Times New Roman" w:cs="Times New Roman" w:eastAsiaTheme="minorEastAsia"/>
                <w:b w:val="0"/>
                <w:color w:val="000000" w:themeColor="text1"/>
                <w:sz w:val="24"/>
                <w:lang w:val="en-US" w:eastAsia="zh-CN"/>
                <w14:textFill>
                  <w14:solidFill>
                    <w14:schemeClr w14:val="tx1"/>
                  </w14:solidFill>
                </w14:textFill>
              </w:rPr>
              <w:t>为介质进行研磨，</w:t>
            </w:r>
            <w:r>
              <w:rPr>
                <w:rFonts w:hint="default" w:ascii="Times New Roman" w:hAnsi="Times New Roman" w:cs="Times New Roman"/>
                <w:color w:val="000000" w:themeColor="text1"/>
                <w:sz w:val="24"/>
                <w14:textFill>
                  <w14:solidFill>
                    <w14:schemeClr w14:val="tx1"/>
                  </w14:solidFill>
                </w14:textFill>
              </w:rPr>
              <w:t>湿法混合</w:t>
            </w:r>
            <w:r>
              <w:rPr>
                <w:rFonts w:hint="default" w:ascii="Times New Roman" w:hAnsi="Times New Roman" w:cs="Times New Roman" w:eastAsiaTheme="minorEastAsia"/>
                <w:b w:val="0"/>
                <w:color w:val="000000" w:themeColor="text1"/>
                <w:sz w:val="24"/>
                <w:lang w:val="en-US" w:eastAsia="zh-CN"/>
                <w14:textFill>
                  <w14:solidFill>
                    <w14:schemeClr w14:val="tx1"/>
                  </w14:solidFill>
                </w14:textFill>
              </w:rPr>
              <w:t>。根据《</w:t>
            </w:r>
            <w:r>
              <w:rPr>
                <w:rFonts w:hint="default" w:ascii="Times New Roman" w:hAnsi="Times New Roman" w:cs="Times New Roman" w:eastAsiaTheme="minorEastAsia"/>
                <w:b w:val="0"/>
                <w:bCs w:val="0"/>
                <w:i w:val="0"/>
                <w:iCs w:val="0"/>
                <w:caps w:val="0"/>
                <w:color w:val="000000" w:themeColor="text1"/>
                <w:spacing w:val="0"/>
                <w:sz w:val="24"/>
                <w:szCs w:val="24"/>
                <w:shd w:val="clear"/>
                <w14:textFill>
                  <w14:solidFill>
                    <w14:schemeClr w14:val="tx1"/>
                  </w14:solidFill>
                </w14:textFill>
              </w:rPr>
              <w:t>排放源统计调查产排污核算方法和系数手册</w:t>
            </w:r>
            <w:r>
              <w:rPr>
                <w:rFonts w:hint="default" w:ascii="Times New Roman" w:hAnsi="Times New Roman" w:cs="Times New Roman" w:eastAsiaTheme="minorEastAsia"/>
                <w:b w:val="0"/>
                <w:color w:val="000000" w:themeColor="text1"/>
                <w:sz w:val="24"/>
                <w:lang w:val="en-US" w:eastAsia="zh-CN"/>
                <w14:textFill>
                  <w14:solidFill>
                    <w14:schemeClr w14:val="tx1"/>
                  </w14:solidFill>
                </w14:textFill>
              </w:rPr>
              <w:t>》</w:t>
            </w:r>
            <w:r>
              <w:rPr>
                <w:rFonts w:hint="default" w:ascii="Times New Roman" w:hAnsi="Times New Roman" w:cs="Times New Roman" w:eastAsiaTheme="minorEastAsia"/>
                <w:b w:val="0"/>
                <w:i w:val="0"/>
                <w:iCs w:val="0"/>
                <w:caps w:val="0"/>
                <w:color w:val="000000" w:themeColor="text1"/>
                <w:spacing w:val="0"/>
                <w:sz w:val="24"/>
                <w:szCs w:val="24"/>
                <w:shd w:val="clear"/>
                <w14:textFill>
                  <w14:solidFill>
                    <w14:schemeClr w14:val="tx1"/>
                  </w14:solidFill>
                </w14:textFill>
              </w:rPr>
              <w:t>38-40电子电气行业系数</w:t>
            </w:r>
            <w:r>
              <w:rPr>
                <w:rFonts w:hint="default" w:ascii="Times New Roman" w:hAnsi="Times New Roman" w:cs="Times New Roman" w:eastAsiaTheme="minorEastAsia"/>
                <w:b w:val="0"/>
                <w:i w:val="0"/>
                <w:iCs w:val="0"/>
                <w:caps w:val="0"/>
                <w:color w:val="000000" w:themeColor="text1"/>
                <w:spacing w:val="0"/>
                <w:sz w:val="24"/>
                <w:szCs w:val="24"/>
                <w:shd w:val="clear"/>
                <w:lang w:eastAsia="zh-CN"/>
                <w14:textFill>
                  <w14:solidFill>
                    <w14:schemeClr w14:val="tx1"/>
                  </w14:solidFill>
                </w14:textFill>
              </w:rPr>
              <w:t>（</w:t>
            </w:r>
            <w:r>
              <w:rPr>
                <w:rFonts w:hint="default" w:ascii="Times New Roman" w:hAnsi="Times New Roman" w:cs="Times New Roman" w:eastAsiaTheme="minorEastAsia"/>
                <w:b w:val="0"/>
                <w:i w:val="0"/>
                <w:iCs w:val="0"/>
                <w:caps w:val="0"/>
                <w:color w:val="000000" w:themeColor="text1"/>
                <w:spacing w:val="0"/>
                <w:sz w:val="24"/>
                <w:szCs w:val="24"/>
                <w:shd w:val="clear"/>
                <w:lang w:val="en-US" w:eastAsia="zh-CN"/>
                <w14:textFill>
                  <w14:solidFill>
                    <w14:schemeClr w14:val="tx1"/>
                  </w14:solidFill>
                </w14:textFill>
              </w:rPr>
              <w:t>配料工段</w:t>
            </w:r>
            <w:r>
              <w:rPr>
                <w:rFonts w:hint="default" w:ascii="Times New Roman" w:hAnsi="Times New Roman" w:cs="Times New Roman" w:eastAsiaTheme="minorEastAsia"/>
                <w:b w:val="0"/>
                <w:i w:val="0"/>
                <w:iCs w:val="0"/>
                <w:caps w:val="0"/>
                <w:color w:val="000000" w:themeColor="text1"/>
                <w:spacing w:val="0"/>
                <w:sz w:val="24"/>
                <w:szCs w:val="24"/>
                <w:shd w:val="clear"/>
                <w:lang w:eastAsia="zh-CN"/>
                <w14:textFill>
                  <w14:solidFill>
                    <w14:schemeClr w14:val="tx1"/>
                  </w14:solidFill>
                </w14:textFill>
              </w:rPr>
              <w:t>），颗粒物</w:t>
            </w:r>
            <w:r>
              <w:rPr>
                <w:rFonts w:hint="default" w:ascii="Times New Roman" w:hAnsi="Times New Roman" w:eastAsia="宋体" w:cs="Times New Roman"/>
                <w:color w:val="000000" w:themeColor="text1"/>
                <w:sz w:val="24"/>
                <w:szCs w:val="24"/>
                <w14:textFill>
                  <w14:solidFill>
                    <w14:schemeClr w14:val="tx1"/>
                  </w14:solidFill>
                </w14:textFill>
              </w:rPr>
              <w:t>产污系数</w:t>
            </w:r>
            <w:r>
              <w:rPr>
                <w:rFonts w:hint="default" w:ascii="Times New Roman" w:hAnsi="Times New Roman" w:eastAsia="宋体" w:cs="Times New Roman"/>
                <w:color w:val="000000" w:themeColor="text1"/>
                <w:sz w:val="24"/>
                <w:szCs w:val="24"/>
                <w:lang w:eastAsia="zh-CN"/>
                <w14:textFill>
                  <w14:solidFill>
                    <w14:schemeClr w14:val="tx1"/>
                  </w14:solidFill>
                </w14:textFill>
              </w:rPr>
              <w:t>为</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6.118</w:t>
            </w:r>
            <w:r>
              <w:rPr>
                <w:rFonts w:hint="default" w:ascii="Times New Roman" w:hAnsi="Times New Roman" w:eastAsia="宋体" w:cs="Times New Roman"/>
                <w:color w:val="000000" w:themeColor="text1"/>
                <w:sz w:val="24"/>
                <w:szCs w:val="24"/>
                <w14:textFill>
                  <w14:solidFill>
                    <w14:schemeClr w14:val="tx1"/>
                  </w14:solidFill>
                </w14:textFill>
              </w:rPr>
              <w:t>克/千克-原料</w:t>
            </w:r>
            <w:r>
              <w:rPr>
                <w:rFonts w:hint="default" w:ascii="Times New Roman" w:hAnsi="Times New Roman" w:eastAsia="宋体" w:cs="Times New Roman"/>
                <w:color w:val="000000" w:themeColor="text1"/>
                <w:sz w:val="24"/>
                <w:szCs w:val="24"/>
                <w:lang w:eastAsia="zh-CN"/>
                <w14:textFill>
                  <w14:solidFill>
                    <w14:schemeClr w14:val="tx1"/>
                  </w14:solidFill>
                </w14:textFill>
              </w:rPr>
              <w:t>计算，</w:t>
            </w:r>
            <w:r>
              <w:rPr>
                <w:rFonts w:hint="default" w:ascii="Times New Roman" w:hAnsi="Times New Roman" w:cs="Times New Roman" w:eastAsiaTheme="minorEastAsia"/>
                <w:color w:val="000000" w:themeColor="text1"/>
                <w:sz w:val="24"/>
                <w:lang w:val="en-US" w:eastAsia="zh-CN"/>
                <w14:textFill>
                  <w14:solidFill>
                    <w14:schemeClr w14:val="tx1"/>
                  </w14:solidFill>
                </w14:textFill>
              </w:rPr>
              <w:t>项目原料的使用量</w:t>
            </w:r>
            <w:r>
              <w:rPr>
                <w:rFonts w:hint="eastAsia" w:cs="Times New Roman" w:eastAsiaTheme="minorEastAsia"/>
                <w:color w:val="000000" w:themeColor="text1"/>
                <w:sz w:val="24"/>
                <w:lang w:val="en-US" w:eastAsia="zh-CN"/>
                <w14:textFill>
                  <w14:solidFill>
                    <w14:schemeClr w14:val="tx1"/>
                  </w14:solidFill>
                </w14:textFill>
              </w:rPr>
              <w:t>123.5</w:t>
            </w:r>
            <w:r>
              <w:rPr>
                <w:rFonts w:hint="default" w:ascii="Times New Roman" w:hAnsi="Times New Roman" w:cs="Times New Roman" w:eastAsiaTheme="minorEastAsia"/>
                <w:color w:val="000000" w:themeColor="text1"/>
                <w:sz w:val="24"/>
                <w:lang w:val="en-US" w:eastAsia="zh-CN"/>
                <w14:textFill>
                  <w14:solidFill>
                    <w14:schemeClr w14:val="tx1"/>
                  </w14:solidFill>
                </w14:textFill>
              </w:rPr>
              <w:t>t/a，进料工序年有效运行时间为2400h，则粉尘产生量</w:t>
            </w:r>
            <w:r>
              <w:rPr>
                <w:rFonts w:hint="eastAsia" w:cs="Times New Roman" w:eastAsiaTheme="minorEastAsia"/>
                <w:color w:val="000000" w:themeColor="text1"/>
                <w:sz w:val="24"/>
                <w:lang w:val="en-US" w:eastAsia="zh-CN"/>
                <w14:textFill>
                  <w14:solidFill>
                    <w14:schemeClr w14:val="tx1"/>
                  </w14:solidFill>
                </w14:textFill>
              </w:rPr>
              <w:t>0.76</w:t>
            </w:r>
            <w:r>
              <w:rPr>
                <w:rFonts w:hint="default" w:ascii="Times New Roman" w:hAnsi="Times New Roman" w:cs="Times New Roman" w:eastAsiaTheme="minorEastAsia"/>
                <w:color w:val="000000" w:themeColor="text1"/>
                <w:sz w:val="24"/>
                <w:lang w:val="en-US" w:eastAsia="zh-CN"/>
                <w14:textFill>
                  <w14:solidFill>
                    <w14:schemeClr w14:val="tx1"/>
                  </w14:solidFill>
                </w14:textFill>
              </w:rPr>
              <w:t>t/a。</w:t>
            </w:r>
          </w:p>
          <w:p w14:paraId="5E029689">
            <w:pPr>
              <w:pStyle w:val="28"/>
              <w:keepNext w:val="0"/>
              <w:keepLines w:val="0"/>
              <w:suppressLineNumbers w:val="0"/>
              <w:spacing w:before="0" w:beforeAutospacing="0" w:after="0" w:afterAutospacing="0" w:line="360" w:lineRule="auto"/>
              <w:ind w:left="0" w:leftChars="0" w:right="0" w:firstLine="480" w:firstLineChars="200"/>
              <w:jc w:val="both"/>
              <w:rPr>
                <w:rFonts w:hint="default" w:ascii="Times New Roman" w:hAnsi="Times New Roman" w:eastAsia="黑体" w:cs="Times New Roman"/>
                <w:snapToGrid w:val="0"/>
                <w:color w:val="000000" w:themeColor="text1"/>
                <w:sz w:val="24"/>
                <w:szCs w:val="24"/>
                <w:vertAlign w:val="baseline"/>
                <w14:textFill>
                  <w14:solidFill>
                    <w14:schemeClr w14:val="tx1"/>
                  </w14:solidFill>
                </w14:textFill>
              </w:rPr>
            </w:pPr>
            <w:r>
              <w:rPr>
                <w:rFonts w:hint="default" w:ascii="Times New Roman" w:hAnsi="Times New Roman" w:cs="Times New Roman" w:eastAsiaTheme="minorEastAsia"/>
                <w:color w:val="000000" w:themeColor="text1"/>
                <w:sz w:val="24"/>
                <w:lang w:val="en-US" w:eastAsia="zh-CN"/>
                <w14:textFill>
                  <w14:solidFill>
                    <w14:schemeClr w14:val="tx1"/>
                  </w14:solidFill>
                </w14:textFill>
              </w:rPr>
              <w:t>建设单位在进料口上方设置集气罩以此收集人工投料时因冲击扬起的原料粉尘，由于本项目进料工序在密闭造粒间进行且进料球磨机为加盖式，故加料完成后无废气产生。加料过程中产生的废气经集气罩收集后接入造粒工序的废气治理设施进行处理，废气经布袋除尘器</w:t>
            </w:r>
            <w:r>
              <w:rPr>
                <w:rFonts w:hint="default" w:ascii="Times New Roman" w:hAnsi="Times New Roman" w:cs="Times New Roman" w:eastAsiaTheme="minorEastAsia"/>
                <w:color w:val="000000" w:themeColor="text1"/>
                <w:sz w:val="24"/>
                <w:lang w:eastAsia="zh-CN"/>
                <w14:textFill>
                  <w14:solidFill>
                    <w14:schemeClr w14:val="tx1"/>
                  </w14:solidFill>
                </w14:textFill>
              </w:rPr>
              <w:t>（</w:t>
            </w:r>
            <w:r>
              <w:rPr>
                <w:rFonts w:hint="default" w:ascii="Times New Roman" w:hAnsi="Times New Roman" w:cs="Times New Roman" w:eastAsiaTheme="minorEastAsia"/>
                <w:color w:val="000000" w:themeColor="text1"/>
                <w:sz w:val="24"/>
                <w:lang w:val="en-US" w:eastAsia="zh-CN"/>
                <w14:textFill>
                  <w14:solidFill>
                    <w14:schemeClr w14:val="tx1"/>
                  </w14:solidFill>
                </w14:textFill>
              </w:rPr>
              <w:t>TA001</w:t>
            </w:r>
            <w:r>
              <w:rPr>
                <w:rFonts w:hint="default" w:ascii="Times New Roman" w:hAnsi="Times New Roman" w:cs="Times New Roman" w:eastAsiaTheme="minorEastAsia"/>
                <w:color w:val="000000" w:themeColor="text1"/>
                <w:sz w:val="24"/>
                <w:lang w:eastAsia="zh-CN"/>
                <w14:textFill>
                  <w14:solidFill>
                    <w14:schemeClr w14:val="tx1"/>
                  </w14:solidFill>
                </w14:textFill>
              </w:rPr>
              <w:t>）</w:t>
            </w:r>
            <w:r>
              <w:rPr>
                <w:rFonts w:hint="default" w:ascii="Times New Roman" w:hAnsi="Times New Roman" w:cs="Times New Roman" w:eastAsiaTheme="minorEastAsia"/>
                <w:color w:val="000000" w:themeColor="text1"/>
                <w:sz w:val="24"/>
                <w:lang w:val="en-US" w:eastAsia="zh-CN"/>
                <w14:textFill>
                  <w14:solidFill>
                    <w14:schemeClr w14:val="tx1"/>
                  </w14:solidFill>
                </w14:textFill>
              </w:rPr>
              <w:t>处理后经15米高的排气筒（DA001）高空排放。集气罩收集效率约为80%，布袋除尘器的治理效率为98%，风机风量为5000m</w:t>
            </w:r>
            <w:r>
              <w:rPr>
                <w:rFonts w:hint="default" w:ascii="Times New Roman" w:hAnsi="Times New Roman" w:cs="Times New Roman" w:eastAsiaTheme="minorEastAsia"/>
                <w:color w:val="000000" w:themeColor="text1"/>
                <w:sz w:val="24"/>
                <w:vertAlign w:val="superscript"/>
                <w:lang w:val="en-US" w:eastAsia="zh-CN"/>
                <w14:textFill>
                  <w14:solidFill>
                    <w14:schemeClr w14:val="tx1"/>
                  </w14:solidFill>
                </w14:textFill>
              </w:rPr>
              <w:t>3</w:t>
            </w:r>
            <w:r>
              <w:rPr>
                <w:rFonts w:hint="default" w:ascii="Times New Roman" w:hAnsi="Times New Roman" w:cs="Times New Roman" w:eastAsiaTheme="minorEastAsia"/>
                <w:color w:val="000000" w:themeColor="text1"/>
                <w:sz w:val="24"/>
                <w:lang w:val="en-US" w:eastAsia="zh-CN"/>
                <w14:textFill>
                  <w14:solidFill>
                    <w14:schemeClr w14:val="tx1"/>
                  </w14:solidFill>
                </w14:textFill>
              </w:rPr>
              <w:t>/h，布袋除尘效率按98%计，则进料粉尘有组织排放量为0.0</w:t>
            </w:r>
            <w:r>
              <w:rPr>
                <w:rFonts w:hint="eastAsia" w:cs="Times New Roman" w:eastAsiaTheme="minorEastAsia"/>
                <w:color w:val="000000" w:themeColor="text1"/>
                <w:sz w:val="24"/>
                <w:lang w:val="en-US" w:eastAsia="zh-CN"/>
                <w14:textFill>
                  <w14:solidFill>
                    <w14:schemeClr w14:val="tx1"/>
                  </w14:solidFill>
                </w14:textFill>
              </w:rPr>
              <w:t>1</w:t>
            </w:r>
            <w:r>
              <w:rPr>
                <w:rFonts w:hint="default" w:ascii="Times New Roman" w:hAnsi="Times New Roman" w:cs="Times New Roman" w:eastAsiaTheme="minorEastAsia"/>
                <w:color w:val="000000" w:themeColor="text1"/>
                <w:sz w:val="24"/>
                <w:lang w:val="en-US" w:eastAsia="zh-CN"/>
                <w14:textFill>
                  <w14:solidFill>
                    <w14:schemeClr w14:val="tx1"/>
                  </w14:solidFill>
                </w14:textFill>
              </w:rPr>
              <w:t>2t/a（排放速率为0.00</w:t>
            </w:r>
            <w:r>
              <w:rPr>
                <w:rFonts w:hint="eastAsia" w:cs="Times New Roman" w:eastAsiaTheme="minorEastAsia"/>
                <w:color w:val="000000" w:themeColor="text1"/>
                <w:sz w:val="24"/>
                <w:lang w:val="en-US" w:eastAsia="zh-CN"/>
                <w14:textFill>
                  <w14:solidFill>
                    <w14:schemeClr w14:val="tx1"/>
                  </w14:solidFill>
                </w14:textFill>
              </w:rPr>
              <w:t>5</w:t>
            </w:r>
            <w:r>
              <w:rPr>
                <w:rFonts w:hint="default" w:ascii="Times New Roman" w:hAnsi="Times New Roman" w:cs="Times New Roman" w:eastAsiaTheme="minorEastAsia"/>
                <w:color w:val="000000" w:themeColor="text1"/>
                <w:sz w:val="24"/>
                <w:lang w:val="en-US" w:eastAsia="zh-CN"/>
                <w14:textFill>
                  <w14:solidFill>
                    <w14:schemeClr w14:val="tx1"/>
                  </w14:solidFill>
                </w14:textFill>
              </w:rPr>
              <w:t>kg/h，排放浓度为1.</w:t>
            </w:r>
            <w:r>
              <w:rPr>
                <w:rFonts w:hint="eastAsia" w:cs="Times New Roman" w:eastAsiaTheme="minorEastAsia"/>
                <w:color w:val="000000" w:themeColor="text1"/>
                <w:sz w:val="24"/>
                <w:lang w:val="en-US" w:eastAsia="zh-CN"/>
                <w14:textFill>
                  <w14:solidFill>
                    <w14:schemeClr w14:val="tx1"/>
                  </w14:solidFill>
                </w14:textFill>
              </w:rPr>
              <w:t>01</w:t>
            </w:r>
            <w:r>
              <w:rPr>
                <w:rFonts w:hint="default" w:ascii="Times New Roman" w:hAnsi="Times New Roman" w:cs="Times New Roman" w:eastAsiaTheme="minorEastAsia"/>
                <w:color w:val="000000" w:themeColor="text1"/>
                <w:sz w:val="24"/>
                <w:lang w:val="en-US" w:eastAsia="zh-CN"/>
                <w14:textFill>
                  <w14:solidFill>
                    <w14:schemeClr w14:val="tx1"/>
                  </w14:solidFill>
                </w14:textFill>
              </w:rPr>
              <w:t>mg/m</w:t>
            </w:r>
            <w:r>
              <w:rPr>
                <w:rFonts w:hint="default" w:ascii="Times New Roman" w:hAnsi="Times New Roman" w:cs="Times New Roman" w:eastAsiaTheme="minorEastAsia"/>
                <w:color w:val="000000" w:themeColor="text1"/>
                <w:sz w:val="24"/>
                <w:vertAlign w:val="superscript"/>
                <w:lang w:val="en-US" w:eastAsia="zh-CN"/>
                <w14:textFill>
                  <w14:solidFill>
                    <w14:schemeClr w14:val="tx1"/>
                  </w14:solidFill>
                </w14:textFill>
              </w:rPr>
              <w:t>3</w:t>
            </w:r>
            <w:r>
              <w:rPr>
                <w:rFonts w:hint="default" w:ascii="Times New Roman" w:hAnsi="Times New Roman" w:cs="Times New Roman" w:eastAsiaTheme="minorEastAsia"/>
                <w:color w:val="000000" w:themeColor="text1"/>
                <w:sz w:val="24"/>
                <w:lang w:val="en-US" w:eastAsia="zh-CN"/>
                <w14:textFill>
                  <w14:solidFill>
                    <w14:schemeClr w14:val="tx1"/>
                  </w14:solidFill>
                </w14:textFill>
              </w:rPr>
              <w:t>），无组织排放量为0.0</w:t>
            </w:r>
            <w:r>
              <w:rPr>
                <w:rFonts w:hint="eastAsia" w:cs="Times New Roman" w:eastAsiaTheme="minorEastAsia"/>
                <w:color w:val="000000" w:themeColor="text1"/>
                <w:sz w:val="24"/>
                <w:lang w:val="en-US" w:eastAsia="zh-CN"/>
                <w14:textFill>
                  <w14:solidFill>
                    <w14:schemeClr w14:val="tx1"/>
                  </w14:solidFill>
                </w14:textFill>
              </w:rPr>
              <w:t>45</w:t>
            </w:r>
            <w:r>
              <w:rPr>
                <w:rFonts w:hint="default" w:ascii="Times New Roman" w:hAnsi="Times New Roman" w:cs="Times New Roman" w:eastAsiaTheme="minorEastAsia"/>
                <w:color w:val="000000" w:themeColor="text1"/>
                <w:sz w:val="24"/>
                <w:lang w:val="en-US" w:eastAsia="zh-CN"/>
                <w14:textFill>
                  <w14:solidFill>
                    <w14:schemeClr w14:val="tx1"/>
                  </w14:solidFill>
                </w14:textFill>
              </w:rPr>
              <w:t>t/a（排放速率为0.0</w:t>
            </w:r>
            <w:r>
              <w:rPr>
                <w:rFonts w:hint="eastAsia" w:cs="Times New Roman" w:eastAsiaTheme="minorEastAsia"/>
                <w:color w:val="000000" w:themeColor="text1"/>
                <w:sz w:val="24"/>
                <w:lang w:val="en-US" w:eastAsia="zh-CN"/>
                <w14:textFill>
                  <w14:solidFill>
                    <w14:schemeClr w14:val="tx1"/>
                  </w14:solidFill>
                </w14:textFill>
              </w:rPr>
              <w:t>19</w:t>
            </w:r>
            <w:r>
              <w:rPr>
                <w:rFonts w:hint="default" w:ascii="Times New Roman" w:hAnsi="Times New Roman" w:cs="Times New Roman" w:eastAsiaTheme="minorEastAsia"/>
                <w:color w:val="000000" w:themeColor="text1"/>
                <w:sz w:val="24"/>
                <w:lang w:val="en-US" w:eastAsia="zh-CN"/>
                <w14:textFill>
                  <w14:solidFill>
                    <w14:schemeClr w14:val="tx1"/>
                  </w14:solidFill>
                </w14:textFill>
              </w:rPr>
              <w:t>kg/h）。</w:t>
            </w:r>
          </w:p>
        </w:tc>
      </w:tr>
    </w:tbl>
    <w:p w14:paraId="4CDE260B">
      <w:pPr>
        <w:pStyle w:val="31"/>
        <w:numPr>
          <w:ilvl w:val="0"/>
          <w:numId w:val="0"/>
        </w:numPr>
        <w:jc w:val="both"/>
        <w:outlineLvl w:val="0"/>
        <w:rPr>
          <w:rFonts w:hint="default" w:ascii="Times New Roman" w:hAnsi="Times New Roman" w:eastAsia="黑体" w:cs="Times New Roman"/>
          <w:snapToGrid w:val="0"/>
          <w:color w:val="000000" w:themeColor="text1"/>
          <w:sz w:val="30"/>
          <w:szCs w:val="30"/>
          <w14:textFill>
            <w14:solidFill>
              <w14:schemeClr w14:val="tx1"/>
            </w14:solidFill>
          </w14:textFill>
        </w:rPr>
        <w:sectPr>
          <w:pgSz w:w="16840" w:h="11907" w:orient="landscape"/>
          <w:pgMar w:top="1531" w:right="1701" w:bottom="1531" w:left="2127" w:header="851" w:footer="851" w:gutter="0"/>
          <w:pgBorders>
            <w:top w:val="none" w:sz="0" w:space="0"/>
            <w:left w:val="none" w:sz="0" w:space="0"/>
            <w:bottom w:val="none" w:sz="0" w:space="0"/>
            <w:right w:val="none" w:sz="0" w:space="0"/>
          </w:pgBorders>
          <w:cols w:space="720" w:num="1"/>
          <w:docGrid w:linePitch="312" w:charSpace="0"/>
        </w:sectPr>
      </w:pPr>
    </w:p>
    <w:tbl>
      <w:tblPr>
        <w:tblStyle w:val="36"/>
        <w:tblW w:w="898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620"/>
        <w:gridCol w:w="8361"/>
      </w:tblGrid>
      <w:tr w14:paraId="486A10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907" w:hRule="atLeast"/>
          <w:jc w:val="center"/>
        </w:trPr>
        <w:tc>
          <w:tcPr>
            <w:tcW w:w="620" w:type="dxa"/>
            <w:noWrap w:val="0"/>
            <w:tcMar>
              <w:left w:w="28" w:type="dxa"/>
              <w:right w:w="28" w:type="dxa"/>
            </w:tcMar>
            <w:vAlign w:val="center"/>
          </w:tcPr>
          <w:p w14:paraId="7D77EEC7">
            <w:pPr>
              <w:adjustRightInd w:val="0"/>
              <w:snapToGrid w:val="0"/>
              <w:jc w:val="center"/>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运营</w:t>
            </w:r>
          </w:p>
          <w:p w14:paraId="4E5A9BB1">
            <w:pPr>
              <w:adjustRightInd w:val="0"/>
              <w:snapToGrid w:val="0"/>
              <w:jc w:val="center"/>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期环</w:t>
            </w:r>
          </w:p>
          <w:p w14:paraId="2C73EC51">
            <w:pPr>
              <w:adjustRightInd w:val="0"/>
              <w:snapToGrid w:val="0"/>
              <w:jc w:val="center"/>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境影</w:t>
            </w:r>
          </w:p>
          <w:p w14:paraId="326447F2">
            <w:pPr>
              <w:adjustRightInd w:val="0"/>
              <w:snapToGrid w:val="0"/>
              <w:jc w:val="center"/>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响和</w:t>
            </w:r>
          </w:p>
          <w:p w14:paraId="081AC4CF">
            <w:pPr>
              <w:adjustRightInd w:val="0"/>
              <w:snapToGrid w:val="0"/>
              <w:jc w:val="center"/>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保护</w:t>
            </w:r>
          </w:p>
          <w:p w14:paraId="19DF17A5">
            <w:pPr>
              <w:adjustRightInd w:val="0"/>
              <w:snapToGrid w:val="0"/>
              <w:jc w:val="center"/>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措施</w:t>
            </w:r>
          </w:p>
        </w:tc>
        <w:tc>
          <w:tcPr>
            <w:tcW w:w="8361" w:type="dxa"/>
            <w:noWrap w:val="0"/>
            <w:vAlign w:val="center"/>
          </w:tcPr>
          <w:p w14:paraId="40D7DD91">
            <w:pPr>
              <w:pStyle w:val="28"/>
              <w:keepNext w:val="0"/>
              <w:keepLines w:val="0"/>
              <w:suppressLineNumbers w:val="0"/>
              <w:spacing w:before="0" w:beforeAutospacing="0" w:after="0" w:afterAutospacing="0" w:line="360" w:lineRule="auto"/>
              <w:ind w:left="0" w:leftChars="0" w:right="0" w:firstLine="480" w:firstLineChars="200"/>
              <w:jc w:val="both"/>
              <w:rPr>
                <w:rFonts w:hint="default" w:ascii="Times New Roman" w:hAnsi="Times New Roman" w:cs="Times New Roman" w:eastAsiaTheme="minorEastAsia"/>
                <w:color w:val="000000" w:themeColor="text1"/>
                <w:sz w:val="24"/>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lang w:val="en-US" w:eastAsia="zh-CN"/>
                <w14:textFill>
                  <w14:solidFill>
                    <w14:schemeClr w14:val="tx1"/>
                  </w14:solidFill>
                </w14:textFill>
              </w:rPr>
              <w:t>②造粒废气</w:t>
            </w:r>
          </w:p>
          <w:p w14:paraId="253AE240">
            <w:pPr>
              <w:keepNext w:val="0"/>
              <w:keepLines w:val="0"/>
              <w:suppressLineNumbers w:val="0"/>
              <w:spacing w:before="0" w:beforeAutospacing="0" w:after="0" w:afterAutospacing="0" w:line="360" w:lineRule="auto"/>
              <w:ind w:left="0" w:leftChars="0" w:right="0" w:firstLine="480" w:firstLineChars="200"/>
              <w:jc w:val="both"/>
              <w:rPr>
                <w:rFonts w:hint="default" w:ascii="Times New Roman" w:hAnsi="Times New Roman" w:cs="Times New Roman" w:eastAsiaTheme="minorEastAsia"/>
                <w:b/>
                <w:bCs/>
                <w:color w:val="000000" w:themeColor="text1"/>
                <w:sz w:val="24"/>
                <w:lang w:val="en-US" w:eastAsia="zh-CN" w:bidi="ar"/>
                <w14:textFill>
                  <w14:solidFill>
                    <w14:schemeClr w14:val="tx1"/>
                  </w14:solidFill>
                </w14:textFill>
              </w:rPr>
            </w:pPr>
            <w:r>
              <w:rPr>
                <w:rFonts w:hint="default" w:ascii="Times New Roman" w:hAnsi="Times New Roman" w:cs="Times New Roman" w:eastAsiaTheme="minorEastAsia"/>
                <w:color w:val="000000" w:themeColor="text1"/>
                <w:sz w:val="24"/>
                <w:lang w:val="en-US" w:eastAsia="zh-CN"/>
                <w14:textFill>
                  <w14:solidFill>
                    <w14:schemeClr w14:val="tx1"/>
                  </w14:solidFill>
                </w14:textFill>
              </w:rPr>
              <w:t>在造粒工序中，</w:t>
            </w:r>
            <w:r>
              <w:rPr>
                <w:rFonts w:hint="default" w:ascii="Times New Roman" w:hAnsi="Times New Roman" w:cs="Times New Roman"/>
                <w:color w:val="000000" w:themeColor="text1"/>
                <w:sz w:val="24"/>
                <w:szCs w:val="24"/>
                <w:lang w:eastAsia="zh-CN"/>
                <w14:textFill>
                  <w14:solidFill>
                    <w14:schemeClr w14:val="tx1"/>
                  </w14:solidFill>
                </w14:textFill>
              </w:rPr>
              <w:t>浆料通过软管吸入离心造粒喷雾干燥塔内（约</w:t>
            </w:r>
            <w:r>
              <w:rPr>
                <w:rFonts w:hint="default" w:ascii="Times New Roman" w:hAnsi="Times New Roman" w:cs="Times New Roman"/>
                <w:color w:val="000000" w:themeColor="text1"/>
                <w:sz w:val="24"/>
                <w:szCs w:val="24"/>
                <w:lang w:val="en-US" w:eastAsia="zh-CN"/>
                <w14:textFill>
                  <w14:solidFill>
                    <w14:schemeClr w14:val="tx1"/>
                  </w14:solidFill>
                </w14:textFill>
              </w:rPr>
              <w:t>150℃，采用电加热</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由造压设备分别送到雾化喷嘴，雾化后涂布于流化颗粒表面或使颗粒相互粘结，经不断地流化、涂布、干燥，颗粒逐渐长大，达到所要</w:t>
            </w:r>
            <w:r>
              <w:rPr>
                <w:rFonts w:hint="default" w:ascii="Times New Roman" w:hAnsi="Times New Roman" w:cs="Times New Roman" w:eastAsiaTheme="minorEastAsia"/>
                <w:color w:val="000000" w:themeColor="text1"/>
                <w:kern w:val="2"/>
                <w:sz w:val="24"/>
                <w:szCs w:val="24"/>
                <w:lang w:val="en-US" w:eastAsia="zh-CN" w:bidi="ar"/>
                <w14:textFill>
                  <w14:solidFill>
                    <w14:schemeClr w14:val="tx1"/>
                  </w14:solidFill>
                </w14:textFill>
              </w:rPr>
              <w:t>求的粒度后从</w:t>
            </w:r>
            <w:r>
              <w:rPr>
                <w:rFonts w:hint="default" w:ascii="Times New Roman" w:hAnsi="Times New Roman" w:cs="Times New Roman" w:eastAsiaTheme="minorEastAsia"/>
                <w:color w:val="000000" w:themeColor="text1"/>
                <w:sz w:val="24"/>
                <w:szCs w:val="24"/>
                <w:lang w:eastAsia="zh-CN"/>
                <w14:textFill>
                  <w14:solidFill>
                    <w14:schemeClr w14:val="tx1"/>
                  </w14:solidFill>
                </w14:textFill>
              </w:rPr>
              <w:t>干燥塔底部出口出料，废气从干燥塔上部排出</w:t>
            </w:r>
            <w:r>
              <w:rPr>
                <w:rFonts w:hint="default" w:ascii="Times New Roman" w:hAnsi="Times New Roman" w:cs="Times New Roman"/>
                <w:color w:val="000000" w:themeColor="text1"/>
                <w:sz w:val="24"/>
                <w:szCs w:val="24"/>
                <w:lang w:eastAsia="zh-CN"/>
                <w14:textFill>
                  <w14:solidFill>
                    <w14:schemeClr w14:val="tx1"/>
                  </w14:solidFill>
                </w14:textFill>
              </w:rPr>
              <w:t>。造粒工序产生的污染物为颗粒物与有机废气。</w:t>
            </w:r>
          </w:p>
          <w:p w14:paraId="31B042FB">
            <w:pPr>
              <w:keepNext w:val="0"/>
              <w:keepLines w:val="0"/>
              <w:suppressLineNumbers w:val="0"/>
              <w:spacing w:before="0" w:beforeAutospacing="0" w:after="0" w:afterAutospacing="0" w:line="360" w:lineRule="auto"/>
              <w:ind w:left="0" w:leftChars="0" w:right="0" w:firstLine="482" w:firstLineChars="200"/>
              <w:jc w:val="both"/>
              <w:rPr>
                <w:rFonts w:hint="default" w:ascii="Times New Roman" w:hAnsi="Times New Roman" w:cs="Times New Roman" w:eastAsiaTheme="minorEastAsia"/>
                <w:color w:val="000000" w:themeColor="text1"/>
                <w:sz w:val="24"/>
                <w:lang w:bidi="ar"/>
                <w14:textFill>
                  <w14:solidFill>
                    <w14:schemeClr w14:val="tx1"/>
                  </w14:solidFill>
                </w14:textFill>
              </w:rPr>
            </w:pPr>
            <w:r>
              <w:rPr>
                <w:rFonts w:hint="default" w:ascii="Times New Roman" w:hAnsi="Times New Roman" w:cs="Times New Roman" w:eastAsiaTheme="minorEastAsia"/>
                <w:b/>
                <w:bCs/>
                <w:color w:val="000000" w:themeColor="text1"/>
                <w:sz w:val="24"/>
                <w:lang w:val="en-US" w:eastAsia="zh-CN" w:bidi="ar"/>
                <w14:textFill>
                  <w14:solidFill>
                    <w14:schemeClr w14:val="tx1"/>
                  </w14:solidFill>
                </w14:textFill>
              </w:rPr>
              <w:t>有机废气：</w:t>
            </w:r>
            <w:r>
              <w:rPr>
                <w:rFonts w:hint="default" w:ascii="Times New Roman" w:hAnsi="Times New Roman" w:cs="Times New Roman" w:eastAsiaTheme="minorEastAsia"/>
                <w:color w:val="000000" w:themeColor="text1"/>
                <w:sz w:val="24"/>
                <w:lang w:val="en-US" w:eastAsia="zh-CN" w:bidi="ar"/>
                <w14:textFill>
                  <w14:solidFill>
                    <w14:schemeClr w14:val="tx1"/>
                  </w14:solidFill>
                </w14:textFill>
              </w:rPr>
              <w:t>项目原料中聚乙烯醇为乳白色粉末，袋装，熔点230℃，加热至160~170℃脱水醚化，失去溶解性，加热到200℃开始分解。根据建设单位提供提料，其挥发性有机物含量约30%。项目造粒升温至150℃</w:t>
            </w:r>
            <w:r>
              <w:rPr>
                <w:rFonts w:hint="eastAsia" w:ascii="Times New Roman" w:hAnsi="Times New Roman" w:cs="Times New Roman" w:eastAsiaTheme="minorEastAsia"/>
                <w:color w:val="000000" w:themeColor="text1"/>
                <w:sz w:val="24"/>
                <w:lang w:val="en-US" w:eastAsia="zh-CN" w:bidi="ar"/>
                <w14:textFill>
                  <w14:solidFill>
                    <w14:schemeClr w14:val="tx1"/>
                  </w14:solidFill>
                </w14:textFill>
              </w:rPr>
              <w:t>，无有机废气产生</w:t>
            </w:r>
            <w:r>
              <w:rPr>
                <w:rFonts w:hint="default" w:ascii="Times New Roman" w:hAnsi="Times New Roman" w:cs="Times New Roman" w:eastAsiaTheme="minorEastAsia"/>
                <w:color w:val="000000" w:themeColor="text1"/>
                <w:sz w:val="24"/>
                <w:lang w:val="en-US" w:eastAsia="zh-CN" w:bidi="ar"/>
                <w14:textFill>
                  <w14:solidFill>
                    <w14:schemeClr w14:val="tx1"/>
                  </w14:solidFill>
                </w14:textFill>
              </w:rPr>
              <w:t>。</w:t>
            </w:r>
          </w:p>
          <w:p w14:paraId="3B71DCA3">
            <w:pPr>
              <w:pStyle w:val="28"/>
              <w:keepNext w:val="0"/>
              <w:keepLines w:val="0"/>
              <w:suppressLineNumbers w:val="0"/>
              <w:spacing w:before="0" w:beforeAutospacing="0" w:after="0" w:afterAutospacing="0" w:line="360" w:lineRule="auto"/>
              <w:ind w:left="0" w:leftChars="0" w:right="0" w:firstLine="482" w:firstLineChars="200"/>
              <w:jc w:val="both"/>
              <w:rPr>
                <w:rFonts w:hint="default" w:ascii="Times New Roman" w:hAnsi="Times New Roman" w:cs="Times New Roman" w:eastAsiaTheme="minorEastAsia"/>
                <w:color w:val="000000" w:themeColor="text1"/>
                <w:kern w:val="2"/>
                <w:sz w:val="24"/>
                <w:szCs w:val="24"/>
                <w:lang w:val="en-US" w:eastAsia="zh-CN" w:bidi="ar"/>
                <w14:textFill>
                  <w14:solidFill>
                    <w14:schemeClr w14:val="tx1"/>
                  </w14:solidFill>
                </w14:textFill>
              </w:rPr>
            </w:pPr>
            <w:r>
              <w:rPr>
                <w:rFonts w:hint="default" w:ascii="Times New Roman" w:hAnsi="Times New Roman" w:cs="Times New Roman" w:eastAsiaTheme="minorEastAsia"/>
                <w:b/>
                <w:bCs/>
                <w:color w:val="000000" w:themeColor="text1"/>
                <w:sz w:val="24"/>
                <w:lang w:val="en-US" w:eastAsia="zh-CN"/>
                <w14:textFill>
                  <w14:solidFill>
                    <w14:schemeClr w14:val="tx1"/>
                  </w14:solidFill>
                </w14:textFill>
              </w:rPr>
              <w:t>颗粒物：</w:t>
            </w:r>
            <w:r>
              <w:rPr>
                <w:rFonts w:hint="default" w:ascii="Times New Roman" w:hAnsi="Times New Roman" w:eastAsia="宋体" w:cs="Times New Roman"/>
                <w:b w:val="0"/>
                <w:bCs w:val="0"/>
                <w:color w:val="000000" w:themeColor="text1"/>
                <w:kern w:val="0"/>
                <w:sz w:val="24"/>
                <w:szCs w:val="24"/>
                <w:lang w:val="en-US" w:eastAsia="zh-CN" w:bidi="ar"/>
                <w14:textFill>
                  <w14:solidFill>
                    <w14:schemeClr w14:val="tx1"/>
                  </w14:solidFill>
                </w14:textFill>
              </w:rPr>
              <w:t>类比《西安恒翔电子新材料有限公司电压敏电阻专用芯片材料及器件竣工环境保护验收监测报告表》，其芯片材料生产工艺及设备</w:t>
            </w:r>
            <w:r>
              <w:rPr>
                <w:rFonts w:hint="default" w:ascii="Times New Roman" w:hAnsi="Times New Roman" w:eastAsia="宋体" w:cs="Times New Roman"/>
                <w:color w:val="000000" w:themeColor="text1"/>
                <w:kern w:val="0"/>
                <w:sz w:val="24"/>
                <w:lang w:eastAsia="zh-CN" w:bidi="ar"/>
                <w14:textFill>
                  <w14:solidFill>
                    <w14:schemeClr w14:val="tx1"/>
                  </w14:solidFill>
                </w14:textFill>
              </w:rPr>
              <w:t>与本项目</w:t>
            </w:r>
            <w:r>
              <w:rPr>
                <w:rFonts w:hint="default" w:ascii="Times New Roman" w:hAnsi="Times New Roman" w:cs="Times New Roman"/>
                <w:color w:val="000000" w:themeColor="text1"/>
                <w:kern w:val="0"/>
                <w:sz w:val="24"/>
                <w:lang w:eastAsia="zh-CN" w:bidi="ar"/>
                <w14:textFill>
                  <w14:solidFill>
                    <w14:schemeClr w14:val="tx1"/>
                  </w14:solidFill>
                </w14:textFill>
              </w:rPr>
              <w:t>基本一致</w:t>
            </w:r>
            <w:r>
              <w:rPr>
                <w:rFonts w:hint="default" w:ascii="Times New Roman" w:hAnsi="Times New Roman" w:eastAsia="宋体" w:cs="Times New Roman"/>
                <w:color w:val="000000" w:themeColor="text1"/>
                <w:kern w:val="0"/>
                <w:sz w:val="24"/>
                <w:lang w:eastAsia="zh-CN" w:bidi="ar"/>
                <w14:textFill>
                  <w14:solidFill>
                    <w14:schemeClr w14:val="tx1"/>
                  </w14:solidFill>
                </w14:textFill>
              </w:rPr>
              <w:t>，同是采用搅拌、研磨、造粒进行生产，验收报告</w:t>
            </w:r>
            <w:r>
              <w:rPr>
                <w:rFonts w:hint="default" w:ascii="Times New Roman" w:hAnsi="Times New Roman" w:eastAsia="宋体" w:cs="Times New Roman"/>
                <w:b w:val="0"/>
                <w:bCs w:val="0"/>
                <w:color w:val="000000" w:themeColor="text1"/>
                <w:kern w:val="0"/>
                <w:sz w:val="24"/>
                <w:szCs w:val="24"/>
                <w:lang w:val="en-US" w:eastAsia="zh-CN" w:bidi="ar"/>
                <w14:textFill>
                  <w14:solidFill>
                    <w14:schemeClr w14:val="tx1"/>
                  </w14:solidFill>
                </w14:textFill>
              </w:rPr>
              <w:t>中</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造</w:t>
            </w:r>
            <w:r>
              <w:rPr>
                <w:rFonts w:hint="default" w:ascii="Times New Roman" w:hAnsi="Times New Roman" w:cs="Times New Roman" w:eastAsiaTheme="minorEastAsia"/>
                <w:color w:val="000000" w:themeColor="text1"/>
                <w:kern w:val="2"/>
                <w:sz w:val="24"/>
                <w:szCs w:val="24"/>
                <w:lang w:val="en-US" w:eastAsia="zh-CN" w:bidi="ar"/>
                <w14:textFill>
                  <w14:solidFill>
                    <w14:schemeClr w14:val="tx1"/>
                  </w14:solidFill>
                </w14:textFill>
              </w:rPr>
              <w:t>粒工序废气验收监测报告中颗粒物废气处理设施进口实测排放速率最高为0.357kg/h（其原料用量为1666.625t/a</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eastAsiaTheme="minorEastAsia"/>
                <w:color w:val="000000" w:themeColor="text1"/>
                <w:kern w:val="2"/>
                <w:sz w:val="24"/>
                <w:szCs w:val="24"/>
                <w:lang w:val="en-US" w:eastAsia="zh-CN" w:bidi="ar"/>
                <w14:textFill>
                  <w14:solidFill>
                    <w14:schemeClr w14:val="tx1"/>
                  </w14:solidFill>
                </w14:textFill>
              </w:rPr>
              <w:t>验收工况为80%，年工作时间为250天，每天8小时）。按此推算此工艺颗粒物产污系数为0.536</w:t>
            </w:r>
            <w:r>
              <w:rPr>
                <w:rFonts w:hint="default" w:ascii="Times New Roman" w:hAnsi="Times New Roman" w:eastAsia="宋体" w:cs="Times New Roman"/>
                <w:color w:val="000000" w:themeColor="text1"/>
                <w:sz w:val="24"/>
                <w:szCs w:val="24"/>
                <w14:textFill>
                  <w14:solidFill>
                    <w14:schemeClr w14:val="tx1"/>
                  </w14:solidFill>
                </w14:textFill>
              </w:rPr>
              <w:t>克/千克-原料</w:t>
            </w:r>
            <w:r>
              <w:rPr>
                <w:rFonts w:hint="default" w:ascii="Times New Roman" w:hAnsi="Times New Roman" w:cs="Times New Roman"/>
                <w:color w:val="000000" w:themeColor="text1"/>
                <w:sz w:val="24"/>
                <w:szCs w:val="24"/>
                <w:lang w:eastAsia="zh-CN"/>
                <w14:textFill>
                  <w14:solidFill>
                    <w14:schemeClr w14:val="tx1"/>
                  </w14:solidFill>
                </w14:textFill>
              </w:rPr>
              <w:t>，本项目原料用量为</w:t>
            </w:r>
            <w:r>
              <w:rPr>
                <w:rFonts w:hint="eastAsia" w:cs="Times New Roman"/>
                <w:color w:val="000000" w:themeColor="text1"/>
                <w:sz w:val="24"/>
                <w:szCs w:val="24"/>
                <w:lang w:val="en-US" w:eastAsia="zh-CN"/>
                <w14:textFill>
                  <w14:solidFill>
                    <w14:schemeClr w14:val="tx1"/>
                  </w14:solidFill>
                </w14:textFill>
              </w:rPr>
              <w:t>123.5</w:t>
            </w:r>
            <w:r>
              <w:rPr>
                <w:rFonts w:hint="default" w:ascii="Times New Roman" w:hAnsi="Times New Roman" w:cs="Times New Roman" w:eastAsiaTheme="minorEastAsia"/>
                <w:color w:val="000000" w:themeColor="text1"/>
                <w:kern w:val="2"/>
                <w:sz w:val="24"/>
                <w:szCs w:val="24"/>
                <w:lang w:val="en-US" w:eastAsia="zh-CN" w:bidi="ar"/>
                <w14:textFill>
                  <w14:solidFill>
                    <w14:schemeClr w14:val="tx1"/>
                  </w14:solidFill>
                </w14:textFill>
              </w:rPr>
              <w:t>t/a，造粒工序年</w:t>
            </w:r>
            <w:r>
              <w:rPr>
                <w:rFonts w:hint="default" w:ascii="Times New Roman" w:hAnsi="Times New Roman" w:cs="Times New Roman" w:eastAsiaTheme="minorEastAsia"/>
                <w:color w:val="000000" w:themeColor="text1"/>
                <w:sz w:val="24"/>
                <w:lang w:val="en-US" w:eastAsia="zh-CN"/>
                <w14:textFill>
                  <w14:solidFill>
                    <w14:schemeClr w14:val="tx1"/>
                  </w14:solidFill>
                </w14:textFill>
              </w:rPr>
              <w:t>工作300天，每天</w:t>
            </w:r>
            <w:r>
              <w:rPr>
                <w:rFonts w:hint="default" w:ascii="Times New Roman" w:hAnsi="Times New Roman" w:cs="Times New Roman" w:eastAsiaTheme="minorEastAsia"/>
                <w:color w:val="000000" w:themeColor="text1"/>
                <w:kern w:val="2"/>
                <w:sz w:val="24"/>
                <w:szCs w:val="24"/>
                <w:lang w:val="en-US" w:eastAsia="zh-CN" w:bidi="ar"/>
                <w14:textFill>
                  <w14:solidFill>
                    <w14:schemeClr w14:val="tx1"/>
                  </w14:solidFill>
                </w14:textFill>
              </w:rPr>
              <w:t>有效</w:t>
            </w:r>
            <w:r>
              <w:rPr>
                <w:rFonts w:hint="default" w:ascii="Times New Roman" w:hAnsi="Times New Roman" w:cs="Times New Roman" w:eastAsiaTheme="minorEastAsia"/>
                <w:color w:val="000000" w:themeColor="text1"/>
                <w:sz w:val="24"/>
                <w:lang w:val="en-US" w:eastAsia="zh-CN"/>
                <w14:textFill>
                  <w14:solidFill>
                    <w14:schemeClr w14:val="tx1"/>
                  </w14:solidFill>
                </w14:textFill>
              </w:rPr>
              <w:t>工作时间为8h，</w:t>
            </w:r>
            <w:r>
              <w:rPr>
                <w:rFonts w:hint="default" w:ascii="Times New Roman" w:hAnsi="Times New Roman" w:cs="Times New Roman"/>
                <w:color w:val="000000" w:themeColor="text1"/>
                <w:sz w:val="24"/>
                <w:szCs w:val="24"/>
                <w:lang w:val="en-US" w:eastAsia="zh-CN"/>
                <w14:textFill>
                  <w14:solidFill>
                    <w14:schemeClr w14:val="tx1"/>
                  </w14:solidFill>
                </w14:textFill>
              </w:rPr>
              <w:t>则</w:t>
            </w:r>
            <w:r>
              <w:rPr>
                <w:rFonts w:hint="default" w:ascii="Times New Roman" w:hAnsi="Times New Roman" w:cs="Times New Roman" w:eastAsiaTheme="minorEastAsia"/>
                <w:color w:val="000000" w:themeColor="text1"/>
                <w:kern w:val="2"/>
                <w:sz w:val="24"/>
                <w:szCs w:val="24"/>
                <w:lang w:val="en-US" w:eastAsia="zh-CN" w:bidi="ar"/>
                <w14:textFill>
                  <w14:solidFill>
                    <w14:schemeClr w14:val="tx1"/>
                  </w14:solidFill>
                </w14:textFill>
              </w:rPr>
              <w:t>本项目颗粒物产生量0.</w:t>
            </w:r>
            <w:r>
              <w:rPr>
                <w:rFonts w:hint="eastAsia" w:cs="Times New Roman" w:eastAsiaTheme="minorEastAsia"/>
                <w:color w:val="000000" w:themeColor="text1"/>
                <w:kern w:val="2"/>
                <w:sz w:val="24"/>
                <w:szCs w:val="24"/>
                <w:lang w:val="en-US" w:eastAsia="zh-CN" w:bidi="ar"/>
                <w14:textFill>
                  <w14:solidFill>
                    <w14:schemeClr w14:val="tx1"/>
                  </w14:solidFill>
                </w14:textFill>
              </w:rPr>
              <w:t>067</w:t>
            </w:r>
            <w:r>
              <w:rPr>
                <w:rFonts w:hint="default" w:ascii="Times New Roman" w:hAnsi="Times New Roman" w:cs="Times New Roman" w:eastAsiaTheme="minorEastAsia"/>
                <w:color w:val="000000" w:themeColor="text1"/>
                <w:kern w:val="2"/>
                <w:sz w:val="24"/>
                <w:szCs w:val="24"/>
                <w:lang w:val="en-US" w:eastAsia="zh-CN" w:bidi="ar"/>
                <w14:textFill>
                  <w14:solidFill>
                    <w14:schemeClr w14:val="tx1"/>
                  </w14:solidFill>
                </w14:textFill>
              </w:rPr>
              <w:t>t/a(0.0</w:t>
            </w:r>
            <w:r>
              <w:rPr>
                <w:rFonts w:hint="eastAsia" w:cs="Times New Roman" w:eastAsiaTheme="minorEastAsia"/>
                <w:color w:val="000000" w:themeColor="text1"/>
                <w:kern w:val="2"/>
                <w:sz w:val="24"/>
                <w:szCs w:val="24"/>
                <w:lang w:val="en-US" w:eastAsia="zh-CN" w:bidi="ar"/>
                <w14:textFill>
                  <w14:solidFill>
                    <w14:schemeClr w14:val="tx1"/>
                  </w14:solidFill>
                </w14:textFill>
              </w:rPr>
              <w:t>28</w:t>
            </w:r>
            <w:r>
              <w:rPr>
                <w:rFonts w:hint="default" w:ascii="Times New Roman" w:hAnsi="Times New Roman" w:cs="Times New Roman" w:eastAsiaTheme="minorEastAsia"/>
                <w:color w:val="000000" w:themeColor="text1"/>
                <w:kern w:val="2"/>
                <w:sz w:val="24"/>
                <w:szCs w:val="24"/>
                <w:lang w:val="en-US" w:eastAsia="zh-CN" w:bidi="ar"/>
                <w14:textFill>
                  <w14:solidFill>
                    <w14:schemeClr w14:val="tx1"/>
                  </w14:solidFill>
                </w14:textFill>
              </w:rPr>
              <w:t>kg/h)。</w:t>
            </w:r>
          </w:p>
          <w:p w14:paraId="4C8A5ADC">
            <w:pPr>
              <w:pStyle w:val="28"/>
              <w:keepNext w:val="0"/>
              <w:keepLines w:val="0"/>
              <w:suppressLineNumbers w:val="0"/>
              <w:spacing w:before="0" w:beforeAutospacing="0" w:after="0" w:afterAutospacing="0" w:line="360" w:lineRule="auto"/>
              <w:ind w:left="0" w:leftChars="0" w:right="0" w:firstLine="480" w:firstLineChars="200"/>
              <w:jc w:val="both"/>
              <w:rPr>
                <w:rFonts w:hint="default" w:ascii="Times New Roman" w:hAnsi="Times New Roman" w:cs="Times New Roman" w:eastAsiaTheme="minorEastAsia"/>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废气从干燥塔</w:t>
            </w:r>
            <w:r>
              <w:rPr>
                <w:rFonts w:hint="default" w:ascii="Times New Roman" w:hAnsi="Times New Roman" w:cs="Times New Roman"/>
                <w:color w:val="000000" w:themeColor="text1"/>
                <w:sz w:val="24"/>
                <w:szCs w:val="24"/>
                <w:lang w:val="en-US" w:eastAsia="zh-CN"/>
                <w14:textFill>
                  <w14:solidFill>
                    <w14:schemeClr w14:val="tx1"/>
                  </w14:solidFill>
                </w14:textFill>
              </w:rPr>
              <w:t>顶部</w:t>
            </w:r>
            <w:r>
              <w:rPr>
                <w:rFonts w:hint="default" w:ascii="Times New Roman" w:hAnsi="Times New Roman" w:cs="Times New Roman"/>
                <w:color w:val="000000" w:themeColor="text1"/>
                <w:sz w:val="24"/>
                <w:szCs w:val="24"/>
                <w:lang w:eastAsia="zh-CN"/>
                <w14:textFill>
                  <w14:solidFill>
                    <w14:schemeClr w14:val="tx1"/>
                  </w14:solidFill>
                </w14:textFill>
              </w:rPr>
              <w:t>排气孔排出</w:t>
            </w:r>
            <w:r>
              <w:rPr>
                <w:rFonts w:hint="default" w:ascii="Times New Roman" w:hAnsi="Times New Roman" w:cs="Times New Roman"/>
                <w:color w:val="000000" w:themeColor="text1"/>
                <w:sz w:val="24"/>
                <w:szCs w:val="24"/>
                <w:lang w:val="en-US" w:eastAsia="zh-CN"/>
                <w14:textFill>
                  <w14:solidFill>
                    <w14:schemeClr w14:val="tx1"/>
                  </w14:solidFill>
                </w14:textFill>
              </w:rPr>
              <w:t>后经</w:t>
            </w:r>
            <w:r>
              <w:rPr>
                <w:rFonts w:hint="default" w:ascii="Times New Roman" w:hAnsi="Times New Roman" w:cs="Times New Roman" w:eastAsiaTheme="minorEastAsia"/>
                <w:color w:val="000000" w:themeColor="text1"/>
                <w:sz w:val="24"/>
                <w:lang w:val="en-US" w:eastAsia="zh-CN"/>
                <w14:textFill>
                  <w14:solidFill>
                    <w14:schemeClr w14:val="tx1"/>
                  </w14:solidFill>
                </w14:textFill>
              </w:rPr>
              <w:t>管道收集进入布袋除尘器（TA001）处理后经15米排气筒DA001高空排放。风机风量为5000m</w:t>
            </w:r>
            <w:r>
              <w:rPr>
                <w:rFonts w:hint="default" w:ascii="Times New Roman" w:hAnsi="Times New Roman" w:cs="Times New Roman" w:eastAsiaTheme="minorEastAsia"/>
                <w:color w:val="000000" w:themeColor="text1"/>
                <w:sz w:val="24"/>
                <w:vertAlign w:val="superscript"/>
                <w:lang w:val="en-US" w:eastAsia="zh-CN"/>
                <w14:textFill>
                  <w14:solidFill>
                    <w14:schemeClr w14:val="tx1"/>
                  </w14:solidFill>
                </w14:textFill>
              </w:rPr>
              <w:t>3</w:t>
            </w:r>
            <w:r>
              <w:rPr>
                <w:rFonts w:hint="default" w:ascii="Times New Roman" w:hAnsi="Times New Roman" w:cs="Times New Roman" w:eastAsiaTheme="minorEastAsia"/>
                <w:color w:val="000000" w:themeColor="text1"/>
                <w:sz w:val="24"/>
                <w:lang w:val="en-US" w:eastAsia="zh-CN"/>
                <w14:textFill>
                  <w14:solidFill>
                    <w14:schemeClr w14:val="tx1"/>
                  </w14:solidFill>
                </w14:textFill>
              </w:rPr>
              <w:t>/h，布袋除尘效率按98%计，则造粒粉尘排放量为0.00</w:t>
            </w:r>
            <w:r>
              <w:rPr>
                <w:rFonts w:hint="eastAsia" w:cs="Times New Roman" w:eastAsiaTheme="minorEastAsia"/>
                <w:color w:val="000000" w:themeColor="text1"/>
                <w:sz w:val="24"/>
                <w:lang w:val="en-US" w:eastAsia="zh-CN"/>
                <w14:textFill>
                  <w14:solidFill>
                    <w14:schemeClr w14:val="tx1"/>
                  </w14:solidFill>
                </w14:textFill>
              </w:rPr>
              <w:t>13</w:t>
            </w:r>
            <w:r>
              <w:rPr>
                <w:rFonts w:hint="default" w:ascii="Times New Roman" w:hAnsi="Times New Roman" w:cs="Times New Roman" w:eastAsiaTheme="minorEastAsia"/>
                <w:color w:val="000000" w:themeColor="text1"/>
                <w:sz w:val="24"/>
                <w:lang w:val="en-US" w:eastAsia="zh-CN"/>
                <w14:textFill>
                  <w14:solidFill>
                    <w14:schemeClr w14:val="tx1"/>
                  </w14:solidFill>
                </w14:textFill>
              </w:rPr>
              <w:t>t/a，排放速率为0.00</w:t>
            </w:r>
            <w:r>
              <w:rPr>
                <w:rFonts w:hint="eastAsia" w:cs="Times New Roman" w:eastAsiaTheme="minorEastAsia"/>
                <w:color w:val="000000" w:themeColor="text1"/>
                <w:sz w:val="24"/>
                <w:lang w:val="en-US" w:eastAsia="zh-CN"/>
                <w14:textFill>
                  <w14:solidFill>
                    <w14:schemeClr w14:val="tx1"/>
                  </w14:solidFill>
                </w14:textFill>
              </w:rPr>
              <w:t>055</w:t>
            </w:r>
            <w:r>
              <w:rPr>
                <w:rFonts w:hint="default" w:ascii="Times New Roman" w:hAnsi="Times New Roman" w:cs="Times New Roman" w:eastAsiaTheme="minorEastAsia"/>
                <w:color w:val="000000" w:themeColor="text1"/>
                <w:sz w:val="24"/>
                <w:lang w:val="en-US" w:eastAsia="zh-CN"/>
                <w14:textFill>
                  <w14:solidFill>
                    <w14:schemeClr w14:val="tx1"/>
                  </w14:solidFill>
                </w14:textFill>
              </w:rPr>
              <w:t>kg/h，排放浓度为0.</w:t>
            </w:r>
            <w:r>
              <w:rPr>
                <w:rFonts w:hint="eastAsia" w:cs="Times New Roman" w:eastAsiaTheme="minorEastAsia"/>
                <w:color w:val="000000" w:themeColor="text1"/>
                <w:sz w:val="24"/>
                <w:lang w:val="en-US" w:eastAsia="zh-CN"/>
                <w14:textFill>
                  <w14:solidFill>
                    <w14:schemeClr w14:val="tx1"/>
                  </w14:solidFill>
                </w14:textFill>
              </w:rPr>
              <w:t>11</w:t>
            </w:r>
            <w:r>
              <w:rPr>
                <w:rFonts w:hint="default" w:ascii="Times New Roman" w:hAnsi="Times New Roman" w:cs="Times New Roman" w:eastAsiaTheme="minorEastAsia"/>
                <w:color w:val="000000" w:themeColor="text1"/>
                <w:sz w:val="24"/>
                <w:lang w:val="en-US" w:eastAsia="zh-CN"/>
                <w14:textFill>
                  <w14:solidFill>
                    <w14:schemeClr w14:val="tx1"/>
                  </w14:solidFill>
                </w14:textFill>
              </w:rPr>
              <w:t>mg/m</w:t>
            </w:r>
            <w:r>
              <w:rPr>
                <w:rFonts w:hint="default" w:ascii="Times New Roman" w:hAnsi="Times New Roman" w:cs="Times New Roman" w:eastAsiaTheme="minorEastAsia"/>
                <w:color w:val="000000" w:themeColor="text1"/>
                <w:sz w:val="24"/>
                <w:vertAlign w:val="superscript"/>
                <w:lang w:val="en-US" w:eastAsia="zh-CN"/>
                <w14:textFill>
                  <w14:solidFill>
                    <w14:schemeClr w14:val="tx1"/>
                  </w14:solidFill>
                </w14:textFill>
              </w:rPr>
              <w:t>3</w:t>
            </w:r>
            <w:r>
              <w:rPr>
                <w:rFonts w:hint="default" w:ascii="Times New Roman" w:hAnsi="Times New Roman" w:cs="Times New Roman" w:eastAsiaTheme="minorEastAsia"/>
                <w:color w:val="000000" w:themeColor="text1"/>
                <w:sz w:val="24"/>
                <w:lang w:val="en-US" w:eastAsia="zh-CN"/>
                <w14:textFill>
                  <w14:solidFill>
                    <w14:schemeClr w14:val="tx1"/>
                  </w14:solidFill>
                </w14:textFill>
              </w:rPr>
              <w:t>。</w:t>
            </w:r>
          </w:p>
          <w:p w14:paraId="20E41BD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eastAsiaTheme="minorEastAsia"/>
                <w:color w:val="000000" w:themeColor="text1"/>
                <w:sz w:val="24"/>
                <w:lang w:val="en-US" w:eastAsia="zh-CN"/>
                <w14:textFill>
                  <w14:solidFill>
                    <w14:schemeClr w14:val="tx1"/>
                  </w14:solidFill>
                </w14:textFill>
              </w:rPr>
              <w:t>则进料工序和造粒工序</w:t>
            </w:r>
            <w:r>
              <w:rPr>
                <w:rFonts w:hint="eastAsia" w:cs="Times New Roman" w:eastAsiaTheme="minorEastAsia"/>
                <w:color w:val="000000" w:themeColor="text1"/>
                <w:sz w:val="24"/>
                <w:lang w:val="en-US" w:eastAsia="zh-CN"/>
                <w14:textFill>
                  <w14:solidFill>
                    <w14:schemeClr w14:val="tx1"/>
                  </w14:solidFill>
                </w14:textFill>
              </w:rPr>
              <w:t>（DA001）</w:t>
            </w:r>
            <w:r>
              <w:rPr>
                <w:rFonts w:hint="default" w:ascii="Times New Roman" w:hAnsi="Times New Roman" w:cs="Times New Roman" w:eastAsiaTheme="minorEastAsia"/>
                <w:color w:val="000000" w:themeColor="text1"/>
                <w:sz w:val="24"/>
                <w:lang w:val="en-US" w:eastAsia="zh-CN"/>
                <w14:textFill>
                  <w14:solidFill>
                    <w14:schemeClr w14:val="tx1"/>
                  </w14:solidFill>
                </w14:textFill>
              </w:rPr>
              <w:t>的有组织颗粒物总排放量为0.0</w:t>
            </w:r>
            <w:r>
              <w:rPr>
                <w:rFonts w:hint="eastAsia" w:cs="Times New Roman" w:eastAsiaTheme="minorEastAsia"/>
                <w:color w:val="000000" w:themeColor="text1"/>
                <w:sz w:val="24"/>
                <w:lang w:val="en-US" w:eastAsia="zh-CN"/>
                <w14:textFill>
                  <w14:solidFill>
                    <w14:schemeClr w14:val="tx1"/>
                  </w14:solidFill>
                </w14:textFill>
              </w:rPr>
              <w:t>134</w:t>
            </w:r>
            <w:r>
              <w:rPr>
                <w:rFonts w:hint="default" w:ascii="Times New Roman" w:hAnsi="Times New Roman" w:cs="Times New Roman" w:eastAsiaTheme="minorEastAsia"/>
                <w:color w:val="000000" w:themeColor="text1"/>
                <w:sz w:val="24"/>
                <w:lang w:val="en-US" w:eastAsia="zh-CN"/>
                <w14:textFill>
                  <w14:solidFill>
                    <w14:schemeClr w14:val="tx1"/>
                  </w14:solidFill>
                </w14:textFill>
              </w:rPr>
              <w:t>t/a（排放速率为0.0</w:t>
            </w:r>
            <w:r>
              <w:rPr>
                <w:rFonts w:hint="eastAsia" w:cs="Times New Roman" w:eastAsiaTheme="minorEastAsia"/>
                <w:color w:val="000000" w:themeColor="text1"/>
                <w:sz w:val="24"/>
                <w:lang w:val="en-US" w:eastAsia="zh-CN"/>
                <w14:textFill>
                  <w14:solidFill>
                    <w14:schemeClr w14:val="tx1"/>
                  </w14:solidFill>
                </w14:textFill>
              </w:rPr>
              <w:t>056</w:t>
            </w:r>
            <w:r>
              <w:rPr>
                <w:rFonts w:hint="default" w:ascii="Times New Roman" w:hAnsi="Times New Roman" w:cs="Times New Roman" w:eastAsiaTheme="minorEastAsia"/>
                <w:color w:val="000000" w:themeColor="text1"/>
                <w:sz w:val="24"/>
                <w:lang w:val="en-US" w:eastAsia="zh-CN"/>
                <w14:textFill>
                  <w14:solidFill>
                    <w14:schemeClr w14:val="tx1"/>
                  </w14:solidFill>
                </w14:textFill>
              </w:rPr>
              <w:t>kg/h，排放浓度为</w:t>
            </w:r>
            <w:r>
              <w:rPr>
                <w:rFonts w:hint="eastAsia" w:cs="Times New Roman" w:eastAsiaTheme="minorEastAsia"/>
                <w:color w:val="000000" w:themeColor="text1"/>
                <w:sz w:val="24"/>
                <w:lang w:val="en-US" w:eastAsia="zh-CN"/>
                <w14:textFill>
                  <w14:solidFill>
                    <w14:schemeClr w14:val="tx1"/>
                  </w14:solidFill>
                </w14:textFill>
              </w:rPr>
              <w:t>1.1</w:t>
            </w:r>
            <w:r>
              <w:rPr>
                <w:rFonts w:hint="default" w:ascii="Times New Roman" w:hAnsi="Times New Roman" w:cs="Times New Roman" w:eastAsiaTheme="minorEastAsia"/>
                <w:color w:val="000000" w:themeColor="text1"/>
                <w:sz w:val="24"/>
                <w:lang w:val="en-US" w:eastAsia="zh-CN"/>
                <w14:textFill>
                  <w14:solidFill>
                    <w14:schemeClr w14:val="tx1"/>
                  </w14:solidFill>
                </w14:textFill>
              </w:rPr>
              <w:t>2mg/m</w:t>
            </w:r>
            <w:r>
              <w:rPr>
                <w:rFonts w:hint="default" w:ascii="Times New Roman" w:hAnsi="Times New Roman" w:cs="Times New Roman" w:eastAsiaTheme="minorEastAsia"/>
                <w:color w:val="000000" w:themeColor="text1"/>
                <w:sz w:val="24"/>
                <w:vertAlign w:val="superscript"/>
                <w:lang w:val="en-US" w:eastAsia="zh-CN"/>
                <w14:textFill>
                  <w14:solidFill>
                    <w14:schemeClr w14:val="tx1"/>
                  </w14:solidFill>
                </w14:textFill>
              </w:rPr>
              <w:t>3</w:t>
            </w:r>
            <w:r>
              <w:rPr>
                <w:rFonts w:hint="default" w:ascii="Times New Roman" w:hAnsi="Times New Roman" w:cs="Times New Roman" w:eastAsiaTheme="minorEastAsia"/>
                <w:color w:val="000000" w:themeColor="text1"/>
                <w:sz w:val="24"/>
                <w:lang w:val="en-US" w:eastAsia="zh-CN"/>
                <w14:textFill>
                  <w14:solidFill>
                    <w14:schemeClr w14:val="tx1"/>
                  </w14:solidFill>
                </w14:textFill>
              </w:rPr>
              <w:t>）。</w:t>
            </w:r>
          </w:p>
          <w:p w14:paraId="1807B279">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eastAsiaTheme="minorEastAsia"/>
                <w:color w:val="000000" w:themeColor="text1"/>
                <w:sz w:val="24"/>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lang w:val="en-US" w:eastAsia="zh-CN"/>
                <w14:textFill>
                  <w14:solidFill>
                    <w14:schemeClr w14:val="tx1"/>
                  </w14:solidFill>
                </w14:textFill>
              </w:rPr>
              <w:t>③烧结废气</w:t>
            </w:r>
          </w:p>
          <w:p w14:paraId="2DEF673E">
            <w:pPr>
              <w:keepNext w:val="0"/>
              <w:keepLines w:val="0"/>
              <w:suppressLineNumbers w:val="0"/>
              <w:spacing w:before="0" w:beforeAutospacing="0" w:after="0" w:afterAutospacing="0" w:line="360" w:lineRule="auto"/>
              <w:ind w:left="0" w:leftChars="0" w:right="0" w:firstLine="480" w:firstLineChars="200"/>
              <w:jc w:val="both"/>
              <w:rPr>
                <w:rFonts w:hint="default" w:ascii="Times New Roman" w:hAnsi="Times New Roman" w:cs="Times New Roman" w:eastAsiaTheme="minorEastAsia"/>
                <w:color w:val="000000" w:themeColor="text1"/>
                <w:kern w:val="2"/>
                <w:sz w:val="24"/>
                <w:szCs w:val="24"/>
                <w:lang w:val="en-US" w:eastAsia="zh-CN" w:bidi="ar"/>
                <w14:textFill>
                  <w14:solidFill>
                    <w14:schemeClr w14:val="tx1"/>
                  </w14:solidFill>
                </w14:textFill>
              </w:rPr>
            </w:pPr>
            <w:r>
              <w:rPr>
                <w:rFonts w:hint="default" w:ascii="Times New Roman" w:hAnsi="Times New Roman" w:cs="Times New Roman" w:eastAsiaTheme="minorEastAsia"/>
                <w:color w:val="000000" w:themeColor="text1"/>
                <w:sz w:val="24"/>
                <w:lang w:val="en-US" w:eastAsia="zh-CN" w:bidi="ar"/>
                <w14:textFill>
                  <w14:solidFill>
                    <w14:schemeClr w14:val="tx1"/>
                  </w14:solidFill>
                </w14:textFill>
              </w:rPr>
              <w:t>本项目烧结产生的有机废气主要来自粘结剂中的少量有机物挥发，烧结工序采用电加热，当电阻炉的温度升高，工件中的</w:t>
            </w:r>
            <w:r>
              <w:rPr>
                <w:rFonts w:hint="default" w:ascii="Times New Roman" w:hAnsi="Times New Roman" w:cs="Times New Roman" w:eastAsiaTheme="minorEastAsia"/>
                <w:color w:val="000000" w:themeColor="text1"/>
                <w:kern w:val="2"/>
                <w:sz w:val="24"/>
                <w:szCs w:val="24"/>
                <w:lang w:val="en-US" w:eastAsia="zh-CN" w:bidi="ar"/>
                <w14:textFill>
                  <w14:solidFill>
                    <w14:schemeClr w14:val="tx1"/>
                  </w14:solidFill>
                </w14:textFill>
              </w:rPr>
              <w:t>聚乙烯醇完全分解</w:t>
            </w:r>
            <w:r>
              <w:rPr>
                <w:rFonts w:hint="default" w:ascii="Times New Roman" w:hAnsi="Times New Roman" w:cs="Times New Roman" w:eastAsiaTheme="minorEastAsia"/>
                <w:color w:val="000000" w:themeColor="text1"/>
                <w:sz w:val="24"/>
                <w:lang w:val="en-US" w:eastAsia="zh-CN" w:bidi="ar"/>
                <w14:textFill>
                  <w14:solidFill>
                    <w14:schemeClr w14:val="tx1"/>
                  </w14:solidFill>
                </w14:textFill>
              </w:rPr>
              <w:t>为有机废气，</w:t>
            </w:r>
            <w:r>
              <w:rPr>
                <w:rFonts w:hint="default" w:ascii="Times New Roman" w:hAnsi="Times New Roman" w:cs="Times New Roman" w:eastAsiaTheme="minorEastAsia"/>
                <w:color w:val="000000" w:themeColor="text1"/>
                <w:kern w:val="2"/>
                <w:sz w:val="24"/>
                <w:szCs w:val="24"/>
                <w:lang w:val="en-US" w:eastAsia="zh-CN" w:bidi="ar"/>
                <w14:textFill>
                  <w14:solidFill>
                    <w14:schemeClr w14:val="tx1"/>
                  </w14:solidFill>
                </w14:textFill>
              </w:rPr>
              <w:t>按非甲烷总烃计</w:t>
            </w:r>
            <w:r>
              <w:rPr>
                <w:rFonts w:hint="default" w:ascii="Times New Roman" w:hAnsi="Times New Roman" w:cs="Times New Roman" w:eastAsiaTheme="minorEastAsia"/>
                <w:color w:val="000000" w:themeColor="text1"/>
                <w:sz w:val="24"/>
                <w:lang w:val="en-US" w:eastAsia="zh-CN" w:bidi="ar"/>
                <w14:textFill>
                  <w14:solidFill>
                    <w14:schemeClr w14:val="tx1"/>
                  </w14:solidFill>
                </w14:textFill>
              </w:rPr>
              <w:t>。</w:t>
            </w:r>
            <w:r>
              <w:rPr>
                <w:rFonts w:hint="default" w:ascii="Times New Roman" w:hAnsi="Times New Roman" w:cs="Times New Roman" w:eastAsiaTheme="minorEastAsia"/>
                <w:color w:val="000000" w:themeColor="text1"/>
                <w:kern w:val="2"/>
                <w:sz w:val="24"/>
                <w:szCs w:val="24"/>
                <w:lang w:val="en-US" w:eastAsia="zh-CN" w:bidi="ar"/>
                <w14:textFill>
                  <w14:solidFill>
                    <w14:schemeClr w14:val="tx1"/>
                  </w14:solidFill>
                </w14:textFill>
              </w:rPr>
              <w:t>聚乙烯醇其年使用量为0.5t/a</w:t>
            </w:r>
            <w:r>
              <w:rPr>
                <w:rFonts w:hint="default" w:ascii="Times New Roman" w:hAnsi="Times New Roman" w:cs="Times New Roman" w:eastAsiaTheme="minorEastAsia"/>
                <w:color w:val="000000" w:themeColor="text1"/>
                <w:sz w:val="24"/>
                <w:lang w:eastAsia="zh-CN"/>
                <w14:textFill>
                  <w14:solidFill>
                    <w14:schemeClr w14:val="tx1"/>
                  </w14:solidFill>
                </w14:textFill>
              </w:rPr>
              <w:t>，根据企业提供资料，</w:t>
            </w:r>
            <w:r>
              <w:rPr>
                <w:rFonts w:hint="default" w:ascii="Times New Roman" w:hAnsi="Times New Roman" w:cs="Times New Roman"/>
                <w:color w:val="000000" w:themeColor="text1"/>
                <w:sz w:val="24"/>
                <w14:textFill>
                  <w14:solidFill>
                    <w14:schemeClr w14:val="tx1"/>
                  </w14:solidFill>
                </w14:textFill>
              </w:rPr>
              <w:t>挥发性有机物含量约30%</w:t>
            </w:r>
            <w:r>
              <w:rPr>
                <w:rFonts w:hint="default" w:ascii="Times New Roman" w:hAnsi="Times New Roman" w:cs="Times New Roman" w:eastAsiaTheme="minorEastAsia"/>
                <w:color w:val="000000" w:themeColor="text1"/>
                <w:kern w:val="2"/>
                <w:sz w:val="24"/>
                <w:szCs w:val="24"/>
                <w:lang w:val="en-US" w:eastAsia="zh-CN" w:bidi="ar"/>
                <w14:textFill>
                  <w14:solidFill>
                    <w14:schemeClr w14:val="tx1"/>
                  </w14:solidFill>
                </w14:textFill>
              </w:rPr>
              <w:t>，烧结过程按完全分解，则非甲烷总烃产生量为0.15t/a（0.028kg/h）。</w:t>
            </w:r>
          </w:p>
          <w:p w14:paraId="72C784BE">
            <w:pPr>
              <w:keepNext w:val="0"/>
              <w:keepLines w:val="0"/>
              <w:suppressLineNumbers w:val="0"/>
              <w:spacing w:before="0" w:beforeAutospacing="0" w:after="0" w:afterAutospacing="0" w:line="360" w:lineRule="auto"/>
              <w:ind w:left="0" w:leftChars="0" w:right="0" w:firstLine="480" w:firstLineChars="200"/>
              <w:jc w:val="both"/>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cs="Times New Roman" w:eastAsiaTheme="minorEastAsia"/>
                <w:color w:val="000000" w:themeColor="text1"/>
                <w:sz w:val="24"/>
                <w:szCs w:val="24"/>
                <w:lang w:eastAsia="zh-CN" w:bidi="ar"/>
                <w14:textFill>
                  <w14:solidFill>
                    <w14:schemeClr w14:val="tx1"/>
                  </w14:solidFill>
                </w14:textFill>
              </w:rPr>
              <w:t>隧道电阻炉</w:t>
            </w:r>
            <w:r>
              <w:rPr>
                <w:rFonts w:hint="default" w:ascii="Times New Roman" w:hAnsi="Times New Roman" w:cs="Times New Roman" w:eastAsiaTheme="minorEastAsia"/>
                <w:color w:val="000000" w:themeColor="text1"/>
                <w:sz w:val="24"/>
                <w:szCs w:val="24"/>
                <w:lang w:val="en-US" w:eastAsia="zh-CN" w:bidi="ar"/>
                <w14:textFill>
                  <w14:solidFill>
                    <w14:schemeClr w14:val="tx1"/>
                  </w14:solidFill>
                </w14:textFill>
              </w:rPr>
              <w:t>加热</w:t>
            </w:r>
            <w:r>
              <w:rPr>
                <w:rFonts w:hint="default" w:ascii="Times New Roman" w:hAnsi="Times New Roman" w:cs="Times New Roman" w:eastAsiaTheme="minorEastAsia"/>
                <w:color w:val="000000" w:themeColor="text1"/>
                <w:sz w:val="24"/>
                <w:szCs w:val="24"/>
                <w:lang w:eastAsia="zh-CN" w:bidi="ar"/>
                <w14:textFill>
                  <w14:solidFill>
                    <w14:schemeClr w14:val="tx1"/>
                  </w14:solidFill>
                </w14:textFill>
              </w:rPr>
              <w:t>废气（最高500℃）通过炉体顶部的烟道收集至</w:t>
            </w:r>
            <w:r>
              <w:rPr>
                <w:rFonts w:hint="default" w:ascii="Times New Roman" w:hAnsi="Times New Roman" w:cs="Times New Roman" w:eastAsiaTheme="minorEastAsia"/>
                <w:color w:val="000000" w:themeColor="text1"/>
                <w:sz w:val="24"/>
                <w:szCs w:val="24"/>
                <w:lang w:val="en-US" w:eastAsia="zh-CN" w:bidi="ar"/>
                <w14:textFill>
                  <w14:solidFill>
                    <w14:schemeClr w14:val="tx1"/>
                  </w14:solidFill>
                </w14:textFill>
              </w:rPr>
              <w:t>二级</w:t>
            </w:r>
            <w:r>
              <w:rPr>
                <w:rFonts w:hint="default" w:ascii="Times New Roman" w:hAnsi="Times New Roman" w:cs="Times New Roman" w:eastAsiaTheme="minorEastAsia"/>
                <w:color w:val="000000" w:themeColor="text1"/>
                <w:sz w:val="24"/>
                <w:szCs w:val="24"/>
                <w:lang w:eastAsia="zh-CN" w:bidi="ar"/>
                <w14:textFill>
                  <w14:solidFill>
                    <w14:schemeClr w14:val="tx1"/>
                  </w14:solidFill>
                </w14:textFill>
              </w:rPr>
              <w:t>活性炭吸附（</w:t>
            </w:r>
            <w:r>
              <w:rPr>
                <w:rFonts w:hint="default" w:ascii="Times New Roman" w:hAnsi="Times New Roman" w:cs="Times New Roman" w:eastAsiaTheme="minorEastAsia"/>
                <w:color w:val="000000" w:themeColor="text1"/>
                <w:sz w:val="24"/>
                <w:szCs w:val="24"/>
                <w:lang w:val="en-US" w:eastAsia="zh-CN" w:bidi="ar"/>
                <w14:textFill>
                  <w14:solidFill>
                    <w14:schemeClr w14:val="tx1"/>
                  </w14:solidFill>
                </w14:textFill>
              </w:rPr>
              <w:t>TA002</w:t>
            </w:r>
            <w:r>
              <w:rPr>
                <w:rFonts w:hint="default" w:ascii="Times New Roman" w:hAnsi="Times New Roman" w:cs="Times New Roman" w:eastAsiaTheme="minorEastAsia"/>
                <w:color w:val="000000" w:themeColor="text1"/>
                <w:sz w:val="24"/>
                <w:szCs w:val="24"/>
                <w:lang w:eastAsia="zh-CN" w:bidi="ar"/>
                <w14:textFill>
                  <w14:solidFill>
                    <w14:schemeClr w14:val="tx1"/>
                  </w14:solidFill>
                </w14:textFill>
              </w:rPr>
              <w:t>）装置中，炉体进出口处于负压进风状态，</w:t>
            </w:r>
            <w:r>
              <w:rPr>
                <w:rFonts w:hint="default" w:ascii="Times New Roman" w:hAnsi="Times New Roman" w:cs="Times New Roman" w:eastAsiaTheme="minorEastAsia"/>
                <w:color w:val="000000" w:themeColor="text1"/>
                <w:sz w:val="24"/>
                <w:lang w:val="en-US" w:eastAsia="zh-CN" w:bidi="ar"/>
                <w14:textFill>
                  <w14:solidFill>
                    <w14:schemeClr w14:val="tx1"/>
                  </w14:solidFill>
                </w14:textFill>
              </w:rPr>
              <w:t>仅在输送带进出口留有25cm高、25cm宽的进出通道，炉体上方设置有烟道，炉内空气受热向上运动，在烟道口设置集气罩，废气经集气罩</w:t>
            </w:r>
            <w:r>
              <w:rPr>
                <w:rFonts w:hint="default" w:ascii="Times New Roman" w:hAnsi="Times New Roman" w:cs="Times New Roman" w:eastAsiaTheme="minorEastAsia"/>
                <w:color w:val="000000" w:themeColor="text1"/>
                <w:kern w:val="2"/>
                <w:sz w:val="24"/>
                <w:szCs w:val="24"/>
                <w:lang w:val="en-US" w:eastAsia="zh-CN" w:bidi="ar"/>
                <w14:textFill>
                  <w14:solidFill>
                    <w14:schemeClr w14:val="tx1"/>
                  </w14:solidFill>
                </w14:textFill>
              </w:rPr>
              <w:t>（收集率为90%）</w:t>
            </w:r>
            <w:r>
              <w:rPr>
                <w:rFonts w:hint="default" w:ascii="Times New Roman" w:hAnsi="Times New Roman" w:cs="Times New Roman" w:eastAsiaTheme="minorEastAsia"/>
                <w:color w:val="000000" w:themeColor="text1"/>
                <w:sz w:val="24"/>
                <w:lang w:val="en-US" w:eastAsia="zh-CN" w:bidi="ar"/>
                <w14:textFill>
                  <w14:solidFill>
                    <w14:schemeClr w14:val="tx1"/>
                  </w14:solidFill>
                </w14:textFill>
              </w:rPr>
              <w:t>收集后经</w:t>
            </w:r>
            <w:r>
              <w:rPr>
                <w:rFonts w:hint="default" w:ascii="Times New Roman" w:hAnsi="Times New Roman" w:cs="Times New Roman"/>
                <w:color w:val="000000" w:themeColor="text1"/>
                <w:kern w:val="0"/>
                <w:sz w:val="24"/>
                <w:szCs w:val="24"/>
                <w:lang w:val="en-US" w:eastAsia="zh-CN" w:bidi="ar"/>
                <w14:textFill>
                  <w14:solidFill>
                    <w14:schemeClr w14:val="tx1"/>
                  </w14:solidFill>
                </w14:textFill>
              </w:rPr>
              <w:t>过滤棉+</w:t>
            </w:r>
            <w:r>
              <w:rPr>
                <w:rFonts w:hint="default" w:ascii="Times New Roman" w:hAnsi="Times New Roman" w:cs="Times New Roman" w:eastAsiaTheme="minorEastAsia"/>
                <w:color w:val="000000" w:themeColor="text1"/>
                <w:kern w:val="2"/>
                <w:sz w:val="24"/>
                <w:szCs w:val="24"/>
                <w:lang w:val="en-US" w:eastAsia="zh-CN" w:bidi="ar"/>
                <w14:textFill>
                  <w14:solidFill>
                    <w14:schemeClr w14:val="tx1"/>
                  </w14:solidFill>
                </w14:textFill>
              </w:rPr>
              <w:t>二级活性炭吸附（处理效率为38%）</w:t>
            </w:r>
            <w:r>
              <w:rPr>
                <w:rFonts w:hint="default" w:ascii="Times New Roman" w:hAnsi="Times New Roman" w:cs="Times New Roman" w:eastAsiaTheme="minorEastAsia"/>
                <w:color w:val="000000" w:themeColor="text1"/>
                <w:sz w:val="24"/>
                <w:lang w:eastAsia="zh-CN" w:bidi="ar"/>
                <w14:textFill>
                  <w14:solidFill>
                    <w14:schemeClr w14:val="tx1"/>
                  </w14:solidFill>
                </w14:textFill>
              </w:rPr>
              <w:t>（</w:t>
            </w:r>
            <w:r>
              <w:rPr>
                <w:rFonts w:hint="default" w:ascii="Times New Roman" w:hAnsi="Times New Roman" w:cs="Times New Roman" w:eastAsiaTheme="minorEastAsia"/>
                <w:color w:val="000000" w:themeColor="text1"/>
                <w:sz w:val="24"/>
                <w:lang w:val="en-US" w:eastAsia="zh-CN" w:bidi="ar"/>
                <w14:textFill>
                  <w14:solidFill>
                    <w14:schemeClr w14:val="tx1"/>
                  </w14:solidFill>
                </w14:textFill>
              </w:rPr>
              <w:t>TA002</w:t>
            </w:r>
            <w:r>
              <w:rPr>
                <w:rFonts w:hint="default" w:ascii="Times New Roman" w:hAnsi="Times New Roman" w:cs="Times New Roman" w:eastAsiaTheme="minorEastAsia"/>
                <w:color w:val="000000" w:themeColor="text1"/>
                <w:sz w:val="24"/>
                <w:lang w:eastAsia="zh-CN" w:bidi="ar"/>
                <w14:textFill>
                  <w14:solidFill>
                    <w14:schemeClr w14:val="tx1"/>
                  </w14:solidFill>
                </w14:textFill>
              </w:rPr>
              <w:t>）</w:t>
            </w:r>
            <w:r>
              <w:rPr>
                <w:rFonts w:hint="default" w:ascii="Times New Roman" w:hAnsi="Times New Roman" w:cs="Times New Roman" w:eastAsiaTheme="minorEastAsia"/>
                <w:color w:val="000000" w:themeColor="text1"/>
                <w:kern w:val="2"/>
                <w:sz w:val="24"/>
                <w:szCs w:val="24"/>
                <w:lang w:val="en-US" w:eastAsia="zh-CN" w:bidi="ar"/>
                <w14:textFill>
                  <w14:solidFill>
                    <w14:schemeClr w14:val="tx1"/>
                  </w14:solidFill>
                </w14:textFill>
              </w:rPr>
              <w:t>处理后通过</w:t>
            </w:r>
            <w:r>
              <w:rPr>
                <w:rFonts w:hint="default" w:ascii="Times New Roman" w:hAnsi="Times New Roman" w:cs="Times New Roman" w:eastAsiaTheme="minorEastAsia"/>
                <w:color w:val="000000" w:themeColor="text1"/>
                <w:sz w:val="24"/>
                <w:lang w:val="en-US" w:eastAsia="zh-CN" w:bidi="ar"/>
                <w14:textFill>
                  <w14:solidFill>
                    <w14:schemeClr w14:val="tx1"/>
                  </w14:solidFill>
                </w14:textFill>
              </w:rPr>
              <w:t>15m排气筒（DA002）高空排放。烧结工序年工作300天，每天工作18h，</w:t>
            </w:r>
            <w:r>
              <w:rPr>
                <w:rFonts w:hint="default" w:ascii="Times New Roman" w:hAnsi="Times New Roman" w:cs="Times New Roman" w:eastAsiaTheme="minorEastAsia"/>
                <w:color w:val="000000" w:themeColor="text1"/>
                <w:kern w:val="2"/>
                <w:sz w:val="24"/>
                <w:szCs w:val="24"/>
                <w:lang w:val="en-US" w:eastAsia="zh-CN" w:bidi="ar"/>
                <w14:textFill>
                  <w14:solidFill>
                    <w14:schemeClr w14:val="tx1"/>
                  </w14:solidFill>
                </w14:textFill>
              </w:rPr>
              <w:t>设计风机风量为15000m</w:t>
            </w:r>
            <w:r>
              <w:rPr>
                <w:rFonts w:hint="default" w:ascii="Times New Roman" w:hAnsi="Times New Roman" w:cs="Times New Roman" w:eastAsiaTheme="minorEastAsia"/>
                <w:color w:val="000000" w:themeColor="text1"/>
                <w:kern w:val="2"/>
                <w:sz w:val="24"/>
                <w:szCs w:val="24"/>
                <w:vertAlign w:val="superscript"/>
                <w:lang w:val="en-US" w:eastAsia="zh-CN" w:bidi="ar"/>
                <w14:textFill>
                  <w14:solidFill>
                    <w14:schemeClr w14:val="tx1"/>
                  </w14:solidFill>
                </w14:textFill>
              </w:rPr>
              <w:t>3</w:t>
            </w:r>
            <w:r>
              <w:rPr>
                <w:rFonts w:hint="default" w:ascii="Times New Roman" w:hAnsi="Times New Roman" w:cs="Times New Roman" w:eastAsiaTheme="minorEastAsia"/>
                <w:color w:val="000000" w:themeColor="text1"/>
                <w:kern w:val="2"/>
                <w:sz w:val="24"/>
                <w:szCs w:val="24"/>
                <w:lang w:val="en-US" w:eastAsia="zh-CN" w:bidi="ar"/>
                <w14:textFill>
                  <w14:solidFill>
                    <w14:schemeClr w14:val="tx1"/>
                  </w14:solidFill>
                </w14:textFill>
              </w:rPr>
              <w:t>/h，则有组织排放量为0.084t/a（排放速率为0.016kg/h，排放浓度为1.03mg/m</w:t>
            </w:r>
            <w:r>
              <w:rPr>
                <w:rFonts w:hint="default" w:ascii="Times New Roman" w:hAnsi="Times New Roman" w:cs="Times New Roman" w:eastAsiaTheme="minorEastAsia"/>
                <w:color w:val="000000" w:themeColor="text1"/>
                <w:kern w:val="2"/>
                <w:sz w:val="24"/>
                <w:szCs w:val="24"/>
                <w:vertAlign w:val="superscript"/>
                <w:lang w:val="en-US" w:eastAsia="zh-CN" w:bidi="ar"/>
                <w14:textFill>
                  <w14:solidFill>
                    <w14:schemeClr w14:val="tx1"/>
                  </w14:solidFill>
                </w14:textFill>
              </w:rPr>
              <w:t>3</w:t>
            </w:r>
            <w:r>
              <w:rPr>
                <w:rFonts w:hint="default" w:ascii="Times New Roman" w:hAnsi="Times New Roman" w:cs="Times New Roman" w:eastAsiaTheme="minorEastAsia"/>
                <w:color w:val="000000" w:themeColor="text1"/>
                <w:kern w:val="2"/>
                <w:sz w:val="24"/>
                <w:szCs w:val="24"/>
                <w:lang w:val="en-US" w:eastAsia="zh-CN" w:bidi="ar"/>
                <w14:textFill>
                  <w14:solidFill>
                    <w14:schemeClr w14:val="tx1"/>
                  </w14:solidFill>
                </w14:textFill>
              </w:rPr>
              <w:t>）。无组织废气排放量为0.015t//a（0.0028kg/h）</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w:t>
            </w:r>
          </w:p>
          <w:p w14:paraId="546FCF87">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eastAsiaTheme="minorEastAsia"/>
                <w:color w:val="000000" w:themeColor="text1"/>
                <w:sz w:val="24"/>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lang w:val="en-US" w:eastAsia="zh-CN"/>
                <w14:textFill>
                  <w14:solidFill>
                    <w14:schemeClr w14:val="tx1"/>
                  </w14:solidFill>
                </w14:textFill>
              </w:rPr>
              <w:t>④</w:t>
            </w:r>
            <w:r>
              <w:rPr>
                <w:rFonts w:hint="eastAsia" w:cs="Times New Roman" w:eastAsiaTheme="minorEastAsia"/>
                <w:color w:val="000000" w:themeColor="text1"/>
                <w:sz w:val="24"/>
                <w:lang w:val="en-US" w:eastAsia="zh-CN"/>
                <w14:textFill>
                  <w14:solidFill>
                    <w14:schemeClr w14:val="tx1"/>
                  </w14:solidFill>
                </w14:textFill>
              </w:rPr>
              <w:t>烘干</w:t>
            </w:r>
            <w:r>
              <w:rPr>
                <w:rFonts w:hint="default" w:ascii="Times New Roman" w:hAnsi="Times New Roman" w:cs="Times New Roman" w:eastAsiaTheme="minorEastAsia"/>
                <w:color w:val="000000" w:themeColor="text1"/>
                <w:sz w:val="24"/>
                <w:lang w:val="en-US" w:eastAsia="zh-CN"/>
                <w14:textFill>
                  <w14:solidFill>
                    <w14:schemeClr w14:val="tx1"/>
                  </w14:solidFill>
                </w14:textFill>
              </w:rPr>
              <w:t xml:space="preserve">废气 </w:t>
            </w:r>
          </w:p>
          <w:p w14:paraId="62D84F4B">
            <w:pPr>
              <w:pStyle w:val="28"/>
              <w:keepNext w:val="0"/>
              <w:keepLines w:val="0"/>
              <w:suppressLineNumbers w:val="0"/>
              <w:spacing w:before="0" w:beforeAutospacing="0" w:after="0" w:afterAutospacing="0" w:line="360" w:lineRule="auto"/>
              <w:ind w:left="0" w:leftChars="0" w:right="0" w:firstLine="480" w:firstLineChars="200"/>
              <w:jc w:val="both"/>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cs="Times New Roman"/>
                <w:color w:val="000000" w:themeColor="text1"/>
                <w:kern w:val="0"/>
                <w:sz w:val="24"/>
                <w:szCs w:val="24"/>
                <w:lang w:val="en-US" w:eastAsia="zh-CN" w:bidi="ar"/>
                <w14:textFill>
                  <w14:solidFill>
                    <w14:schemeClr w14:val="tx1"/>
                  </w14:solidFill>
                </w14:textFill>
              </w:rPr>
              <w:t>本项目电极制备（还原）过程中，会在芯片表层涂一层银浆</w:t>
            </w:r>
            <w:r>
              <w:rPr>
                <w:rFonts w:hint="eastAsia" w:cs="Times New Roman"/>
                <w:color w:val="000000" w:themeColor="text1"/>
                <w:kern w:val="0"/>
                <w:sz w:val="24"/>
                <w:szCs w:val="24"/>
                <w:lang w:val="en-US" w:eastAsia="zh-CN" w:bidi="ar"/>
                <w14:textFill>
                  <w14:solidFill>
                    <w14:schemeClr w14:val="tx1"/>
                  </w14:solidFill>
                </w14:textFill>
              </w:rPr>
              <w:t>/铜浆</w:t>
            </w:r>
            <w:r>
              <w:rPr>
                <w:rFonts w:hint="default" w:ascii="Times New Roman" w:hAnsi="Times New Roman" w:cs="Times New Roman"/>
                <w:color w:val="000000" w:themeColor="text1"/>
                <w:kern w:val="0"/>
                <w:sz w:val="24"/>
                <w:szCs w:val="24"/>
                <w:lang w:val="en-US" w:eastAsia="zh-CN" w:bidi="ar"/>
                <w14:textFill>
                  <w14:solidFill>
                    <w14:schemeClr w14:val="tx1"/>
                  </w14:solidFill>
                </w14:textFill>
              </w:rPr>
              <w:t>，形成电阻两端的银电极</w:t>
            </w:r>
            <w:r>
              <w:rPr>
                <w:rFonts w:hint="eastAsia" w:cs="Times New Roman"/>
                <w:color w:val="000000" w:themeColor="text1"/>
                <w:kern w:val="0"/>
                <w:sz w:val="24"/>
                <w:szCs w:val="24"/>
                <w:lang w:val="en-US" w:eastAsia="zh-CN" w:bidi="ar"/>
                <w14:textFill>
                  <w14:solidFill>
                    <w14:schemeClr w14:val="tx1"/>
                  </w14:solidFill>
                </w14:textFill>
              </w:rPr>
              <w:t>/铜电极</w:t>
            </w:r>
            <w:r>
              <w:rPr>
                <w:rFonts w:hint="default" w:ascii="Times New Roman" w:hAnsi="Times New Roman" w:cs="Times New Roman"/>
                <w:color w:val="000000" w:themeColor="text1"/>
                <w:kern w:val="0"/>
                <w:sz w:val="24"/>
                <w:szCs w:val="24"/>
                <w:lang w:val="en-US" w:eastAsia="zh-CN" w:bidi="ar"/>
                <w14:textFill>
                  <w14:solidFill>
                    <w14:schemeClr w14:val="tx1"/>
                  </w14:solidFill>
                </w14:textFill>
              </w:rPr>
              <w:t>，刷完银浆</w:t>
            </w:r>
            <w:r>
              <w:rPr>
                <w:rFonts w:hint="eastAsia" w:cs="Times New Roman"/>
                <w:color w:val="000000" w:themeColor="text1"/>
                <w:kern w:val="0"/>
                <w:sz w:val="24"/>
                <w:szCs w:val="24"/>
                <w:lang w:val="en-US" w:eastAsia="zh-CN" w:bidi="ar"/>
                <w14:textFill>
                  <w14:solidFill>
                    <w14:schemeClr w14:val="tx1"/>
                  </w14:solidFill>
                </w14:textFill>
              </w:rPr>
              <w:t>/铜浆</w:t>
            </w:r>
            <w:r>
              <w:rPr>
                <w:rFonts w:hint="default" w:ascii="Times New Roman" w:hAnsi="Times New Roman" w:cs="Times New Roman"/>
                <w:color w:val="000000" w:themeColor="text1"/>
                <w:kern w:val="0"/>
                <w:sz w:val="24"/>
                <w:szCs w:val="24"/>
                <w:lang w:val="en-US" w:eastAsia="zh-CN" w:bidi="ar"/>
                <w14:textFill>
                  <w14:solidFill>
                    <w14:schemeClr w14:val="tx1"/>
                  </w14:solidFill>
                </w14:textFill>
              </w:rPr>
              <w:t>后的芯片先进入干燥炉加热至200℃将银浆</w:t>
            </w:r>
            <w:r>
              <w:rPr>
                <w:rFonts w:hint="eastAsia" w:cs="Times New Roman"/>
                <w:color w:val="000000" w:themeColor="text1"/>
                <w:kern w:val="0"/>
                <w:sz w:val="24"/>
                <w:szCs w:val="24"/>
                <w:lang w:val="en-US" w:eastAsia="zh-CN" w:bidi="ar"/>
                <w14:textFill>
                  <w14:solidFill>
                    <w14:schemeClr w14:val="tx1"/>
                  </w14:solidFill>
                </w14:textFill>
              </w:rPr>
              <w:t>/铜浆</w:t>
            </w:r>
            <w:r>
              <w:rPr>
                <w:rFonts w:hint="default" w:ascii="Times New Roman" w:hAnsi="Times New Roman" w:cs="Times New Roman"/>
                <w:color w:val="000000" w:themeColor="text1"/>
                <w:kern w:val="0"/>
                <w:sz w:val="24"/>
                <w:szCs w:val="24"/>
                <w:lang w:val="en-US" w:eastAsia="zh-CN" w:bidi="ar"/>
                <w14:textFill>
                  <w14:solidFill>
                    <w14:schemeClr w14:val="tx1"/>
                  </w14:solidFill>
                </w14:textFill>
              </w:rPr>
              <w:t>烘干，银浆</w:t>
            </w:r>
            <w:r>
              <w:rPr>
                <w:rFonts w:hint="eastAsia" w:cs="Times New Roman"/>
                <w:color w:val="000000" w:themeColor="text1"/>
                <w:kern w:val="0"/>
                <w:sz w:val="24"/>
                <w:szCs w:val="24"/>
                <w:lang w:val="en-US" w:eastAsia="zh-CN" w:bidi="ar"/>
                <w14:textFill>
                  <w14:solidFill>
                    <w14:schemeClr w14:val="tx1"/>
                  </w14:solidFill>
                </w14:textFill>
              </w:rPr>
              <w:t>/铜浆</w:t>
            </w:r>
            <w:r>
              <w:rPr>
                <w:rFonts w:hint="default" w:ascii="Times New Roman" w:hAnsi="Times New Roman" w:cs="Times New Roman"/>
                <w:color w:val="000000" w:themeColor="text1"/>
                <w:kern w:val="0"/>
                <w:sz w:val="24"/>
                <w:szCs w:val="24"/>
                <w:lang w:val="en-US" w:eastAsia="zh-CN" w:bidi="ar"/>
                <w14:textFill>
                  <w14:solidFill>
                    <w14:schemeClr w14:val="tx1"/>
                  </w14:solidFill>
                </w14:textFill>
              </w:rPr>
              <w:t>烘干过程有机物溶剂完全挥发，</w:t>
            </w:r>
            <w:r>
              <w:rPr>
                <w:rFonts w:hint="eastAsia" w:cs="Times New Roman"/>
                <w:color w:val="000000" w:themeColor="text1"/>
                <w:kern w:val="0"/>
                <w:sz w:val="24"/>
                <w:szCs w:val="24"/>
                <w:lang w:val="en-US" w:eastAsia="zh-CN" w:bidi="ar"/>
                <w14:textFill>
                  <w14:solidFill>
                    <w14:schemeClr w14:val="tx1"/>
                  </w14:solidFill>
                </w14:textFill>
              </w:rPr>
              <w:t>烘干后刷银浆的芯片</w:t>
            </w:r>
            <w:r>
              <w:rPr>
                <w:rFonts w:hint="default" w:ascii="Times New Roman" w:hAnsi="Times New Roman" w:cs="Times New Roman"/>
                <w:color w:val="000000" w:themeColor="text1"/>
                <w:kern w:val="0"/>
                <w:sz w:val="24"/>
                <w:szCs w:val="24"/>
                <w:lang w:val="en-US" w:eastAsia="zh-CN" w:bidi="ar"/>
                <w14:textFill>
                  <w14:solidFill>
                    <w14:schemeClr w14:val="tx1"/>
                  </w14:solidFill>
                </w14:textFill>
              </w:rPr>
              <w:t>再进入</w:t>
            </w:r>
            <w:r>
              <w:rPr>
                <w:rFonts w:hint="eastAsia" w:cs="Times New Roman"/>
                <w:color w:val="000000" w:themeColor="text1"/>
                <w:kern w:val="0"/>
                <w:sz w:val="24"/>
                <w:szCs w:val="24"/>
                <w:lang w:val="en-US" w:eastAsia="zh-CN" w:bidi="ar"/>
                <w14:textFill>
                  <w14:solidFill>
                    <w14:schemeClr w14:val="tx1"/>
                  </w14:solidFill>
                </w14:textFill>
              </w:rPr>
              <w:t>还原</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炉加热至470℃，使得银浆中氧化银还原成银电极。整个电极制备工序在一个密封</w:t>
            </w:r>
            <w:r>
              <w:rPr>
                <w:rFonts w:hint="default" w:ascii="Times New Roman" w:hAnsi="Times New Roman" w:cs="Times New Roman"/>
                <w:color w:val="000000" w:themeColor="text1"/>
                <w:kern w:val="0"/>
                <w:sz w:val="24"/>
                <w:szCs w:val="24"/>
                <w:lang w:val="en-US" w:eastAsia="zh-CN" w:bidi="ar"/>
                <w14:textFill>
                  <w14:solidFill>
                    <w14:schemeClr w14:val="tx1"/>
                  </w14:solidFill>
                </w14:textFill>
              </w:rPr>
              <w:t>车间</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内</w:t>
            </w:r>
            <w:r>
              <w:rPr>
                <w:rFonts w:hint="default" w:ascii="Times New Roman" w:hAnsi="Times New Roman" w:cs="Times New Roman"/>
                <w:color w:val="000000" w:themeColor="text1"/>
                <w:kern w:val="0"/>
                <w:sz w:val="24"/>
                <w:szCs w:val="24"/>
                <w:lang w:val="en-US" w:eastAsia="zh-CN" w:bidi="ar"/>
                <w14:textFill>
                  <w14:solidFill>
                    <w14:schemeClr w14:val="tx1"/>
                  </w14:solidFill>
                </w14:textFill>
              </w:rPr>
              <w:t>。项目所用银浆主要为</w:t>
            </w:r>
            <w:r>
              <w:rPr>
                <w:rFonts w:hint="default" w:ascii="Times New Roman" w:hAnsi="Times New Roman" w:cs="Times New Roman"/>
                <w:i w:val="0"/>
                <w:iCs w:val="0"/>
                <w:color w:val="000000" w:themeColor="text1"/>
                <w:kern w:val="0"/>
                <w:sz w:val="24"/>
                <w:szCs w:val="24"/>
                <w:u w:val="none"/>
                <w:lang w:val="en-US" w:eastAsia="zh-CN" w:bidi="ar"/>
                <w14:textFill>
                  <w14:solidFill>
                    <w14:schemeClr w14:val="tx1"/>
                  </w14:solidFill>
                </w14:textFill>
              </w:rPr>
              <w:t>80</w:t>
            </w: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%Ag+20%</w:t>
            </w:r>
            <w:r>
              <w:rPr>
                <w:rFonts w:hint="default" w:ascii="Times New Roman" w:hAnsi="Times New Roman" w:cs="Times New Roman"/>
                <w:i w:val="0"/>
                <w:iCs w:val="0"/>
                <w:color w:val="000000" w:themeColor="text1"/>
                <w:kern w:val="0"/>
                <w:sz w:val="24"/>
                <w:szCs w:val="24"/>
                <w:u w:val="none"/>
                <w:lang w:val="en-US" w:eastAsia="zh-CN" w:bidi="ar"/>
                <w14:textFill>
                  <w14:solidFill>
                    <w14:schemeClr w14:val="tx1"/>
                  </w14:solidFill>
                </w14:textFill>
              </w:rPr>
              <w:t>醇类，</w:t>
            </w:r>
            <w:r>
              <w:rPr>
                <w:rFonts w:hint="eastAsia" w:cs="Times New Roman"/>
                <w:i w:val="0"/>
                <w:iCs w:val="0"/>
                <w:color w:val="000000" w:themeColor="text1"/>
                <w:kern w:val="0"/>
                <w:sz w:val="24"/>
                <w:szCs w:val="24"/>
                <w:u w:val="none"/>
                <w:lang w:val="en-US" w:eastAsia="zh-CN" w:bidi="ar"/>
                <w14:textFill>
                  <w14:solidFill>
                    <w14:schemeClr w14:val="tx1"/>
                  </w14:solidFill>
                </w14:textFill>
              </w:rPr>
              <w:t>铜浆</w:t>
            </w:r>
            <w:r>
              <w:rPr>
                <w:rFonts w:hint="default" w:ascii="Times New Roman" w:hAnsi="Times New Roman" w:cs="Times New Roman"/>
                <w:i w:val="0"/>
                <w:iCs w:val="0"/>
                <w:color w:val="000000" w:themeColor="text1"/>
                <w:kern w:val="0"/>
                <w:sz w:val="24"/>
                <w:szCs w:val="24"/>
                <w:u w:val="none"/>
                <w:lang w:val="en-US" w:eastAsia="zh-CN" w:bidi="ar"/>
                <w14:textFill>
                  <w14:solidFill>
                    <w14:schemeClr w14:val="tx1"/>
                  </w14:solidFill>
                </w14:textFill>
              </w:rPr>
              <w:t>80</w:t>
            </w: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w:t>
            </w:r>
            <w:r>
              <w:rPr>
                <w:rFonts w:hint="eastAsia" w:cs="Times New Roman"/>
                <w:i w:val="0"/>
                <w:iCs w:val="0"/>
                <w:color w:val="000000" w:themeColor="text1"/>
                <w:kern w:val="0"/>
                <w:sz w:val="24"/>
                <w:szCs w:val="24"/>
                <w:u w:val="none"/>
                <w:lang w:val="en-US" w:eastAsia="zh-CN" w:bidi="ar"/>
                <w14:textFill>
                  <w14:solidFill>
                    <w14:schemeClr w14:val="tx1"/>
                  </w14:solidFill>
                </w14:textFill>
              </w:rPr>
              <w:t>C</w:t>
            </w:r>
            <w:r>
              <w:rPr>
                <w:rFonts w:hint="eastAsia" w:cs="Times New Roman"/>
                <w:i w:val="0"/>
                <w:iCs w:val="0"/>
                <w:color w:val="000000" w:themeColor="text1"/>
                <w:kern w:val="0"/>
                <w:sz w:val="24"/>
                <w:szCs w:val="24"/>
                <w:u w:val="none"/>
                <w:vertAlign w:val="baseline"/>
                <w:lang w:val="en-US" w:eastAsia="zh-CN" w:bidi="ar"/>
                <w14:textFill>
                  <w14:solidFill>
                    <w14:schemeClr w14:val="tx1"/>
                  </w14:solidFill>
                </w14:textFill>
              </w:rPr>
              <w:t>u</w:t>
            </w: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w:t>
            </w:r>
            <w:r>
              <w:rPr>
                <w:rFonts w:hint="default" w:ascii="Times New Roman" w:hAnsi="Times New Roman" w:cs="Times New Roman"/>
                <w:i w:val="0"/>
                <w:iCs w:val="0"/>
                <w:color w:val="000000" w:themeColor="text1"/>
                <w:kern w:val="0"/>
                <w:sz w:val="24"/>
                <w:szCs w:val="24"/>
                <w:u w:val="none"/>
                <w:lang w:val="en-US" w:eastAsia="zh-CN" w:bidi="ar"/>
                <w14:textFill>
                  <w14:solidFill>
                    <w14:schemeClr w14:val="tx1"/>
                  </w14:solidFill>
                </w14:textFill>
              </w:rPr>
              <w:t>醇类</w:t>
            </w:r>
            <w:r>
              <w:rPr>
                <w:rFonts w:hint="eastAsia" w:cs="Times New Roman"/>
                <w:i w:val="0"/>
                <w:iCs w:val="0"/>
                <w:color w:val="000000" w:themeColor="text1"/>
                <w:kern w:val="0"/>
                <w:sz w:val="24"/>
                <w:szCs w:val="24"/>
                <w:u w:val="none"/>
                <w:lang w:val="en-US" w:eastAsia="zh-CN" w:bidi="ar"/>
                <w14:textFill>
                  <w14:solidFill>
                    <w14:schemeClr w14:val="tx1"/>
                  </w14:solidFill>
                </w14:textFill>
              </w:rPr>
              <w:t>，</w:t>
            </w:r>
            <w:r>
              <w:rPr>
                <w:rFonts w:hint="default" w:ascii="Times New Roman" w:hAnsi="Times New Roman" w:cs="Times New Roman"/>
                <w:color w:val="000000" w:themeColor="text1"/>
                <w:kern w:val="0"/>
                <w:sz w:val="24"/>
                <w:szCs w:val="24"/>
                <w:lang w:val="en-US" w:eastAsia="zh-CN" w:bidi="ar"/>
                <w14:textFill>
                  <w14:solidFill>
                    <w14:schemeClr w14:val="tx1"/>
                  </w14:solidFill>
                </w14:textFill>
              </w:rPr>
              <w:t>按20%的醇类物质完全挥发计，</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项目银浆的使用量为</w:t>
            </w:r>
            <w:r>
              <w:rPr>
                <w:rFonts w:hint="default" w:ascii="Times New Roman" w:hAnsi="Times New Roman" w:cs="Times New Roman"/>
                <w:color w:val="000000" w:themeColor="text1"/>
                <w:kern w:val="0"/>
                <w:sz w:val="24"/>
                <w:szCs w:val="24"/>
                <w:lang w:val="en-US" w:eastAsia="zh-CN" w:bidi="ar"/>
                <w14:textFill>
                  <w14:solidFill>
                    <w14:schemeClr w14:val="tx1"/>
                  </w14:solidFill>
                </w14:textFill>
              </w:rPr>
              <w:t>0.</w:t>
            </w:r>
            <w:r>
              <w:rPr>
                <w:rFonts w:hint="eastAsia" w:cs="Times New Roman"/>
                <w:color w:val="000000" w:themeColor="text1"/>
                <w:kern w:val="0"/>
                <w:sz w:val="24"/>
                <w:szCs w:val="24"/>
                <w:lang w:val="en-US" w:eastAsia="zh-CN" w:bidi="ar"/>
                <w14:textFill>
                  <w14:solidFill>
                    <w14:schemeClr w14:val="tx1"/>
                  </w14:solidFill>
                </w14:textFill>
              </w:rPr>
              <w:t>125</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t/a</w:t>
            </w:r>
            <w:r>
              <w:rPr>
                <w:rFonts w:hint="eastAsia" w:cs="Times New Roman"/>
                <w:color w:val="000000" w:themeColor="text1"/>
                <w:kern w:val="0"/>
                <w:sz w:val="24"/>
                <w:szCs w:val="24"/>
                <w:lang w:val="en-US" w:eastAsia="zh-CN" w:bidi="ar"/>
                <w14:textFill>
                  <w14:solidFill>
                    <w14:schemeClr w14:val="tx1"/>
                  </w14:solidFill>
                </w14:textFill>
              </w:rPr>
              <w:t>，铜浆使用量为0.075t/a，</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则项目</w:t>
            </w:r>
            <w:r>
              <w:rPr>
                <w:rFonts w:hint="eastAsia" w:cs="Times New Roman"/>
                <w:color w:val="000000" w:themeColor="text1"/>
                <w:kern w:val="0"/>
                <w:sz w:val="24"/>
                <w:szCs w:val="24"/>
                <w:lang w:val="en-US" w:eastAsia="zh-CN" w:bidi="ar"/>
                <w14:textFill>
                  <w14:solidFill>
                    <w14:schemeClr w14:val="tx1"/>
                  </w14:solidFill>
                </w14:textFill>
              </w:rPr>
              <w:t>烘烤</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过程中产生的有机废气为</w:t>
            </w:r>
            <w:r>
              <w:rPr>
                <w:rFonts w:hint="default" w:ascii="Times New Roman" w:hAnsi="Times New Roman" w:cs="Times New Roman"/>
                <w:color w:val="000000" w:themeColor="text1"/>
                <w:kern w:val="0"/>
                <w:sz w:val="24"/>
                <w:szCs w:val="24"/>
                <w:lang w:val="en-US" w:eastAsia="zh-CN" w:bidi="ar"/>
                <w14:textFill>
                  <w14:solidFill>
                    <w14:schemeClr w14:val="tx1"/>
                  </w14:solidFill>
                </w14:textFill>
              </w:rPr>
              <w:t>0.04</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 xml:space="preserve">t/a。 </w:t>
            </w:r>
          </w:p>
          <w:p w14:paraId="5AA5C0B7">
            <w:pPr>
              <w:pStyle w:val="28"/>
              <w:keepNext w:val="0"/>
              <w:keepLines w:val="0"/>
              <w:suppressLineNumbers w:val="0"/>
              <w:spacing w:before="0" w:beforeAutospacing="0" w:after="0" w:afterAutospacing="0" w:line="360" w:lineRule="auto"/>
              <w:ind w:left="0" w:leftChars="0" w:right="0" w:firstLine="480" w:firstLineChars="200"/>
              <w:jc w:val="both"/>
              <w:rPr>
                <w:rFonts w:hint="default" w:ascii="Times New Roman" w:hAnsi="Times New Roman" w:cs="Times New Roman"/>
                <w:color w:val="000000" w:themeColor="text1"/>
                <w:sz w:val="24"/>
                <w:szCs w:val="22"/>
                <w:lang w:val="en-US" w:eastAsia="zh-CN"/>
                <w14:textFill>
                  <w14:solidFill>
                    <w14:schemeClr w14:val="tx1"/>
                  </w14:solidFill>
                </w14:textFill>
              </w:rPr>
            </w:pPr>
            <w:r>
              <w:rPr>
                <w:rFonts w:hint="default" w:ascii="Times New Roman" w:hAnsi="Times New Roman" w:cs="Times New Roman"/>
                <w:color w:val="000000" w:themeColor="text1"/>
                <w:sz w:val="24"/>
                <w:szCs w:val="22"/>
                <w:lang w:eastAsia="zh-CN"/>
                <w14:textFill>
                  <w14:solidFill>
                    <w14:schemeClr w14:val="tx1"/>
                  </w14:solidFill>
                </w14:textFill>
              </w:rPr>
              <w:t>由于工艺本身对车间洁净程度有较高要求，建设单位拟把涂</w:t>
            </w:r>
            <w:r>
              <w:rPr>
                <w:rFonts w:hint="eastAsia" w:cs="Times New Roman"/>
                <w:color w:val="000000" w:themeColor="text1"/>
                <w:sz w:val="24"/>
                <w:szCs w:val="22"/>
                <w:lang w:val="en-US" w:eastAsia="zh-CN"/>
                <w14:textFill>
                  <w14:solidFill>
                    <w14:schemeClr w14:val="tx1"/>
                  </w14:solidFill>
                </w14:textFill>
              </w:rPr>
              <w:t>浆</w:t>
            </w:r>
            <w:r>
              <w:rPr>
                <w:rFonts w:hint="default" w:ascii="Times New Roman" w:hAnsi="Times New Roman" w:cs="Times New Roman"/>
                <w:color w:val="000000" w:themeColor="text1"/>
                <w:sz w:val="24"/>
                <w:szCs w:val="22"/>
                <w:lang w:eastAsia="zh-CN"/>
                <w14:textFill>
                  <w14:solidFill>
                    <w14:schemeClr w14:val="tx1"/>
                  </w14:solidFill>
                </w14:textFill>
              </w:rPr>
              <w:t>车间设计成较密闭的车间</w:t>
            </w:r>
            <w:r>
              <w:rPr>
                <w:rFonts w:hint="default" w:ascii="Times New Roman" w:hAnsi="Times New Roman" w:cs="Times New Roman"/>
                <w:color w:val="000000" w:themeColor="text1"/>
                <w:sz w:val="24"/>
                <w:szCs w:val="22"/>
                <w:highlight w:val="none"/>
                <w:lang w:eastAsia="zh-CN"/>
                <w14:textFill>
                  <w14:solidFill>
                    <w14:schemeClr w14:val="tx1"/>
                  </w14:solidFill>
                </w14:textFill>
              </w:rPr>
              <w:t>，可减少车间内废气外逸；另一方面在涂银</w:t>
            </w:r>
            <w:r>
              <w:rPr>
                <w:rFonts w:hint="eastAsia" w:cs="Times New Roman"/>
                <w:color w:val="000000" w:themeColor="text1"/>
                <w:sz w:val="24"/>
                <w:szCs w:val="22"/>
                <w:highlight w:val="none"/>
                <w:lang w:val="en-US" w:eastAsia="zh-CN"/>
                <w14:textFill>
                  <w14:solidFill>
                    <w14:schemeClr w14:val="tx1"/>
                  </w14:solidFill>
                </w14:textFill>
              </w:rPr>
              <w:t>/涂铜</w:t>
            </w:r>
            <w:r>
              <w:rPr>
                <w:rFonts w:hint="default" w:ascii="Times New Roman" w:hAnsi="Times New Roman" w:cs="Times New Roman"/>
                <w:color w:val="000000" w:themeColor="text1"/>
                <w:sz w:val="24"/>
                <w:szCs w:val="22"/>
                <w:highlight w:val="none"/>
                <w:lang w:eastAsia="zh-CN"/>
                <w14:textFill>
                  <w14:solidFill>
                    <w14:schemeClr w14:val="tx1"/>
                  </w14:solidFill>
                </w14:textFill>
              </w:rPr>
              <w:t>工位上方、烘干炉上方安装集气罩，收集烘干工序产生的有机废气，</w:t>
            </w:r>
            <w:r>
              <w:rPr>
                <w:rFonts w:hint="default" w:ascii="Times New Roman" w:hAnsi="Times New Roman" w:cs="Times New Roman"/>
                <w:color w:val="000000" w:themeColor="text1"/>
                <w:sz w:val="24"/>
                <w:szCs w:val="22"/>
                <w:highlight w:val="none"/>
                <w:lang w:val="en-US" w:eastAsia="zh-CN"/>
                <w14:textFill>
                  <w14:solidFill>
                    <w14:schemeClr w14:val="tx1"/>
                  </w14:solidFill>
                </w14:textFill>
              </w:rPr>
              <w:t>通过管道连接至烧结废气治理设施，废气经</w:t>
            </w:r>
            <w:r>
              <w:rPr>
                <w:rFonts w:hint="default" w:ascii="Times New Roman" w:hAnsi="Times New Roman" w:cs="Times New Roman"/>
                <w:color w:val="000000" w:themeColor="text1"/>
                <w:kern w:val="0"/>
                <w:sz w:val="24"/>
                <w:szCs w:val="24"/>
                <w:lang w:val="en-US" w:eastAsia="zh-CN" w:bidi="ar"/>
                <w14:textFill>
                  <w14:solidFill>
                    <w14:schemeClr w14:val="tx1"/>
                  </w14:solidFill>
                </w14:textFill>
              </w:rPr>
              <w:t>过滤棉+</w:t>
            </w:r>
            <w:r>
              <w:rPr>
                <w:rFonts w:hint="default" w:ascii="Times New Roman" w:hAnsi="Times New Roman" w:cs="Times New Roman"/>
                <w:color w:val="000000" w:themeColor="text1"/>
                <w:sz w:val="24"/>
                <w:szCs w:val="22"/>
                <w:highlight w:val="none"/>
                <w:lang w:val="en-US" w:eastAsia="zh-CN"/>
                <w14:textFill>
                  <w14:solidFill>
                    <w14:schemeClr w14:val="tx1"/>
                  </w14:solidFill>
                </w14:textFill>
              </w:rPr>
              <w:t>二级活性炭</w:t>
            </w:r>
            <w:r>
              <w:rPr>
                <w:rFonts w:hint="default" w:ascii="Times New Roman" w:hAnsi="Times New Roman" w:cs="Times New Roman" w:eastAsiaTheme="minorEastAsia"/>
                <w:color w:val="000000" w:themeColor="text1"/>
                <w:sz w:val="24"/>
                <w:highlight w:val="none"/>
                <w:lang w:eastAsia="zh-CN"/>
                <w14:textFill>
                  <w14:solidFill>
                    <w14:schemeClr w14:val="tx1"/>
                  </w14:solidFill>
                </w14:textFill>
              </w:rPr>
              <w:t>（</w:t>
            </w:r>
            <w:r>
              <w:rPr>
                <w:rFonts w:hint="default" w:ascii="Times New Roman" w:hAnsi="Times New Roman" w:cs="Times New Roman" w:eastAsiaTheme="minorEastAsia"/>
                <w:color w:val="000000" w:themeColor="text1"/>
                <w:sz w:val="24"/>
                <w:highlight w:val="none"/>
                <w:lang w:val="en-US" w:eastAsia="zh-CN"/>
                <w14:textFill>
                  <w14:solidFill>
                    <w14:schemeClr w14:val="tx1"/>
                  </w14:solidFill>
                </w14:textFill>
              </w:rPr>
              <w:t>TA002</w:t>
            </w:r>
            <w:r>
              <w:rPr>
                <w:rFonts w:hint="default" w:ascii="Times New Roman" w:hAnsi="Times New Roman" w:cs="Times New Roman" w:eastAsiaTheme="minorEastAsia"/>
                <w:color w:val="000000" w:themeColor="text1"/>
                <w:sz w:val="24"/>
                <w:szCs w:val="24"/>
                <w:highlight w:val="none"/>
                <w:lang w:val="en-US" w:eastAsia="zh-CN"/>
                <w14:textFill>
                  <w14:solidFill>
                    <w14:schemeClr w14:val="tx1"/>
                  </w14:solidFill>
                </w14:textFill>
              </w:rPr>
              <w:t>）</w:t>
            </w:r>
            <w:r>
              <w:rPr>
                <w:rFonts w:hint="default" w:ascii="Times New Roman" w:hAnsi="Times New Roman" w:cs="Times New Roman"/>
                <w:color w:val="000000" w:themeColor="text1"/>
                <w:sz w:val="24"/>
                <w:szCs w:val="22"/>
                <w:highlight w:val="none"/>
                <w:lang w:val="en-US" w:eastAsia="zh-CN"/>
                <w14:textFill>
                  <w14:solidFill>
                    <w14:schemeClr w14:val="tx1"/>
                  </w14:solidFill>
                </w14:textFill>
              </w:rPr>
              <w:t>处理（处理效率为38%）后</w:t>
            </w:r>
            <w:r>
              <w:rPr>
                <w:rFonts w:hint="default" w:ascii="Times New Roman" w:hAnsi="Times New Roman" w:cs="Times New Roman"/>
                <w:color w:val="000000" w:themeColor="text1"/>
                <w:sz w:val="24"/>
                <w:szCs w:val="22"/>
                <w:lang w:val="en-US" w:eastAsia="zh-CN"/>
                <w14:textFill>
                  <w14:solidFill>
                    <w14:schemeClr w14:val="tx1"/>
                  </w14:solidFill>
                </w14:textFill>
              </w:rPr>
              <w:t>由15米高的排气筒（DA002）高空排放。</w:t>
            </w:r>
            <w:r>
              <w:rPr>
                <w:rFonts w:hint="default" w:ascii="Times New Roman" w:hAnsi="Times New Roman" w:cs="Times New Roman"/>
                <w:color w:val="000000" w:themeColor="text1"/>
                <w:sz w:val="24"/>
                <w:szCs w:val="22"/>
                <w:lang w:eastAsia="zh-CN"/>
                <w14:textFill>
                  <w14:solidFill>
                    <w14:schemeClr w14:val="tx1"/>
                  </w14:solidFill>
                </w14:textFill>
              </w:rPr>
              <w:t>整个涂</w:t>
            </w:r>
            <w:r>
              <w:rPr>
                <w:rFonts w:hint="eastAsia" w:cs="Times New Roman"/>
                <w:color w:val="000000" w:themeColor="text1"/>
                <w:sz w:val="24"/>
                <w:szCs w:val="22"/>
                <w:lang w:val="en-US" w:eastAsia="zh-CN"/>
                <w14:textFill>
                  <w14:solidFill>
                    <w14:schemeClr w14:val="tx1"/>
                  </w14:solidFill>
                </w14:textFill>
              </w:rPr>
              <w:t>浆</w:t>
            </w:r>
            <w:r>
              <w:rPr>
                <w:rFonts w:hint="default" w:ascii="Times New Roman" w:hAnsi="Times New Roman" w:cs="Times New Roman"/>
                <w:color w:val="000000" w:themeColor="text1"/>
                <w:sz w:val="24"/>
                <w:szCs w:val="22"/>
                <w:lang w:eastAsia="zh-CN"/>
                <w14:textFill>
                  <w14:solidFill>
                    <w14:schemeClr w14:val="tx1"/>
                  </w14:solidFill>
                </w14:textFill>
              </w:rPr>
              <w:t>车间</w:t>
            </w:r>
            <w:r>
              <w:rPr>
                <w:rFonts w:hint="default" w:ascii="Times New Roman" w:hAnsi="Times New Roman" w:cs="Times New Roman"/>
                <w:color w:val="000000" w:themeColor="text1"/>
                <w:sz w:val="24"/>
                <w:szCs w:val="22"/>
                <w:lang w:val="en-US" w:eastAsia="zh-CN"/>
                <w14:textFill>
                  <w14:solidFill>
                    <w14:schemeClr w14:val="tx1"/>
                  </w14:solidFill>
                </w14:textFill>
              </w:rPr>
              <w:t>密闭</w:t>
            </w:r>
            <w:r>
              <w:rPr>
                <w:rFonts w:hint="default" w:ascii="Times New Roman" w:hAnsi="Times New Roman" w:cs="Times New Roman"/>
                <w:color w:val="000000" w:themeColor="text1"/>
                <w:sz w:val="24"/>
                <w:szCs w:val="22"/>
                <w:lang w:eastAsia="zh-CN"/>
                <w14:textFill>
                  <w14:solidFill>
                    <w14:schemeClr w14:val="tx1"/>
                  </w14:solidFill>
                </w14:textFill>
              </w:rPr>
              <w:t>，</w:t>
            </w:r>
            <w:r>
              <w:rPr>
                <w:rFonts w:hint="default" w:ascii="Times New Roman" w:hAnsi="Times New Roman" w:cs="Times New Roman"/>
                <w:color w:val="000000" w:themeColor="text1"/>
                <w:sz w:val="24"/>
                <w:szCs w:val="22"/>
                <w:lang w:val="en-US" w:eastAsia="zh-CN"/>
                <w14:textFill>
                  <w14:solidFill>
                    <w14:schemeClr w14:val="tx1"/>
                  </w14:solidFill>
                </w14:textFill>
              </w:rPr>
              <w:t>以</w:t>
            </w:r>
            <w:r>
              <w:rPr>
                <w:rFonts w:hint="default" w:ascii="Times New Roman" w:hAnsi="Times New Roman" w:cs="Times New Roman"/>
                <w:color w:val="000000" w:themeColor="text1"/>
                <w:sz w:val="24"/>
                <w:szCs w:val="22"/>
                <w:lang w:eastAsia="zh-CN"/>
                <w14:textFill>
                  <w14:solidFill>
                    <w14:schemeClr w14:val="tx1"/>
                  </w14:solidFill>
                </w14:textFill>
              </w:rPr>
              <w:t>保证废气在工作期间的收集效率，仅</w:t>
            </w:r>
            <w:r>
              <w:rPr>
                <w:rFonts w:hint="default" w:ascii="Times New Roman" w:hAnsi="Times New Roman" w:cs="Times New Roman"/>
                <w:color w:val="000000" w:themeColor="text1"/>
                <w:sz w:val="24"/>
                <w:szCs w:val="22"/>
                <w:lang w:val="en-US" w:eastAsia="zh-CN"/>
                <w14:textFill>
                  <w14:solidFill>
                    <w14:schemeClr w14:val="tx1"/>
                  </w14:solidFill>
                </w14:textFill>
              </w:rPr>
              <w:t>有</w:t>
            </w:r>
            <w:r>
              <w:rPr>
                <w:rFonts w:hint="default" w:ascii="Times New Roman" w:hAnsi="Times New Roman" w:cs="Times New Roman"/>
                <w:color w:val="000000" w:themeColor="text1"/>
                <w:sz w:val="24"/>
                <w:szCs w:val="22"/>
                <w:lang w:eastAsia="zh-CN"/>
                <w14:textFill>
                  <w14:solidFill>
                    <w14:schemeClr w14:val="tx1"/>
                  </w14:solidFill>
                </w14:textFill>
              </w:rPr>
              <w:t>进出车间时少量无组织排放，平均收集效率可达到</w:t>
            </w:r>
            <w:r>
              <w:rPr>
                <w:rFonts w:hint="default" w:ascii="Times New Roman" w:hAnsi="Times New Roman" w:cs="Times New Roman"/>
                <w:color w:val="000000" w:themeColor="text1"/>
                <w:sz w:val="24"/>
                <w:szCs w:val="22"/>
                <w:lang w:val="en-US" w:eastAsia="zh-CN"/>
                <w14:textFill>
                  <w14:solidFill>
                    <w14:schemeClr w14:val="tx1"/>
                  </w14:solidFill>
                </w14:textFill>
              </w:rPr>
              <w:t>85</w:t>
            </w:r>
            <w:r>
              <w:rPr>
                <w:rFonts w:hint="default" w:ascii="Times New Roman" w:hAnsi="Times New Roman" w:cs="Times New Roman"/>
                <w:color w:val="000000" w:themeColor="text1"/>
                <w:sz w:val="24"/>
                <w:szCs w:val="22"/>
                <w:lang w:eastAsia="zh-CN"/>
                <w14:textFill>
                  <w14:solidFill>
                    <w14:schemeClr w14:val="tx1"/>
                  </w14:solidFill>
                </w14:textFill>
              </w:rPr>
              <w:t>%，</w:t>
            </w:r>
            <w:r>
              <w:rPr>
                <w:rFonts w:hint="default" w:ascii="Times New Roman" w:hAnsi="Times New Roman" w:cs="Times New Roman"/>
                <w:color w:val="000000" w:themeColor="text1"/>
                <w:sz w:val="24"/>
                <w:szCs w:val="22"/>
                <w:lang w:val="en-US" w:eastAsia="zh-CN"/>
                <w14:textFill>
                  <w14:solidFill>
                    <w14:schemeClr w14:val="tx1"/>
                  </w14:solidFill>
                </w14:textFill>
              </w:rPr>
              <w:t>其余15%以无组织形式排放。</w:t>
            </w:r>
            <w:r>
              <w:rPr>
                <w:rFonts w:hint="default" w:ascii="Times New Roman" w:hAnsi="Times New Roman" w:cs="Times New Roman"/>
                <w:color w:val="000000" w:themeColor="text1"/>
                <w:sz w:val="24"/>
                <w:szCs w:val="22"/>
                <w:lang w:eastAsia="zh-CN"/>
                <w14:textFill>
                  <w14:solidFill>
                    <w14:schemeClr w14:val="tx1"/>
                  </w14:solidFill>
                </w14:textFill>
              </w:rPr>
              <w:t>涂</w:t>
            </w:r>
            <w:r>
              <w:rPr>
                <w:rFonts w:hint="eastAsia" w:cs="Times New Roman"/>
                <w:color w:val="000000" w:themeColor="text1"/>
                <w:sz w:val="24"/>
                <w:szCs w:val="22"/>
                <w:lang w:val="en-US" w:eastAsia="zh-CN"/>
                <w14:textFill>
                  <w14:solidFill>
                    <w14:schemeClr w14:val="tx1"/>
                  </w14:solidFill>
                </w14:textFill>
              </w:rPr>
              <w:t>浆</w:t>
            </w:r>
            <w:r>
              <w:rPr>
                <w:rFonts w:hint="default" w:ascii="Times New Roman" w:hAnsi="Times New Roman" w:cs="Times New Roman"/>
                <w:color w:val="000000" w:themeColor="text1"/>
                <w:sz w:val="24"/>
                <w:szCs w:val="22"/>
                <w:lang w:val="en-US" w:eastAsia="zh-CN"/>
                <w14:textFill>
                  <w14:solidFill>
                    <w14:schemeClr w14:val="tx1"/>
                  </w14:solidFill>
                </w14:textFill>
              </w:rPr>
              <w:t>工序年运行300天，每天有效工作时间为10h，</w:t>
            </w:r>
            <w:r>
              <w:rPr>
                <w:rFonts w:hint="default" w:ascii="Times New Roman" w:hAnsi="Times New Roman" w:cs="Times New Roman" w:eastAsiaTheme="minorEastAsia"/>
                <w:color w:val="000000" w:themeColor="text1"/>
                <w:kern w:val="2"/>
                <w:sz w:val="24"/>
                <w:szCs w:val="24"/>
                <w:lang w:val="en-US" w:eastAsia="zh-CN" w:bidi="ar"/>
                <w14:textFill>
                  <w14:solidFill>
                    <w14:schemeClr w14:val="tx1"/>
                  </w14:solidFill>
                </w14:textFill>
              </w:rPr>
              <w:t>设计风机风量为15000m</w:t>
            </w:r>
            <w:r>
              <w:rPr>
                <w:rFonts w:hint="default" w:ascii="Times New Roman" w:hAnsi="Times New Roman" w:cs="Times New Roman" w:eastAsiaTheme="minorEastAsia"/>
                <w:color w:val="000000" w:themeColor="text1"/>
                <w:kern w:val="2"/>
                <w:sz w:val="24"/>
                <w:szCs w:val="24"/>
                <w:vertAlign w:val="superscript"/>
                <w:lang w:val="en-US" w:eastAsia="zh-CN" w:bidi="ar"/>
                <w14:textFill>
                  <w14:solidFill>
                    <w14:schemeClr w14:val="tx1"/>
                  </w14:solidFill>
                </w14:textFill>
              </w:rPr>
              <w:t>3</w:t>
            </w:r>
            <w:r>
              <w:rPr>
                <w:rFonts w:hint="default" w:ascii="Times New Roman" w:hAnsi="Times New Roman" w:cs="Times New Roman" w:eastAsiaTheme="minorEastAsia"/>
                <w:color w:val="000000" w:themeColor="text1"/>
                <w:kern w:val="2"/>
                <w:sz w:val="24"/>
                <w:szCs w:val="24"/>
                <w:lang w:val="en-US" w:eastAsia="zh-CN" w:bidi="ar"/>
                <w14:textFill>
                  <w14:solidFill>
                    <w14:schemeClr w14:val="tx1"/>
                  </w14:solidFill>
                </w14:textFill>
              </w:rPr>
              <w:t>/h</w:t>
            </w:r>
            <w:r>
              <w:rPr>
                <w:rFonts w:hint="default" w:ascii="Times New Roman" w:hAnsi="Times New Roman" w:cs="Times New Roman"/>
                <w:color w:val="000000" w:themeColor="text1"/>
                <w:sz w:val="24"/>
                <w:szCs w:val="22"/>
                <w:lang w:val="en-US" w:eastAsia="zh-CN"/>
                <w14:textFill>
                  <w14:solidFill>
                    <w14:schemeClr w14:val="tx1"/>
                  </w14:solidFill>
                </w14:textFill>
              </w:rPr>
              <w:t>。</w:t>
            </w:r>
          </w:p>
          <w:p w14:paraId="6731BDCD">
            <w:pPr>
              <w:keepNext w:val="0"/>
              <w:keepLines w:val="0"/>
              <w:suppressLineNumbers w:val="0"/>
              <w:spacing w:before="0" w:beforeAutospacing="0" w:after="0" w:afterAutospacing="0" w:line="360" w:lineRule="auto"/>
              <w:ind w:left="0" w:leftChars="0" w:right="0" w:firstLine="480" w:firstLineChars="200"/>
              <w:jc w:val="both"/>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cs="Times New Roman"/>
                <w:color w:val="000000" w:themeColor="text1"/>
                <w:sz w:val="24"/>
                <w:szCs w:val="22"/>
                <w:lang w:val="en-US" w:eastAsia="zh-CN"/>
                <w14:textFill>
                  <w14:solidFill>
                    <w14:schemeClr w14:val="tx1"/>
                  </w14:solidFill>
                </w14:textFill>
              </w:rPr>
              <w:t>则</w:t>
            </w:r>
            <w:r>
              <w:rPr>
                <w:rFonts w:hint="eastAsia" w:cs="Times New Roman"/>
                <w:color w:val="000000" w:themeColor="text1"/>
                <w:sz w:val="24"/>
                <w:szCs w:val="22"/>
                <w:lang w:val="en-US" w:eastAsia="zh-CN"/>
                <w14:textFill>
                  <w14:solidFill>
                    <w14:schemeClr w14:val="tx1"/>
                  </w14:solidFill>
                </w14:textFill>
              </w:rPr>
              <w:t>烘干</w:t>
            </w:r>
            <w:r>
              <w:rPr>
                <w:rFonts w:hint="default" w:ascii="Times New Roman" w:hAnsi="Times New Roman" w:cs="Times New Roman"/>
                <w:color w:val="000000" w:themeColor="text1"/>
                <w:sz w:val="24"/>
                <w:szCs w:val="22"/>
                <w:lang w:val="en-US" w:eastAsia="zh-CN"/>
                <w14:textFill>
                  <w14:solidFill>
                    <w14:schemeClr w14:val="tx1"/>
                  </w14:solidFill>
                </w14:textFill>
              </w:rPr>
              <w:t>工序</w:t>
            </w:r>
            <w:r>
              <w:rPr>
                <w:rFonts w:hint="default" w:ascii="Times New Roman" w:hAnsi="Times New Roman" w:cs="Times New Roman" w:eastAsiaTheme="minorEastAsia"/>
                <w:color w:val="000000" w:themeColor="text1"/>
                <w:kern w:val="2"/>
                <w:sz w:val="24"/>
                <w:szCs w:val="24"/>
                <w:lang w:val="en-US" w:eastAsia="zh-CN" w:bidi="ar"/>
                <w14:textFill>
                  <w14:solidFill>
                    <w14:schemeClr w14:val="tx1"/>
                  </w14:solidFill>
                </w14:textFill>
              </w:rPr>
              <w:t>有组织排放量为0.021t/a（排放速率为0.007kg/h，排放浓度为0.47mg/m</w:t>
            </w:r>
            <w:r>
              <w:rPr>
                <w:rFonts w:hint="default" w:ascii="Times New Roman" w:hAnsi="Times New Roman" w:cs="Times New Roman" w:eastAsiaTheme="minorEastAsia"/>
                <w:color w:val="000000" w:themeColor="text1"/>
                <w:kern w:val="2"/>
                <w:sz w:val="24"/>
                <w:szCs w:val="24"/>
                <w:vertAlign w:val="superscript"/>
                <w:lang w:val="en-US" w:eastAsia="zh-CN" w:bidi="ar"/>
                <w14:textFill>
                  <w14:solidFill>
                    <w14:schemeClr w14:val="tx1"/>
                  </w14:solidFill>
                </w14:textFill>
              </w:rPr>
              <w:t>3</w:t>
            </w:r>
            <w:r>
              <w:rPr>
                <w:rFonts w:hint="default" w:ascii="Times New Roman" w:hAnsi="Times New Roman" w:cs="Times New Roman" w:eastAsiaTheme="minorEastAsia"/>
                <w:color w:val="000000" w:themeColor="text1"/>
                <w:kern w:val="2"/>
                <w:sz w:val="24"/>
                <w:szCs w:val="24"/>
                <w:lang w:val="en-US" w:eastAsia="zh-CN" w:bidi="ar"/>
                <w14:textFill>
                  <w14:solidFill>
                    <w14:schemeClr w14:val="tx1"/>
                  </w14:solidFill>
                </w14:textFill>
              </w:rPr>
              <w:t>）。无组织废气排放量为0.006t//a（0.002kg/h）</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w:t>
            </w:r>
          </w:p>
          <w:p w14:paraId="27A77714">
            <w:pPr>
              <w:pStyle w:val="28"/>
              <w:keepNext w:val="0"/>
              <w:keepLines w:val="0"/>
              <w:suppressLineNumbers w:val="0"/>
              <w:spacing w:before="0" w:beforeAutospacing="0" w:after="0" w:afterAutospacing="0" w:line="360" w:lineRule="auto"/>
              <w:ind w:left="0" w:leftChars="0" w:right="0" w:firstLine="480" w:firstLineChars="200"/>
              <w:jc w:val="both"/>
              <w:rPr>
                <w:rFonts w:hint="default" w:ascii="Times New Roman" w:hAnsi="Times New Roman"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cs="Times New Roman"/>
                <w:color w:val="000000" w:themeColor="text1"/>
                <w:kern w:val="0"/>
                <w:sz w:val="24"/>
                <w:szCs w:val="24"/>
                <w:lang w:val="en-US" w:eastAsia="zh-CN" w:bidi="ar"/>
                <w14:textFill>
                  <w14:solidFill>
                    <w14:schemeClr w14:val="tx1"/>
                  </w14:solidFill>
                </w14:textFill>
              </w:rPr>
              <w:t>⑤</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固化废</w:t>
            </w:r>
            <w:r>
              <w:rPr>
                <w:rFonts w:hint="default" w:ascii="Times New Roman" w:hAnsi="Times New Roman" w:cs="Times New Roman"/>
                <w:color w:val="000000" w:themeColor="text1"/>
                <w:kern w:val="0"/>
                <w:sz w:val="24"/>
                <w:szCs w:val="24"/>
                <w:lang w:val="en-US" w:eastAsia="zh-CN" w:bidi="ar"/>
                <w14:textFill>
                  <w14:solidFill>
                    <w14:schemeClr w14:val="tx1"/>
                  </w14:solidFill>
                </w14:textFill>
              </w:rPr>
              <w:t>气：压敏电阻生产过程中需要在其表面包封着色，本项目使用的是环氧树脂粉末涂装。环氧树脂粉末填装于涂装机内，包装机包封过程为密闭包封，无粉尘逸出。项目烘烤固化温度约为60-100℃，固化时间为25 ~ 30min。环氧树脂耐热性可达200℃以上，热分解温度在300℃以上。因此固化过程产生的废气中不会含有树脂的挥发物或分解物，但其中残存微量单体或少量分解产物将挥发形成废气，其主要污染物为VOCs。</w:t>
            </w:r>
          </w:p>
          <w:p w14:paraId="7F2ECC59">
            <w:pPr>
              <w:pStyle w:val="28"/>
              <w:keepNext w:val="0"/>
              <w:keepLines w:val="0"/>
              <w:suppressLineNumbers w:val="0"/>
              <w:spacing w:before="0" w:beforeAutospacing="0" w:after="0" w:afterAutospacing="0" w:line="360" w:lineRule="auto"/>
              <w:ind w:left="0" w:leftChars="0" w:right="0" w:firstLine="480" w:firstLineChars="200"/>
              <w:jc w:val="both"/>
              <w:rPr>
                <w:rFonts w:hint="default" w:ascii="Times New Roman" w:hAnsi="Times New Roman" w:cs="Times New Roman" w:eastAsiaTheme="minorEastAsia"/>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kern w:val="0"/>
                <w:sz w:val="24"/>
                <w:szCs w:val="24"/>
                <w:lang w:val="en-US" w:eastAsia="zh-CN" w:bidi="ar"/>
                <w14:textFill>
                  <w14:solidFill>
                    <w14:schemeClr w14:val="tx1"/>
                  </w14:solidFill>
                </w14:textFill>
              </w:rPr>
              <w:t>本项目所用环氧树脂为一种粉末涂料，故参考</w:t>
            </w:r>
            <w:r>
              <w:rPr>
                <w:rFonts w:hint="default" w:ascii="Times New Roman" w:hAnsi="Times New Roman" w:cs="Times New Roman" w:eastAsiaTheme="minorEastAsia"/>
                <w:b w:val="0"/>
                <w:color w:val="000000" w:themeColor="text1"/>
                <w:sz w:val="24"/>
                <w:lang w:val="en-US" w:eastAsia="zh-CN"/>
                <w14:textFill>
                  <w14:solidFill>
                    <w14:schemeClr w14:val="tx1"/>
                  </w14:solidFill>
                </w14:textFill>
              </w:rPr>
              <w:t>《</w:t>
            </w:r>
            <w:r>
              <w:rPr>
                <w:rFonts w:hint="default" w:ascii="Times New Roman" w:hAnsi="Times New Roman" w:cs="Times New Roman" w:eastAsiaTheme="minorEastAsia"/>
                <w:b w:val="0"/>
                <w:bCs w:val="0"/>
                <w:i w:val="0"/>
                <w:iCs w:val="0"/>
                <w:caps w:val="0"/>
                <w:color w:val="000000" w:themeColor="text1"/>
                <w:spacing w:val="0"/>
                <w:sz w:val="24"/>
                <w:szCs w:val="24"/>
                <w:shd w:val="clear"/>
                <w14:textFill>
                  <w14:solidFill>
                    <w14:schemeClr w14:val="tx1"/>
                  </w14:solidFill>
                </w14:textFill>
              </w:rPr>
              <w:t>排放源统计调查产排污核算方法和系数手册</w:t>
            </w:r>
            <w:r>
              <w:rPr>
                <w:rFonts w:hint="default" w:ascii="Times New Roman" w:hAnsi="Times New Roman" w:cs="Times New Roman" w:eastAsiaTheme="minorEastAsia"/>
                <w:b w:val="0"/>
                <w:color w:val="000000" w:themeColor="text1"/>
                <w:sz w:val="24"/>
                <w:lang w:val="en-US" w:eastAsia="zh-CN"/>
                <w14:textFill>
                  <w14:solidFill>
                    <w14:schemeClr w14:val="tx1"/>
                  </w14:solidFill>
                </w14:textFill>
              </w:rPr>
              <w:t>》</w:t>
            </w:r>
            <w:r>
              <w:rPr>
                <w:rFonts w:hint="default" w:ascii="Times New Roman" w:hAnsi="Times New Roman" w:cs="Times New Roman" w:eastAsiaTheme="minorEastAsia"/>
                <w:b w:val="0"/>
                <w:i w:val="0"/>
                <w:iCs w:val="0"/>
                <w:caps w:val="0"/>
                <w:color w:val="000000" w:themeColor="text1"/>
                <w:spacing w:val="0"/>
                <w:sz w:val="24"/>
                <w:szCs w:val="24"/>
                <w:shd w:val="clear"/>
                <w14:textFill>
                  <w14:solidFill>
                    <w14:schemeClr w14:val="tx1"/>
                  </w14:solidFill>
                </w14:textFill>
              </w:rPr>
              <w:t>33-37</w:t>
            </w:r>
            <w:r>
              <w:rPr>
                <w:rFonts w:hint="eastAsia" w:cs="Times New Roman" w:eastAsiaTheme="minorEastAsia"/>
                <w:b w:val="0"/>
                <w:i w:val="0"/>
                <w:iCs w:val="0"/>
                <w:caps w:val="0"/>
                <w:color w:val="000000" w:themeColor="text1"/>
                <w:spacing w:val="0"/>
                <w:sz w:val="24"/>
                <w:szCs w:val="24"/>
                <w:shd w:val="clear"/>
                <w:lang w:eastAsia="zh-CN"/>
                <w14:textFill>
                  <w14:solidFill>
                    <w14:schemeClr w14:val="tx1"/>
                  </w14:solidFill>
                </w14:textFill>
              </w:rPr>
              <w:t>，</w:t>
            </w:r>
            <w:r>
              <w:rPr>
                <w:rFonts w:hint="default" w:ascii="Times New Roman" w:hAnsi="Times New Roman" w:cs="Times New Roman" w:eastAsiaTheme="minorEastAsia"/>
                <w:b w:val="0"/>
                <w:i w:val="0"/>
                <w:iCs w:val="0"/>
                <w:caps w:val="0"/>
                <w:color w:val="000000" w:themeColor="text1"/>
                <w:spacing w:val="0"/>
                <w:sz w:val="24"/>
                <w:szCs w:val="24"/>
                <w:shd w:val="clear"/>
                <w14:textFill>
                  <w14:solidFill>
                    <w14:schemeClr w14:val="tx1"/>
                  </w14:solidFill>
                </w14:textFill>
              </w:rPr>
              <w:t>431-434机械行业系数手册</w:t>
            </w:r>
            <w:r>
              <w:rPr>
                <w:rFonts w:hint="default" w:ascii="Times New Roman" w:hAnsi="Times New Roman" w:cs="Times New Roman" w:eastAsiaTheme="minorEastAsia"/>
                <w:b w:val="0"/>
                <w:i w:val="0"/>
                <w:iCs w:val="0"/>
                <w:caps w:val="0"/>
                <w:color w:val="000000" w:themeColor="text1"/>
                <w:spacing w:val="0"/>
                <w:sz w:val="24"/>
                <w:szCs w:val="24"/>
                <w:shd w:val="clear"/>
                <w:lang w:eastAsia="zh-CN"/>
                <w14:textFill>
                  <w14:solidFill>
                    <w14:schemeClr w14:val="tx1"/>
                  </w14:solidFill>
                </w14:textFill>
              </w:rPr>
              <w:t>（</w:t>
            </w:r>
            <w:r>
              <w:rPr>
                <w:rFonts w:hint="default" w:ascii="Times New Roman" w:hAnsi="Times New Roman" w:cs="Times New Roman" w:eastAsiaTheme="minorEastAsia"/>
                <w:b w:val="0"/>
                <w:i w:val="0"/>
                <w:iCs w:val="0"/>
                <w:caps w:val="0"/>
                <w:color w:val="000000" w:themeColor="text1"/>
                <w:spacing w:val="0"/>
                <w:sz w:val="24"/>
                <w:szCs w:val="24"/>
                <w:shd w:val="clear"/>
                <w:lang w:val="en-US" w:eastAsia="zh-CN"/>
                <w14:textFill>
                  <w14:solidFill>
                    <w14:schemeClr w14:val="tx1"/>
                  </w14:solidFill>
                </w14:textFill>
              </w:rPr>
              <w:t>喷塑后烘干</w:t>
            </w:r>
            <w:r>
              <w:rPr>
                <w:rFonts w:hint="default" w:ascii="Times New Roman" w:hAnsi="Times New Roman" w:cs="Times New Roman" w:eastAsiaTheme="minorEastAsia"/>
                <w:b w:val="0"/>
                <w:i w:val="0"/>
                <w:iCs w:val="0"/>
                <w:caps w:val="0"/>
                <w:color w:val="000000" w:themeColor="text1"/>
                <w:spacing w:val="0"/>
                <w:sz w:val="24"/>
                <w:szCs w:val="24"/>
                <w:shd w:val="clear"/>
                <w:lang w:eastAsia="zh-CN"/>
                <w14:textFill>
                  <w14:solidFill>
                    <w14:schemeClr w14:val="tx1"/>
                  </w14:solidFill>
                </w14:textFill>
              </w:rPr>
              <w:t>），</w:t>
            </w:r>
            <w:r>
              <w:rPr>
                <w:rFonts w:hint="default" w:ascii="Times New Roman" w:hAnsi="Times New Roman" w:cs="Times New Roman" w:eastAsiaTheme="minorEastAsia"/>
                <w:b w:val="0"/>
                <w:i w:val="0"/>
                <w:iCs w:val="0"/>
                <w:caps w:val="0"/>
                <w:color w:val="000000" w:themeColor="text1"/>
                <w:spacing w:val="0"/>
                <w:sz w:val="24"/>
                <w:szCs w:val="24"/>
                <w:shd w:val="clear"/>
                <w:lang w:val="en-US" w:eastAsia="zh-CN"/>
                <w14:textFill>
                  <w14:solidFill>
                    <w14:schemeClr w14:val="tx1"/>
                  </w14:solidFill>
                </w14:textFill>
              </w:rPr>
              <w:t>挥发性有机物</w:t>
            </w:r>
            <w:r>
              <w:rPr>
                <w:rFonts w:hint="default" w:ascii="Times New Roman" w:hAnsi="Times New Roman" w:eastAsia="宋体" w:cs="Times New Roman"/>
                <w:color w:val="000000" w:themeColor="text1"/>
                <w:sz w:val="24"/>
                <w:szCs w:val="24"/>
                <w14:textFill>
                  <w14:solidFill>
                    <w14:schemeClr w14:val="tx1"/>
                  </w14:solidFill>
                </w14:textFill>
              </w:rPr>
              <w:t>产污系数</w:t>
            </w:r>
            <w:r>
              <w:rPr>
                <w:rFonts w:hint="default" w:ascii="Times New Roman" w:hAnsi="Times New Roman" w:eastAsia="宋体" w:cs="Times New Roman"/>
                <w:color w:val="000000" w:themeColor="text1"/>
                <w:sz w:val="24"/>
                <w:szCs w:val="24"/>
                <w:lang w:eastAsia="zh-CN"/>
                <w14:textFill>
                  <w14:solidFill>
                    <w14:schemeClr w14:val="tx1"/>
                  </w14:solidFill>
                </w14:textFill>
              </w:rPr>
              <w:t>为</w:t>
            </w:r>
            <w:r>
              <w:rPr>
                <w:rFonts w:hint="default" w:ascii="Times New Roman" w:hAnsi="Times New Roman" w:cs="Times New Roman"/>
                <w:color w:val="000000" w:themeColor="text1"/>
                <w:sz w:val="24"/>
                <w:szCs w:val="24"/>
                <w:lang w:val="en-US" w:eastAsia="zh-CN"/>
                <w14:textFill>
                  <w14:solidFill>
                    <w14:schemeClr w14:val="tx1"/>
                  </w14:solidFill>
                </w14:textFill>
              </w:rPr>
              <w:t>1.2千</w:t>
            </w:r>
            <w:r>
              <w:rPr>
                <w:rFonts w:hint="default" w:ascii="Times New Roman" w:hAnsi="Times New Roman" w:eastAsia="宋体" w:cs="Times New Roman"/>
                <w:color w:val="000000" w:themeColor="text1"/>
                <w:sz w:val="24"/>
                <w:szCs w:val="24"/>
                <w14:textFill>
                  <w14:solidFill>
                    <w14:schemeClr w14:val="tx1"/>
                  </w14:solidFill>
                </w14:textFill>
              </w:rPr>
              <w:t>克/</w:t>
            </w:r>
            <w:r>
              <w:rPr>
                <w:rFonts w:hint="default" w:ascii="Times New Roman" w:hAnsi="Times New Roman" w:cs="Times New Roman"/>
                <w:color w:val="000000" w:themeColor="text1"/>
                <w:sz w:val="24"/>
                <w:szCs w:val="24"/>
                <w:lang w:val="en-US" w:eastAsia="zh-CN"/>
                <w14:textFill>
                  <w14:solidFill>
                    <w14:schemeClr w14:val="tx1"/>
                  </w14:solidFill>
                </w14:textFill>
              </w:rPr>
              <w:t>吨</w:t>
            </w:r>
            <w:r>
              <w:rPr>
                <w:rFonts w:hint="default" w:ascii="Times New Roman" w:hAnsi="Times New Roman" w:eastAsia="宋体" w:cs="Times New Roman"/>
                <w:color w:val="000000" w:themeColor="text1"/>
                <w:sz w:val="24"/>
                <w:szCs w:val="24"/>
                <w14:textFill>
                  <w14:solidFill>
                    <w14:schemeClr w14:val="tx1"/>
                  </w14:solidFill>
                </w14:textFill>
              </w:rPr>
              <w:t>-原料</w:t>
            </w:r>
            <w:r>
              <w:rPr>
                <w:rFonts w:hint="default" w:ascii="Times New Roman" w:hAnsi="Times New Roman" w:eastAsia="宋体" w:cs="Times New Roman"/>
                <w:color w:val="000000" w:themeColor="text1"/>
                <w:sz w:val="24"/>
                <w:szCs w:val="24"/>
                <w:lang w:eastAsia="zh-CN"/>
                <w14:textFill>
                  <w14:solidFill>
                    <w14:schemeClr w14:val="tx1"/>
                  </w14:solidFill>
                </w14:textFill>
              </w:rPr>
              <w:t>计算，</w:t>
            </w:r>
            <w:r>
              <w:rPr>
                <w:rFonts w:hint="default" w:ascii="Times New Roman" w:hAnsi="Times New Roman" w:cs="Times New Roman" w:eastAsiaTheme="minorEastAsia"/>
                <w:color w:val="000000" w:themeColor="text1"/>
                <w:sz w:val="24"/>
                <w:lang w:val="en-US" w:eastAsia="zh-CN"/>
                <w14:textFill>
                  <w14:solidFill>
                    <w14:schemeClr w14:val="tx1"/>
                  </w14:solidFill>
                </w14:textFill>
              </w:rPr>
              <w:t>项目环氧树脂年使用量15t/a，固化工序年有效运行时间为1800h，则</w:t>
            </w:r>
            <w:r>
              <w:rPr>
                <w:rFonts w:hint="eastAsia" w:cs="Times New Roman" w:eastAsiaTheme="minorEastAsia"/>
                <w:color w:val="000000" w:themeColor="text1"/>
                <w:sz w:val="24"/>
                <w:lang w:val="en-US" w:eastAsia="zh-CN"/>
                <w14:textFill>
                  <w14:solidFill>
                    <w14:schemeClr w14:val="tx1"/>
                  </w14:solidFill>
                </w14:textFill>
              </w:rPr>
              <w:t>非甲烷总烃</w:t>
            </w:r>
            <w:r>
              <w:rPr>
                <w:rFonts w:hint="default" w:ascii="Times New Roman" w:hAnsi="Times New Roman" w:cs="Times New Roman" w:eastAsiaTheme="minorEastAsia"/>
                <w:color w:val="000000" w:themeColor="text1"/>
                <w:sz w:val="24"/>
                <w:lang w:val="en-US" w:eastAsia="zh-CN"/>
                <w14:textFill>
                  <w14:solidFill>
                    <w14:schemeClr w14:val="tx1"/>
                  </w14:solidFill>
                </w14:textFill>
              </w:rPr>
              <w:t>产生量0.018t/a。</w:t>
            </w:r>
          </w:p>
          <w:p w14:paraId="4D3A188D">
            <w:pPr>
              <w:pStyle w:val="28"/>
              <w:keepNext w:val="0"/>
              <w:keepLines w:val="0"/>
              <w:suppressLineNumbers w:val="0"/>
              <w:spacing w:before="0" w:beforeAutospacing="0" w:after="0" w:afterAutospacing="0" w:line="360" w:lineRule="auto"/>
              <w:ind w:left="0" w:leftChars="0" w:right="0" w:firstLine="480" w:firstLineChars="200"/>
              <w:jc w:val="both"/>
              <w:rPr>
                <w:rFonts w:hint="default" w:ascii="Times New Roman" w:hAnsi="Times New Roman"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cs="Times New Roman"/>
                <w:color w:val="000000" w:themeColor="text1"/>
                <w:kern w:val="0"/>
                <w:sz w:val="24"/>
                <w:szCs w:val="24"/>
                <w:lang w:val="en-US" w:eastAsia="zh-CN" w:bidi="ar"/>
                <w14:textFill>
                  <w14:solidFill>
                    <w14:schemeClr w14:val="tx1"/>
                  </w14:solidFill>
                </w14:textFill>
              </w:rPr>
              <w:t>建设单位拟在密闭车间固化工序上方通过集气罩收集产生的有机废气。收集效率取90%。有机废气经收集后，接入烧结工序废气治理设施进行处理，废气经过滤棉+二级活性炭</w:t>
            </w:r>
            <w:r>
              <w:rPr>
                <w:rFonts w:hint="default" w:ascii="Times New Roman" w:hAnsi="Times New Roman" w:cs="Times New Roman" w:eastAsiaTheme="minorEastAsia"/>
                <w:color w:val="000000" w:themeColor="text1"/>
                <w:sz w:val="24"/>
                <w:lang w:eastAsia="zh-CN"/>
                <w14:textFill>
                  <w14:solidFill>
                    <w14:schemeClr w14:val="tx1"/>
                  </w14:solidFill>
                </w14:textFill>
              </w:rPr>
              <w:t>（</w:t>
            </w:r>
            <w:r>
              <w:rPr>
                <w:rFonts w:hint="default" w:ascii="Times New Roman" w:hAnsi="Times New Roman" w:cs="Times New Roman" w:eastAsiaTheme="minorEastAsia"/>
                <w:color w:val="000000" w:themeColor="text1"/>
                <w:sz w:val="24"/>
                <w:lang w:val="en-US" w:eastAsia="zh-CN"/>
                <w14:textFill>
                  <w14:solidFill>
                    <w14:schemeClr w14:val="tx1"/>
                  </w14:solidFill>
                </w14:textFill>
              </w:rPr>
              <w:t>TA002</w:t>
            </w:r>
            <w:r>
              <w:rPr>
                <w:rFonts w:hint="default" w:ascii="Times New Roman" w:hAnsi="Times New Roman" w:cs="Times New Roman" w:eastAsiaTheme="minorEastAsia"/>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kern w:val="0"/>
                <w:sz w:val="24"/>
                <w:szCs w:val="24"/>
                <w:lang w:val="en-US" w:eastAsia="zh-CN" w:bidi="ar"/>
                <w14:textFill>
                  <w14:solidFill>
                    <w14:schemeClr w14:val="tx1"/>
                  </w14:solidFill>
                </w14:textFill>
              </w:rPr>
              <w:t>处理后（处理效率为38%），经15m高的排气筒（DA002）进行排放。风机风量约为15000m</w:t>
            </w:r>
            <w:r>
              <w:rPr>
                <w:rFonts w:hint="default" w:ascii="Times New Roman" w:hAnsi="Times New Roman" w:cs="Times New Roman"/>
                <w:color w:val="000000" w:themeColor="text1"/>
                <w:kern w:val="0"/>
                <w:sz w:val="24"/>
                <w:szCs w:val="24"/>
                <w:vertAlign w:val="superscript"/>
                <w:lang w:val="en-US" w:eastAsia="zh-CN" w:bidi="ar"/>
                <w14:textFill>
                  <w14:solidFill>
                    <w14:schemeClr w14:val="tx1"/>
                  </w14:solidFill>
                </w14:textFill>
              </w:rPr>
              <w:t>3</w:t>
            </w:r>
            <w:r>
              <w:rPr>
                <w:rFonts w:hint="default" w:ascii="Times New Roman" w:hAnsi="Times New Roman" w:cs="Times New Roman"/>
                <w:color w:val="000000" w:themeColor="text1"/>
                <w:kern w:val="0"/>
                <w:sz w:val="24"/>
                <w:szCs w:val="24"/>
                <w:lang w:val="en-US" w:eastAsia="zh-CN" w:bidi="ar"/>
                <w14:textFill>
                  <w14:solidFill>
                    <w14:schemeClr w14:val="tx1"/>
                  </w14:solidFill>
                </w14:textFill>
              </w:rPr>
              <w:t>/h。</w:t>
            </w:r>
          </w:p>
          <w:p w14:paraId="6510F711">
            <w:pPr>
              <w:pStyle w:val="28"/>
              <w:keepNext w:val="0"/>
              <w:keepLines w:val="0"/>
              <w:suppressLineNumbers w:val="0"/>
              <w:spacing w:before="0" w:beforeAutospacing="0" w:after="0" w:afterAutospacing="0" w:line="360" w:lineRule="auto"/>
              <w:ind w:left="0" w:leftChars="0" w:right="0" w:firstLine="480" w:firstLineChars="200"/>
              <w:jc w:val="both"/>
              <w:rPr>
                <w:rFonts w:hint="default" w:ascii="Times New Roman" w:hAnsi="Times New Roman"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cs="Times New Roman"/>
                <w:color w:val="000000" w:themeColor="text1"/>
                <w:kern w:val="0"/>
                <w:sz w:val="24"/>
                <w:szCs w:val="24"/>
                <w:lang w:val="en-US" w:eastAsia="zh-CN" w:bidi="ar"/>
                <w14:textFill>
                  <w14:solidFill>
                    <w14:schemeClr w14:val="tx1"/>
                  </w14:solidFill>
                </w14:textFill>
              </w:rPr>
              <w:t>则固化工序有组织非甲烷总烃排放量为0.01t/a</w:t>
            </w:r>
            <w:r>
              <w:rPr>
                <w:rFonts w:hint="default" w:ascii="Times New Roman" w:hAnsi="Times New Roman" w:cs="Times New Roman" w:eastAsiaTheme="minorEastAsia"/>
                <w:color w:val="000000" w:themeColor="text1"/>
                <w:kern w:val="2"/>
                <w:sz w:val="24"/>
                <w:szCs w:val="24"/>
                <w:lang w:val="en-US" w:eastAsia="zh-CN" w:bidi="ar"/>
                <w14:textFill>
                  <w14:solidFill>
                    <w14:schemeClr w14:val="tx1"/>
                  </w14:solidFill>
                </w14:textFill>
              </w:rPr>
              <w:t>（排放速率为0.0056kg/h，排放浓度为0.37mg/m</w:t>
            </w:r>
            <w:r>
              <w:rPr>
                <w:rFonts w:hint="default" w:ascii="Times New Roman" w:hAnsi="Times New Roman" w:cs="Times New Roman" w:eastAsiaTheme="minorEastAsia"/>
                <w:color w:val="000000" w:themeColor="text1"/>
                <w:kern w:val="2"/>
                <w:sz w:val="24"/>
                <w:szCs w:val="24"/>
                <w:vertAlign w:val="superscript"/>
                <w:lang w:val="en-US" w:eastAsia="zh-CN" w:bidi="ar"/>
                <w14:textFill>
                  <w14:solidFill>
                    <w14:schemeClr w14:val="tx1"/>
                  </w14:solidFill>
                </w14:textFill>
              </w:rPr>
              <w:t>3</w:t>
            </w:r>
            <w:r>
              <w:rPr>
                <w:rFonts w:hint="default" w:ascii="Times New Roman" w:hAnsi="Times New Roman" w:cs="Times New Roman" w:eastAsiaTheme="minorEastAsia"/>
                <w:color w:val="000000" w:themeColor="text1"/>
                <w:kern w:val="2"/>
                <w:sz w:val="24"/>
                <w:szCs w:val="24"/>
                <w:lang w:val="en-US" w:eastAsia="zh-CN" w:bidi="ar"/>
                <w14:textFill>
                  <w14:solidFill>
                    <w14:schemeClr w14:val="tx1"/>
                  </w14:solidFill>
                </w14:textFill>
              </w:rPr>
              <w:t>）</w:t>
            </w:r>
            <w:r>
              <w:rPr>
                <w:rFonts w:hint="default" w:ascii="Times New Roman" w:hAnsi="Times New Roman" w:cs="Times New Roman"/>
                <w:color w:val="000000" w:themeColor="text1"/>
                <w:kern w:val="0"/>
                <w:sz w:val="24"/>
                <w:szCs w:val="24"/>
                <w:lang w:val="en-US" w:eastAsia="zh-CN" w:bidi="ar"/>
                <w14:textFill>
                  <w14:solidFill>
                    <w14:schemeClr w14:val="tx1"/>
                  </w14:solidFill>
                </w14:textFill>
              </w:rPr>
              <w:t>。无组织非甲烷总烃排放量为0.0018t/a（0.001kg/h）。</w:t>
            </w:r>
          </w:p>
          <w:p w14:paraId="2980FBEA">
            <w:pPr>
              <w:pStyle w:val="28"/>
              <w:keepNext w:val="0"/>
              <w:keepLines w:val="0"/>
              <w:suppressLineNumbers w:val="0"/>
              <w:spacing w:before="0" w:beforeAutospacing="0" w:after="0" w:afterAutospacing="0" w:line="360" w:lineRule="auto"/>
              <w:ind w:left="0" w:leftChars="0" w:right="0" w:firstLine="480" w:firstLineChars="200"/>
              <w:jc w:val="both"/>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cs="Times New Roman"/>
                <w:color w:val="000000" w:themeColor="text1"/>
                <w:kern w:val="0"/>
                <w:sz w:val="24"/>
                <w:szCs w:val="24"/>
                <w:lang w:val="en-US" w:eastAsia="zh-CN" w:bidi="ar"/>
                <w14:textFill>
                  <w14:solidFill>
                    <w14:schemeClr w14:val="tx1"/>
                  </w14:solidFill>
                </w14:textFill>
              </w:rPr>
              <w:t>⑥</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焊接烟尘</w:t>
            </w:r>
          </w:p>
          <w:p w14:paraId="103152F0">
            <w:pPr>
              <w:keepNext w:val="0"/>
              <w:keepLines w:val="0"/>
              <w:widowControl/>
              <w:suppressLineNumbers w:val="0"/>
              <w:spacing w:before="0" w:beforeAutospacing="0" w:after="0" w:afterAutospacing="0" w:line="360" w:lineRule="auto"/>
              <w:ind w:left="0" w:right="0" w:firstLine="480" w:firstLineChars="200"/>
              <w:jc w:val="left"/>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cs="Times New Roman" w:eastAsiaTheme="minorEastAsia"/>
                <w:color w:val="000000" w:themeColor="text1"/>
                <w:kern w:val="2"/>
                <w:sz w:val="24"/>
                <w:szCs w:val="24"/>
                <w:lang w:val="en-US" w:eastAsia="zh-CN" w:bidi="ar"/>
                <w14:textFill>
                  <w14:solidFill>
                    <w14:schemeClr w14:val="tx1"/>
                  </w14:solidFill>
                </w14:textFill>
              </w:rPr>
              <w:t>根据</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建设单位提供资料，项目焊接采用的是纯锡锡条，不含铅料及助焊剂</w:t>
            </w:r>
            <w:r>
              <w:rPr>
                <w:rFonts w:hint="default" w:ascii="Times New Roman" w:hAnsi="Times New Roman" w:cs="Times New Roman"/>
                <w:color w:val="000000" w:themeColor="text1"/>
                <w:kern w:val="0"/>
                <w:sz w:val="24"/>
                <w:szCs w:val="24"/>
                <w:lang w:val="en-US" w:eastAsia="zh-CN" w:bidi="ar"/>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焊接采用波峰焊浸锡</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方式，</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焊接过程锡条受热熔融化时会产生少量的</w:t>
            </w:r>
            <w:r>
              <w:rPr>
                <w:rFonts w:hint="default" w:ascii="Times New Roman" w:hAnsi="Times New Roman" w:cs="Times New Roman"/>
                <w:color w:val="000000" w:themeColor="text1"/>
                <w:kern w:val="0"/>
                <w:sz w:val="24"/>
                <w:szCs w:val="24"/>
                <w:lang w:val="en-US" w:eastAsia="zh-CN" w:bidi="ar"/>
                <w14:textFill>
                  <w14:solidFill>
                    <w14:schemeClr w14:val="tx1"/>
                  </w14:solidFill>
                </w14:textFill>
              </w:rPr>
              <w:t>锡焊废气</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，主要污染</w:t>
            </w:r>
            <w:r>
              <w:rPr>
                <w:rFonts w:hint="default" w:ascii="Times New Roman" w:hAnsi="Times New Roman" w:eastAsia="宋体" w:cs="Times New Roman"/>
                <w:b w:val="0"/>
                <w:bCs w:val="0"/>
                <w:color w:val="000000" w:themeColor="text1"/>
                <w:kern w:val="0"/>
                <w:sz w:val="24"/>
                <w:szCs w:val="24"/>
                <w:lang w:val="en-US" w:eastAsia="zh-CN" w:bidi="ar"/>
                <w14:textFill>
                  <w14:solidFill>
                    <w14:schemeClr w14:val="tx1"/>
                  </w14:solidFill>
                </w14:textFill>
              </w:rPr>
              <w:t>物为</w:t>
            </w:r>
            <w:r>
              <w:rPr>
                <w:rFonts w:hint="default" w:ascii="Times New Roman" w:hAnsi="Times New Roman" w:cs="Times New Roman"/>
                <w:b w:val="0"/>
                <w:bCs w:val="0"/>
                <w:color w:val="000000" w:themeColor="text1"/>
                <w:kern w:val="0"/>
                <w:sz w:val="24"/>
                <w:szCs w:val="24"/>
                <w:lang w:val="en-US" w:eastAsia="zh-CN" w:bidi="ar"/>
                <w14:textFill>
                  <w14:solidFill>
                    <w14:schemeClr w14:val="tx1"/>
                  </w14:solidFill>
                </w14:textFill>
              </w:rPr>
              <w:t>锡及其化合物</w:t>
            </w:r>
            <w:r>
              <w:rPr>
                <w:rFonts w:hint="default" w:ascii="Times New Roman" w:hAnsi="Times New Roman" w:eastAsia="宋体" w:cs="Times New Roman"/>
                <w:b w:val="0"/>
                <w:bCs w:val="0"/>
                <w:color w:val="000000" w:themeColor="text1"/>
                <w:kern w:val="0"/>
                <w:sz w:val="24"/>
                <w:szCs w:val="24"/>
                <w:lang w:val="en-US" w:eastAsia="zh-CN" w:bidi="ar"/>
                <w14:textFill>
                  <w14:solidFill>
                    <w14:schemeClr w14:val="tx1"/>
                  </w14:solidFill>
                </w14:textFill>
              </w:rPr>
              <w:t>。本次环评参考</w:t>
            </w:r>
            <w:r>
              <w:rPr>
                <w:rFonts w:hint="default" w:ascii="Times New Roman" w:hAnsi="Times New Roman" w:eastAsia="宋体" w:cs="Times New Roman"/>
                <w:b w:val="0"/>
                <w:bCs w:val="0"/>
                <w:color w:val="000000" w:themeColor="text1"/>
                <w:kern w:val="0"/>
                <w:sz w:val="24"/>
                <w:lang w:val="en-US" w:eastAsia="zh-CN" w:bidi="ar"/>
                <w14:textFill>
                  <w14:solidFill>
                    <w14:schemeClr w14:val="tx1"/>
                  </w14:solidFill>
                </w14:textFill>
              </w:rPr>
              <w:t>《</w:t>
            </w:r>
            <w:r>
              <w:rPr>
                <w:rFonts w:hint="default" w:ascii="Times New Roman" w:hAnsi="Times New Roman" w:eastAsia="宋体" w:cs="Times New Roman"/>
                <w:b w:val="0"/>
                <w:bCs w:val="0"/>
                <w:i w:val="0"/>
                <w:iCs w:val="0"/>
                <w:caps w:val="0"/>
                <w:color w:val="000000" w:themeColor="text1"/>
                <w:spacing w:val="0"/>
                <w:kern w:val="0"/>
                <w:sz w:val="24"/>
                <w:szCs w:val="24"/>
                <w:shd w:val="clear"/>
                <w:lang w:bidi="ar"/>
                <w14:textFill>
                  <w14:solidFill>
                    <w14:schemeClr w14:val="tx1"/>
                  </w14:solidFill>
                </w14:textFill>
              </w:rPr>
              <w:t>排放源统计调查产排污核算方法和系数手册</w:t>
            </w:r>
            <w:r>
              <w:rPr>
                <w:rFonts w:hint="default" w:ascii="Times New Roman" w:hAnsi="Times New Roman" w:eastAsia="宋体" w:cs="Times New Roman"/>
                <w:b w:val="0"/>
                <w:bCs w:val="0"/>
                <w:color w:val="000000" w:themeColor="text1"/>
                <w:kern w:val="0"/>
                <w:sz w:val="24"/>
                <w:lang w:val="en-US" w:eastAsia="zh-CN" w:bidi="ar"/>
                <w14:textFill>
                  <w14:solidFill>
                    <w14:schemeClr w14:val="tx1"/>
                  </w14:solidFill>
                </w14:textFill>
              </w:rPr>
              <w:t>》</w:t>
            </w:r>
            <w:r>
              <w:rPr>
                <w:rFonts w:hint="default" w:ascii="Times New Roman" w:hAnsi="Times New Roman" w:eastAsia="宋体" w:cs="Times New Roman"/>
                <w:b w:val="0"/>
                <w:bCs w:val="0"/>
                <w:i w:val="0"/>
                <w:iCs w:val="0"/>
                <w:caps w:val="0"/>
                <w:color w:val="000000" w:themeColor="text1"/>
                <w:spacing w:val="0"/>
                <w:kern w:val="0"/>
                <w:sz w:val="24"/>
                <w:szCs w:val="24"/>
                <w:shd w:val="clear"/>
                <w:lang w:bidi="ar"/>
                <w14:textFill>
                  <w14:solidFill>
                    <w14:schemeClr w14:val="tx1"/>
                  </w14:solidFill>
                </w14:textFill>
              </w:rPr>
              <w:t>38-40电子电气行业系数</w:t>
            </w:r>
            <w:r>
              <w:rPr>
                <w:rFonts w:hint="default" w:ascii="Times New Roman" w:hAnsi="Times New Roman" w:eastAsia="宋体" w:cs="Times New Roman"/>
                <w:b w:val="0"/>
                <w:bCs w:val="0"/>
                <w:color w:val="000000" w:themeColor="text1"/>
                <w:kern w:val="0"/>
                <w:sz w:val="24"/>
                <w:szCs w:val="24"/>
                <w:lang w:val="en-US" w:eastAsia="zh-CN" w:bidi="ar"/>
                <w14:textFill>
                  <w14:solidFill>
                    <w14:schemeClr w14:val="tx1"/>
                  </w14:solidFill>
                </w14:textFill>
              </w:rPr>
              <w:t>，</w:t>
            </w:r>
            <w:r>
              <w:rPr>
                <w:rFonts w:hint="default" w:ascii="Times New Roman" w:hAnsi="Times New Roman" w:cs="Times New Roman"/>
                <w:b w:val="0"/>
                <w:bCs w:val="0"/>
                <w:color w:val="000000" w:themeColor="text1"/>
                <w:kern w:val="0"/>
                <w:sz w:val="24"/>
                <w:szCs w:val="24"/>
                <w:lang w:val="en-US" w:eastAsia="zh-CN" w:bidi="ar"/>
                <w14:textFill>
                  <w14:solidFill>
                    <w14:schemeClr w14:val="tx1"/>
                  </w14:solidFill>
                </w14:textFill>
              </w:rPr>
              <w:t>锡焊</w:t>
            </w:r>
            <w:r>
              <w:rPr>
                <w:rFonts w:hint="default" w:ascii="Times New Roman" w:hAnsi="Times New Roman" w:eastAsia="宋体" w:cs="Times New Roman"/>
                <w:b w:val="0"/>
                <w:bCs w:val="0"/>
                <w:color w:val="000000" w:themeColor="text1"/>
                <w:kern w:val="0"/>
                <w:sz w:val="24"/>
                <w:szCs w:val="24"/>
                <w:lang w:val="en-US" w:eastAsia="zh-CN" w:bidi="ar"/>
                <w14:textFill>
                  <w14:solidFill>
                    <w14:schemeClr w14:val="tx1"/>
                  </w14:solidFill>
                </w14:textFill>
              </w:rPr>
              <w:t>废气</w:t>
            </w:r>
            <w:r>
              <w:rPr>
                <w:rFonts w:hint="default" w:ascii="Times New Roman" w:hAnsi="Times New Roman" w:cs="Times New Roman"/>
                <w:b w:val="0"/>
                <w:bCs w:val="0"/>
                <w:color w:val="000000" w:themeColor="text1"/>
                <w:kern w:val="0"/>
                <w:sz w:val="24"/>
                <w:szCs w:val="24"/>
                <w:lang w:val="en-US" w:eastAsia="zh-CN" w:bidi="ar"/>
                <w14:textFill>
                  <w14:solidFill>
                    <w14:schemeClr w14:val="tx1"/>
                  </w14:solidFill>
                </w14:textFill>
              </w:rPr>
              <w:t>（无铅焊料，不含助焊剂，波峰焊）</w:t>
            </w:r>
            <w:r>
              <w:rPr>
                <w:rFonts w:hint="default" w:ascii="Times New Roman" w:hAnsi="Times New Roman" w:eastAsia="宋体" w:cs="Times New Roman"/>
                <w:b w:val="0"/>
                <w:bCs w:val="0"/>
                <w:color w:val="000000" w:themeColor="text1"/>
                <w:kern w:val="0"/>
                <w:sz w:val="24"/>
                <w:szCs w:val="24"/>
                <w:lang w:val="en-US" w:eastAsia="zh-CN" w:bidi="ar"/>
                <w14:textFill>
                  <w14:solidFill>
                    <w14:schemeClr w14:val="tx1"/>
                  </w14:solidFill>
                </w14:textFill>
              </w:rPr>
              <w:t>排污系数取值4.134×10</w:t>
            </w:r>
            <w:r>
              <w:rPr>
                <w:rFonts w:hint="default" w:ascii="Times New Roman" w:hAnsi="Times New Roman" w:eastAsia="宋体" w:cs="Times New Roman"/>
                <w:b w:val="0"/>
                <w:bCs w:val="0"/>
                <w:color w:val="000000" w:themeColor="text1"/>
                <w:kern w:val="0"/>
                <w:sz w:val="24"/>
                <w:szCs w:val="24"/>
                <w:vertAlign w:val="superscript"/>
                <w:lang w:val="en-US" w:eastAsia="zh-CN" w:bidi="ar"/>
                <w14:textFill>
                  <w14:solidFill>
                    <w14:schemeClr w14:val="tx1"/>
                  </w14:solidFill>
                </w14:textFill>
              </w:rPr>
              <w:t>-1</w:t>
            </w:r>
            <w:r>
              <w:rPr>
                <w:rFonts w:hint="default" w:ascii="Times New Roman" w:hAnsi="Times New Roman" w:eastAsia="宋体" w:cs="Times New Roman"/>
                <w:b w:val="0"/>
                <w:bCs w:val="0"/>
                <w:color w:val="000000" w:themeColor="text1"/>
                <w:kern w:val="0"/>
                <w:sz w:val="24"/>
                <w:szCs w:val="24"/>
                <w:vertAlign w:val="baseline"/>
                <w:lang w:val="en-US" w:eastAsia="zh-CN" w:bidi="ar"/>
                <w14:textFill>
                  <w14:solidFill>
                    <w14:schemeClr w14:val="tx1"/>
                  </w14:solidFill>
                </w14:textFill>
              </w:rPr>
              <w:t>克/千克-</w:t>
            </w:r>
            <w:r>
              <w:rPr>
                <w:rFonts w:hint="default" w:ascii="Times New Roman" w:hAnsi="Times New Roman" w:cs="Times New Roman"/>
                <w:b w:val="0"/>
                <w:bCs w:val="0"/>
                <w:color w:val="000000" w:themeColor="text1"/>
                <w:kern w:val="0"/>
                <w:sz w:val="24"/>
                <w:szCs w:val="24"/>
                <w:vertAlign w:val="baseline"/>
                <w:lang w:val="en-US" w:eastAsia="zh-CN" w:bidi="ar"/>
                <w14:textFill>
                  <w14:solidFill>
                    <w14:schemeClr w14:val="tx1"/>
                  </w14:solidFill>
                </w14:textFill>
              </w:rPr>
              <w:t>焊</w:t>
            </w:r>
            <w:r>
              <w:rPr>
                <w:rFonts w:hint="default" w:ascii="Times New Roman" w:hAnsi="Times New Roman" w:eastAsia="宋体" w:cs="Times New Roman"/>
                <w:b w:val="0"/>
                <w:bCs w:val="0"/>
                <w:color w:val="000000" w:themeColor="text1"/>
                <w:kern w:val="0"/>
                <w:sz w:val="24"/>
                <w:szCs w:val="24"/>
                <w:vertAlign w:val="baseline"/>
                <w:lang w:val="en-US" w:eastAsia="zh-CN" w:bidi="ar"/>
                <w14:textFill>
                  <w14:solidFill>
                    <w14:schemeClr w14:val="tx1"/>
                  </w14:solidFill>
                </w14:textFill>
              </w:rPr>
              <w:t>料</w:t>
            </w:r>
            <w:r>
              <w:rPr>
                <w:rFonts w:hint="default" w:ascii="Times New Roman" w:hAnsi="Times New Roman" w:eastAsia="宋体" w:cs="Times New Roman"/>
                <w:b w:val="0"/>
                <w:bCs w:val="0"/>
                <w:color w:val="000000" w:themeColor="text1"/>
                <w:kern w:val="0"/>
                <w:sz w:val="24"/>
                <w:szCs w:val="24"/>
                <w:lang w:val="en-US" w:eastAsia="zh-CN" w:bidi="ar"/>
                <w14:textFill>
                  <w14:solidFill>
                    <w14:schemeClr w14:val="tx1"/>
                  </w14:solidFill>
                </w14:textFill>
              </w:rPr>
              <w:t>。根据建设单位提供的资料，本项目锡条年使用量为</w:t>
            </w:r>
            <w:r>
              <w:rPr>
                <w:rFonts w:hint="default" w:ascii="Times New Roman" w:hAnsi="Times New Roman" w:cs="Times New Roman"/>
                <w:b w:val="0"/>
                <w:bCs w:val="0"/>
                <w:color w:val="000000" w:themeColor="text1"/>
                <w:kern w:val="0"/>
                <w:sz w:val="24"/>
                <w:szCs w:val="24"/>
                <w:lang w:val="en-US" w:eastAsia="zh-CN" w:bidi="ar"/>
                <w14:textFill>
                  <w14:solidFill>
                    <w14:schemeClr w14:val="tx1"/>
                  </w14:solidFill>
                </w14:textFill>
              </w:rPr>
              <w:t>2</w:t>
            </w:r>
            <w:r>
              <w:rPr>
                <w:rFonts w:hint="default" w:ascii="Times New Roman" w:hAnsi="Times New Roman" w:eastAsia="宋体" w:cs="Times New Roman"/>
                <w:b w:val="0"/>
                <w:bCs w:val="0"/>
                <w:color w:val="000000" w:themeColor="text1"/>
                <w:kern w:val="0"/>
                <w:sz w:val="24"/>
                <w:szCs w:val="24"/>
                <w:lang w:val="en-US" w:eastAsia="zh-CN" w:bidi="ar"/>
                <w14:textFill>
                  <w14:solidFill>
                    <w14:schemeClr w14:val="tx1"/>
                  </w14:solidFill>
                </w14:textFill>
              </w:rPr>
              <w:t>t/a，经计算可得项目</w:t>
            </w:r>
            <w:r>
              <w:rPr>
                <w:rFonts w:hint="default" w:ascii="Times New Roman" w:hAnsi="Times New Roman" w:cs="Times New Roman"/>
                <w:b w:val="0"/>
                <w:bCs w:val="0"/>
                <w:color w:val="000000" w:themeColor="text1"/>
                <w:kern w:val="0"/>
                <w:sz w:val="24"/>
                <w:szCs w:val="24"/>
                <w:lang w:val="en-US" w:eastAsia="zh-CN" w:bidi="ar"/>
                <w14:textFill>
                  <w14:solidFill>
                    <w14:schemeClr w14:val="tx1"/>
                  </w14:solidFill>
                </w14:textFill>
              </w:rPr>
              <w:t>锡及其化合物</w:t>
            </w:r>
            <w:r>
              <w:rPr>
                <w:rFonts w:hint="default" w:ascii="Times New Roman" w:hAnsi="Times New Roman" w:eastAsia="宋体" w:cs="Times New Roman"/>
                <w:b w:val="0"/>
                <w:bCs w:val="0"/>
                <w:color w:val="000000" w:themeColor="text1"/>
                <w:kern w:val="0"/>
                <w:sz w:val="24"/>
                <w:szCs w:val="24"/>
                <w:lang w:val="en-US" w:eastAsia="zh-CN" w:bidi="ar"/>
                <w14:textFill>
                  <w14:solidFill>
                    <w14:schemeClr w14:val="tx1"/>
                  </w14:solidFill>
                </w14:textFill>
              </w:rPr>
              <w:t>产生量为</w:t>
            </w:r>
            <w:r>
              <w:rPr>
                <w:rFonts w:hint="default" w:ascii="Times New Roman" w:hAnsi="Times New Roman" w:cs="Times New Roman"/>
                <w:b w:val="0"/>
                <w:bCs w:val="0"/>
                <w:color w:val="000000" w:themeColor="text1"/>
                <w:kern w:val="0"/>
                <w:sz w:val="24"/>
                <w:szCs w:val="24"/>
                <w:lang w:val="en-US" w:eastAsia="zh-CN" w:bidi="ar"/>
                <w14:textFill>
                  <w14:solidFill>
                    <w14:schemeClr w14:val="tx1"/>
                  </w14:solidFill>
                </w14:textFill>
              </w:rPr>
              <w:t>0.83kg</w:t>
            </w:r>
            <w:r>
              <w:rPr>
                <w:rFonts w:hint="default" w:ascii="Times New Roman" w:hAnsi="Times New Roman" w:eastAsia="宋体" w:cs="Times New Roman"/>
                <w:b w:val="0"/>
                <w:bCs w:val="0"/>
                <w:color w:val="000000" w:themeColor="text1"/>
                <w:kern w:val="0"/>
                <w:sz w:val="24"/>
                <w:szCs w:val="24"/>
                <w:lang w:val="en-US" w:eastAsia="zh-CN" w:bidi="ar"/>
                <w14:textFill>
                  <w14:solidFill>
                    <w14:schemeClr w14:val="tx1"/>
                  </w14:solidFill>
                </w14:textFill>
              </w:rPr>
              <w:t>/a。</w:t>
            </w:r>
            <w:r>
              <w:rPr>
                <w:rFonts w:hint="default" w:ascii="Times New Roman" w:hAnsi="Times New Roman" w:cs="Times New Roman"/>
                <w:b w:val="0"/>
                <w:bCs w:val="0"/>
                <w:color w:val="000000" w:themeColor="text1"/>
                <w:kern w:val="0"/>
                <w:sz w:val="24"/>
                <w:szCs w:val="24"/>
                <w:lang w:val="en-US" w:eastAsia="zh-CN" w:bidi="ar"/>
                <w14:textFill>
                  <w14:solidFill>
                    <w14:schemeClr w14:val="tx1"/>
                  </w14:solidFill>
                </w14:textFill>
              </w:rPr>
              <w:t>项目焊接设备均置于压敏焊接车间内烧结工序位于同一车间，对于锡焊烟尘采用在工序上方设置集气罩收集，集气罩</w:t>
            </w:r>
            <w:r>
              <w:rPr>
                <w:rFonts w:hint="eastAsia" w:cs="Times New Roman"/>
                <w:b w:val="0"/>
                <w:bCs w:val="0"/>
                <w:color w:val="000000" w:themeColor="text1"/>
                <w:kern w:val="0"/>
                <w:sz w:val="24"/>
                <w:szCs w:val="24"/>
                <w:lang w:val="en-US" w:eastAsia="zh-CN" w:bidi="ar"/>
                <w14:textFill>
                  <w14:solidFill>
                    <w14:schemeClr w14:val="tx1"/>
                  </w14:solidFill>
                </w14:textFill>
              </w:rPr>
              <w:t>经管道</w:t>
            </w:r>
            <w:r>
              <w:rPr>
                <w:rFonts w:hint="default" w:ascii="Times New Roman" w:hAnsi="Times New Roman" w:cs="Times New Roman"/>
                <w:b w:val="0"/>
                <w:bCs w:val="0"/>
                <w:color w:val="000000" w:themeColor="text1"/>
                <w:kern w:val="0"/>
                <w:sz w:val="24"/>
                <w:szCs w:val="24"/>
                <w:lang w:val="en-US" w:eastAsia="zh-CN" w:bidi="ar"/>
                <w14:textFill>
                  <w14:solidFill>
                    <w14:schemeClr w14:val="tx1"/>
                  </w14:solidFill>
                </w14:textFill>
              </w:rPr>
              <w:t>连接至烧结工序治理设施，废气经活性炭前端的过滤棉进行烟气过滤。设备</w:t>
            </w:r>
            <w:r>
              <w:rPr>
                <w:rFonts w:hint="default" w:ascii="Times New Roman" w:hAnsi="Times New Roman" w:cs="Times New Roman" w:eastAsiaTheme="minorEastAsia"/>
                <w:b w:val="0"/>
                <w:bCs w:val="0"/>
                <w:color w:val="000000" w:themeColor="text1"/>
                <w:sz w:val="24"/>
                <w:lang w:eastAsia="zh-CN"/>
                <w14:textFill>
                  <w14:solidFill>
                    <w14:schemeClr w14:val="tx1"/>
                  </w14:solidFill>
                </w14:textFill>
              </w:rPr>
              <w:t>集气罩收集</w:t>
            </w:r>
            <w:r>
              <w:rPr>
                <w:rFonts w:hint="default" w:ascii="Times New Roman" w:hAnsi="Times New Roman" w:cs="Times New Roman" w:eastAsiaTheme="minorEastAsia"/>
                <w:b w:val="0"/>
                <w:bCs w:val="0"/>
                <w:color w:val="000000" w:themeColor="text1"/>
                <w:sz w:val="24"/>
                <w14:textFill>
                  <w14:solidFill>
                    <w14:schemeClr w14:val="tx1"/>
                  </w14:solidFill>
                </w14:textFill>
              </w:rPr>
              <w:t>率为</w:t>
            </w:r>
            <w:r>
              <w:rPr>
                <w:rFonts w:hint="default" w:ascii="Times New Roman" w:hAnsi="Times New Roman" w:cs="Times New Roman" w:eastAsiaTheme="minorEastAsia"/>
                <w:b w:val="0"/>
                <w:bCs w:val="0"/>
                <w:color w:val="000000" w:themeColor="text1"/>
                <w:sz w:val="24"/>
                <w:lang w:val="en-US" w:eastAsia="zh-CN"/>
                <w14:textFill>
                  <w14:solidFill>
                    <w14:schemeClr w14:val="tx1"/>
                  </w14:solidFill>
                </w14:textFill>
              </w:rPr>
              <w:t>9</w:t>
            </w:r>
            <w:r>
              <w:rPr>
                <w:rFonts w:hint="default" w:ascii="Times New Roman" w:hAnsi="Times New Roman" w:cs="Times New Roman" w:eastAsiaTheme="minorEastAsia"/>
                <w:b w:val="0"/>
                <w:bCs w:val="0"/>
                <w:color w:val="000000" w:themeColor="text1"/>
                <w:sz w:val="24"/>
                <w14:textFill>
                  <w14:solidFill>
                    <w14:schemeClr w14:val="tx1"/>
                  </w14:solidFill>
                </w14:textFill>
              </w:rPr>
              <w:t>0%，</w:t>
            </w:r>
            <w:r>
              <w:rPr>
                <w:rFonts w:hint="default" w:ascii="Times New Roman" w:hAnsi="Times New Roman" w:cs="Times New Roman" w:eastAsiaTheme="minorEastAsia"/>
                <w:b w:val="0"/>
                <w:bCs w:val="0"/>
                <w:color w:val="000000" w:themeColor="text1"/>
                <w:sz w:val="24"/>
                <w:lang w:eastAsia="zh-CN"/>
                <w14:textFill>
                  <w14:solidFill>
                    <w14:schemeClr w14:val="tx1"/>
                  </w14:solidFill>
                </w14:textFill>
              </w:rPr>
              <w:t>处理效</w:t>
            </w:r>
            <w:r>
              <w:rPr>
                <w:rFonts w:hint="default" w:ascii="Times New Roman" w:hAnsi="Times New Roman" w:cs="Times New Roman"/>
                <w:b w:val="0"/>
                <w:bCs w:val="0"/>
                <w:color w:val="000000" w:themeColor="text1"/>
                <w:sz w:val="24"/>
                <w14:textFill>
                  <w14:solidFill>
                    <w14:schemeClr w14:val="tx1"/>
                  </w14:solidFill>
                </w14:textFill>
              </w:rPr>
              <w:t>率为</w:t>
            </w:r>
            <w:r>
              <w:rPr>
                <w:rFonts w:hint="default" w:ascii="Times New Roman" w:hAnsi="Times New Roman" w:cs="Times New Roman"/>
                <w:b w:val="0"/>
                <w:bCs w:val="0"/>
                <w:color w:val="000000" w:themeColor="text1"/>
                <w:sz w:val="24"/>
                <w:lang w:val="en-US" w:eastAsia="zh-CN"/>
                <w14:textFill>
                  <w14:solidFill>
                    <w14:schemeClr w14:val="tx1"/>
                  </w14:solidFill>
                </w14:textFill>
              </w:rPr>
              <w:t>80</w:t>
            </w:r>
            <w:r>
              <w:rPr>
                <w:rFonts w:hint="default" w:ascii="Times New Roman" w:hAnsi="Times New Roman" w:cs="Times New Roman"/>
                <w:b w:val="0"/>
                <w:bCs w:val="0"/>
                <w:color w:val="000000" w:themeColor="text1"/>
                <w:sz w:val="24"/>
                <w14:textFill>
                  <w14:solidFill>
                    <w14:schemeClr w14:val="tx1"/>
                  </w14:solidFill>
                </w14:textFill>
              </w:rPr>
              <w:t>%</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szCs w:val="22"/>
                <w:lang w:val="en-US" w:eastAsia="zh-CN"/>
                <w14:textFill>
                  <w14:solidFill>
                    <w14:schemeClr w14:val="tx1"/>
                  </w14:solidFill>
                </w14:textFill>
              </w:rPr>
              <w:t>焊接工序年运行300天，每天有效工作时间为8h，</w:t>
            </w:r>
            <w:r>
              <w:rPr>
                <w:rFonts w:hint="default" w:ascii="Times New Roman" w:hAnsi="Times New Roman" w:cs="Times New Roman" w:eastAsiaTheme="minorEastAsia"/>
                <w:color w:val="000000" w:themeColor="text1"/>
                <w:kern w:val="2"/>
                <w:sz w:val="24"/>
                <w:szCs w:val="24"/>
                <w:lang w:val="en-US" w:eastAsia="zh-CN" w:bidi="ar"/>
                <w14:textFill>
                  <w14:solidFill>
                    <w14:schemeClr w14:val="tx1"/>
                  </w14:solidFill>
                </w14:textFill>
              </w:rPr>
              <w:t>设计风机风量为15000m</w:t>
            </w:r>
            <w:r>
              <w:rPr>
                <w:rFonts w:hint="default" w:ascii="Times New Roman" w:hAnsi="Times New Roman" w:cs="Times New Roman" w:eastAsiaTheme="minorEastAsia"/>
                <w:color w:val="000000" w:themeColor="text1"/>
                <w:kern w:val="2"/>
                <w:sz w:val="24"/>
                <w:szCs w:val="24"/>
                <w:vertAlign w:val="superscript"/>
                <w:lang w:val="en-US" w:eastAsia="zh-CN" w:bidi="ar"/>
                <w14:textFill>
                  <w14:solidFill>
                    <w14:schemeClr w14:val="tx1"/>
                  </w14:solidFill>
                </w14:textFill>
              </w:rPr>
              <w:t>3</w:t>
            </w:r>
            <w:r>
              <w:rPr>
                <w:rFonts w:hint="default" w:ascii="Times New Roman" w:hAnsi="Times New Roman" w:cs="Times New Roman" w:eastAsiaTheme="minorEastAsia"/>
                <w:color w:val="000000" w:themeColor="text1"/>
                <w:kern w:val="2"/>
                <w:sz w:val="24"/>
                <w:szCs w:val="24"/>
                <w:lang w:val="en-US" w:eastAsia="zh-CN" w:bidi="ar"/>
                <w14:textFill>
                  <w14:solidFill>
                    <w14:schemeClr w14:val="tx1"/>
                  </w14:solidFill>
                </w14:textFill>
              </w:rPr>
              <w:t>/h</w:t>
            </w:r>
            <w:r>
              <w:rPr>
                <w:rFonts w:hint="default" w:ascii="Times New Roman" w:hAnsi="Times New Roman" w:cs="Times New Roman"/>
                <w:color w:val="000000" w:themeColor="text1"/>
                <w:sz w:val="24"/>
                <w:szCs w:val="22"/>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kern w:val="0"/>
                <w:sz w:val="24"/>
                <w:lang w:val="en-US" w:eastAsia="zh-CN" w:bidi="ar"/>
                <w14:textFill>
                  <w14:solidFill>
                    <w14:schemeClr w14:val="tx1"/>
                  </w14:solidFill>
                </w14:textFill>
              </w:rPr>
              <w:t>处理后的</w:t>
            </w:r>
            <w:r>
              <w:rPr>
                <w:rFonts w:hint="default" w:ascii="Times New Roman" w:hAnsi="Times New Roman" w:cs="Times New Roman"/>
                <w:b w:val="0"/>
                <w:bCs w:val="0"/>
                <w:color w:val="000000" w:themeColor="text1"/>
                <w:kern w:val="0"/>
                <w:sz w:val="24"/>
                <w:szCs w:val="24"/>
                <w:lang w:val="en-US" w:eastAsia="zh-CN" w:bidi="ar"/>
                <w14:textFill>
                  <w14:solidFill>
                    <w14:schemeClr w14:val="tx1"/>
                  </w14:solidFill>
                </w14:textFill>
              </w:rPr>
              <w:t>锡及其化合物有组织</w:t>
            </w:r>
            <w:r>
              <w:rPr>
                <w:rFonts w:hint="default" w:ascii="Times New Roman" w:hAnsi="Times New Roman" w:eastAsia="宋体" w:cs="Times New Roman"/>
                <w:b w:val="0"/>
                <w:bCs w:val="0"/>
                <w:color w:val="000000" w:themeColor="text1"/>
                <w:kern w:val="0"/>
                <w:sz w:val="24"/>
                <w:szCs w:val="24"/>
                <w:lang w:val="en-US" w:eastAsia="zh-CN" w:bidi="ar"/>
                <w14:textFill>
                  <w14:solidFill>
                    <w14:schemeClr w14:val="tx1"/>
                  </w14:solidFill>
                </w14:textFill>
              </w:rPr>
              <w:t>排放量为</w:t>
            </w:r>
            <w:r>
              <w:rPr>
                <w:rFonts w:hint="default" w:ascii="Times New Roman" w:hAnsi="Times New Roman" w:cs="Times New Roman"/>
                <w:b w:val="0"/>
                <w:bCs w:val="0"/>
                <w:color w:val="000000" w:themeColor="text1"/>
                <w:kern w:val="0"/>
                <w:sz w:val="24"/>
                <w:szCs w:val="24"/>
                <w:lang w:val="en-US" w:eastAsia="zh-CN" w:bidi="ar"/>
                <w14:textFill>
                  <w14:solidFill>
                    <w14:schemeClr w14:val="tx1"/>
                  </w14:solidFill>
                </w14:textFill>
              </w:rPr>
              <w:t>0.15kg</w:t>
            </w:r>
            <w:r>
              <w:rPr>
                <w:rFonts w:hint="default" w:ascii="Times New Roman" w:hAnsi="Times New Roman" w:eastAsia="宋体" w:cs="Times New Roman"/>
                <w:b w:val="0"/>
                <w:bCs w:val="0"/>
                <w:color w:val="000000" w:themeColor="text1"/>
                <w:kern w:val="0"/>
                <w:sz w:val="24"/>
                <w:szCs w:val="24"/>
                <w:lang w:val="en-US" w:eastAsia="zh-CN" w:bidi="ar"/>
                <w14:textFill>
                  <w14:solidFill>
                    <w14:schemeClr w14:val="tx1"/>
                  </w14:solidFill>
                </w14:textFill>
              </w:rPr>
              <w:t>/a</w:t>
            </w:r>
            <w:r>
              <w:rPr>
                <w:rFonts w:hint="default" w:ascii="Times New Roman" w:hAnsi="Times New Roman" w:cs="Times New Roman" w:eastAsiaTheme="minorEastAsia"/>
                <w:b w:val="0"/>
                <w:bCs w:val="0"/>
                <w:color w:val="000000" w:themeColor="text1"/>
                <w:kern w:val="2"/>
                <w:sz w:val="24"/>
                <w:szCs w:val="24"/>
                <w:lang w:val="en-US" w:eastAsia="zh-CN" w:bidi="ar"/>
                <w14:textFill>
                  <w14:solidFill>
                    <w14:schemeClr w14:val="tx1"/>
                  </w14:solidFill>
                </w14:textFill>
              </w:rPr>
              <w:t>（</w:t>
            </w:r>
            <w:r>
              <w:rPr>
                <w:rFonts w:hint="default" w:ascii="Times New Roman" w:hAnsi="Times New Roman" w:cs="Times New Roman" w:eastAsiaTheme="minorEastAsia"/>
                <w:color w:val="000000" w:themeColor="text1"/>
                <w:kern w:val="2"/>
                <w:sz w:val="24"/>
                <w:szCs w:val="24"/>
                <w:lang w:val="en-US" w:eastAsia="zh-CN" w:bidi="ar"/>
                <w14:textFill>
                  <w14:solidFill>
                    <w14:schemeClr w14:val="tx1"/>
                  </w14:solidFill>
                </w14:textFill>
              </w:rPr>
              <w:t>排放速率</w:t>
            </w:r>
            <w:r>
              <w:rPr>
                <w:rFonts w:hint="default" w:ascii="Times New Roman" w:hAnsi="Times New Roman" w:cs="Times New Roman" w:eastAsiaTheme="minorEastAsia"/>
                <w:b w:val="0"/>
                <w:bCs w:val="0"/>
                <w:color w:val="000000" w:themeColor="text1"/>
                <w:kern w:val="2"/>
                <w:sz w:val="24"/>
                <w:szCs w:val="24"/>
                <w:lang w:val="en-US" w:eastAsia="zh-CN" w:bidi="ar"/>
                <w14:textFill>
                  <w14:solidFill>
                    <w14:schemeClr w14:val="tx1"/>
                  </w14:solidFill>
                </w14:textFill>
              </w:rPr>
              <w:t>0.062kg/h</w:t>
            </w:r>
            <w:r>
              <w:rPr>
                <w:rFonts w:hint="default" w:ascii="Times New Roman" w:hAnsi="Times New Roman" w:cs="Times New Roman" w:eastAsiaTheme="minorEastAsia"/>
                <w:color w:val="000000" w:themeColor="text1"/>
                <w:kern w:val="2"/>
                <w:sz w:val="24"/>
                <w:szCs w:val="24"/>
                <w:lang w:val="en-US" w:eastAsia="zh-CN" w:bidi="ar"/>
                <w14:textFill>
                  <w14:solidFill>
                    <w14:schemeClr w14:val="tx1"/>
                  </w14:solidFill>
                </w14:textFill>
              </w:rPr>
              <w:t>，排放浓度为4.13mg/m</w:t>
            </w:r>
            <w:r>
              <w:rPr>
                <w:rFonts w:hint="default" w:ascii="Times New Roman" w:hAnsi="Times New Roman" w:cs="Times New Roman" w:eastAsiaTheme="minorEastAsia"/>
                <w:color w:val="000000" w:themeColor="text1"/>
                <w:kern w:val="2"/>
                <w:sz w:val="24"/>
                <w:szCs w:val="24"/>
                <w:vertAlign w:val="superscript"/>
                <w:lang w:val="en-US" w:eastAsia="zh-CN" w:bidi="ar"/>
                <w14:textFill>
                  <w14:solidFill>
                    <w14:schemeClr w14:val="tx1"/>
                  </w14:solidFill>
                </w14:textFill>
              </w:rPr>
              <w:t>3</w:t>
            </w:r>
            <w:r>
              <w:rPr>
                <w:rFonts w:hint="default" w:ascii="Times New Roman" w:hAnsi="Times New Roman" w:cs="Times New Roman" w:eastAsiaTheme="minorEastAsia"/>
                <w:b w:val="0"/>
                <w:bCs w:val="0"/>
                <w:color w:val="000000" w:themeColor="text1"/>
                <w:kern w:val="2"/>
                <w:sz w:val="24"/>
                <w:szCs w:val="24"/>
                <w:lang w:val="en-US" w:eastAsia="zh-CN" w:bidi="ar"/>
                <w14:textFill>
                  <w14:solidFill>
                    <w14:schemeClr w14:val="tx1"/>
                  </w14:solidFill>
                </w14:textFill>
              </w:rPr>
              <w:t>），无组织排放量为0.083kg/a（0.034kg/h）</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w:t>
            </w:r>
          </w:p>
          <w:p w14:paraId="3D16C18F">
            <w:pPr>
              <w:pStyle w:val="28"/>
              <w:keepNext w:val="0"/>
              <w:keepLines w:val="0"/>
              <w:suppressLineNumbers w:val="0"/>
              <w:spacing w:before="0" w:beforeAutospacing="0" w:after="0" w:afterAutospacing="0" w:line="360" w:lineRule="auto"/>
              <w:ind w:left="0" w:leftChars="0" w:right="0" w:firstLine="480" w:firstLineChars="200"/>
              <w:jc w:val="both"/>
              <w:rPr>
                <w:rFonts w:hint="default" w:ascii="Times New Roman" w:hAnsi="Times New Roman"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cs="Times New Roman"/>
                <w:color w:val="000000" w:themeColor="text1"/>
                <w:kern w:val="0"/>
                <w:sz w:val="24"/>
                <w:szCs w:val="24"/>
                <w:lang w:val="en-US" w:eastAsia="zh-CN" w:bidi="ar"/>
                <w14:textFill>
                  <w14:solidFill>
                    <w14:schemeClr w14:val="tx1"/>
                  </w14:solidFill>
                </w14:textFill>
              </w:rPr>
              <w:t>则DA002排气筒排放的非甲烷总烃排放量为0.115t/a</w:t>
            </w:r>
            <w:r>
              <w:rPr>
                <w:rFonts w:hint="default" w:ascii="Times New Roman" w:hAnsi="Times New Roman" w:cs="Times New Roman" w:eastAsiaTheme="minorEastAsia"/>
                <w:color w:val="000000" w:themeColor="text1"/>
                <w:kern w:val="2"/>
                <w:sz w:val="24"/>
                <w:szCs w:val="24"/>
                <w:lang w:val="en-US" w:eastAsia="zh-CN" w:bidi="ar"/>
                <w14:textFill>
                  <w14:solidFill>
                    <w14:schemeClr w14:val="tx1"/>
                  </w14:solidFill>
                </w14:textFill>
              </w:rPr>
              <w:t>（排放速率为0.0286kg/h，排放浓度为1.87mg/m</w:t>
            </w:r>
            <w:r>
              <w:rPr>
                <w:rFonts w:hint="default" w:ascii="Times New Roman" w:hAnsi="Times New Roman" w:cs="Times New Roman" w:eastAsiaTheme="minorEastAsia"/>
                <w:color w:val="000000" w:themeColor="text1"/>
                <w:kern w:val="2"/>
                <w:sz w:val="24"/>
                <w:szCs w:val="24"/>
                <w:vertAlign w:val="superscript"/>
                <w:lang w:val="en-US" w:eastAsia="zh-CN" w:bidi="ar"/>
                <w14:textFill>
                  <w14:solidFill>
                    <w14:schemeClr w14:val="tx1"/>
                  </w14:solidFill>
                </w14:textFill>
              </w:rPr>
              <w:t>3</w:t>
            </w:r>
            <w:r>
              <w:rPr>
                <w:rFonts w:hint="default" w:ascii="Times New Roman" w:hAnsi="Times New Roman" w:cs="Times New Roman" w:eastAsiaTheme="minorEastAsia"/>
                <w:color w:val="000000" w:themeColor="text1"/>
                <w:kern w:val="2"/>
                <w:sz w:val="24"/>
                <w:szCs w:val="24"/>
                <w:lang w:val="en-US" w:eastAsia="zh-CN" w:bidi="ar"/>
                <w14:textFill>
                  <w14:solidFill>
                    <w14:schemeClr w14:val="tx1"/>
                  </w14:solidFill>
                </w14:textFill>
              </w:rPr>
              <w:t>）；</w:t>
            </w:r>
            <w:r>
              <w:rPr>
                <w:rFonts w:hint="default" w:ascii="Times New Roman" w:hAnsi="Times New Roman" w:cs="Times New Roman"/>
                <w:b w:val="0"/>
                <w:bCs w:val="0"/>
                <w:color w:val="000000" w:themeColor="text1"/>
                <w:kern w:val="0"/>
                <w:sz w:val="24"/>
                <w:szCs w:val="24"/>
                <w:lang w:val="en-US" w:eastAsia="zh-CN" w:bidi="ar"/>
                <w14:textFill>
                  <w14:solidFill>
                    <w14:schemeClr w14:val="tx1"/>
                  </w14:solidFill>
                </w14:textFill>
              </w:rPr>
              <w:t>锡及其化合物</w:t>
            </w:r>
            <w:r>
              <w:rPr>
                <w:rFonts w:hint="default" w:ascii="Times New Roman" w:hAnsi="Times New Roman" w:cs="Times New Roman"/>
                <w:color w:val="000000" w:themeColor="text1"/>
                <w:kern w:val="0"/>
                <w:sz w:val="24"/>
                <w:szCs w:val="24"/>
                <w:lang w:val="en-US" w:eastAsia="zh-CN" w:bidi="ar"/>
                <w14:textFill>
                  <w14:solidFill>
                    <w14:schemeClr w14:val="tx1"/>
                  </w14:solidFill>
                </w14:textFill>
              </w:rPr>
              <w:t>排放量为</w:t>
            </w:r>
            <w:r>
              <w:rPr>
                <w:rFonts w:hint="default" w:ascii="Times New Roman" w:hAnsi="Times New Roman" w:cs="Times New Roman"/>
                <w:b w:val="0"/>
                <w:bCs w:val="0"/>
                <w:color w:val="000000" w:themeColor="text1"/>
                <w:kern w:val="0"/>
                <w:sz w:val="24"/>
                <w:szCs w:val="24"/>
                <w:lang w:val="en-US" w:eastAsia="zh-CN" w:bidi="ar"/>
                <w14:textFill>
                  <w14:solidFill>
                    <w14:schemeClr w14:val="tx1"/>
                  </w14:solidFill>
                </w14:textFill>
              </w:rPr>
              <w:t>0.15kg</w:t>
            </w:r>
            <w:r>
              <w:rPr>
                <w:rFonts w:hint="default" w:ascii="Times New Roman" w:hAnsi="Times New Roman" w:eastAsia="宋体" w:cs="Times New Roman"/>
                <w:b w:val="0"/>
                <w:bCs w:val="0"/>
                <w:color w:val="000000" w:themeColor="text1"/>
                <w:kern w:val="0"/>
                <w:sz w:val="24"/>
                <w:szCs w:val="24"/>
                <w:lang w:val="en-US" w:eastAsia="zh-CN" w:bidi="ar"/>
                <w14:textFill>
                  <w14:solidFill>
                    <w14:schemeClr w14:val="tx1"/>
                  </w14:solidFill>
                </w14:textFill>
              </w:rPr>
              <w:t>/a</w:t>
            </w:r>
            <w:r>
              <w:rPr>
                <w:rFonts w:hint="default" w:ascii="Times New Roman" w:hAnsi="Times New Roman" w:cs="Times New Roman" w:eastAsiaTheme="minorEastAsia"/>
                <w:b w:val="0"/>
                <w:bCs w:val="0"/>
                <w:color w:val="000000" w:themeColor="text1"/>
                <w:kern w:val="2"/>
                <w:sz w:val="24"/>
                <w:szCs w:val="24"/>
                <w:lang w:val="en-US" w:eastAsia="zh-CN" w:bidi="ar"/>
                <w14:textFill>
                  <w14:solidFill>
                    <w14:schemeClr w14:val="tx1"/>
                  </w14:solidFill>
                </w14:textFill>
              </w:rPr>
              <w:t>（</w:t>
            </w:r>
            <w:r>
              <w:rPr>
                <w:rFonts w:hint="default" w:ascii="Times New Roman" w:hAnsi="Times New Roman" w:cs="Times New Roman" w:eastAsiaTheme="minorEastAsia"/>
                <w:color w:val="000000" w:themeColor="text1"/>
                <w:kern w:val="2"/>
                <w:sz w:val="24"/>
                <w:szCs w:val="24"/>
                <w:lang w:val="en-US" w:eastAsia="zh-CN" w:bidi="ar"/>
                <w14:textFill>
                  <w14:solidFill>
                    <w14:schemeClr w14:val="tx1"/>
                  </w14:solidFill>
                </w14:textFill>
              </w:rPr>
              <w:t>排放速率</w:t>
            </w:r>
            <w:r>
              <w:rPr>
                <w:rFonts w:hint="default" w:ascii="Times New Roman" w:hAnsi="Times New Roman" w:cs="Times New Roman" w:eastAsiaTheme="minorEastAsia"/>
                <w:b w:val="0"/>
                <w:bCs w:val="0"/>
                <w:color w:val="000000" w:themeColor="text1"/>
                <w:kern w:val="2"/>
                <w:sz w:val="24"/>
                <w:szCs w:val="24"/>
                <w:lang w:val="en-US" w:eastAsia="zh-CN" w:bidi="ar"/>
                <w14:textFill>
                  <w14:solidFill>
                    <w14:schemeClr w14:val="tx1"/>
                  </w14:solidFill>
                </w14:textFill>
              </w:rPr>
              <w:t>0.062kg/h</w:t>
            </w:r>
            <w:r>
              <w:rPr>
                <w:rFonts w:hint="default" w:ascii="Times New Roman" w:hAnsi="Times New Roman" w:cs="Times New Roman" w:eastAsiaTheme="minorEastAsia"/>
                <w:color w:val="000000" w:themeColor="text1"/>
                <w:kern w:val="2"/>
                <w:sz w:val="24"/>
                <w:szCs w:val="24"/>
                <w:lang w:val="en-US" w:eastAsia="zh-CN" w:bidi="ar"/>
                <w14:textFill>
                  <w14:solidFill>
                    <w14:schemeClr w14:val="tx1"/>
                  </w14:solidFill>
                </w14:textFill>
              </w:rPr>
              <w:t>，排放浓度为4.13mg/m</w:t>
            </w:r>
            <w:r>
              <w:rPr>
                <w:rFonts w:hint="default" w:ascii="Times New Roman" w:hAnsi="Times New Roman" w:cs="Times New Roman" w:eastAsiaTheme="minorEastAsia"/>
                <w:color w:val="000000" w:themeColor="text1"/>
                <w:kern w:val="2"/>
                <w:sz w:val="24"/>
                <w:szCs w:val="24"/>
                <w:vertAlign w:val="superscript"/>
                <w:lang w:val="en-US" w:eastAsia="zh-CN" w:bidi="ar"/>
                <w14:textFill>
                  <w14:solidFill>
                    <w14:schemeClr w14:val="tx1"/>
                  </w14:solidFill>
                </w14:textFill>
              </w:rPr>
              <w:t>3</w:t>
            </w:r>
            <w:r>
              <w:rPr>
                <w:rFonts w:hint="default" w:ascii="Times New Roman" w:hAnsi="Times New Roman" w:cs="Times New Roman" w:eastAsiaTheme="minorEastAsia"/>
                <w:b w:val="0"/>
                <w:bCs w:val="0"/>
                <w:color w:val="000000" w:themeColor="text1"/>
                <w:kern w:val="2"/>
                <w:sz w:val="24"/>
                <w:szCs w:val="24"/>
                <w:lang w:val="en-US" w:eastAsia="zh-CN" w:bidi="ar"/>
                <w14:textFill>
                  <w14:solidFill>
                    <w14:schemeClr w14:val="tx1"/>
                  </w14:solidFill>
                </w14:textFill>
              </w:rPr>
              <w:t>）</w:t>
            </w:r>
            <w:r>
              <w:rPr>
                <w:rFonts w:hint="default" w:ascii="Times New Roman" w:hAnsi="Times New Roman" w:cs="Times New Roman"/>
                <w:color w:val="000000" w:themeColor="text1"/>
                <w:kern w:val="0"/>
                <w:sz w:val="24"/>
                <w:szCs w:val="24"/>
                <w:lang w:val="en-US" w:eastAsia="zh-CN" w:bidi="ar"/>
                <w14:textFill>
                  <w14:solidFill>
                    <w14:schemeClr w14:val="tx1"/>
                  </w14:solidFill>
                </w14:textFill>
              </w:rPr>
              <w:t>。</w:t>
            </w:r>
          </w:p>
          <w:p w14:paraId="7D4FF3FC">
            <w:pPr>
              <w:keepNext/>
              <w:keepLines/>
              <w:widowControl/>
              <w:adjustRightInd w:val="0"/>
              <w:snapToGrid w:val="0"/>
              <w:spacing w:line="360" w:lineRule="auto"/>
              <w:jc w:val="left"/>
              <w:outlineLvl w:val="1"/>
              <w:rPr>
                <w:rFonts w:hint="default" w:ascii="Times New Roman" w:hAnsi="Times New Roman" w:eastAsia="黑体" w:cs="Times New Roman"/>
                <w:bCs/>
                <w:color w:val="000000" w:themeColor="text1"/>
                <w:sz w:val="24"/>
                <w:szCs w:val="28"/>
                <w14:textFill>
                  <w14:solidFill>
                    <w14:schemeClr w14:val="tx1"/>
                  </w14:solidFill>
                </w14:textFill>
              </w:rPr>
            </w:pPr>
            <w:r>
              <w:rPr>
                <w:rFonts w:hint="default" w:ascii="Times New Roman" w:hAnsi="Times New Roman" w:eastAsia="黑体" w:cs="Times New Roman"/>
                <w:bCs/>
                <w:color w:val="000000" w:themeColor="text1"/>
                <w:sz w:val="24"/>
                <w:szCs w:val="28"/>
                <w:lang w:eastAsia="zh-CN"/>
                <w14:textFill>
                  <w14:solidFill>
                    <w14:schemeClr w14:val="tx1"/>
                  </w14:solidFill>
                </w14:textFill>
              </w:rPr>
              <w:t>2.</w:t>
            </w:r>
            <w:r>
              <w:rPr>
                <w:rFonts w:hint="default" w:ascii="Times New Roman" w:hAnsi="Times New Roman" w:eastAsia="黑体" w:cs="Times New Roman"/>
                <w:bCs/>
                <w:color w:val="000000" w:themeColor="text1"/>
                <w:sz w:val="24"/>
                <w:szCs w:val="28"/>
                <w14:textFill>
                  <w14:solidFill>
                    <w14:schemeClr w14:val="tx1"/>
                  </w14:solidFill>
                </w14:textFill>
              </w:rPr>
              <w:t>可行性分析</w:t>
            </w:r>
          </w:p>
          <w:p w14:paraId="4C5A0E2E">
            <w:pPr>
              <w:spacing w:line="360" w:lineRule="auto"/>
              <w:ind w:firstLine="482" w:firstLineChars="200"/>
              <w:jc w:val="left"/>
              <w:rPr>
                <w:rFonts w:hint="default" w:ascii="Times New Roman" w:hAnsi="Times New Roman" w:eastAsia="宋体" w:cs="Times New Roman"/>
                <w:b/>
                <w:bCs/>
                <w:color w:val="000000" w:themeColor="text1"/>
                <w:kern w:val="0"/>
                <w:sz w:val="24"/>
                <w:szCs w:val="24"/>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0"/>
                <w:sz w:val="24"/>
                <w:szCs w:val="24"/>
                <w:lang w:val="en-US" w:eastAsia="zh-CN" w:bidi="ar-SA"/>
                <w14:textFill>
                  <w14:solidFill>
                    <w14:schemeClr w14:val="tx1"/>
                  </w14:solidFill>
                </w14:textFill>
              </w:rPr>
              <w:t>治理设施可行性：</w:t>
            </w:r>
          </w:p>
          <w:p w14:paraId="3763084A">
            <w:pPr>
              <w:spacing w:line="360" w:lineRule="auto"/>
              <w:ind w:firstLine="480" w:firstLineChars="200"/>
              <w:jc w:val="left"/>
              <w:rPr>
                <w:rFonts w:hint="default" w:ascii="Times New Roman" w:hAnsi="Times New Roman" w:eastAsia="宋体" w:cs="Times New Roman"/>
                <w:color w:val="000000" w:themeColor="text1"/>
                <w:kern w:val="0"/>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SA"/>
                <w14:textFill>
                  <w14:solidFill>
                    <w14:schemeClr w14:val="tx1"/>
                  </w14:solidFill>
                </w14:textFill>
              </w:rPr>
              <w:t xml:space="preserve">根据《排污许可证申请与核发技术规范 </w:t>
            </w:r>
            <w:r>
              <w:rPr>
                <w:rFonts w:hint="default" w:ascii="Times New Roman" w:hAnsi="Times New Roman" w:cs="Times New Roman"/>
                <w:color w:val="000000" w:themeColor="text1"/>
                <w:kern w:val="0"/>
                <w:sz w:val="24"/>
                <w:szCs w:val="24"/>
                <w:lang w:val="en-US" w:eastAsia="zh-CN" w:bidi="ar-SA"/>
                <w14:textFill>
                  <w14:solidFill>
                    <w14:schemeClr w14:val="tx1"/>
                  </w14:solidFill>
                </w14:textFill>
              </w:rPr>
              <w:t>电子工业</w:t>
            </w:r>
            <w:r>
              <w:rPr>
                <w:rFonts w:hint="default" w:ascii="Times New Roman" w:hAnsi="Times New Roman" w:eastAsia="宋体" w:cs="Times New Roman"/>
                <w:color w:val="000000" w:themeColor="text1"/>
                <w:kern w:val="0"/>
                <w:sz w:val="24"/>
                <w:szCs w:val="24"/>
                <w:lang w:val="en-US" w:eastAsia="zh-CN" w:bidi="ar-SA"/>
                <w14:textFill>
                  <w14:solidFill>
                    <w14:schemeClr w14:val="tx1"/>
                  </w14:solidFill>
                </w14:textFill>
              </w:rPr>
              <w:t>》（HJ</w:t>
            </w:r>
            <w:r>
              <w:rPr>
                <w:rFonts w:hint="default" w:ascii="Times New Roman" w:hAnsi="Times New Roman" w:cs="Times New Roman"/>
                <w:color w:val="000000" w:themeColor="text1"/>
                <w:kern w:val="0"/>
                <w:sz w:val="24"/>
                <w:szCs w:val="24"/>
                <w:lang w:val="en-US" w:eastAsia="zh-CN" w:bidi="ar-SA"/>
                <w14:textFill>
                  <w14:solidFill>
                    <w14:schemeClr w14:val="tx1"/>
                  </w14:solidFill>
                </w14:textFill>
              </w:rPr>
              <w:t xml:space="preserve"> 1031-2019</w:t>
            </w:r>
            <w:r>
              <w:rPr>
                <w:rFonts w:hint="default" w:ascii="Times New Roman" w:hAnsi="Times New Roman" w:eastAsia="宋体" w:cs="Times New Roman"/>
                <w:color w:val="000000" w:themeColor="text1"/>
                <w:kern w:val="0"/>
                <w:sz w:val="24"/>
                <w:szCs w:val="24"/>
                <w:lang w:val="en-US" w:eastAsia="zh-CN" w:bidi="ar-SA"/>
                <w14:textFill>
                  <w14:solidFill>
                    <w14:schemeClr w14:val="tx1"/>
                  </w14:solidFill>
                </w14:textFill>
              </w:rPr>
              <w:t>）表</w:t>
            </w:r>
            <w:r>
              <w:rPr>
                <w:rFonts w:hint="default" w:ascii="Times New Roman" w:hAnsi="Times New Roman" w:cs="Times New Roman"/>
                <w:color w:val="000000" w:themeColor="text1"/>
                <w:kern w:val="0"/>
                <w:sz w:val="24"/>
                <w:szCs w:val="24"/>
                <w:lang w:val="en-US" w:eastAsia="zh-CN" w:bidi="ar-SA"/>
                <w14:textFill>
                  <w14:solidFill>
                    <w14:schemeClr w14:val="tx1"/>
                  </w14:solidFill>
                </w14:textFill>
              </w:rPr>
              <w:t>B.1电子工业排污单位废气防治可行技术参考表中挥发性有机物的</w:t>
            </w:r>
            <w:r>
              <w:rPr>
                <w:rFonts w:hint="default" w:ascii="Times New Roman" w:hAnsi="Times New Roman" w:eastAsia="宋体" w:cs="Times New Roman"/>
                <w:color w:val="000000" w:themeColor="text1"/>
                <w:kern w:val="0"/>
                <w:sz w:val="24"/>
                <w:szCs w:val="24"/>
                <w:lang w:val="en-US" w:eastAsia="zh-CN" w:bidi="ar-SA"/>
                <w14:textFill>
                  <w14:solidFill>
                    <w14:schemeClr w14:val="tx1"/>
                  </w14:solidFill>
                </w14:textFill>
              </w:rPr>
              <w:t>可行技术为“</w:t>
            </w:r>
            <w:r>
              <w:rPr>
                <w:rFonts w:hint="default" w:ascii="Times New Roman" w:hAnsi="Times New Roman" w:cs="Times New Roman"/>
                <w:color w:val="000000" w:themeColor="text1"/>
                <w:kern w:val="0"/>
                <w:sz w:val="24"/>
                <w:szCs w:val="24"/>
                <w:lang w:val="en-US" w:eastAsia="zh-CN" w:bidi="ar-SA"/>
                <w14:textFill>
                  <w14:solidFill>
                    <w14:schemeClr w14:val="tx1"/>
                  </w14:solidFill>
                </w14:textFill>
              </w:rPr>
              <w:t>活性炭吸附法，燃烧法，浓缩+燃烧法</w:t>
            </w:r>
            <w:r>
              <w:rPr>
                <w:rFonts w:hint="default" w:ascii="Times New Roman" w:hAnsi="Times New Roman" w:eastAsia="宋体" w:cs="Times New Roman"/>
                <w:color w:val="000000" w:themeColor="text1"/>
                <w:kern w:val="0"/>
                <w:sz w:val="24"/>
                <w:szCs w:val="24"/>
                <w:lang w:val="en-US" w:eastAsia="zh-CN" w:bidi="ar-SA"/>
                <w14:textFill>
                  <w14:solidFill>
                    <w14:schemeClr w14:val="tx1"/>
                  </w14:solidFill>
                </w14:textFill>
              </w:rPr>
              <w:t>”，本项目</w:t>
            </w:r>
            <w:r>
              <w:rPr>
                <w:rFonts w:hint="default" w:ascii="Times New Roman" w:hAnsi="Times New Roman" w:cs="Times New Roman"/>
                <w:color w:val="000000" w:themeColor="text1"/>
                <w:kern w:val="0"/>
                <w:sz w:val="24"/>
                <w:szCs w:val="24"/>
                <w:lang w:val="en-US" w:eastAsia="zh-CN" w:bidi="ar-SA"/>
                <w14:textFill>
                  <w14:solidFill>
                    <w14:schemeClr w14:val="tx1"/>
                  </w14:solidFill>
                </w14:textFill>
              </w:rPr>
              <w:t>烧结、烘银、固化、</w:t>
            </w:r>
            <w:r>
              <w:rPr>
                <w:rFonts w:hint="default" w:ascii="Times New Roman" w:hAnsi="Times New Roman" w:eastAsia="宋体" w:cs="Times New Roman"/>
                <w:color w:val="000000" w:themeColor="text1"/>
                <w:kern w:val="0"/>
                <w:sz w:val="24"/>
                <w:szCs w:val="24"/>
                <w:lang w:val="en-US" w:eastAsia="zh-CN" w:bidi="ar-SA"/>
                <w14:textFill>
                  <w14:solidFill>
                    <w14:schemeClr w14:val="tx1"/>
                  </w14:solidFill>
                </w14:textFill>
              </w:rPr>
              <w:t>工序</w:t>
            </w:r>
            <w:r>
              <w:rPr>
                <w:rFonts w:hint="default" w:ascii="Times New Roman" w:hAnsi="Times New Roman" w:cs="Times New Roman"/>
                <w:color w:val="000000" w:themeColor="text1"/>
                <w:kern w:val="0"/>
                <w:sz w:val="24"/>
                <w:szCs w:val="24"/>
                <w:lang w:val="en-US" w:eastAsia="zh-CN" w:bidi="ar-SA"/>
                <w14:textFill>
                  <w14:solidFill>
                    <w14:schemeClr w14:val="tx1"/>
                  </w14:solidFill>
                </w14:textFill>
              </w:rPr>
              <w:t>等工序产生的非甲烷总烃</w:t>
            </w:r>
            <w:r>
              <w:rPr>
                <w:rFonts w:hint="default" w:ascii="Times New Roman" w:hAnsi="Times New Roman" w:eastAsia="宋体" w:cs="Times New Roman"/>
                <w:color w:val="000000" w:themeColor="text1"/>
                <w:kern w:val="0"/>
                <w:sz w:val="24"/>
                <w:szCs w:val="24"/>
                <w:lang w:val="en-US" w:eastAsia="zh-CN" w:bidi="ar-SA"/>
                <w14:textFill>
                  <w14:solidFill>
                    <w14:schemeClr w14:val="tx1"/>
                  </w14:solidFill>
                </w14:textFill>
              </w:rPr>
              <w:t>采用</w:t>
            </w:r>
            <w:r>
              <w:rPr>
                <w:rFonts w:hint="default" w:ascii="Times New Roman" w:hAnsi="Times New Roman" w:cs="Times New Roman"/>
                <w:color w:val="000000" w:themeColor="text1"/>
                <w:kern w:val="0"/>
                <w:sz w:val="24"/>
                <w:szCs w:val="24"/>
                <w:lang w:val="en-US" w:eastAsia="zh-CN" w:bidi="ar-SA"/>
                <w14:textFill>
                  <w14:solidFill>
                    <w14:schemeClr w14:val="tx1"/>
                  </w14:solidFill>
                </w14:textFill>
              </w:rPr>
              <w:t>二级</w:t>
            </w:r>
            <w:r>
              <w:rPr>
                <w:rFonts w:hint="default" w:ascii="Times New Roman" w:hAnsi="Times New Roman" w:eastAsia="宋体" w:cs="Times New Roman"/>
                <w:color w:val="000000" w:themeColor="text1"/>
                <w:kern w:val="0"/>
                <w:sz w:val="24"/>
                <w:szCs w:val="24"/>
                <w:lang w:val="en-US" w:eastAsia="zh-CN" w:bidi="ar-SA"/>
                <w14:textFill>
                  <w14:solidFill>
                    <w14:schemeClr w14:val="tx1"/>
                  </w14:solidFill>
                </w14:textFill>
              </w:rPr>
              <w:t>活性炭吸附技术，属于可行技术。</w:t>
            </w:r>
          </w:p>
          <w:p w14:paraId="458386F2">
            <w:pPr>
              <w:spacing w:line="360" w:lineRule="auto"/>
              <w:ind w:firstLine="480" w:firstLineChars="200"/>
              <w:jc w:val="left"/>
              <w:rPr>
                <w:rFonts w:hint="default" w:ascii="Times New Roman" w:hAnsi="Times New Roman"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SA"/>
                <w14:textFill>
                  <w14:solidFill>
                    <w14:schemeClr w14:val="tx1"/>
                  </w14:solidFill>
                </w14:textFill>
              </w:rPr>
              <w:t xml:space="preserve">根据《排污许可证申请与核发技术规范 </w:t>
            </w:r>
            <w:r>
              <w:rPr>
                <w:rFonts w:hint="default" w:ascii="Times New Roman" w:hAnsi="Times New Roman" w:cs="Times New Roman"/>
                <w:color w:val="000000" w:themeColor="text1"/>
                <w:kern w:val="0"/>
                <w:sz w:val="24"/>
                <w:szCs w:val="24"/>
                <w:lang w:val="en-US" w:eastAsia="zh-CN" w:bidi="ar-SA"/>
                <w14:textFill>
                  <w14:solidFill>
                    <w14:schemeClr w14:val="tx1"/>
                  </w14:solidFill>
                </w14:textFill>
              </w:rPr>
              <w:t>电子工业</w:t>
            </w:r>
            <w:r>
              <w:rPr>
                <w:rFonts w:hint="default" w:ascii="Times New Roman" w:hAnsi="Times New Roman" w:eastAsia="宋体" w:cs="Times New Roman"/>
                <w:color w:val="000000" w:themeColor="text1"/>
                <w:kern w:val="0"/>
                <w:sz w:val="24"/>
                <w:szCs w:val="24"/>
                <w:lang w:val="en-US" w:eastAsia="zh-CN" w:bidi="ar-SA"/>
                <w14:textFill>
                  <w14:solidFill>
                    <w14:schemeClr w14:val="tx1"/>
                  </w14:solidFill>
                </w14:textFill>
              </w:rPr>
              <w:t>》（HJ</w:t>
            </w:r>
            <w:r>
              <w:rPr>
                <w:rFonts w:hint="default" w:ascii="Times New Roman" w:hAnsi="Times New Roman" w:cs="Times New Roman"/>
                <w:color w:val="000000" w:themeColor="text1"/>
                <w:kern w:val="0"/>
                <w:sz w:val="24"/>
                <w:szCs w:val="24"/>
                <w:lang w:val="en-US" w:eastAsia="zh-CN" w:bidi="ar-SA"/>
                <w14:textFill>
                  <w14:solidFill>
                    <w14:schemeClr w14:val="tx1"/>
                  </w14:solidFill>
                </w14:textFill>
              </w:rPr>
              <w:t xml:space="preserve"> 1031-2019</w:t>
            </w:r>
            <w:r>
              <w:rPr>
                <w:rFonts w:hint="default" w:ascii="Times New Roman" w:hAnsi="Times New Roman" w:eastAsia="宋体" w:cs="Times New Roman"/>
                <w:color w:val="000000" w:themeColor="text1"/>
                <w:kern w:val="0"/>
                <w:sz w:val="24"/>
                <w:szCs w:val="24"/>
                <w:lang w:val="en-US" w:eastAsia="zh-CN" w:bidi="ar-SA"/>
                <w14:textFill>
                  <w14:solidFill>
                    <w14:schemeClr w14:val="tx1"/>
                  </w14:solidFill>
                </w14:textFill>
              </w:rPr>
              <w:t>）表</w:t>
            </w:r>
            <w:r>
              <w:rPr>
                <w:rFonts w:hint="default" w:ascii="Times New Roman" w:hAnsi="Times New Roman" w:cs="Times New Roman"/>
                <w:color w:val="000000" w:themeColor="text1"/>
                <w:kern w:val="0"/>
                <w:sz w:val="24"/>
                <w:szCs w:val="24"/>
                <w:lang w:val="en-US" w:eastAsia="zh-CN" w:bidi="ar-SA"/>
                <w14:textFill>
                  <w14:solidFill>
                    <w14:schemeClr w14:val="tx1"/>
                  </w14:solidFill>
                </w14:textFill>
              </w:rPr>
              <w:t>B.1电子工业排污单位废气防治可行技术参考表中</w:t>
            </w:r>
            <w:r>
              <w:rPr>
                <w:rFonts w:hint="default" w:ascii="Times New Roman" w:hAnsi="Times New Roman" w:cs="Times New Roman"/>
                <w:color w:val="000000" w:themeColor="text1"/>
                <w:sz w:val="24"/>
                <w:lang w:val="en-US" w:eastAsia="zh-CN"/>
                <w14:textFill>
                  <w14:solidFill>
                    <w14:schemeClr w14:val="tx1"/>
                  </w14:solidFill>
                </w14:textFill>
              </w:rPr>
              <w:t>颗粒物的可行技术为“袋式除尘法”本项目进料和造粒工序产生的颗粒物采用布袋除尘器，属于可行技术。</w:t>
            </w:r>
          </w:p>
          <w:p w14:paraId="329A84F9">
            <w:pPr>
              <w:spacing w:line="360" w:lineRule="auto"/>
              <w:ind w:firstLine="440" w:firstLineChars="200"/>
              <w:jc w:val="left"/>
              <w:rPr>
                <w:rFonts w:hint="default" w:ascii="Times New Roman" w:hAnsi="Times New Roman" w:cs="Times New Roman"/>
                <w:color w:val="000000" w:themeColor="text1"/>
                <w:spacing w:val="-10"/>
                <w:sz w:val="24"/>
                <w14:textFill>
                  <w14:solidFill>
                    <w14:schemeClr w14:val="tx1"/>
                  </w14:solidFill>
                </w14:textFill>
              </w:rPr>
            </w:pPr>
            <w:r>
              <w:rPr>
                <w:rFonts w:hint="default" w:ascii="Times New Roman" w:hAnsi="Times New Roman" w:cs="Times New Roman"/>
                <w:color w:val="000000" w:themeColor="text1"/>
                <w:spacing w:val="-10"/>
                <w:sz w:val="24"/>
                <w14:textFill>
                  <w14:solidFill>
                    <w14:schemeClr w14:val="tx1"/>
                  </w14:solidFill>
                </w14:textFill>
              </w:rPr>
              <w:t>综上，本项目</w:t>
            </w:r>
            <w:r>
              <w:rPr>
                <w:rFonts w:hint="default" w:ascii="Times New Roman" w:hAnsi="Times New Roman" w:cs="Times New Roman"/>
                <w:color w:val="000000" w:themeColor="text1"/>
                <w:spacing w:val="-10"/>
                <w:sz w:val="24"/>
                <w:lang w:val="en-US" w:eastAsia="zh-CN"/>
                <w14:textFill>
                  <w14:solidFill>
                    <w14:schemeClr w14:val="tx1"/>
                  </w14:solidFill>
                </w14:textFill>
              </w:rPr>
              <w:t>废气治理设施</w:t>
            </w:r>
            <w:r>
              <w:rPr>
                <w:rFonts w:hint="default" w:ascii="Times New Roman" w:hAnsi="Times New Roman" w:cs="Times New Roman"/>
                <w:color w:val="000000" w:themeColor="text1"/>
                <w:spacing w:val="-10"/>
                <w:sz w:val="24"/>
                <w14:textFill>
                  <w14:solidFill>
                    <w14:schemeClr w14:val="tx1"/>
                  </w14:solidFill>
                </w14:textFill>
              </w:rPr>
              <w:t>可行。</w:t>
            </w:r>
          </w:p>
          <w:p w14:paraId="13C07CE8">
            <w:pPr>
              <w:keepNext/>
              <w:keepLines/>
              <w:widowControl/>
              <w:adjustRightInd w:val="0"/>
              <w:snapToGrid w:val="0"/>
              <w:spacing w:line="360" w:lineRule="auto"/>
              <w:jc w:val="left"/>
              <w:outlineLvl w:val="1"/>
              <w:rPr>
                <w:rFonts w:hint="default" w:ascii="Times New Roman" w:hAnsi="Times New Roman" w:eastAsia="黑体" w:cs="Times New Roman"/>
                <w:bCs/>
                <w:color w:val="000000" w:themeColor="text1"/>
                <w:sz w:val="24"/>
                <w:szCs w:val="28"/>
                <w14:textFill>
                  <w14:solidFill>
                    <w14:schemeClr w14:val="tx1"/>
                  </w14:solidFill>
                </w14:textFill>
              </w:rPr>
            </w:pPr>
            <w:r>
              <w:rPr>
                <w:rFonts w:hint="default" w:ascii="Times New Roman" w:hAnsi="Times New Roman" w:eastAsia="黑体" w:cs="Times New Roman"/>
                <w:bCs/>
                <w:color w:val="000000" w:themeColor="text1"/>
                <w:sz w:val="24"/>
                <w:szCs w:val="28"/>
                <w:lang w:eastAsia="zh-CN"/>
                <w14:textFill>
                  <w14:solidFill>
                    <w14:schemeClr w14:val="tx1"/>
                  </w14:solidFill>
                </w14:textFill>
              </w:rPr>
              <w:t>3.</w:t>
            </w:r>
            <w:r>
              <w:rPr>
                <w:rFonts w:hint="default" w:ascii="Times New Roman" w:hAnsi="Times New Roman" w:eastAsia="黑体" w:cs="Times New Roman"/>
                <w:bCs/>
                <w:color w:val="000000" w:themeColor="text1"/>
                <w:sz w:val="24"/>
                <w:szCs w:val="28"/>
                <w14:textFill>
                  <w14:solidFill>
                    <w14:schemeClr w14:val="tx1"/>
                  </w14:solidFill>
                </w14:textFill>
              </w:rPr>
              <w:t>污染物达标排放情况</w:t>
            </w:r>
          </w:p>
          <w:p w14:paraId="2715663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eastAsiaTheme="minorEastAsia"/>
                <w:color w:val="000000" w:themeColor="text1"/>
                <w:sz w:val="24"/>
                <w:lang w:val="en-US" w:eastAsia="zh-CN"/>
                <w14:textFill>
                  <w14:solidFill>
                    <w14:schemeClr w14:val="tx1"/>
                  </w14:solidFill>
                </w14:textFill>
              </w:rPr>
              <w:t>本项目进料工序和造粒工序产生的颗粒物经布袋除尘器（TA001）处理后的经15米高的排气筒（DA001）排放，颗粒物总排放量为0.0244t/a（排放速率为0.0101kg/h，排放浓度为2.02mg/m</w:t>
            </w:r>
            <w:r>
              <w:rPr>
                <w:rFonts w:hint="default" w:ascii="Times New Roman" w:hAnsi="Times New Roman" w:cs="Times New Roman" w:eastAsiaTheme="minorEastAsia"/>
                <w:color w:val="000000" w:themeColor="text1"/>
                <w:sz w:val="24"/>
                <w:vertAlign w:val="superscript"/>
                <w:lang w:val="en-US" w:eastAsia="zh-CN"/>
                <w14:textFill>
                  <w14:solidFill>
                    <w14:schemeClr w14:val="tx1"/>
                  </w14:solidFill>
                </w14:textFill>
              </w:rPr>
              <w:t>3</w:t>
            </w:r>
            <w:r>
              <w:rPr>
                <w:rFonts w:hint="default" w:ascii="Times New Roman" w:hAnsi="Times New Roman" w:cs="Times New Roman" w:eastAsiaTheme="minorEastAsia"/>
                <w:color w:val="000000" w:themeColor="text1"/>
                <w:sz w:val="24"/>
                <w:lang w:val="en-US" w:eastAsia="zh-CN"/>
                <w14:textFill>
                  <w14:solidFill>
                    <w14:schemeClr w14:val="tx1"/>
                  </w14:solidFill>
                </w14:textFill>
              </w:rPr>
              <w:t>）满足</w:t>
            </w:r>
            <w:r>
              <w:rPr>
                <w:rFonts w:hint="default" w:ascii="Times New Roman" w:hAnsi="Times New Roman" w:eastAsia="宋体" w:cs="Times New Roman"/>
                <w:color w:val="000000" w:themeColor="text1"/>
                <w:kern w:val="0"/>
                <w:sz w:val="24"/>
                <w:szCs w:val="24"/>
                <w:lang w:val="en-US" w:eastAsia="zh-CN" w:bidi="ar-SA"/>
                <w14:textFill>
                  <w14:solidFill>
                    <w14:schemeClr w14:val="tx1"/>
                  </w14:solidFill>
                </w14:textFill>
              </w:rPr>
              <w:t>《大气污染物综合排放标准》(GB</w:t>
            </w:r>
            <w:r>
              <w:rPr>
                <w:rFonts w:hint="eastAsia" w:cs="Times New Roman"/>
                <w:color w:val="000000" w:themeColor="text1"/>
                <w:kern w:val="0"/>
                <w:sz w:val="24"/>
                <w:szCs w:val="24"/>
                <w:lang w:val="en-US" w:eastAsia="zh-CN" w:bidi="ar-SA"/>
                <w14:textFill>
                  <w14:solidFill>
                    <w14:schemeClr w14:val="tx1"/>
                  </w14:solidFill>
                </w14:textFill>
              </w:rPr>
              <w:t xml:space="preserve"> </w:t>
            </w:r>
            <w:r>
              <w:rPr>
                <w:rFonts w:hint="default" w:ascii="Times New Roman" w:hAnsi="Times New Roman" w:eastAsia="宋体" w:cs="Times New Roman"/>
                <w:color w:val="000000" w:themeColor="text1"/>
                <w:kern w:val="0"/>
                <w:sz w:val="24"/>
                <w:szCs w:val="24"/>
                <w:lang w:val="en-US" w:eastAsia="zh-CN" w:bidi="ar-SA"/>
                <w14:textFill>
                  <w14:solidFill>
                    <w14:schemeClr w14:val="tx1"/>
                  </w14:solidFill>
                </w14:textFill>
              </w:rPr>
              <w:t>16297-1996)表 2</w:t>
            </w:r>
            <w:r>
              <w:rPr>
                <w:rFonts w:hint="default" w:ascii="Times New Roman" w:hAnsi="Times New Roman" w:cs="Times New Roman"/>
                <w:color w:val="000000" w:themeColor="text1"/>
                <w:kern w:val="0"/>
                <w:sz w:val="24"/>
                <w:szCs w:val="24"/>
                <w:lang w:val="en-US" w:eastAsia="zh-CN" w:bidi="ar-SA"/>
                <w14:textFill>
                  <w14:solidFill>
                    <w14:schemeClr w14:val="tx1"/>
                  </w14:solidFill>
                </w14:textFill>
              </w:rPr>
              <w:t>标准（120mg/m</w:t>
            </w:r>
            <w:r>
              <w:rPr>
                <w:rFonts w:hint="default" w:ascii="Times New Roman" w:hAnsi="Times New Roman" w:cs="Times New Roman"/>
                <w:color w:val="000000" w:themeColor="text1"/>
                <w:kern w:val="0"/>
                <w:sz w:val="24"/>
                <w:szCs w:val="24"/>
                <w:vertAlign w:val="superscript"/>
                <w:lang w:val="en-US" w:eastAsia="zh-CN" w:bidi="ar-SA"/>
                <w14:textFill>
                  <w14:solidFill>
                    <w14:schemeClr w14:val="tx1"/>
                  </w14:solidFill>
                </w14:textFill>
              </w:rPr>
              <w:t>3</w:t>
            </w:r>
            <w:r>
              <w:rPr>
                <w:rFonts w:hint="default" w:ascii="Times New Roman" w:hAnsi="Times New Roman" w:cs="Times New Roman"/>
                <w:color w:val="000000" w:themeColor="text1"/>
                <w:kern w:val="0"/>
                <w:sz w:val="24"/>
                <w:szCs w:val="24"/>
                <w:lang w:val="en-US" w:eastAsia="zh-CN" w:bidi="ar-SA"/>
                <w14:textFill>
                  <w14:solidFill>
                    <w14:schemeClr w14:val="tx1"/>
                  </w14:solidFill>
                </w14:textFill>
              </w:rPr>
              <w:t>）限值要求</w:t>
            </w:r>
            <w:r>
              <w:rPr>
                <w:rFonts w:hint="default" w:ascii="Times New Roman" w:hAnsi="Times New Roman" w:cs="Times New Roman" w:eastAsiaTheme="minorEastAsia"/>
                <w:color w:val="000000" w:themeColor="text1"/>
                <w:sz w:val="24"/>
                <w:lang w:val="en-US" w:eastAsia="zh-CN"/>
                <w14:textFill>
                  <w14:solidFill>
                    <w14:schemeClr w14:val="tx1"/>
                  </w14:solidFill>
                </w14:textFill>
              </w:rPr>
              <w:t>。</w:t>
            </w:r>
          </w:p>
          <w:p w14:paraId="0E6E4273">
            <w:pPr>
              <w:spacing w:line="360" w:lineRule="auto"/>
              <w:ind w:firstLine="480" w:firstLineChars="200"/>
              <w:jc w:val="left"/>
              <w:rPr>
                <w:rFonts w:hint="default" w:ascii="Times New Roman" w:hAnsi="Times New Roman" w:eastAsia="宋体" w:cs="Times New Roman"/>
                <w:color w:val="000000" w:themeColor="text1"/>
                <w:kern w:val="0"/>
                <w:sz w:val="24"/>
                <w:szCs w:val="24"/>
                <w:lang w:val="en-US" w:eastAsia="zh-CN" w:bidi="ar-SA"/>
                <w14:textFill>
                  <w14:solidFill>
                    <w14:schemeClr w14:val="tx1"/>
                  </w14:solidFill>
                </w14:textFill>
              </w:rPr>
            </w:pPr>
            <w:r>
              <w:rPr>
                <w:rFonts w:hint="eastAsia" w:ascii="Times New Roman" w:hAnsi="Times New Roman" w:cs="Times New Roman"/>
                <w:color w:val="000000" w:themeColor="text1"/>
                <w:kern w:val="0"/>
                <w:sz w:val="24"/>
                <w:szCs w:val="24"/>
                <w:lang w:val="en-US" w:eastAsia="zh-CN" w:bidi="ar"/>
                <w14:textFill>
                  <w14:solidFill>
                    <w14:schemeClr w14:val="tx1"/>
                  </w14:solidFill>
                </w14:textFill>
              </w:rPr>
              <w:t>本项目烧结、烘银、固化工序产生的</w:t>
            </w:r>
            <w:r>
              <w:rPr>
                <w:rFonts w:hint="default" w:ascii="Times New Roman" w:hAnsi="Times New Roman" w:cs="Times New Roman"/>
                <w:color w:val="000000" w:themeColor="text1"/>
                <w:kern w:val="0"/>
                <w:sz w:val="24"/>
                <w:szCs w:val="24"/>
                <w:lang w:val="en-US" w:eastAsia="zh-CN" w:bidi="ar"/>
                <w14:textFill>
                  <w14:solidFill>
                    <w14:schemeClr w14:val="tx1"/>
                  </w14:solidFill>
                </w14:textFill>
              </w:rPr>
              <w:t>非甲烷总烃</w:t>
            </w:r>
            <w:r>
              <w:rPr>
                <w:rFonts w:hint="eastAsia" w:ascii="Times New Roman" w:hAnsi="Times New Roman" w:cs="Times New Roman"/>
                <w:color w:val="000000" w:themeColor="text1"/>
                <w:kern w:val="0"/>
                <w:sz w:val="24"/>
                <w:szCs w:val="24"/>
                <w:lang w:val="en-US" w:eastAsia="zh-CN" w:bidi="ar"/>
                <w14:textFill>
                  <w14:solidFill>
                    <w14:schemeClr w14:val="tx1"/>
                  </w14:solidFill>
                </w14:textFill>
              </w:rPr>
              <w:t>经过滤棉+二级活性炭（TA002）处理后经</w:t>
            </w:r>
            <w:r>
              <w:rPr>
                <w:rFonts w:hint="default" w:ascii="Times New Roman" w:hAnsi="Times New Roman" w:cs="Times New Roman" w:eastAsiaTheme="minorEastAsia"/>
                <w:color w:val="000000" w:themeColor="text1"/>
                <w:sz w:val="24"/>
                <w:lang w:val="en-US" w:eastAsia="zh-CN"/>
                <w14:textFill>
                  <w14:solidFill>
                    <w14:schemeClr w14:val="tx1"/>
                  </w14:solidFill>
                </w14:textFill>
              </w:rPr>
              <w:t>15米高的排气筒（DA00</w:t>
            </w:r>
            <w:r>
              <w:rPr>
                <w:rFonts w:hint="eastAsia" w:ascii="Times New Roman" w:hAnsi="Times New Roman" w:cs="Times New Roman" w:eastAsiaTheme="minorEastAsia"/>
                <w:color w:val="000000" w:themeColor="text1"/>
                <w:sz w:val="24"/>
                <w:lang w:val="en-US" w:eastAsia="zh-CN"/>
                <w14:textFill>
                  <w14:solidFill>
                    <w14:schemeClr w14:val="tx1"/>
                  </w14:solidFill>
                </w14:textFill>
              </w:rPr>
              <w:t>2</w:t>
            </w:r>
            <w:r>
              <w:rPr>
                <w:rFonts w:hint="default" w:ascii="Times New Roman" w:hAnsi="Times New Roman" w:cs="Times New Roman" w:eastAsiaTheme="minorEastAsia"/>
                <w:color w:val="000000" w:themeColor="text1"/>
                <w:sz w:val="24"/>
                <w:lang w:val="en-US" w:eastAsia="zh-CN"/>
                <w14:textFill>
                  <w14:solidFill>
                    <w14:schemeClr w14:val="tx1"/>
                  </w14:solidFill>
                </w14:textFill>
              </w:rPr>
              <w:t>）排放</w:t>
            </w:r>
            <w:r>
              <w:rPr>
                <w:rFonts w:hint="eastAsia" w:ascii="Times New Roman" w:hAnsi="Times New Roman" w:cs="Times New Roman" w:eastAsiaTheme="minorEastAsia"/>
                <w:color w:val="000000" w:themeColor="text1"/>
                <w:sz w:val="24"/>
                <w:lang w:val="en-US" w:eastAsia="zh-CN"/>
                <w14:textFill>
                  <w14:solidFill>
                    <w14:schemeClr w14:val="tx1"/>
                  </w14:solidFill>
                </w14:textFill>
              </w:rPr>
              <w:t>，非甲烷总烃总</w:t>
            </w:r>
            <w:r>
              <w:rPr>
                <w:rFonts w:hint="default" w:ascii="Times New Roman" w:hAnsi="Times New Roman" w:cs="Times New Roman"/>
                <w:color w:val="000000" w:themeColor="text1"/>
                <w:kern w:val="0"/>
                <w:sz w:val="24"/>
                <w:szCs w:val="24"/>
                <w:lang w:val="en-US" w:eastAsia="zh-CN" w:bidi="ar"/>
                <w14:textFill>
                  <w14:solidFill>
                    <w14:schemeClr w14:val="tx1"/>
                  </w14:solidFill>
                </w14:textFill>
              </w:rPr>
              <w:t>排放量为0.115t/a</w:t>
            </w:r>
            <w:r>
              <w:rPr>
                <w:rFonts w:hint="default" w:ascii="Times New Roman" w:hAnsi="Times New Roman" w:cs="Times New Roman" w:eastAsiaTheme="minorEastAsia"/>
                <w:color w:val="000000" w:themeColor="text1"/>
                <w:kern w:val="2"/>
                <w:sz w:val="24"/>
                <w:szCs w:val="24"/>
                <w:lang w:val="en-US" w:eastAsia="zh-CN" w:bidi="ar"/>
                <w14:textFill>
                  <w14:solidFill>
                    <w14:schemeClr w14:val="tx1"/>
                  </w14:solidFill>
                </w14:textFill>
              </w:rPr>
              <w:t>（排放速率为0.0286kg/h，排放浓度为1.87mg/m</w:t>
            </w:r>
            <w:r>
              <w:rPr>
                <w:rFonts w:hint="default" w:ascii="Times New Roman" w:hAnsi="Times New Roman" w:cs="Times New Roman" w:eastAsiaTheme="minorEastAsia"/>
                <w:color w:val="000000" w:themeColor="text1"/>
                <w:kern w:val="2"/>
                <w:sz w:val="24"/>
                <w:szCs w:val="24"/>
                <w:vertAlign w:val="superscript"/>
                <w:lang w:val="en-US" w:eastAsia="zh-CN" w:bidi="ar"/>
                <w14:textFill>
                  <w14:solidFill>
                    <w14:schemeClr w14:val="tx1"/>
                  </w14:solidFill>
                </w14:textFill>
              </w:rPr>
              <w:t>3</w:t>
            </w:r>
            <w:r>
              <w:rPr>
                <w:rFonts w:hint="default" w:ascii="Times New Roman" w:hAnsi="Times New Roman" w:cs="Times New Roman" w:eastAsiaTheme="minorEastAsia"/>
                <w:color w:val="000000" w:themeColor="text1"/>
                <w:kern w:val="2"/>
                <w:sz w:val="24"/>
                <w:szCs w:val="24"/>
                <w:lang w:val="en-US" w:eastAsia="zh-CN" w:bidi="ar"/>
                <w14:textFill>
                  <w14:solidFill>
                    <w14:schemeClr w14:val="tx1"/>
                  </w14:solidFill>
                </w14:textFill>
              </w:rPr>
              <w:t>）；</w:t>
            </w:r>
            <w:r>
              <w:rPr>
                <w:rFonts w:hint="eastAsia" w:ascii="Times New Roman" w:hAnsi="Times New Roman" w:cs="Times New Roman" w:eastAsiaTheme="minorEastAsia"/>
                <w:color w:val="000000" w:themeColor="text1"/>
                <w:kern w:val="2"/>
                <w:sz w:val="24"/>
                <w:szCs w:val="24"/>
                <w:lang w:val="en-US" w:eastAsia="zh-CN" w:bidi="ar"/>
                <w14:textFill>
                  <w14:solidFill>
                    <w14:schemeClr w14:val="tx1"/>
                  </w14:solidFill>
                </w14:textFill>
              </w:rPr>
              <w:t>满足</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《挥发性有机物排放控制标准》（DB61/T</w:t>
            </w:r>
            <w:r>
              <w:rPr>
                <w:rFonts w:hint="eastAsia" w:cs="Times New Roman"/>
                <w:color w:val="000000" w:themeColor="text1"/>
                <w:kern w:val="0"/>
                <w:sz w:val="24"/>
                <w:szCs w:val="24"/>
                <w:lang w:val="en-US" w:eastAsia="zh-CN" w:bidi="ar"/>
                <w14:textFill>
                  <w14:solidFill>
                    <w14:schemeClr w14:val="tx1"/>
                  </w14:solidFill>
                </w14:textFill>
              </w:rPr>
              <w:t xml:space="preserve"> </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1061-2017）中</w:t>
            </w:r>
            <w:r>
              <w:rPr>
                <w:rFonts w:hint="eastAsia" w:ascii="Times New Roman" w:hAnsi="Times New Roman" w:cs="Times New Roman"/>
                <w:color w:val="000000" w:themeColor="text1"/>
                <w:kern w:val="0"/>
                <w:sz w:val="24"/>
                <w:szCs w:val="24"/>
                <w:lang w:val="en-US" w:eastAsia="zh-CN" w:bidi="ar"/>
                <w14:textFill>
                  <w14:solidFill>
                    <w14:schemeClr w14:val="tx1"/>
                  </w14:solidFill>
                </w14:textFill>
              </w:rPr>
              <w:t>“</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电子产品制造</w:t>
            </w:r>
            <w:r>
              <w:rPr>
                <w:rFonts w:hint="eastAsia" w:ascii="Times New Roman" w:hAnsi="Times New Roman" w:cs="Times New Roman"/>
                <w:color w:val="000000" w:themeColor="text1"/>
                <w:kern w:val="0"/>
                <w:sz w:val="24"/>
                <w:szCs w:val="24"/>
                <w:lang w:val="en-US" w:eastAsia="zh-CN" w:bidi="ar"/>
                <w14:textFill>
                  <w14:solidFill>
                    <w14:schemeClr w14:val="tx1"/>
                  </w14:solidFill>
                </w14:textFill>
              </w:rPr>
              <w:t>”</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非甲烷总烃最高允许排放浓度（50</w:t>
            </w:r>
            <w:r>
              <w:rPr>
                <w:rFonts w:hint="default" w:ascii="Times New Roman" w:hAnsi="Times New Roman" w:cs="Times New Roman"/>
                <w:color w:val="000000" w:themeColor="text1"/>
                <w:kern w:val="0"/>
                <w:sz w:val="24"/>
                <w:szCs w:val="24"/>
                <w:lang w:val="en-US" w:eastAsia="zh-CN" w:bidi="ar-SA"/>
                <w14:textFill>
                  <w14:solidFill>
                    <w14:schemeClr w14:val="tx1"/>
                  </w14:solidFill>
                </w14:textFill>
              </w:rPr>
              <w:t>mg/m</w:t>
            </w:r>
            <w:r>
              <w:rPr>
                <w:rFonts w:hint="default" w:ascii="Times New Roman" w:hAnsi="Times New Roman" w:cs="Times New Roman"/>
                <w:color w:val="000000" w:themeColor="text1"/>
                <w:kern w:val="0"/>
                <w:sz w:val="24"/>
                <w:szCs w:val="24"/>
                <w:vertAlign w:val="superscript"/>
                <w:lang w:val="en-US" w:eastAsia="zh-CN" w:bidi="ar-SA"/>
                <w14:textFill>
                  <w14:solidFill>
                    <w14:schemeClr w14:val="tx1"/>
                  </w14:solidFill>
                </w14:textFill>
              </w:rPr>
              <w:t>3</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）限值要求。焊接工序产生的</w:t>
            </w:r>
            <w:r>
              <w:rPr>
                <w:rFonts w:hint="default" w:ascii="Times New Roman" w:hAnsi="Times New Roman" w:cs="Times New Roman"/>
                <w:b w:val="0"/>
                <w:bCs w:val="0"/>
                <w:color w:val="000000" w:themeColor="text1"/>
                <w:kern w:val="0"/>
                <w:sz w:val="24"/>
                <w:szCs w:val="24"/>
                <w:lang w:val="en-US" w:eastAsia="zh-CN" w:bidi="ar"/>
                <w14:textFill>
                  <w14:solidFill>
                    <w14:schemeClr w14:val="tx1"/>
                  </w14:solidFill>
                </w14:textFill>
              </w:rPr>
              <w:t>锡及其化合物</w:t>
            </w:r>
            <w:r>
              <w:rPr>
                <w:rFonts w:hint="eastAsia" w:ascii="Times New Roman" w:hAnsi="Times New Roman" w:cs="Times New Roman"/>
                <w:b w:val="0"/>
                <w:bCs w:val="0"/>
                <w:color w:val="000000" w:themeColor="text1"/>
                <w:kern w:val="0"/>
                <w:sz w:val="24"/>
                <w:szCs w:val="24"/>
                <w:lang w:val="en-US" w:eastAsia="zh-CN" w:bidi="ar"/>
                <w14:textFill>
                  <w14:solidFill>
                    <w14:schemeClr w14:val="tx1"/>
                  </w14:solidFill>
                </w14:textFill>
              </w:rPr>
              <w:t>经过滤棉+二级活性炭（TA002）</w:t>
            </w:r>
            <w:r>
              <w:rPr>
                <w:rFonts w:hint="eastAsia" w:ascii="Times New Roman" w:hAnsi="Times New Roman" w:cs="Times New Roman"/>
                <w:color w:val="000000" w:themeColor="text1"/>
                <w:kern w:val="0"/>
                <w:sz w:val="24"/>
                <w:szCs w:val="24"/>
                <w:lang w:val="en-US" w:eastAsia="zh-CN" w:bidi="ar"/>
                <w14:textFill>
                  <w14:solidFill>
                    <w14:schemeClr w14:val="tx1"/>
                  </w14:solidFill>
                </w14:textFill>
              </w:rPr>
              <w:t>处理后经</w:t>
            </w:r>
            <w:r>
              <w:rPr>
                <w:rFonts w:hint="default" w:ascii="Times New Roman" w:hAnsi="Times New Roman" w:cs="Times New Roman" w:eastAsiaTheme="minorEastAsia"/>
                <w:color w:val="000000" w:themeColor="text1"/>
                <w:sz w:val="24"/>
                <w:lang w:val="en-US" w:eastAsia="zh-CN"/>
                <w14:textFill>
                  <w14:solidFill>
                    <w14:schemeClr w14:val="tx1"/>
                  </w14:solidFill>
                </w14:textFill>
              </w:rPr>
              <w:t>15米高的排气筒（DA00</w:t>
            </w:r>
            <w:r>
              <w:rPr>
                <w:rFonts w:hint="eastAsia" w:ascii="Times New Roman" w:hAnsi="Times New Roman" w:cs="Times New Roman" w:eastAsiaTheme="minorEastAsia"/>
                <w:color w:val="000000" w:themeColor="text1"/>
                <w:sz w:val="24"/>
                <w:lang w:val="en-US" w:eastAsia="zh-CN"/>
                <w14:textFill>
                  <w14:solidFill>
                    <w14:schemeClr w14:val="tx1"/>
                  </w14:solidFill>
                </w14:textFill>
              </w:rPr>
              <w:t>2</w:t>
            </w:r>
            <w:r>
              <w:rPr>
                <w:rFonts w:hint="default" w:ascii="Times New Roman" w:hAnsi="Times New Roman" w:cs="Times New Roman" w:eastAsiaTheme="minorEastAsia"/>
                <w:color w:val="000000" w:themeColor="text1"/>
                <w:sz w:val="24"/>
                <w:lang w:val="en-US" w:eastAsia="zh-CN"/>
                <w14:textFill>
                  <w14:solidFill>
                    <w14:schemeClr w14:val="tx1"/>
                  </w14:solidFill>
                </w14:textFill>
              </w:rPr>
              <w:t>）排放</w:t>
            </w:r>
            <w:r>
              <w:rPr>
                <w:rFonts w:hint="eastAsia" w:ascii="Times New Roman" w:hAnsi="Times New Roman" w:cs="Times New Roman" w:eastAsiaTheme="minorEastAsia"/>
                <w:color w:val="000000" w:themeColor="text1"/>
                <w:sz w:val="24"/>
                <w:lang w:val="en-US" w:eastAsia="zh-CN"/>
                <w14:textFill>
                  <w14:solidFill>
                    <w14:schemeClr w14:val="tx1"/>
                  </w14:solidFill>
                </w14:textFill>
              </w:rPr>
              <w:t>，</w:t>
            </w:r>
            <w:r>
              <w:rPr>
                <w:rFonts w:hint="default" w:ascii="Times New Roman" w:hAnsi="Times New Roman" w:cs="Times New Roman"/>
                <w:color w:val="000000" w:themeColor="text1"/>
                <w:kern w:val="0"/>
                <w:sz w:val="24"/>
                <w:szCs w:val="24"/>
                <w:lang w:val="en-US" w:eastAsia="zh-CN" w:bidi="ar"/>
                <w14:textFill>
                  <w14:solidFill>
                    <w14:schemeClr w14:val="tx1"/>
                  </w14:solidFill>
                </w14:textFill>
              </w:rPr>
              <w:t>排放量为</w:t>
            </w:r>
            <w:r>
              <w:rPr>
                <w:rFonts w:hint="default" w:ascii="Times New Roman" w:hAnsi="Times New Roman" w:cs="Times New Roman"/>
                <w:b w:val="0"/>
                <w:bCs w:val="0"/>
                <w:color w:val="000000" w:themeColor="text1"/>
                <w:kern w:val="0"/>
                <w:sz w:val="24"/>
                <w:szCs w:val="24"/>
                <w:lang w:val="en-US" w:eastAsia="zh-CN" w:bidi="ar"/>
                <w14:textFill>
                  <w14:solidFill>
                    <w14:schemeClr w14:val="tx1"/>
                  </w14:solidFill>
                </w14:textFill>
              </w:rPr>
              <w:t>0.15kg</w:t>
            </w:r>
            <w:r>
              <w:rPr>
                <w:rFonts w:hint="default" w:ascii="Times New Roman" w:hAnsi="Times New Roman" w:eastAsia="宋体" w:cs="Times New Roman"/>
                <w:b w:val="0"/>
                <w:bCs w:val="0"/>
                <w:color w:val="000000" w:themeColor="text1"/>
                <w:kern w:val="0"/>
                <w:sz w:val="24"/>
                <w:szCs w:val="24"/>
                <w:lang w:val="en-US" w:eastAsia="zh-CN" w:bidi="ar"/>
                <w14:textFill>
                  <w14:solidFill>
                    <w14:schemeClr w14:val="tx1"/>
                  </w14:solidFill>
                </w14:textFill>
              </w:rPr>
              <w:t>/a</w:t>
            </w:r>
            <w:r>
              <w:rPr>
                <w:rFonts w:hint="default" w:ascii="Times New Roman" w:hAnsi="Times New Roman" w:cs="Times New Roman" w:eastAsiaTheme="minorEastAsia"/>
                <w:b w:val="0"/>
                <w:bCs w:val="0"/>
                <w:color w:val="000000" w:themeColor="text1"/>
                <w:kern w:val="2"/>
                <w:sz w:val="24"/>
                <w:szCs w:val="24"/>
                <w:lang w:val="en-US" w:eastAsia="zh-CN" w:bidi="ar"/>
                <w14:textFill>
                  <w14:solidFill>
                    <w14:schemeClr w14:val="tx1"/>
                  </w14:solidFill>
                </w14:textFill>
              </w:rPr>
              <w:t>（</w:t>
            </w:r>
            <w:r>
              <w:rPr>
                <w:rFonts w:hint="default" w:ascii="Times New Roman" w:hAnsi="Times New Roman" w:cs="Times New Roman" w:eastAsiaTheme="minorEastAsia"/>
                <w:color w:val="000000" w:themeColor="text1"/>
                <w:kern w:val="2"/>
                <w:sz w:val="24"/>
                <w:szCs w:val="24"/>
                <w:lang w:val="en-US" w:eastAsia="zh-CN" w:bidi="ar"/>
                <w14:textFill>
                  <w14:solidFill>
                    <w14:schemeClr w14:val="tx1"/>
                  </w14:solidFill>
                </w14:textFill>
              </w:rPr>
              <w:t>排放速率</w:t>
            </w:r>
            <w:r>
              <w:rPr>
                <w:rFonts w:hint="default" w:ascii="Times New Roman" w:hAnsi="Times New Roman" w:cs="Times New Roman" w:eastAsiaTheme="minorEastAsia"/>
                <w:b w:val="0"/>
                <w:bCs w:val="0"/>
                <w:color w:val="000000" w:themeColor="text1"/>
                <w:kern w:val="2"/>
                <w:sz w:val="24"/>
                <w:szCs w:val="24"/>
                <w:lang w:val="en-US" w:eastAsia="zh-CN" w:bidi="ar"/>
                <w14:textFill>
                  <w14:solidFill>
                    <w14:schemeClr w14:val="tx1"/>
                  </w14:solidFill>
                </w14:textFill>
              </w:rPr>
              <w:t>0.062kg/h</w:t>
            </w:r>
            <w:r>
              <w:rPr>
                <w:rFonts w:hint="default" w:ascii="Times New Roman" w:hAnsi="Times New Roman" w:cs="Times New Roman" w:eastAsiaTheme="minorEastAsia"/>
                <w:color w:val="000000" w:themeColor="text1"/>
                <w:kern w:val="2"/>
                <w:sz w:val="24"/>
                <w:szCs w:val="24"/>
                <w:lang w:val="en-US" w:eastAsia="zh-CN" w:bidi="ar"/>
                <w14:textFill>
                  <w14:solidFill>
                    <w14:schemeClr w14:val="tx1"/>
                  </w14:solidFill>
                </w14:textFill>
              </w:rPr>
              <w:t>，排放浓度为4.13mg/m</w:t>
            </w:r>
            <w:r>
              <w:rPr>
                <w:rFonts w:hint="default" w:ascii="Times New Roman" w:hAnsi="Times New Roman" w:cs="Times New Roman" w:eastAsiaTheme="minorEastAsia"/>
                <w:color w:val="000000" w:themeColor="text1"/>
                <w:kern w:val="2"/>
                <w:sz w:val="24"/>
                <w:szCs w:val="24"/>
                <w:vertAlign w:val="superscript"/>
                <w:lang w:val="en-US" w:eastAsia="zh-CN" w:bidi="ar"/>
                <w14:textFill>
                  <w14:solidFill>
                    <w14:schemeClr w14:val="tx1"/>
                  </w14:solidFill>
                </w14:textFill>
              </w:rPr>
              <w:t>3</w:t>
            </w:r>
            <w:r>
              <w:rPr>
                <w:rFonts w:hint="default" w:ascii="Times New Roman" w:hAnsi="Times New Roman" w:cs="Times New Roman" w:eastAsiaTheme="minorEastAsia"/>
                <w:b w:val="0"/>
                <w:bCs w:val="0"/>
                <w:color w:val="000000" w:themeColor="text1"/>
                <w:kern w:val="2"/>
                <w:sz w:val="24"/>
                <w:szCs w:val="24"/>
                <w:lang w:val="en-US" w:eastAsia="zh-CN" w:bidi="ar"/>
                <w14:textFill>
                  <w14:solidFill>
                    <w14:schemeClr w14:val="tx1"/>
                  </w14:solidFill>
                </w14:textFill>
              </w:rPr>
              <w:t>）</w:t>
            </w:r>
            <w:r>
              <w:rPr>
                <w:rFonts w:hint="eastAsia" w:ascii="Times New Roman" w:hAnsi="Times New Roman" w:cs="Times New Roman" w:eastAsiaTheme="minorEastAsia"/>
                <w:b w:val="0"/>
                <w:bCs w:val="0"/>
                <w:color w:val="000000" w:themeColor="text1"/>
                <w:kern w:val="2"/>
                <w:sz w:val="24"/>
                <w:szCs w:val="24"/>
                <w:lang w:val="en-US" w:eastAsia="zh-CN" w:bidi="ar"/>
                <w14:textFill>
                  <w14:solidFill>
                    <w14:schemeClr w14:val="tx1"/>
                  </w14:solidFill>
                </w14:textFill>
              </w:rPr>
              <w:t>，</w:t>
            </w:r>
            <w:r>
              <w:rPr>
                <w:rFonts w:hint="default" w:ascii="Times New Roman" w:hAnsi="Times New Roman" w:cs="Times New Roman" w:eastAsiaTheme="minorEastAsia"/>
                <w:color w:val="000000" w:themeColor="text1"/>
                <w:sz w:val="24"/>
                <w:lang w:val="en-US" w:eastAsia="zh-CN"/>
                <w14:textFill>
                  <w14:solidFill>
                    <w14:schemeClr w14:val="tx1"/>
                  </w14:solidFill>
                </w14:textFill>
              </w:rPr>
              <w:t>满足</w:t>
            </w:r>
            <w:r>
              <w:rPr>
                <w:rFonts w:hint="default" w:ascii="Times New Roman" w:hAnsi="Times New Roman" w:eastAsia="宋体" w:cs="Times New Roman"/>
                <w:color w:val="000000" w:themeColor="text1"/>
                <w:kern w:val="0"/>
                <w:sz w:val="24"/>
                <w:szCs w:val="24"/>
                <w:lang w:val="en-US" w:eastAsia="zh-CN" w:bidi="ar-SA"/>
                <w14:textFill>
                  <w14:solidFill>
                    <w14:schemeClr w14:val="tx1"/>
                  </w14:solidFill>
                </w14:textFill>
              </w:rPr>
              <w:t>《大气污染物综合排放标准》(GB</w:t>
            </w:r>
            <w:r>
              <w:rPr>
                <w:rFonts w:hint="eastAsia" w:cs="Times New Roman"/>
                <w:color w:val="000000" w:themeColor="text1"/>
                <w:kern w:val="0"/>
                <w:sz w:val="24"/>
                <w:szCs w:val="24"/>
                <w:lang w:val="en-US" w:eastAsia="zh-CN" w:bidi="ar-SA"/>
                <w14:textFill>
                  <w14:solidFill>
                    <w14:schemeClr w14:val="tx1"/>
                  </w14:solidFill>
                </w14:textFill>
              </w:rPr>
              <w:t xml:space="preserve"> </w:t>
            </w:r>
            <w:r>
              <w:rPr>
                <w:rFonts w:hint="default" w:ascii="Times New Roman" w:hAnsi="Times New Roman" w:eastAsia="宋体" w:cs="Times New Roman"/>
                <w:color w:val="000000" w:themeColor="text1"/>
                <w:kern w:val="0"/>
                <w:sz w:val="24"/>
                <w:szCs w:val="24"/>
                <w:lang w:val="en-US" w:eastAsia="zh-CN" w:bidi="ar-SA"/>
                <w14:textFill>
                  <w14:solidFill>
                    <w14:schemeClr w14:val="tx1"/>
                  </w14:solidFill>
                </w14:textFill>
              </w:rPr>
              <w:t>16297-1996)表 2</w:t>
            </w:r>
            <w:r>
              <w:rPr>
                <w:rFonts w:hint="default" w:ascii="Times New Roman" w:hAnsi="Times New Roman" w:cs="Times New Roman"/>
                <w:color w:val="000000" w:themeColor="text1"/>
                <w:kern w:val="0"/>
                <w:sz w:val="24"/>
                <w:szCs w:val="24"/>
                <w:lang w:val="en-US" w:eastAsia="zh-CN" w:bidi="ar-SA"/>
                <w14:textFill>
                  <w14:solidFill>
                    <w14:schemeClr w14:val="tx1"/>
                  </w14:solidFill>
                </w14:textFill>
              </w:rPr>
              <w:t>标准（</w:t>
            </w:r>
            <w:r>
              <w:rPr>
                <w:rFonts w:hint="eastAsia" w:ascii="Times New Roman" w:hAnsi="Times New Roman" w:cs="Times New Roman"/>
                <w:color w:val="000000" w:themeColor="text1"/>
                <w:kern w:val="0"/>
                <w:sz w:val="24"/>
                <w:szCs w:val="24"/>
                <w:lang w:val="en-US" w:eastAsia="zh-CN" w:bidi="ar-SA"/>
                <w14:textFill>
                  <w14:solidFill>
                    <w14:schemeClr w14:val="tx1"/>
                  </w14:solidFill>
                </w14:textFill>
              </w:rPr>
              <w:t>8.5</w:t>
            </w:r>
            <w:r>
              <w:rPr>
                <w:rFonts w:hint="default" w:ascii="Times New Roman" w:hAnsi="Times New Roman" w:cs="Times New Roman"/>
                <w:color w:val="000000" w:themeColor="text1"/>
                <w:kern w:val="0"/>
                <w:sz w:val="24"/>
                <w:szCs w:val="24"/>
                <w:lang w:val="en-US" w:eastAsia="zh-CN" w:bidi="ar-SA"/>
                <w14:textFill>
                  <w14:solidFill>
                    <w14:schemeClr w14:val="tx1"/>
                  </w14:solidFill>
                </w14:textFill>
              </w:rPr>
              <w:t>mg/m</w:t>
            </w:r>
            <w:r>
              <w:rPr>
                <w:rFonts w:hint="default" w:ascii="Times New Roman" w:hAnsi="Times New Roman" w:cs="Times New Roman"/>
                <w:color w:val="000000" w:themeColor="text1"/>
                <w:kern w:val="0"/>
                <w:sz w:val="24"/>
                <w:szCs w:val="24"/>
                <w:vertAlign w:val="superscript"/>
                <w:lang w:val="en-US" w:eastAsia="zh-CN" w:bidi="ar-SA"/>
                <w14:textFill>
                  <w14:solidFill>
                    <w14:schemeClr w14:val="tx1"/>
                  </w14:solidFill>
                </w14:textFill>
              </w:rPr>
              <w:t>3</w:t>
            </w:r>
            <w:r>
              <w:rPr>
                <w:rFonts w:hint="default" w:ascii="Times New Roman" w:hAnsi="Times New Roman" w:cs="Times New Roman"/>
                <w:color w:val="000000" w:themeColor="text1"/>
                <w:kern w:val="0"/>
                <w:sz w:val="24"/>
                <w:szCs w:val="24"/>
                <w:lang w:val="en-US" w:eastAsia="zh-CN" w:bidi="ar-SA"/>
                <w14:textFill>
                  <w14:solidFill>
                    <w14:schemeClr w14:val="tx1"/>
                  </w14:solidFill>
                </w14:textFill>
              </w:rPr>
              <w:t>）限值要求</w:t>
            </w:r>
            <w:r>
              <w:rPr>
                <w:rFonts w:hint="eastAsia" w:ascii="Times New Roman" w:hAnsi="Times New Roman" w:cs="Times New Roman"/>
                <w:color w:val="000000" w:themeColor="text1"/>
                <w:kern w:val="0"/>
                <w:sz w:val="24"/>
                <w:szCs w:val="24"/>
                <w:lang w:val="en-US" w:eastAsia="zh-CN" w:bidi="ar-SA"/>
                <w14:textFill>
                  <w14:solidFill>
                    <w14:schemeClr w14:val="tx1"/>
                  </w14:solidFill>
                </w14:textFill>
              </w:rPr>
              <w:t>。</w:t>
            </w:r>
          </w:p>
          <w:p w14:paraId="2AE71EAD">
            <w:pPr>
              <w:spacing w:line="360" w:lineRule="auto"/>
              <w:jc w:val="left"/>
              <w:rPr>
                <w:rFonts w:hint="default" w:ascii="Times New Roman" w:hAnsi="Times New Roman" w:eastAsia="黑体" w:cs="Times New Roman"/>
                <w:bCs/>
                <w:color w:val="000000" w:themeColor="text1"/>
                <w:sz w:val="24"/>
                <w:szCs w:val="28"/>
                <w14:textFill>
                  <w14:solidFill>
                    <w14:schemeClr w14:val="tx1"/>
                  </w14:solidFill>
                </w14:textFill>
              </w:rPr>
            </w:pPr>
            <w:r>
              <w:rPr>
                <w:rFonts w:hint="default" w:ascii="Times New Roman" w:hAnsi="Times New Roman" w:eastAsia="黑体" w:cs="Times New Roman"/>
                <w:bCs/>
                <w:color w:val="000000" w:themeColor="text1"/>
                <w:sz w:val="24"/>
                <w:szCs w:val="28"/>
                <w:lang w:eastAsia="zh-CN"/>
                <w14:textFill>
                  <w14:solidFill>
                    <w14:schemeClr w14:val="tx1"/>
                  </w14:solidFill>
                </w14:textFill>
              </w:rPr>
              <w:t>4.</w:t>
            </w:r>
            <w:r>
              <w:rPr>
                <w:rFonts w:hint="default" w:ascii="Times New Roman" w:hAnsi="Times New Roman" w:eastAsia="黑体" w:cs="Times New Roman"/>
                <w:bCs/>
                <w:color w:val="000000" w:themeColor="text1"/>
                <w:sz w:val="24"/>
                <w:szCs w:val="28"/>
                <w14:textFill>
                  <w14:solidFill>
                    <w14:schemeClr w14:val="tx1"/>
                  </w14:solidFill>
                </w14:textFill>
              </w:rPr>
              <w:t>非正常工况废气</w:t>
            </w:r>
          </w:p>
          <w:p w14:paraId="367398C0">
            <w:pPr>
              <w:spacing w:line="360" w:lineRule="auto"/>
              <w:ind w:firstLine="480" w:firstLineChars="200"/>
              <w:jc w:val="left"/>
              <w:rPr>
                <w:rFonts w:hint="default" w:ascii="Times New Roman" w:hAnsi="Times New Roman" w:cs="Times New Roman" w:eastAsiaTheme="minorEastAsia"/>
                <w:color w:val="000000" w:themeColor="text1"/>
                <w:kern w:val="0"/>
                <w:sz w:val="24"/>
                <w:lang w:eastAsia="zh-CN"/>
                <w14:textFill>
                  <w14:solidFill>
                    <w14:schemeClr w14:val="tx1"/>
                  </w14:solidFill>
                </w14:textFill>
              </w:rPr>
            </w:pPr>
            <w:r>
              <w:rPr>
                <w:rFonts w:hint="default" w:ascii="Times New Roman" w:hAnsi="Times New Roman"/>
                <w:bCs/>
                <w:color w:val="000000" w:themeColor="text1"/>
                <w:sz w:val="24"/>
                <w:lang w:val="en-US" w:eastAsia="zh-CN"/>
                <w14:textFill>
                  <w14:solidFill>
                    <w14:schemeClr w14:val="tx1"/>
                  </w14:solidFill>
                </w14:textFill>
              </w:rPr>
              <w:t>非正常情况主要是停电或设备开停车、检修时，环保装置未提前开启，或</w:t>
            </w:r>
            <w:r>
              <w:rPr>
                <w:rFonts w:hint="default" w:ascii="Times New Roman" w:hAnsi="Times New Roman"/>
                <w:bCs/>
                <w:color w:val="000000" w:themeColor="text1"/>
                <w:sz w:val="24"/>
                <w14:textFill>
                  <w14:solidFill>
                    <w14:schemeClr w14:val="tx1"/>
                  </w14:solidFill>
                </w14:textFill>
              </w:rPr>
              <w:t>污染物排放治理措施达不到应有效率，即废气处理设施失效，造成项目运行产生废气污染物未经处理直接排入大气环境，</w:t>
            </w:r>
            <w:r>
              <w:rPr>
                <w:rFonts w:hint="default" w:ascii="Times New Roman" w:hAnsi="Times New Roman"/>
                <w:bCs/>
                <w:color w:val="000000" w:themeColor="text1"/>
                <w:sz w:val="24"/>
                <w:lang w:val="en-US" w:eastAsia="zh-CN"/>
                <w14:textFill>
                  <w14:solidFill>
                    <w14:schemeClr w14:val="tx1"/>
                  </w14:solidFill>
                </w14:textFill>
              </w:rPr>
              <w:t>以最不利情况下废气处理系统净化效率为零考虑，源强最大的时段废气排放</w:t>
            </w:r>
            <w:r>
              <w:rPr>
                <w:rFonts w:hint="eastAsia" w:ascii="Times New Roman" w:hAnsi="Times New Roman"/>
                <w:bCs/>
                <w:color w:val="000000" w:themeColor="text1"/>
                <w:sz w:val="24"/>
                <w:lang w:val="en-US" w:eastAsia="zh-CN"/>
                <w14:textFill>
                  <w14:solidFill>
                    <w14:schemeClr w14:val="tx1"/>
                  </w14:solidFill>
                </w14:textFill>
              </w:rPr>
              <w:t>0.5</w:t>
            </w:r>
            <w:r>
              <w:rPr>
                <w:rFonts w:hint="default" w:ascii="Times New Roman" w:hAnsi="Times New Roman"/>
                <w:bCs/>
                <w:color w:val="000000" w:themeColor="text1"/>
                <w:sz w:val="24"/>
                <w:lang w:val="en-US" w:eastAsia="zh-CN"/>
                <w14:textFill>
                  <w14:solidFill>
                    <w14:schemeClr w14:val="tx1"/>
                  </w14:solidFill>
                </w14:textFill>
              </w:rPr>
              <w:t>h对周围环境的影响</w:t>
            </w:r>
            <w:r>
              <w:rPr>
                <w:rFonts w:hint="default" w:ascii="Times New Roman" w:hAnsi="Times New Roman" w:cs="Times New Roman" w:eastAsiaTheme="minorEastAsia"/>
                <w:color w:val="000000" w:themeColor="text1"/>
                <w:kern w:val="0"/>
                <w:sz w:val="24"/>
                <w:lang w:eastAsia="zh-CN"/>
                <w14:textFill>
                  <w14:solidFill>
                    <w14:schemeClr w14:val="tx1"/>
                  </w14:solidFill>
                </w14:textFill>
              </w:rPr>
              <w:t>。</w:t>
            </w:r>
          </w:p>
          <w:p w14:paraId="0877BC14">
            <w:pPr>
              <w:widowControl/>
              <w:spacing w:line="440" w:lineRule="exact"/>
              <w:jc w:val="center"/>
              <w:rPr>
                <w:rFonts w:hint="default" w:ascii="Times New Roman" w:hAnsi="Times New Roman" w:cs="Times New Roman"/>
                <w:b/>
                <w:color w:val="000000" w:themeColor="text1"/>
                <w:sz w:val="24"/>
                <w14:textFill>
                  <w14:solidFill>
                    <w14:schemeClr w14:val="tx1"/>
                  </w14:solidFill>
                </w14:textFill>
              </w:rPr>
            </w:pPr>
            <w:r>
              <w:rPr>
                <w:rFonts w:hint="default" w:ascii="Times New Roman" w:hAnsi="Times New Roman" w:cs="Times New Roman"/>
                <w:b/>
                <w:color w:val="000000" w:themeColor="text1"/>
                <w:sz w:val="24"/>
                <w14:textFill>
                  <w14:solidFill>
                    <w14:schemeClr w14:val="tx1"/>
                  </w14:solidFill>
                </w14:textFill>
              </w:rPr>
              <w:t>表4-</w:t>
            </w:r>
            <w:r>
              <w:rPr>
                <w:rFonts w:hint="default" w:ascii="Times New Roman" w:hAnsi="Times New Roman" w:cs="Times New Roman"/>
                <w:b/>
                <w:color w:val="000000" w:themeColor="text1"/>
                <w:sz w:val="24"/>
                <w:lang w:val="en-US" w:eastAsia="zh-CN"/>
                <w14:textFill>
                  <w14:solidFill>
                    <w14:schemeClr w14:val="tx1"/>
                  </w14:solidFill>
                </w14:textFill>
              </w:rPr>
              <w:t>3</w:t>
            </w:r>
            <w:r>
              <w:rPr>
                <w:rFonts w:hint="default" w:ascii="Times New Roman" w:hAnsi="Times New Roman" w:cs="Times New Roman"/>
                <w:b/>
                <w:color w:val="000000" w:themeColor="text1"/>
                <w:sz w:val="24"/>
                <w14:textFill>
                  <w14:solidFill>
                    <w14:schemeClr w14:val="tx1"/>
                  </w14:solidFill>
                </w14:textFill>
              </w:rPr>
              <w:t xml:space="preserve">   非正常工况废气排放情况一览表</w:t>
            </w:r>
          </w:p>
          <w:tbl>
            <w:tblPr>
              <w:tblStyle w:val="36"/>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450"/>
              <w:gridCol w:w="1692"/>
              <w:gridCol w:w="1352"/>
              <w:gridCol w:w="1084"/>
              <w:gridCol w:w="1297"/>
              <w:gridCol w:w="1237"/>
            </w:tblGrid>
            <w:tr w14:paraId="6FABBB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93" w:type="pct"/>
                  <w:tcBorders>
                    <w:tl2br w:val="nil"/>
                    <w:tr2bl w:val="nil"/>
                  </w:tcBorders>
                  <w:noWrap w:val="0"/>
                  <w:vAlign w:val="center"/>
                </w:tcPr>
                <w:p w14:paraId="2C25E9C2">
                  <w:pPr>
                    <w:jc w:val="center"/>
                    <w:rPr>
                      <w:rFonts w:hint="default" w:ascii="Times New Roman" w:hAnsi="Times New Roman" w:eastAsia="宋体" w:cs="Times New Roman"/>
                      <w:b/>
                      <w:bCs/>
                      <w:color w:val="000000" w:themeColor="text1"/>
                      <w:spacing w:val="-10"/>
                      <w:szCs w:val="21"/>
                      <w:lang w:val="en-US" w:eastAsia="zh-CN"/>
                      <w14:textFill>
                        <w14:solidFill>
                          <w14:schemeClr w14:val="tx1"/>
                        </w14:solidFill>
                      </w14:textFill>
                    </w:rPr>
                  </w:pPr>
                  <w:r>
                    <w:rPr>
                      <w:rFonts w:hint="eastAsia" w:ascii="Times New Roman" w:hAnsi="Times New Roman" w:cs="Times New Roman"/>
                      <w:b/>
                      <w:bCs/>
                      <w:color w:val="000000" w:themeColor="text1"/>
                      <w:spacing w:val="-10"/>
                      <w:szCs w:val="21"/>
                      <w:lang w:val="en-US" w:eastAsia="zh-CN"/>
                      <w14:textFill>
                        <w14:solidFill>
                          <w14:schemeClr w14:val="tx1"/>
                        </w14:solidFill>
                      </w14:textFill>
                    </w:rPr>
                    <w:t>污染源</w:t>
                  </w:r>
                </w:p>
              </w:tc>
              <w:tc>
                <w:tcPr>
                  <w:tcW w:w="1042" w:type="pct"/>
                  <w:tcBorders>
                    <w:tl2br w:val="nil"/>
                    <w:tr2bl w:val="nil"/>
                  </w:tcBorders>
                  <w:noWrap w:val="0"/>
                  <w:vAlign w:val="center"/>
                </w:tcPr>
                <w:p w14:paraId="07E620AA">
                  <w:pPr>
                    <w:jc w:val="center"/>
                    <w:rPr>
                      <w:rFonts w:hint="default" w:ascii="Times New Roman" w:hAnsi="Times New Roman" w:cs="Times New Roman"/>
                      <w:b/>
                      <w:bCs/>
                      <w:color w:val="000000" w:themeColor="text1"/>
                      <w:spacing w:val="-10"/>
                      <w:szCs w:val="21"/>
                      <w14:textFill>
                        <w14:solidFill>
                          <w14:schemeClr w14:val="tx1"/>
                        </w14:solidFill>
                      </w14:textFill>
                    </w:rPr>
                  </w:pPr>
                  <w:r>
                    <w:rPr>
                      <w:rFonts w:hint="default" w:ascii="Times New Roman" w:hAnsi="Times New Roman" w:cs="Times New Roman"/>
                      <w:b/>
                      <w:bCs/>
                      <w:color w:val="000000" w:themeColor="text1"/>
                      <w:spacing w:val="-10"/>
                      <w:szCs w:val="21"/>
                      <w14:textFill>
                        <w14:solidFill>
                          <w14:schemeClr w14:val="tx1"/>
                        </w14:solidFill>
                      </w14:textFill>
                    </w:rPr>
                    <w:t>污染物种类</w:t>
                  </w:r>
                </w:p>
              </w:tc>
              <w:tc>
                <w:tcPr>
                  <w:tcW w:w="833" w:type="pct"/>
                  <w:tcBorders>
                    <w:tl2br w:val="nil"/>
                    <w:tr2bl w:val="nil"/>
                  </w:tcBorders>
                  <w:noWrap w:val="0"/>
                  <w:vAlign w:val="center"/>
                </w:tcPr>
                <w:p w14:paraId="77A9748E">
                  <w:pPr>
                    <w:jc w:val="center"/>
                    <w:rPr>
                      <w:rFonts w:hint="default" w:ascii="Times New Roman" w:hAnsi="Times New Roman" w:eastAsia="宋体" w:cs="Times New Roman"/>
                      <w:b/>
                      <w:bCs/>
                      <w:color w:val="000000" w:themeColor="text1"/>
                      <w:spacing w:val="-10"/>
                      <w:szCs w:val="21"/>
                      <w:lang w:val="en-US" w:eastAsia="zh-CN"/>
                      <w14:textFill>
                        <w14:solidFill>
                          <w14:schemeClr w14:val="tx1"/>
                        </w14:solidFill>
                      </w14:textFill>
                    </w:rPr>
                  </w:pPr>
                  <w:r>
                    <w:rPr>
                      <w:rFonts w:hint="default" w:ascii="Times New Roman" w:hAnsi="Times New Roman" w:cs="Times New Roman"/>
                      <w:b/>
                      <w:bCs/>
                      <w:color w:val="000000" w:themeColor="text1"/>
                      <w:spacing w:val="-10"/>
                      <w:szCs w:val="21"/>
                      <w:lang w:val="en-US" w:eastAsia="zh-CN"/>
                      <w14:textFill>
                        <w14:solidFill>
                          <w14:schemeClr w14:val="tx1"/>
                        </w14:solidFill>
                      </w14:textFill>
                    </w:rPr>
                    <w:t>产生速率</w:t>
                  </w:r>
                </w:p>
              </w:tc>
              <w:tc>
                <w:tcPr>
                  <w:tcW w:w="668" w:type="pct"/>
                  <w:tcBorders>
                    <w:tl2br w:val="nil"/>
                    <w:tr2bl w:val="nil"/>
                  </w:tcBorders>
                  <w:noWrap w:val="0"/>
                  <w:vAlign w:val="center"/>
                </w:tcPr>
                <w:p w14:paraId="5DE45FD2">
                  <w:pPr>
                    <w:jc w:val="center"/>
                    <w:rPr>
                      <w:rFonts w:hint="default" w:ascii="Times New Roman" w:hAnsi="Times New Roman" w:cs="Times New Roman"/>
                      <w:b/>
                      <w:bCs/>
                      <w:color w:val="000000" w:themeColor="text1"/>
                      <w:spacing w:val="-10"/>
                      <w:szCs w:val="21"/>
                      <w14:textFill>
                        <w14:solidFill>
                          <w14:schemeClr w14:val="tx1"/>
                        </w14:solidFill>
                      </w14:textFill>
                    </w:rPr>
                  </w:pPr>
                  <w:r>
                    <w:rPr>
                      <w:rFonts w:hint="default" w:ascii="Times New Roman" w:hAnsi="Times New Roman" w:cs="Times New Roman"/>
                      <w:b/>
                      <w:bCs/>
                      <w:color w:val="000000" w:themeColor="text1"/>
                      <w:spacing w:val="-10"/>
                      <w:szCs w:val="21"/>
                      <w14:textFill>
                        <w14:solidFill>
                          <w14:schemeClr w14:val="tx1"/>
                        </w14:solidFill>
                      </w14:textFill>
                    </w:rPr>
                    <w:t>频次</w:t>
                  </w:r>
                </w:p>
              </w:tc>
              <w:tc>
                <w:tcPr>
                  <w:tcW w:w="799" w:type="pct"/>
                  <w:tcBorders>
                    <w:tl2br w:val="nil"/>
                    <w:tr2bl w:val="nil"/>
                  </w:tcBorders>
                  <w:noWrap w:val="0"/>
                  <w:vAlign w:val="center"/>
                </w:tcPr>
                <w:p w14:paraId="14C871CD">
                  <w:pPr>
                    <w:jc w:val="center"/>
                    <w:rPr>
                      <w:rFonts w:hint="default" w:ascii="Times New Roman" w:hAnsi="Times New Roman" w:cs="Times New Roman"/>
                      <w:b/>
                      <w:bCs/>
                      <w:color w:val="000000" w:themeColor="text1"/>
                      <w:spacing w:val="-10"/>
                      <w:szCs w:val="21"/>
                      <w14:textFill>
                        <w14:solidFill>
                          <w14:schemeClr w14:val="tx1"/>
                        </w14:solidFill>
                      </w14:textFill>
                    </w:rPr>
                  </w:pPr>
                  <w:r>
                    <w:rPr>
                      <w:rFonts w:hint="default" w:ascii="Times New Roman" w:hAnsi="Times New Roman" w:cs="Times New Roman"/>
                      <w:b/>
                      <w:bCs/>
                      <w:color w:val="000000" w:themeColor="text1"/>
                      <w:spacing w:val="-10"/>
                      <w:szCs w:val="21"/>
                      <w14:textFill>
                        <w14:solidFill>
                          <w14:schemeClr w14:val="tx1"/>
                        </w14:solidFill>
                      </w14:textFill>
                    </w:rPr>
                    <w:t>持续时间</w:t>
                  </w:r>
                </w:p>
              </w:tc>
              <w:tc>
                <w:tcPr>
                  <w:tcW w:w="762" w:type="pct"/>
                  <w:tcBorders>
                    <w:tl2br w:val="nil"/>
                    <w:tr2bl w:val="nil"/>
                  </w:tcBorders>
                  <w:noWrap w:val="0"/>
                  <w:vAlign w:val="center"/>
                </w:tcPr>
                <w:p w14:paraId="11462006">
                  <w:pPr>
                    <w:jc w:val="center"/>
                    <w:rPr>
                      <w:rFonts w:hint="default" w:ascii="Times New Roman" w:hAnsi="Times New Roman" w:cs="Times New Roman"/>
                      <w:b/>
                      <w:bCs/>
                      <w:color w:val="000000" w:themeColor="text1"/>
                      <w:spacing w:val="-10"/>
                      <w:szCs w:val="21"/>
                      <w14:textFill>
                        <w14:solidFill>
                          <w14:schemeClr w14:val="tx1"/>
                        </w14:solidFill>
                      </w14:textFill>
                    </w:rPr>
                  </w:pPr>
                  <w:r>
                    <w:rPr>
                      <w:rFonts w:hint="default" w:ascii="Times New Roman" w:hAnsi="Times New Roman" w:cs="Times New Roman"/>
                      <w:b/>
                      <w:bCs/>
                      <w:color w:val="000000" w:themeColor="text1"/>
                      <w:spacing w:val="-10"/>
                      <w:szCs w:val="21"/>
                      <w14:textFill>
                        <w14:solidFill>
                          <w14:schemeClr w14:val="tx1"/>
                        </w14:solidFill>
                      </w14:textFill>
                    </w:rPr>
                    <w:t>排放量</w:t>
                  </w:r>
                </w:p>
              </w:tc>
            </w:tr>
            <w:tr w14:paraId="1AA74A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93" w:type="pct"/>
                  <w:tcBorders>
                    <w:tl2br w:val="nil"/>
                    <w:tr2bl w:val="nil"/>
                  </w:tcBorders>
                  <w:noWrap w:val="0"/>
                  <w:vAlign w:val="center"/>
                </w:tcPr>
                <w:p w14:paraId="6FF2E917">
                  <w:pPr>
                    <w:jc w:val="center"/>
                    <w:rPr>
                      <w:rFonts w:hint="default" w:ascii="Times New Roman" w:hAnsi="Times New Roman" w:eastAsia="宋体" w:cs="Times New Roman"/>
                      <w:color w:val="000000" w:themeColor="text1"/>
                      <w:spacing w:val="-10"/>
                      <w:szCs w:val="21"/>
                      <w:lang w:val="en-US" w:eastAsia="zh-CN"/>
                      <w14:textFill>
                        <w14:solidFill>
                          <w14:schemeClr w14:val="tx1"/>
                        </w14:solidFill>
                      </w14:textFill>
                    </w:rPr>
                  </w:pPr>
                  <w:r>
                    <w:rPr>
                      <w:rFonts w:hint="eastAsia" w:ascii="Times New Roman" w:hAnsi="Times New Roman" w:cs="Times New Roman"/>
                      <w:color w:val="000000" w:themeColor="text1"/>
                      <w:spacing w:val="-10"/>
                      <w:szCs w:val="21"/>
                      <w:lang w:val="en-US" w:eastAsia="zh-CN"/>
                      <w14:textFill>
                        <w14:solidFill>
                          <w14:schemeClr w14:val="tx1"/>
                        </w14:solidFill>
                      </w14:textFill>
                    </w:rPr>
                    <w:t>DA001</w:t>
                  </w:r>
                </w:p>
              </w:tc>
              <w:tc>
                <w:tcPr>
                  <w:tcW w:w="1042" w:type="pct"/>
                  <w:tcBorders>
                    <w:tl2br w:val="nil"/>
                    <w:tr2bl w:val="nil"/>
                  </w:tcBorders>
                  <w:noWrap w:val="0"/>
                  <w:vAlign w:val="center"/>
                </w:tcPr>
                <w:p w14:paraId="32C32D17">
                  <w:pPr>
                    <w:jc w:val="center"/>
                    <w:rPr>
                      <w:rFonts w:hint="eastAsia" w:ascii="Times New Roman" w:hAnsi="Times New Roman" w:eastAsia="宋体" w:cs="Times New Roman"/>
                      <w:color w:val="000000" w:themeColor="text1"/>
                      <w:spacing w:val="-10"/>
                      <w:szCs w:val="21"/>
                      <w:lang w:eastAsia="zh-CN"/>
                      <w14:textFill>
                        <w14:solidFill>
                          <w14:schemeClr w14:val="tx1"/>
                        </w14:solidFill>
                      </w14:textFill>
                    </w:rPr>
                  </w:pPr>
                  <w:r>
                    <w:rPr>
                      <w:rFonts w:hint="eastAsia" w:ascii="Times New Roman" w:hAnsi="Times New Roman" w:cs="Times New Roman"/>
                      <w:color w:val="000000" w:themeColor="text1"/>
                      <w:spacing w:val="-10"/>
                      <w:szCs w:val="21"/>
                      <w:lang w:val="en-US" w:eastAsia="zh-CN"/>
                      <w14:textFill>
                        <w14:solidFill>
                          <w14:schemeClr w14:val="tx1"/>
                        </w14:solidFill>
                      </w14:textFill>
                    </w:rPr>
                    <w:t>颗粒物</w:t>
                  </w:r>
                </w:p>
              </w:tc>
              <w:tc>
                <w:tcPr>
                  <w:tcW w:w="833" w:type="pct"/>
                  <w:tcBorders>
                    <w:tl2br w:val="nil"/>
                    <w:tr2bl w:val="nil"/>
                  </w:tcBorders>
                  <w:noWrap w:val="0"/>
                  <w:vAlign w:val="center"/>
                </w:tcPr>
                <w:p w14:paraId="304CD1E0">
                  <w:pPr>
                    <w:jc w:val="center"/>
                    <w:rPr>
                      <w:rFonts w:hint="default" w:ascii="Times New Roman" w:hAnsi="Times New Roman" w:cs="Times New Roman"/>
                      <w:color w:val="000000" w:themeColor="text1"/>
                      <w:spacing w:val="-10"/>
                      <w:szCs w:val="21"/>
                      <w:lang w:val="en-US" w:eastAsia="zh-CN"/>
                      <w14:textFill>
                        <w14:solidFill>
                          <w14:schemeClr w14:val="tx1"/>
                        </w14:solidFill>
                      </w14:textFill>
                    </w:rPr>
                  </w:pPr>
                  <w:r>
                    <w:rPr>
                      <w:rFonts w:hint="default" w:ascii="Times New Roman" w:hAnsi="Times New Roman" w:cs="Times New Roman"/>
                      <w:color w:val="000000" w:themeColor="text1"/>
                      <w:spacing w:val="-10"/>
                      <w:szCs w:val="21"/>
                      <w:lang w:val="en-US" w:eastAsia="zh-CN"/>
                      <w14:textFill>
                        <w14:solidFill>
                          <w14:schemeClr w14:val="tx1"/>
                        </w14:solidFill>
                      </w14:textFill>
                    </w:rPr>
                    <w:t>0.</w:t>
                  </w:r>
                  <w:r>
                    <w:rPr>
                      <w:rFonts w:hint="eastAsia" w:cs="Times New Roman"/>
                      <w:color w:val="000000" w:themeColor="text1"/>
                      <w:spacing w:val="-10"/>
                      <w:szCs w:val="21"/>
                      <w:lang w:val="en-US" w:eastAsia="zh-CN"/>
                      <w14:textFill>
                        <w14:solidFill>
                          <w14:schemeClr w14:val="tx1"/>
                        </w14:solidFill>
                      </w14:textFill>
                    </w:rPr>
                    <w:t>34</w:t>
                  </w:r>
                  <w:r>
                    <w:rPr>
                      <w:rFonts w:hint="default" w:ascii="Times New Roman" w:hAnsi="Times New Roman" w:cs="Times New Roman"/>
                      <w:color w:val="000000" w:themeColor="text1"/>
                      <w:spacing w:val="-10"/>
                      <w:szCs w:val="21"/>
                      <w:lang w:val="en-US" w:eastAsia="zh-CN"/>
                      <w14:textFill>
                        <w14:solidFill>
                          <w14:schemeClr w14:val="tx1"/>
                        </w14:solidFill>
                      </w14:textFill>
                    </w:rPr>
                    <w:t>kg/h</w:t>
                  </w:r>
                </w:p>
              </w:tc>
              <w:tc>
                <w:tcPr>
                  <w:tcW w:w="668" w:type="pct"/>
                  <w:tcBorders>
                    <w:tl2br w:val="nil"/>
                    <w:tr2bl w:val="nil"/>
                  </w:tcBorders>
                  <w:noWrap w:val="0"/>
                  <w:vAlign w:val="center"/>
                </w:tcPr>
                <w:p w14:paraId="7067CD51">
                  <w:pPr>
                    <w:jc w:val="center"/>
                    <w:rPr>
                      <w:rFonts w:hint="default" w:ascii="Times New Roman" w:hAnsi="Times New Roman" w:cs="Times New Roman"/>
                      <w:color w:val="000000" w:themeColor="text1"/>
                      <w:spacing w:val="-10"/>
                      <w:szCs w:val="21"/>
                      <w14:textFill>
                        <w14:solidFill>
                          <w14:schemeClr w14:val="tx1"/>
                        </w14:solidFill>
                      </w14:textFill>
                    </w:rPr>
                  </w:pPr>
                  <w:r>
                    <w:rPr>
                      <w:rFonts w:hint="default" w:ascii="Times New Roman" w:hAnsi="Times New Roman" w:cs="Times New Roman"/>
                      <w:color w:val="000000" w:themeColor="text1"/>
                      <w:spacing w:val="-10"/>
                      <w:szCs w:val="21"/>
                      <w:lang w:val="en-US" w:eastAsia="zh-CN"/>
                      <w14:textFill>
                        <w14:solidFill>
                          <w14:schemeClr w14:val="tx1"/>
                        </w14:solidFill>
                      </w14:textFill>
                    </w:rPr>
                    <w:t>1</w:t>
                  </w:r>
                  <w:r>
                    <w:rPr>
                      <w:rFonts w:hint="default" w:ascii="Times New Roman" w:hAnsi="Times New Roman" w:cs="Times New Roman"/>
                      <w:color w:val="000000" w:themeColor="text1"/>
                      <w:spacing w:val="-10"/>
                      <w:szCs w:val="21"/>
                      <w14:textFill>
                        <w14:solidFill>
                          <w14:schemeClr w14:val="tx1"/>
                        </w14:solidFill>
                      </w14:textFill>
                    </w:rPr>
                    <w:t>次/年</w:t>
                  </w:r>
                </w:p>
              </w:tc>
              <w:tc>
                <w:tcPr>
                  <w:tcW w:w="799" w:type="pct"/>
                  <w:tcBorders>
                    <w:tl2br w:val="nil"/>
                    <w:tr2bl w:val="nil"/>
                  </w:tcBorders>
                  <w:noWrap w:val="0"/>
                  <w:vAlign w:val="center"/>
                </w:tcPr>
                <w:p w14:paraId="6E1ADAB6">
                  <w:pPr>
                    <w:jc w:val="center"/>
                    <w:rPr>
                      <w:rFonts w:hint="default" w:ascii="Times New Roman" w:hAnsi="Times New Roman" w:cs="Times New Roman"/>
                      <w:color w:val="000000" w:themeColor="text1"/>
                      <w:spacing w:val="-10"/>
                      <w:szCs w:val="21"/>
                      <w14:textFill>
                        <w14:solidFill>
                          <w14:schemeClr w14:val="tx1"/>
                        </w14:solidFill>
                      </w14:textFill>
                    </w:rPr>
                  </w:pPr>
                  <w:r>
                    <w:rPr>
                      <w:rFonts w:hint="default" w:ascii="Times New Roman" w:hAnsi="Times New Roman" w:cs="Times New Roman"/>
                      <w:color w:val="000000" w:themeColor="text1"/>
                      <w:spacing w:val="-10"/>
                      <w:szCs w:val="21"/>
                      <w:lang w:val="en-US" w:eastAsia="zh-CN"/>
                      <w14:textFill>
                        <w14:solidFill>
                          <w14:schemeClr w14:val="tx1"/>
                        </w14:solidFill>
                      </w14:textFill>
                    </w:rPr>
                    <w:t>0.5</w:t>
                  </w:r>
                  <w:r>
                    <w:rPr>
                      <w:rFonts w:hint="default" w:ascii="Times New Roman" w:hAnsi="Times New Roman" w:cs="Times New Roman"/>
                      <w:color w:val="000000" w:themeColor="text1"/>
                      <w:spacing w:val="-10"/>
                      <w:szCs w:val="21"/>
                      <w14:textFill>
                        <w14:solidFill>
                          <w14:schemeClr w14:val="tx1"/>
                        </w14:solidFill>
                      </w14:textFill>
                    </w:rPr>
                    <w:t>h</w:t>
                  </w:r>
                </w:p>
              </w:tc>
              <w:tc>
                <w:tcPr>
                  <w:tcW w:w="762" w:type="pct"/>
                  <w:tcBorders>
                    <w:tl2br w:val="nil"/>
                    <w:tr2bl w:val="nil"/>
                  </w:tcBorders>
                  <w:noWrap w:val="0"/>
                  <w:vAlign w:val="center"/>
                </w:tcPr>
                <w:p w14:paraId="2E96D937">
                  <w:pPr>
                    <w:jc w:val="center"/>
                    <w:rPr>
                      <w:rFonts w:hint="default" w:ascii="Times New Roman" w:hAnsi="Times New Roman" w:cs="Times New Roman"/>
                      <w:color w:val="000000" w:themeColor="text1"/>
                      <w:spacing w:val="-10"/>
                      <w:szCs w:val="21"/>
                      <w14:textFill>
                        <w14:solidFill>
                          <w14:schemeClr w14:val="tx1"/>
                        </w14:solidFill>
                      </w14:textFill>
                    </w:rPr>
                  </w:pPr>
                  <w:r>
                    <w:rPr>
                      <w:rFonts w:hint="default" w:ascii="Times New Roman" w:hAnsi="Times New Roman" w:cs="Times New Roman"/>
                      <w:color w:val="000000" w:themeColor="text1"/>
                      <w:spacing w:val="-10"/>
                      <w:szCs w:val="21"/>
                      <w:lang w:val="en-US" w:eastAsia="zh-CN"/>
                      <w14:textFill>
                        <w14:solidFill>
                          <w14:schemeClr w14:val="tx1"/>
                        </w14:solidFill>
                      </w14:textFill>
                    </w:rPr>
                    <w:t>0.</w:t>
                  </w:r>
                  <w:r>
                    <w:rPr>
                      <w:rFonts w:hint="eastAsia" w:cs="Times New Roman"/>
                      <w:color w:val="000000" w:themeColor="text1"/>
                      <w:spacing w:val="-10"/>
                      <w:szCs w:val="21"/>
                      <w:lang w:val="en-US" w:eastAsia="zh-CN"/>
                      <w14:textFill>
                        <w14:solidFill>
                          <w14:schemeClr w14:val="tx1"/>
                        </w14:solidFill>
                      </w14:textFill>
                    </w:rPr>
                    <w:t>17</w:t>
                  </w:r>
                  <w:r>
                    <w:rPr>
                      <w:rFonts w:hint="default" w:ascii="Times New Roman" w:hAnsi="Times New Roman" w:cs="Times New Roman"/>
                      <w:color w:val="000000" w:themeColor="text1"/>
                      <w:spacing w:val="-10"/>
                      <w:szCs w:val="21"/>
                      <w14:textFill>
                        <w14:solidFill>
                          <w14:schemeClr w14:val="tx1"/>
                        </w14:solidFill>
                      </w14:textFill>
                    </w:rPr>
                    <w:t>kg/a</w:t>
                  </w:r>
                </w:p>
              </w:tc>
            </w:tr>
            <w:tr w14:paraId="7B6ADA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93" w:type="pct"/>
                  <w:vMerge w:val="restart"/>
                  <w:tcBorders>
                    <w:tl2br w:val="nil"/>
                    <w:tr2bl w:val="nil"/>
                  </w:tcBorders>
                  <w:noWrap w:val="0"/>
                  <w:vAlign w:val="center"/>
                </w:tcPr>
                <w:p w14:paraId="6DB93370">
                  <w:pPr>
                    <w:jc w:val="center"/>
                    <w:rPr>
                      <w:rFonts w:hint="default" w:ascii="Times New Roman" w:hAnsi="Times New Roman" w:cs="Times New Roman"/>
                      <w:color w:val="000000" w:themeColor="text1"/>
                      <w:spacing w:val="-10"/>
                      <w:szCs w:val="21"/>
                      <w:lang w:val="en-US" w:eastAsia="zh-CN"/>
                      <w14:textFill>
                        <w14:solidFill>
                          <w14:schemeClr w14:val="tx1"/>
                        </w14:solidFill>
                      </w14:textFill>
                    </w:rPr>
                  </w:pPr>
                  <w:r>
                    <w:rPr>
                      <w:rFonts w:hint="eastAsia" w:ascii="Times New Roman" w:hAnsi="Times New Roman" w:cs="Times New Roman"/>
                      <w:color w:val="000000" w:themeColor="text1"/>
                      <w:spacing w:val="-10"/>
                      <w:szCs w:val="21"/>
                      <w:lang w:val="en-US" w:eastAsia="zh-CN"/>
                      <w14:textFill>
                        <w14:solidFill>
                          <w14:schemeClr w14:val="tx1"/>
                        </w14:solidFill>
                      </w14:textFill>
                    </w:rPr>
                    <w:t>DA002</w:t>
                  </w:r>
                </w:p>
              </w:tc>
              <w:tc>
                <w:tcPr>
                  <w:tcW w:w="1042" w:type="pct"/>
                  <w:tcBorders>
                    <w:tl2br w:val="nil"/>
                    <w:tr2bl w:val="nil"/>
                  </w:tcBorders>
                  <w:noWrap w:val="0"/>
                  <w:vAlign w:val="center"/>
                </w:tcPr>
                <w:p w14:paraId="4FDB7367">
                  <w:pPr>
                    <w:jc w:val="center"/>
                    <w:rPr>
                      <w:rFonts w:hint="eastAsia" w:ascii="Times New Roman" w:hAnsi="Times New Roman" w:eastAsia="宋体" w:cs="Times New Roman"/>
                      <w:color w:val="000000" w:themeColor="text1"/>
                      <w:spacing w:val="-10"/>
                      <w:szCs w:val="21"/>
                      <w:lang w:val="en-US" w:eastAsia="zh-CN"/>
                      <w14:textFill>
                        <w14:solidFill>
                          <w14:schemeClr w14:val="tx1"/>
                        </w14:solidFill>
                      </w14:textFill>
                    </w:rPr>
                  </w:pPr>
                  <w:r>
                    <w:rPr>
                      <w:rFonts w:hint="eastAsia" w:ascii="Times New Roman" w:hAnsi="Times New Roman" w:cs="Times New Roman"/>
                      <w:color w:val="000000" w:themeColor="text1"/>
                      <w:spacing w:val="-10"/>
                      <w:szCs w:val="21"/>
                      <w:lang w:val="en-US" w:eastAsia="zh-CN"/>
                      <w14:textFill>
                        <w14:solidFill>
                          <w14:schemeClr w14:val="tx1"/>
                        </w14:solidFill>
                      </w14:textFill>
                    </w:rPr>
                    <w:t>非甲烷总烃</w:t>
                  </w:r>
                </w:p>
              </w:tc>
              <w:tc>
                <w:tcPr>
                  <w:tcW w:w="833" w:type="pct"/>
                  <w:tcBorders>
                    <w:tl2br w:val="nil"/>
                    <w:tr2bl w:val="nil"/>
                  </w:tcBorders>
                  <w:noWrap w:val="0"/>
                  <w:vAlign w:val="center"/>
                </w:tcPr>
                <w:p w14:paraId="548E128A">
                  <w:pPr>
                    <w:jc w:val="center"/>
                    <w:rPr>
                      <w:rFonts w:hint="default" w:ascii="Times New Roman" w:hAnsi="Times New Roman" w:cs="Times New Roman"/>
                      <w:color w:val="000000" w:themeColor="text1"/>
                      <w:spacing w:val="-10"/>
                      <w:szCs w:val="21"/>
                      <w:lang w:val="en-US" w:eastAsia="zh-CN"/>
                      <w14:textFill>
                        <w14:solidFill>
                          <w14:schemeClr w14:val="tx1"/>
                        </w14:solidFill>
                      </w14:textFill>
                    </w:rPr>
                  </w:pPr>
                  <w:r>
                    <w:rPr>
                      <w:rFonts w:hint="eastAsia" w:ascii="Times New Roman" w:hAnsi="Times New Roman" w:cs="Times New Roman"/>
                      <w:color w:val="000000" w:themeColor="text1"/>
                      <w:spacing w:val="-10"/>
                      <w:szCs w:val="21"/>
                      <w:lang w:val="en-US" w:eastAsia="zh-CN"/>
                      <w14:textFill>
                        <w14:solidFill>
                          <w14:schemeClr w14:val="tx1"/>
                        </w14:solidFill>
                      </w14:textFill>
                    </w:rPr>
                    <w:t>0.0</w:t>
                  </w:r>
                  <w:r>
                    <w:rPr>
                      <w:rFonts w:hint="eastAsia" w:cs="Times New Roman"/>
                      <w:color w:val="000000" w:themeColor="text1"/>
                      <w:spacing w:val="-10"/>
                      <w:szCs w:val="21"/>
                      <w:lang w:val="en-US" w:eastAsia="zh-CN"/>
                      <w14:textFill>
                        <w14:solidFill>
                          <w14:schemeClr w14:val="tx1"/>
                        </w14:solidFill>
                      </w14:textFill>
                    </w:rPr>
                    <w:t>5</w:t>
                  </w:r>
                  <w:r>
                    <w:rPr>
                      <w:rFonts w:hint="default" w:ascii="Times New Roman" w:hAnsi="Times New Roman" w:cs="Times New Roman"/>
                      <w:color w:val="000000" w:themeColor="text1"/>
                      <w:spacing w:val="-10"/>
                      <w:szCs w:val="21"/>
                      <w:lang w:val="en-US" w:eastAsia="zh-CN"/>
                      <w14:textFill>
                        <w14:solidFill>
                          <w14:schemeClr w14:val="tx1"/>
                        </w14:solidFill>
                      </w14:textFill>
                    </w:rPr>
                    <w:t>kg/h</w:t>
                  </w:r>
                </w:p>
              </w:tc>
              <w:tc>
                <w:tcPr>
                  <w:tcW w:w="668" w:type="pct"/>
                  <w:tcBorders>
                    <w:tl2br w:val="nil"/>
                    <w:tr2bl w:val="nil"/>
                  </w:tcBorders>
                  <w:noWrap w:val="0"/>
                  <w:vAlign w:val="center"/>
                </w:tcPr>
                <w:p w14:paraId="4392BC2B">
                  <w:pPr>
                    <w:jc w:val="center"/>
                    <w:rPr>
                      <w:rFonts w:hint="default" w:ascii="Times New Roman" w:hAnsi="Times New Roman" w:cs="Times New Roman"/>
                      <w:color w:val="000000" w:themeColor="text1"/>
                      <w:spacing w:val="-10"/>
                      <w:szCs w:val="21"/>
                      <w:lang w:val="en-US" w:eastAsia="zh-CN"/>
                      <w14:textFill>
                        <w14:solidFill>
                          <w14:schemeClr w14:val="tx1"/>
                        </w14:solidFill>
                      </w14:textFill>
                    </w:rPr>
                  </w:pPr>
                  <w:r>
                    <w:rPr>
                      <w:rFonts w:hint="default" w:ascii="Times New Roman" w:hAnsi="Times New Roman" w:cs="Times New Roman"/>
                      <w:color w:val="000000" w:themeColor="text1"/>
                      <w:spacing w:val="-10"/>
                      <w:szCs w:val="21"/>
                      <w:lang w:val="en-US" w:eastAsia="zh-CN"/>
                      <w14:textFill>
                        <w14:solidFill>
                          <w14:schemeClr w14:val="tx1"/>
                        </w14:solidFill>
                      </w14:textFill>
                    </w:rPr>
                    <w:t>1</w:t>
                  </w:r>
                  <w:r>
                    <w:rPr>
                      <w:rFonts w:hint="default" w:ascii="Times New Roman" w:hAnsi="Times New Roman" w:cs="Times New Roman"/>
                      <w:color w:val="000000" w:themeColor="text1"/>
                      <w:spacing w:val="-10"/>
                      <w:szCs w:val="21"/>
                      <w14:textFill>
                        <w14:solidFill>
                          <w14:schemeClr w14:val="tx1"/>
                        </w14:solidFill>
                      </w14:textFill>
                    </w:rPr>
                    <w:t>次/年</w:t>
                  </w:r>
                </w:p>
              </w:tc>
              <w:tc>
                <w:tcPr>
                  <w:tcW w:w="799" w:type="pct"/>
                  <w:tcBorders>
                    <w:tl2br w:val="nil"/>
                    <w:tr2bl w:val="nil"/>
                  </w:tcBorders>
                  <w:noWrap w:val="0"/>
                  <w:vAlign w:val="center"/>
                </w:tcPr>
                <w:p w14:paraId="46733FD2">
                  <w:pPr>
                    <w:jc w:val="center"/>
                    <w:rPr>
                      <w:rFonts w:hint="default" w:ascii="Times New Roman" w:hAnsi="Times New Roman" w:cs="Times New Roman"/>
                      <w:color w:val="000000" w:themeColor="text1"/>
                      <w:spacing w:val="-10"/>
                      <w:szCs w:val="21"/>
                      <w:lang w:val="en-US" w:eastAsia="zh-CN"/>
                      <w14:textFill>
                        <w14:solidFill>
                          <w14:schemeClr w14:val="tx1"/>
                        </w14:solidFill>
                      </w14:textFill>
                    </w:rPr>
                  </w:pPr>
                  <w:r>
                    <w:rPr>
                      <w:rFonts w:hint="default" w:ascii="Times New Roman" w:hAnsi="Times New Roman" w:cs="Times New Roman"/>
                      <w:color w:val="000000" w:themeColor="text1"/>
                      <w:spacing w:val="-10"/>
                      <w:szCs w:val="21"/>
                      <w:lang w:val="en-US" w:eastAsia="zh-CN"/>
                      <w14:textFill>
                        <w14:solidFill>
                          <w14:schemeClr w14:val="tx1"/>
                        </w14:solidFill>
                      </w14:textFill>
                    </w:rPr>
                    <w:t>0.5</w:t>
                  </w:r>
                  <w:r>
                    <w:rPr>
                      <w:rFonts w:hint="default" w:ascii="Times New Roman" w:hAnsi="Times New Roman" w:cs="Times New Roman"/>
                      <w:color w:val="000000" w:themeColor="text1"/>
                      <w:spacing w:val="-10"/>
                      <w:szCs w:val="21"/>
                      <w14:textFill>
                        <w14:solidFill>
                          <w14:schemeClr w14:val="tx1"/>
                        </w14:solidFill>
                      </w14:textFill>
                    </w:rPr>
                    <w:t>h</w:t>
                  </w:r>
                </w:p>
              </w:tc>
              <w:tc>
                <w:tcPr>
                  <w:tcW w:w="762" w:type="pct"/>
                  <w:tcBorders>
                    <w:tl2br w:val="nil"/>
                    <w:tr2bl w:val="nil"/>
                  </w:tcBorders>
                  <w:noWrap w:val="0"/>
                  <w:vAlign w:val="center"/>
                </w:tcPr>
                <w:p w14:paraId="6760DD16">
                  <w:pPr>
                    <w:jc w:val="center"/>
                    <w:rPr>
                      <w:rFonts w:hint="default" w:ascii="Times New Roman" w:hAnsi="Times New Roman" w:cs="Times New Roman"/>
                      <w:color w:val="000000" w:themeColor="text1"/>
                      <w:spacing w:val="-10"/>
                      <w:szCs w:val="21"/>
                      <w:lang w:val="en-US" w:eastAsia="zh-CN"/>
                      <w14:textFill>
                        <w14:solidFill>
                          <w14:schemeClr w14:val="tx1"/>
                        </w14:solidFill>
                      </w14:textFill>
                    </w:rPr>
                  </w:pPr>
                  <w:r>
                    <w:rPr>
                      <w:rFonts w:hint="eastAsia" w:ascii="Times New Roman" w:hAnsi="Times New Roman" w:cs="Times New Roman"/>
                      <w:color w:val="000000" w:themeColor="text1"/>
                      <w:spacing w:val="-10"/>
                      <w:szCs w:val="21"/>
                      <w:lang w:val="en-US" w:eastAsia="zh-CN"/>
                      <w14:textFill>
                        <w14:solidFill>
                          <w14:schemeClr w14:val="tx1"/>
                        </w14:solidFill>
                      </w14:textFill>
                    </w:rPr>
                    <w:t>0.025</w:t>
                  </w:r>
                  <w:r>
                    <w:rPr>
                      <w:rFonts w:hint="default" w:ascii="Times New Roman" w:hAnsi="Times New Roman" w:cs="Times New Roman"/>
                      <w:color w:val="000000" w:themeColor="text1"/>
                      <w:spacing w:val="-10"/>
                      <w:szCs w:val="21"/>
                      <w14:textFill>
                        <w14:solidFill>
                          <w14:schemeClr w14:val="tx1"/>
                        </w14:solidFill>
                      </w14:textFill>
                    </w:rPr>
                    <w:t>kg/a</w:t>
                  </w:r>
                </w:p>
              </w:tc>
            </w:tr>
            <w:tr w14:paraId="18139E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93" w:type="pct"/>
                  <w:vMerge w:val="continue"/>
                  <w:tcBorders>
                    <w:tl2br w:val="nil"/>
                    <w:tr2bl w:val="nil"/>
                  </w:tcBorders>
                  <w:noWrap w:val="0"/>
                  <w:vAlign w:val="center"/>
                </w:tcPr>
                <w:p w14:paraId="56AB56A1">
                  <w:pPr>
                    <w:jc w:val="center"/>
                    <w:rPr>
                      <w:rFonts w:hint="eastAsia" w:ascii="Times New Roman" w:hAnsi="Times New Roman" w:cs="Times New Roman"/>
                      <w:color w:val="000000" w:themeColor="text1"/>
                      <w:spacing w:val="-10"/>
                      <w:szCs w:val="21"/>
                      <w:lang w:val="en-US" w:eastAsia="zh-CN"/>
                      <w14:textFill>
                        <w14:solidFill>
                          <w14:schemeClr w14:val="tx1"/>
                        </w14:solidFill>
                      </w14:textFill>
                    </w:rPr>
                  </w:pPr>
                </w:p>
              </w:tc>
              <w:tc>
                <w:tcPr>
                  <w:tcW w:w="1042" w:type="pct"/>
                  <w:tcBorders>
                    <w:tl2br w:val="nil"/>
                    <w:tr2bl w:val="nil"/>
                  </w:tcBorders>
                  <w:noWrap w:val="0"/>
                  <w:vAlign w:val="center"/>
                </w:tcPr>
                <w:p w14:paraId="4E92094F">
                  <w:pPr>
                    <w:jc w:val="center"/>
                    <w:rPr>
                      <w:rFonts w:hint="default" w:ascii="Times New Roman" w:hAnsi="Times New Roman" w:cs="Times New Roman"/>
                      <w:color w:val="000000" w:themeColor="text1"/>
                      <w:spacing w:val="-10"/>
                      <w:szCs w:val="21"/>
                      <w:lang w:val="en-US" w:eastAsia="zh-CN"/>
                      <w14:textFill>
                        <w14:solidFill>
                          <w14:schemeClr w14:val="tx1"/>
                        </w14:solidFill>
                      </w14:textFill>
                    </w:rPr>
                  </w:pPr>
                  <w:r>
                    <w:rPr>
                      <w:rFonts w:hint="eastAsia" w:ascii="Times New Roman" w:hAnsi="Times New Roman" w:cs="Times New Roman"/>
                      <w:color w:val="000000" w:themeColor="text1"/>
                      <w:spacing w:val="-10"/>
                      <w:szCs w:val="21"/>
                      <w:lang w:val="en-US" w:eastAsia="zh-CN"/>
                      <w14:textFill>
                        <w14:solidFill>
                          <w14:schemeClr w14:val="tx1"/>
                        </w14:solidFill>
                      </w14:textFill>
                    </w:rPr>
                    <w:t>锡及其化合物</w:t>
                  </w:r>
                </w:p>
              </w:tc>
              <w:tc>
                <w:tcPr>
                  <w:tcW w:w="833" w:type="pct"/>
                  <w:tcBorders>
                    <w:tl2br w:val="nil"/>
                    <w:tr2bl w:val="nil"/>
                  </w:tcBorders>
                  <w:noWrap w:val="0"/>
                  <w:vAlign w:val="center"/>
                </w:tcPr>
                <w:p w14:paraId="4DC47E96">
                  <w:pPr>
                    <w:jc w:val="center"/>
                    <w:rPr>
                      <w:rFonts w:hint="eastAsia" w:ascii="Times New Roman" w:hAnsi="Times New Roman" w:cs="Times New Roman"/>
                      <w:color w:val="000000" w:themeColor="text1"/>
                      <w:spacing w:val="-10"/>
                      <w:szCs w:val="21"/>
                      <w:lang w:val="en-US" w:eastAsia="zh-CN"/>
                      <w14:textFill>
                        <w14:solidFill>
                          <w14:schemeClr w14:val="tx1"/>
                        </w14:solidFill>
                      </w14:textFill>
                    </w:rPr>
                  </w:pPr>
                  <w:r>
                    <w:rPr>
                      <w:rFonts w:hint="eastAsia" w:ascii="Times New Roman" w:hAnsi="Times New Roman" w:cs="Times New Roman"/>
                      <w:color w:val="000000" w:themeColor="text1"/>
                      <w:spacing w:val="-10"/>
                      <w:szCs w:val="21"/>
                      <w:lang w:val="en-US" w:eastAsia="zh-CN"/>
                      <w14:textFill>
                        <w14:solidFill>
                          <w14:schemeClr w14:val="tx1"/>
                        </w14:solidFill>
                      </w14:textFill>
                    </w:rPr>
                    <w:t>0.</w:t>
                  </w:r>
                  <w:r>
                    <w:rPr>
                      <w:rFonts w:hint="eastAsia" w:cs="Times New Roman"/>
                      <w:color w:val="000000" w:themeColor="text1"/>
                      <w:spacing w:val="-10"/>
                      <w:szCs w:val="21"/>
                      <w:lang w:val="en-US" w:eastAsia="zh-CN"/>
                      <w14:textFill>
                        <w14:solidFill>
                          <w14:schemeClr w14:val="tx1"/>
                        </w14:solidFill>
                      </w14:textFill>
                    </w:rPr>
                    <w:t>00034</w:t>
                  </w:r>
                  <w:r>
                    <w:rPr>
                      <w:rFonts w:hint="default" w:ascii="Times New Roman" w:hAnsi="Times New Roman" w:cs="Times New Roman"/>
                      <w:color w:val="000000" w:themeColor="text1"/>
                      <w:spacing w:val="-10"/>
                      <w:szCs w:val="21"/>
                      <w:lang w:val="en-US" w:eastAsia="zh-CN"/>
                      <w14:textFill>
                        <w14:solidFill>
                          <w14:schemeClr w14:val="tx1"/>
                        </w14:solidFill>
                      </w14:textFill>
                    </w:rPr>
                    <w:t>kg/h</w:t>
                  </w:r>
                </w:p>
              </w:tc>
              <w:tc>
                <w:tcPr>
                  <w:tcW w:w="668" w:type="pct"/>
                  <w:tcBorders>
                    <w:tl2br w:val="nil"/>
                    <w:tr2bl w:val="nil"/>
                  </w:tcBorders>
                  <w:noWrap w:val="0"/>
                  <w:vAlign w:val="center"/>
                </w:tcPr>
                <w:p w14:paraId="3F3C3DC9">
                  <w:pPr>
                    <w:jc w:val="center"/>
                    <w:rPr>
                      <w:rFonts w:hint="default" w:ascii="Times New Roman" w:hAnsi="Times New Roman" w:cs="Times New Roman"/>
                      <w:color w:val="000000" w:themeColor="text1"/>
                      <w:spacing w:val="-10"/>
                      <w:szCs w:val="21"/>
                      <w:lang w:val="en-US" w:eastAsia="zh-CN"/>
                      <w14:textFill>
                        <w14:solidFill>
                          <w14:schemeClr w14:val="tx1"/>
                        </w14:solidFill>
                      </w14:textFill>
                    </w:rPr>
                  </w:pPr>
                  <w:r>
                    <w:rPr>
                      <w:rFonts w:hint="default" w:ascii="Times New Roman" w:hAnsi="Times New Roman" w:cs="Times New Roman"/>
                      <w:color w:val="000000" w:themeColor="text1"/>
                      <w:spacing w:val="-10"/>
                      <w:szCs w:val="21"/>
                      <w:lang w:val="en-US" w:eastAsia="zh-CN"/>
                      <w14:textFill>
                        <w14:solidFill>
                          <w14:schemeClr w14:val="tx1"/>
                        </w14:solidFill>
                      </w14:textFill>
                    </w:rPr>
                    <w:t>1</w:t>
                  </w:r>
                  <w:r>
                    <w:rPr>
                      <w:rFonts w:hint="default" w:ascii="Times New Roman" w:hAnsi="Times New Roman" w:cs="Times New Roman"/>
                      <w:color w:val="000000" w:themeColor="text1"/>
                      <w:spacing w:val="-10"/>
                      <w:szCs w:val="21"/>
                      <w14:textFill>
                        <w14:solidFill>
                          <w14:schemeClr w14:val="tx1"/>
                        </w14:solidFill>
                      </w14:textFill>
                    </w:rPr>
                    <w:t>次/年</w:t>
                  </w:r>
                </w:p>
              </w:tc>
              <w:tc>
                <w:tcPr>
                  <w:tcW w:w="799" w:type="pct"/>
                  <w:tcBorders>
                    <w:tl2br w:val="nil"/>
                    <w:tr2bl w:val="nil"/>
                  </w:tcBorders>
                  <w:noWrap w:val="0"/>
                  <w:vAlign w:val="center"/>
                </w:tcPr>
                <w:p w14:paraId="2C1E092C">
                  <w:pPr>
                    <w:jc w:val="center"/>
                    <w:rPr>
                      <w:rFonts w:hint="default" w:ascii="Times New Roman" w:hAnsi="Times New Roman" w:cs="Times New Roman"/>
                      <w:color w:val="000000" w:themeColor="text1"/>
                      <w:spacing w:val="-10"/>
                      <w:szCs w:val="21"/>
                      <w:lang w:val="en-US" w:eastAsia="zh-CN"/>
                      <w14:textFill>
                        <w14:solidFill>
                          <w14:schemeClr w14:val="tx1"/>
                        </w14:solidFill>
                      </w14:textFill>
                    </w:rPr>
                  </w:pPr>
                  <w:r>
                    <w:rPr>
                      <w:rFonts w:hint="default" w:ascii="Times New Roman" w:hAnsi="Times New Roman" w:cs="Times New Roman"/>
                      <w:color w:val="000000" w:themeColor="text1"/>
                      <w:spacing w:val="-10"/>
                      <w:szCs w:val="21"/>
                      <w:lang w:val="en-US" w:eastAsia="zh-CN"/>
                      <w14:textFill>
                        <w14:solidFill>
                          <w14:schemeClr w14:val="tx1"/>
                        </w14:solidFill>
                      </w14:textFill>
                    </w:rPr>
                    <w:t>0.5</w:t>
                  </w:r>
                  <w:r>
                    <w:rPr>
                      <w:rFonts w:hint="default" w:ascii="Times New Roman" w:hAnsi="Times New Roman" w:cs="Times New Roman"/>
                      <w:color w:val="000000" w:themeColor="text1"/>
                      <w:spacing w:val="-10"/>
                      <w:szCs w:val="21"/>
                      <w14:textFill>
                        <w14:solidFill>
                          <w14:schemeClr w14:val="tx1"/>
                        </w14:solidFill>
                      </w14:textFill>
                    </w:rPr>
                    <w:t>h</w:t>
                  </w:r>
                </w:p>
              </w:tc>
              <w:tc>
                <w:tcPr>
                  <w:tcW w:w="762" w:type="pct"/>
                  <w:tcBorders>
                    <w:tl2br w:val="nil"/>
                    <w:tr2bl w:val="nil"/>
                  </w:tcBorders>
                  <w:noWrap w:val="0"/>
                  <w:vAlign w:val="center"/>
                </w:tcPr>
                <w:p w14:paraId="685369D4">
                  <w:pPr>
                    <w:jc w:val="center"/>
                    <w:rPr>
                      <w:rFonts w:hint="default" w:ascii="Times New Roman" w:hAnsi="Times New Roman" w:cs="Times New Roman"/>
                      <w:color w:val="000000" w:themeColor="text1"/>
                      <w:spacing w:val="-10"/>
                      <w:szCs w:val="21"/>
                      <w:lang w:val="en-US" w:eastAsia="zh-CN"/>
                      <w14:textFill>
                        <w14:solidFill>
                          <w14:schemeClr w14:val="tx1"/>
                        </w14:solidFill>
                      </w14:textFill>
                    </w:rPr>
                  </w:pPr>
                  <w:r>
                    <w:rPr>
                      <w:rFonts w:hint="eastAsia" w:cs="Times New Roman"/>
                      <w:color w:val="000000" w:themeColor="text1"/>
                      <w:spacing w:val="-10"/>
                      <w:szCs w:val="21"/>
                      <w:lang w:val="en-US" w:eastAsia="zh-CN"/>
                      <w14:textFill>
                        <w14:solidFill>
                          <w14:schemeClr w14:val="tx1"/>
                        </w14:solidFill>
                      </w14:textFill>
                    </w:rPr>
                    <w:t>0.00017</w:t>
                  </w:r>
                  <w:r>
                    <w:rPr>
                      <w:rFonts w:hint="default" w:ascii="Times New Roman" w:hAnsi="Times New Roman" w:cs="Times New Roman"/>
                      <w:color w:val="000000" w:themeColor="text1"/>
                      <w:spacing w:val="-10"/>
                      <w:szCs w:val="21"/>
                      <w14:textFill>
                        <w14:solidFill>
                          <w14:schemeClr w14:val="tx1"/>
                        </w14:solidFill>
                      </w14:textFill>
                    </w:rPr>
                    <w:t>kg/a</w:t>
                  </w:r>
                </w:p>
              </w:tc>
            </w:tr>
          </w:tbl>
          <w:p w14:paraId="6A77B84A">
            <w:pPr>
              <w:keepNext/>
              <w:keepLines/>
              <w:widowControl/>
              <w:adjustRightInd w:val="0"/>
              <w:snapToGrid w:val="0"/>
              <w:spacing w:line="360" w:lineRule="auto"/>
              <w:jc w:val="left"/>
              <w:outlineLvl w:val="1"/>
              <w:rPr>
                <w:rFonts w:hint="default" w:ascii="Times New Roman" w:hAnsi="Times New Roman" w:eastAsia="黑体" w:cs="Times New Roman"/>
                <w:bCs/>
                <w:color w:val="000000" w:themeColor="text1"/>
                <w:sz w:val="24"/>
                <w:szCs w:val="28"/>
                <w:highlight w:val="none"/>
                <w14:textFill>
                  <w14:solidFill>
                    <w14:schemeClr w14:val="tx1"/>
                  </w14:solidFill>
                </w14:textFill>
              </w:rPr>
            </w:pPr>
            <w:r>
              <w:rPr>
                <w:rFonts w:hint="default" w:ascii="Times New Roman" w:hAnsi="Times New Roman" w:eastAsia="黑体" w:cs="Times New Roman"/>
                <w:bCs/>
                <w:color w:val="000000" w:themeColor="text1"/>
                <w:sz w:val="24"/>
                <w:szCs w:val="28"/>
                <w:highlight w:val="none"/>
                <w:lang w:eastAsia="zh-CN"/>
                <w14:textFill>
                  <w14:solidFill>
                    <w14:schemeClr w14:val="tx1"/>
                  </w14:solidFill>
                </w14:textFill>
              </w:rPr>
              <w:t>5.</w:t>
            </w:r>
            <w:r>
              <w:rPr>
                <w:rFonts w:hint="default" w:ascii="Times New Roman" w:hAnsi="Times New Roman" w:eastAsia="黑体" w:cs="Times New Roman"/>
                <w:bCs/>
                <w:color w:val="000000" w:themeColor="text1"/>
                <w:sz w:val="24"/>
                <w:szCs w:val="28"/>
                <w:highlight w:val="none"/>
                <w14:textFill>
                  <w14:solidFill>
                    <w14:schemeClr w14:val="tx1"/>
                  </w14:solidFill>
                </w14:textFill>
              </w:rPr>
              <w:t>监测计划</w:t>
            </w:r>
          </w:p>
          <w:p w14:paraId="288FC3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textAlignment w:val="auto"/>
              <w:rPr>
                <w:rFonts w:hint="default" w:ascii="Times New Roman" w:hAnsi="Times New Roman" w:eastAsia="宋体" w:cs="Times New Roman"/>
                <w:b/>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根据</w:t>
            </w:r>
            <w:r>
              <w:rPr>
                <w:rFonts w:hint="eastAsia"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eastAsia="宋体" w:cs="Times New Roman"/>
                <w:i w:val="0"/>
                <w:iCs w:val="0"/>
                <w:caps w:val="0"/>
                <w:color w:val="000000" w:themeColor="text1"/>
                <w:spacing w:val="0"/>
                <w:kern w:val="0"/>
                <w:sz w:val="24"/>
                <w:szCs w:val="24"/>
                <w:u w:val="none"/>
                <w:shd w:val="clear"/>
                <w:lang w:bidi="ar"/>
                <w14:textFill>
                  <w14:solidFill>
                    <w14:schemeClr w14:val="tx1"/>
                  </w14:solidFill>
                </w14:textFill>
              </w:rPr>
              <w:t>排污许可证申请与核发技术规范 电子工业</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w:t>
            </w:r>
            <w:r>
              <w:rPr>
                <w:rFonts w:hint="default" w:ascii="Times New Roman" w:hAnsi="Times New Roman" w:eastAsia="宋体" w:cs="Times New Roman"/>
                <w:i w:val="0"/>
                <w:iCs w:val="0"/>
                <w:caps w:val="0"/>
                <w:color w:val="000000" w:themeColor="text1"/>
                <w:spacing w:val="0"/>
                <w:kern w:val="0"/>
                <w:sz w:val="24"/>
                <w:szCs w:val="24"/>
                <w:u w:val="none"/>
                <w:shd w:val="clear"/>
                <w:lang w:bidi="ar"/>
                <w14:textFill>
                  <w14:solidFill>
                    <w14:schemeClr w14:val="tx1"/>
                  </w14:solidFill>
                </w14:textFill>
              </w:rPr>
              <w:t>（HJ 1031—2019）</w:t>
            </w:r>
            <w:r>
              <w:rPr>
                <w:rFonts w:hint="eastAsia" w:cs="Times New Roman"/>
                <w:i w:val="0"/>
                <w:iCs w:val="0"/>
                <w:caps w:val="0"/>
                <w:color w:val="000000" w:themeColor="text1"/>
                <w:spacing w:val="0"/>
                <w:kern w:val="0"/>
                <w:sz w:val="24"/>
                <w:szCs w:val="24"/>
                <w:u w:val="none"/>
                <w:shd w:val="clear"/>
                <w:lang w:eastAsia="zh-CN" w:bidi="ar"/>
                <w14:textFill>
                  <w14:solidFill>
                    <w14:schemeClr w14:val="tx1"/>
                  </w14:solidFill>
                </w14:textFill>
              </w:rPr>
              <w:t>要求</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本项目运营期废气监测情况如下：</w:t>
            </w:r>
          </w:p>
          <w:p w14:paraId="4DD53606">
            <w:pPr>
              <w:widowControl/>
              <w:spacing w:line="440" w:lineRule="exact"/>
              <w:jc w:val="center"/>
              <w:rPr>
                <w:rFonts w:hint="default" w:ascii="Times New Roman" w:hAnsi="Times New Roman" w:eastAsia="宋体" w:cs="Times New Roman"/>
                <w:b/>
                <w:color w:val="000000" w:themeColor="text1"/>
                <w:sz w:val="24"/>
                <w:lang w:val="en-US" w:eastAsia="zh-CN"/>
                <w14:textFill>
                  <w14:solidFill>
                    <w14:schemeClr w14:val="tx1"/>
                  </w14:solidFill>
                </w14:textFill>
              </w:rPr>
            </w:pPr>
            <w:r>
              <w:rPr>
                <w:rFonts w:hint="default" w:ascii="Times New Roman" w:hAnsi="Times New Roman" w:eastAsia="宋体" w:cs="Times New Roman"/>
                <w:b/>
                <w:color w:val="000000" w:themeColor="text1"/>
                <w:sz w:val="24"/>
                <w:lang w:val="en-US" w:eastAsia="zh-CN"/>
                <w14:textFill>
                  <w14:solidFill>
                    <w14:schemeClr w14:val="tx1"/>
                  </w14:solidFill>
                </w14:textFill>
              </w:rPr>
              <w:t>表4-</w:t>
            </w:r>
            <w:r>
              <w:rPr>
                <w:rFonts w:hint="eastAsia" w:ascii="Times New Roman" w:hAnsi="Times New Roman" w:eastAsia="宋体" w:cs="Times New Roman"/>
                <w:b/>
                <w:color w:val="000000" w:themeColor="text1"/>
                <w:sz w:val="24"/>
                <w:lang w:val="en-US" w:eastAsia="zh-CN"/>
                <w14:textFill>
                  <w14:solidFill>
                    <w14:schemeClr w14:val="tx1"/>
                  </w14:solidFill>
                </w14:textFill>
              </w:rPr>
              <w:t>4</w:t>
            </w:r>
            <w:r>
              <w:rPr>
                <w:rFonts w:hint="default" w:ascii="Times New Roman" w:hAnsi="Times New Roman" w:eastAsia="宋体" w:cs="Times New Roman"/>
                <w:b/>
                <w:color w:val="000000" w:themeColor="text1"/>
                <w:sz w:val="24"/>
                <w:lang w:val="en-US" w:eastAsia="zh-CN"/>
                <w14:textFill>
                  <w14:solidFill>
                    <w14:schemeClr w14:val="tx1"/>
                  </w14:solidFill>
                </w14:textFill>
              </w:rPr>
              <w:t xml:space="preserve">  环境监测计划表</w:t>
            </w:r>
          </w:p>
          <w:tbl>
            <w:tblPr>
              <w:tblStyle w:val="36"/>
              <w:tblW w:w="8100" w:type="dxa"/>
              <w:jc w:val="center"/>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autofit"/>
              <w:tblCellMar>
                <w:top w:w="0" w:type="dxa"/>
                <w:left w:w="108" w:type="dxa"/>
                <w:bottom w:w="0" w:type="dxa"/>
                <w:right w:w="108" w:type="dxa"/>
              </w:tblCellMar>
            </w:tblPr>
            <w:tblGrid>
              <w:gridCol w:w="496"/>
              <w:gridCol w:w="509"/>
              <w:gridCol w:w="684"/>
              <w:gridCol w:w="1102"/>
              <w:gridCol w:w="2530"/>
              <w:gridCol w:w="2779"/>
            </w:tblGrid>
            <w:tr w14:paraId="1D5CC58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306" w:type="pct"/>
                  <w:tcBorders>
                    <w:tl2br w:val="nil"/>
                    <w:tr2bl w:val="nil"/>
                  </w:tcBorders>
                  <w:noWrap w:val="0"/>
                  <w:vAlign w:val="center"/>
                </w:tcPr>
                <w:p w14:paraId="17E2E2F3">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color w:val="000000" w:themeColor="text1"/>
                      <w:sz w:val="21"/>
                      <w:szCs w:val="21"/>
                      <w:lang w:val="en-US" w:eastAsia="zh-CN"/>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类别</w:t>
                  </w:r>
                </w:p>
              </w:tc>
              <w:tc>
                <w:tcPr>
                  <w:tcW w:w="314" w:type="pct"/>
                  <w:tcBorders>
                    <w:tl2br w:val="nil"/>
                    <w:tr2bl w:val="nil"/>
                  </w:tcBorders>
                  <w:noWrap w:val="0"/>
                  <w:vAlign w:val="center"/>
                </w:tcPr>
                <w:p w14:paraId="0F0B28AC">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color w:val="000000" w:themeColor="text1"/>
                      <w:sz w:val="21"/>
                      <w:szCs w:val="21"/>
                      <w:lang w:val="en-US" w:eastAsia="zh-CN"/>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序号</w:t>
                  </w:r>
                </w:p>
              </w:tc>
              <w:tc>
                <w:tcPr>
                  <w:tcW w:w="422" w:type="pct"/>
                  <w:tcBorders>
                    <w:tl2br w:val="nil"/>
                    <w:tr2bl w:val="nil"/>
                  </w:tcBorders>
                  <w:noWrap w:val="0"/>
                  <w:vAlign w:val="center"/>
                </w:tcPr>
                <w:p w14:paraId="116DB148">
                  <w:pPr>
                    <w:keepNext w:val="0"/>
                    <w:keepLines w:val="0"/>
                    <w:suppressLineNumbers w:val="0"/>
                    <w:spacing w:before="0" w:beforeAutospacing="0" w:after="0" w:afterAutospacing="0" w:line="240" w:lineRule="auto"/>
                    <w:ind w:left="0" w:right="0"/>
                    <w:jc w:val="both"/>
                    <w:rPr>
                      <w:rFonts w:hint="default" w:ascii="Times New Roman" w:hAnsi="Times New Roman" w:cs="Times New Roman"/>
                      <w:b/>
                      <w:bCs/>
                      <w:color w:val="000000" w:themeColor="text1"/>
                      <w:sz w:val="21"/>
                      <w:szCs w:val="21"/>
                      <w:lang w:val="en-US" w:eastAsia="zh-CN"/>
                      <w14:textFill>
                        <w14:solidFill>
                          <w14:schemeClr w14:val="tx1"/>
                        </w14:solidFill>
                      </w14:textFill>
                    </w:rPr>
                  </w:pPr>
                  <w:r>
                    <w:rPr>
                      <w:rFonts w:hint="eastAsia" w:cs="Times New Roman"/>
                      <w:b/>
                      <w:bCs/>
                      <w:color w:val="000000" w:themeColor="text1"/>
                      <w:sz w:val="21"/>
                      <w:szCs w:val="21"/>
                      <w:lang w:val="en-US" w:eastAsia="zh-CN"/>
                      <w14:textFill>
                        <w14:solidFill>
                          <w14:schemeClr w14:val="tx1"/>
                        </w14:solidFill>
                      </w14:textFill>
                    </w:rPr>
                    <w:t>排放方式</w:t>
                  </w:r>
                </w:p>
              </w:tc>
              <w:tc>
                <w:tcPr>
                  <w:tcW w:w="680" w:type="pct"/>
                  <w:tcBorders>
                    <w:tl2br w:val="nil"/>
                    <w:tr2bl w:val="nil"/>
                  </w:tcBorders>
                  <w:noWrap w:val="0"/>
                  <w:vAlign w:val="center"/>
                </w:tcPr>
                <w:p w14:paraId="1CE015A5">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color w:val="000000" w:themeColor="text1"/>
                      <w:sz w:val="21"/>
                      <w:szCs w:val="21"/>
                      <w:lang w:val="en-US" w:eastAsia="zh-CN"/>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监测项目</w:t>
                  </w:r>
                </w:p>
              </w:tc>
              <w:tc>
                <w:tcPr>
                  <w:tcW w:w="1561" w:type="pct"/>
                  <w:tcBorders>
                    <w:tl2br w:val="nil"/>
                    <w:tr2bl w:val="nil"/>
                  </w:tcBorders>
                  <w:noWrap w:val="0"/>
                  <w:vAlign w:val="center"/>
                </w:tcPr>
                <w:p w14:paraId="43786E32">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color w:val="000000" w:themeColor="text1"/>
                      <w:sz w:val="21"/>
                      <w:szCs w:val="21"/>
                      <w:lang w:val="en-US" w:eastAsia="zh-CN"/>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监测地点及频次</w:t>
                  </w:r>
                </w:p>
              </w:tc>
              <w:tc>
                <w:tcPr>
                  <w:tcW w:w="1714" w:type="pct"/>
                  <w:tcBorders>
                    <w:tl2br w:val="nil"/>
                    <w:tr2bl w:val="nil"/>
                  </w:tcBorders>
                  <w:noWrap w:val="0"/>
                  <w:vAlign w:val="center"/>
                </w:tcPr>
                <w:p w14:paraId="5CB46D92">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color w:val="000000" w:themeColor="text1"/>
                      <w:sz w:val="21"/>
                      <w:szCs w:val="21"/>
                      <w:lang w:val="en-US" w:eastAsia="zh-CN"/>
                      <w14:textFill>
                        <w14:solidFill>
                          <w14:schemeClr w14:val="tx1"/>
                        </w14:solidFill>
                      </w14:textFill>
                    </w:rPr>
                  </w:pPr>
                  <w:r>
                    <w:rPr>
                      <w:rFonts w:hint="eastAsia" w:ascii="Times New Roman" w:hAnsi="Times New Roman" w:cs="Times New Roman"/>
                      <w:b/>
                      <w:bCs/>
                      <w:color w:val="000000" w:themeColor="text1"/>
                      <w:sz w:val="21"/>
                      <w:szCs w:val="21"/>
                      <w:lang w:val="en-US" w:eastAsia="zh-CN"/>
                      <w14:textFill>
                        <w14:solidFill>
                          <w14:schemeClr w14:val="tx1"/>
                        </w14:solidFill>
                      </w14:textFill>
                    </w:rPr>
                    <w:t>执行标准</w:t>
                  </w:r>
                </w:p>
              </w:tc>
            </w:tr>
            <w:tr w14:paraId="19DA33B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306" w:type="pct"/>
                  <w:vMerge w:val="restart"/>
                  <w:tcBorders>
                    <w:tl2br w:val="nil"/>
                    <w:tr2bl w:val="nil"/>
                  </w:tcBorders>
                  <w:noWrap w:val="0"/>
                  <w:vAlign w:val="center"/>
                </w:tcPr>
                <w:p w14:paraId="1F4DF58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p>
                <w:p w14:paraId="78812D8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废气污染源监测</w:t>
                  </w:r>
                </w:p>
              </w:tc>
              <w:tc>
                <w:tcPr>
                  <w:tcW w:w="314" w:type="pct"/>
                  <w:vMerge w:val="restart"/>
                  <w:tcBorders>
                    <w:tl2br w:val="nil"/>
                    <w:tr2bl w:val="nil"/>
                  </w:tcBorders>
                  <w:noWrap w:val="0"/>
                  <w:vAlign w:val="center"/>
                </w:tcPr>
                <w:p w14:paraId="52680B8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1</w:t>
                  </w:r>
                </w:p>
              </w:tc>
              <w:tc>
                <w:tcPr>
                  <w:tcW w:w="422" w:type="pct"/>
                  <w:vMerge w:val="restart"/>
                  <w:tcBorders>
                    <w:tl2br w:val="nil"/>
                    <w:tr2bl w:val="nil"/>
                  </w:tcBorders>
                  <w:noWrap w:val="0"/>
                  <w:vAlign w:val="center"/>
                </w:tcPr>
                <w:p w14:paraId="6899294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有组织</w:t>
                  </w:r>
                </w:p>
              </w:tc>
              <w:tc>
                <w:tcPr>
                  <w:tcW w:w="680" w:type="pct"/>
                  <w:tcBorders>
                    <w:tl2br w:val="nil"/>
                    <w:tr2bl w:val="nil"/>
                  </w:tcBorders>
                  <w:noWrap w:val="0"/>
                  <w:vAlign w:val="center"/>
                </w:tcPr>
                <w:p w14:paraId="3CADAD5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颗粒物</w:t>
                  </w:r>
                </w:p>
              </w:tc>
              <w:tc>
                <w:tcPr>
                  <w:tcW w:w="1561" w:type="pct"/>
                  <w:tcBorders>
                    <w:tl2br w:val="nil"/>
                    <w:tr2bl w:val="nil"/>
                  </w:tcBorders>
                  <w:noWrap w:val="0"/>
                  <w:vAlign w:val="center"/>
                </w:tcPr>
                <w:p w14:paraId="52B19197">
                  <w:pPr>
                    <w:keepNext w:val="0"/>
                    <w:keepLines w:val="0"/>
                    <w:suppressLineNumbers w:val="0"/>
                    <w:spacing w:before="0" w:beforeAutospacing="0" w:after="0" w:afterAutospacing="0"/>
                    <w:ind w:left="0" w:leftChars="0" w:right="0" w:rightChars="0"/>
                    <w:jc w:val="both"/>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监测频率：1次/年；</w:t>
                  </w:r>
                </w:p>
                <w:p w14:paraId="05A9DCC0">
                  <w:pPr>
                    <w:keepNext w:val="0"/>
                    <w:keepLines w:val="0"/>
                    <w:suppressLineNumbers w:val="0"/>
                    <w:spacing w:before="0" w:beforeAutospacing="0" w:after="0" w:afterAutospacing="0"/>
                    <w:ind w:left="0" w:leftChars="0" w:right="0" w:rightChars="0"/>
                    <w:jc w:val="both"/>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监测点：排气筒</w:t>
                  </w:r>
                  <w:r>
                    <w:rPr>
                      <w:rFonts w:hint="eastAsia" w:cs="Times New Roman"/>
                      <w:color w:val="000000" w:themeColor="text1"/>
                      <w:szCs w:val="21"/>
                      <w:lang w:val="en-US" w:eastAsia="zh-CN"/>
                      <w14:textFill>
                        <w14:solidFill>
                          <w14:schemeClr w14:val="tx1"/>
                        </w14:solidFill>
                      </w14:textFill>
                    </w:rPr>
                    <w:t>DA001</w:t>
                  </w:r>
                  <w:r>
                    <w:rPr>
                      <w:rFonts w:hint="default" w:ascii="Times New Roman" w:hAnsi="Times New Roman" w:eastAsia="宋体" w:cs="Times New Roman"/>
                      <w:color w:val="000000" w:themeColor="text1"/>
                      <w:szCs w:val="21"/>
                      <w:lang w:val="en-US" w:eastAsia="zh-CN"/>
                      <w14:textFill>
                        <w14:solidFill>
                          <w14:schemeClr w14:val="tx1"/>
                        </w14:solidFill>
                      </w14:textFill>
                    </w:rPr>
                    <w:t>。</w:t>
                  </w:r>
                </w:p>
              </w:tc>
              <w:tc>
                <w:tcPr>
                  <w:tcW w:w="1714" w:type="pct"/>
                  <w:tcBorders>
                    <w:tl2br w:val="nil"/>
                    <w:tr2bl w:val="nil"/>
                  </w:tcBorders>
                  <w:noWrap w:val="0"/>
                  <w:vAlign w:val="center"/>
                </w:tcPr>
                <w:p w14:paraId="15638A5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《大气污染物综合排放标准》(GB</w:t>
                  </w:r>
                  <w:r>
                    <w:rPr>
                      <w:rFonts w:hint="eastAsia" w:cs="Times New Roman"/>
                      <w:color w:val="000000" w:themeColor="text1"/>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Cs w:val="21"/>
                      <w:lang w:val="en-US" w:eastAsia="zh-CN"/>
                      <w14:textFill>
                        <w14:solidFill>
                          <w14:schemeClr w14:val="tx1"/>
                        </w14:solidFill>
                      </w14:textFill>
                    </w:rPr>
                    <w:t>16297-1996)表 2标准（120mg/m</w:t>
                  </w:r>
                  <w:r>
                    <w:rPr>
                      <w:rFonts w:hint="default" w:ascii="Times New Roman" w:hAnsi="Times New Roman" w:eastAsia="宋体" w:cs="Times New Roman"/>
                      <w:color w:val="000000" w:themeColor="text1"/>
                      <w:szCs w:val="21"/>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Cs w:val="21"/>
                      <w:lang w:val="en-US" w:eastAsia="zh-CN"/>
                      <w14:textFill>
                        <w14:solidFill>
                          <w14:schemeClr w14:val="tx1"/>
                        </w14:solidFill>
                      </w14:textFill>
                    </w:rPr>
                    <w:t>）</w:t>
                  </w:r>
                </w:p>
              </w:tc>
            </w:tr>
            <w:tr w14:paraId="5DBE753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306" w:type="pct"/>
                  <w:vMerge w:val="continue"/>
                  <w:tcBorders>
                    <w:tl2br w:val="nil"/>
                    <w:tr2bl w:val="nil"/>
                  </w:tcBorders>
                  <w:noWrap w:val="0"/>
                  <w:vAlign w:val="center"/>
                </w:tcPr>
                <w:p w14:paraId="147D6A0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p>
              </w:tc>
              <w:tc>
                <w:tcPr>
                  <w:tcW w:w="314" w:type="pct"/>
                  <w:vMerge w:val="continue"/>
                  <w:tcBorders>
                    <w:tl2br w:val="nil"/>
                    <w:tr2bl w:val="nil"/>
                  </w:tcBorders>
                  <w:noWrap w:val="0"/>
                  <w:vAlign w:val="center"/>
                </w:tcPr>
                <w:p w14:paraId="251182E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p>
              </w:tc>
              <w:tc>
                <w:tcPr>
                  <w:tcW w:w="422" w:type="pct"/>
                  <w:vMerge w:val="continue"/>
                  <w:tcBorders>
                    <w:tl2br w:val="nil"/>
                    <w:tr2bl w:val="nil"/>
                  </w:tcBorders>
                  <w:noWrap w:val="0"/>
                  <w:vAlign w:val="center"/>
                </w:tcPr>
                <w:p w14:paraId="16CDD9D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p>
              </w:tc>
              <w:tc>
                <w:tcPr>
                  <w:tcW w:w="680" w:type="pct"/>
                  <w:tcBorders>
                    <w:tl2br w:val="nil"/>
                    <w:tr2bl w:val="nil"/>
                  </w:tcBorders>
                  <w:noWrap w:val="0"/>
                  <w:vAlign w:val="center"/>
                </w:tcPr>
                <w:p w14:paraId="5D1AA04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非甲烷总烃</w:t>
                  </w:r>
                </w:p>
              </w:tc>
              <w:tc>
                <w:tcPr>
                  <w:tcW w:w="1561" w:type="pct"/>
                  <w:vMerge w:val="restart"/>
                  <w:tcBorders>
                    <w:tl2br w:val="nil"/>
                    <w:tr2bl w:val="nil"/>
                  </w:tcBorders>
                  <w:noWrap w:val="0"/>
                  <w:vAlign w:val="center"/>
                </w:tcPr>
                <w:p w14:paraId="4F7A6056">
                  <w:pPr>
                    <w:keepNext w:val="0"/>
                    <w:keepLines w:val="0"/>
                    <w:suppressLineNumbers w:val="0"/>
                    <w:spacing w:before="0" w:beforeAutospacing="0" w:after="0" w:afterAutospacing="0"/>
                    <w:ind w:left="0" w:leftChars="0" w:right="0" w:rightChars="0"/>
                    <w:jc w:val="both"/>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监测频率：1次/年；</w:t>
                  </w:r>
                </w:p>
                <w:p w14:paraId="2D716893">
                  <w:pPr>
                    <w:keepNext w:val="0"/>
                    <w:keepLines w:val="0"/>
                    <w:suppressLineNumbers w:val="0"/>
                    <w:spacing w:before="0" w:beforeAutospacing="0" w:after="0" w:afterAutospacing="0"/>
                    <w:ind w:left="0" w:leftChars="0" w:right="0" w:rightChars="0"/>
                    <w:jc w:val="both"/>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监测点：排气筒</w:t>
                  </w:r>
                  <w:r>
                    <w:rPr>
                      <w:rFonts w:hint="eastAsia" w:cs="Times New Roman"/>
                      <w:color w:val="000000" w:themeColor="text1"/>
                      <w:szCs w:val="21"/>
                      <w:lang w:val="en-US" w:eastAsia="zh-CN"/>
                      <w14:textFill>
                        <w14:solidFill>
                          <w14:schemeClr w14:val="tx1"/>
                        </w14:solidFill>
                      </w14:textFill>
                    </w:rPr>
                    <w:t>DA002</w:t>
                  </w:r>
                  <w:r>
                    <w:rPr>
                      <w:rFonts w:hint="default" w:ascii="Times New Roman" w:hAnsi="Times New Roman" w:eastAsia="宋体" w:cs="Times New Roman"/>
                      <w:color w:val="000000" w:themeColor="text1"/>
                      <w:szCs w:val="21"/>
                      <w:lang w:val="en-US" w:eastAsia="zh-CN"/>
                      <w14:textFill>
                        <w14:solidFill>
                          <w14:schemeClr w14:val="tx1"/>
                        </w14:solidFill>
                      </w14:textFill>
                    </w:rPr>
                    <w:t>。</w:t>
                  </w:r>
                </w:p>
              </w:tc>
              <w:tc>
                <w:tcPr>
                  <w:tcW w:w="1714" w:type="pct"/>
                  <w:tcBorders>
                    <w:tl2br w:val="nil"/>
                    <w:tr2bl w:val="nil"/>
                  </w:tcBorders>
                  <w:noWrap w:val="0"/>
                  <w:vAlign w:val="center"/>
                </w:tcPr>
                <w:p w14:paraId="597D51B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《挥发性有机物排放控制标准》（DB61/T</w:t>
                  </w:r>
                  <w:r>
                    <w:rPr>
                      <w:rFonts w:hint="eastAsia" w:cs="Times New Roman"/>
                      <w:color w:val="000000" w:themeColor="text1"/>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Cs w:val="21"/>
                      <w:lang w:val="en-US" w:eastAsia="zh-CN"/>
                      <w14:textFill>
                        <w14:solidFill>
                          <w14:schemeClr w14:val="tx1"/>
                        </w14:solidFill>
                      </w14:textFill>
                    </w:rPr>
                    <w:t>1061-2017）（50mg/m</w:t>
                  </w:r>
                  <w:r>
                    <w:rPr>
                      <w:rFonts w:hint="default" w:ascii="Times New Roman" w:hAnsi="Times New Roman" w:eastAsia="宋体" w:cs="Times New Roman"/>
                      <w:color w:val="000000" w:themeColor="text1"/>
                      <w:szCs w:val="21"/>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Cs w:val="21"/>
                      <w:lang w:val="en-US" w:eastAsia="zh-CN"/>
                      <w14:textFill>
                        <w14:solidFill>
                          <w14:schemeClr w14:val="tx1"/>
                        </w14:solidFill>
                      </w14:textFill>
                    </w:rPr>
                    <w:t>）</w:t>
                  </w:r>
                </w:p>
              </w:tc>
            </w:tr>
            <w:tr w14:paraId="459B5D5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306" w:type="pct"/>
                  <w:vMerge w:val="continue"/>
                  <w:tcBorders>
                    <w:tl2br w:val="nil"/>
                    <w:tr2bl w:val="nil"/>
                  </w:tcBorders>
                  <w:noWrap w:val="0"/>
                  <w:vAlign w:val="center"/>
                </w:tcPr>
                <w:p w14:paraId="4190AC4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p>
              </w:tc>
              <w:tc>
                <w:tcPr>
                  <w:tcW w:w="314" w:type="pct"/>
                  <w:vMerge w:val="continue"/>
                  <w:tcBorders>
                    <w:tl2br w:val="nil"/>
                    <w:tr2bl w:val="nil"/>
                  </w:tcBorders>
                  <w:noWrap w:val="0"/>
                  <w:vAlign w:val="center"/>
                </w:tcPr>
                <w:p w14:paraId="78A6159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p>
              </w:tc>
              <w:tc>
                <w:tcPr>
                  <w:tcW w:w="422" w:type="pct"/>
                  <w:vMerge w:val="continue"/>
                  <w:tcBorders>
                    <w:tl2br w:val="nil"/>
                    <w:tr2bl w:val="nil"/>
                  </w:tcBorders>
                  <w:noWrap w:val="0"/>
                  <w:vAlign w:val="center"/>
                </w:tcPr>
                <w:p w14:paraId="3076C9D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p>
              </w:tc>
              <w:tc>
                <w:tcPr>
                  <w:tcW w:w="680" w:type="pct"/>
                  <w:tcBorders>
                    <w:tl2br w:val="nil"/>
                    <w:tr2bl w:val="nil"/>
                  </w:tcBorders>
                  <w:noWrap w:val="0"/>
                  <w:vAlign w:val="center"/>
                </w:tcPr>
                <w:p w14:paraId="6FF2C5F1">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锡及其化合物</w:t>
                  </w:r>
                </w:p>
              </w:tc>
              <w:tc>
                <w:tcPr>
                  <w:tcW w:w="1561" w:type="pct"/>
                  <w:vMerge w:val="continue"/>
                  <w:tcBorders>
                    <w:tl2br w:val="nil"/>
                    <w:tr2bl w:val="nil"/>
                  </w:tcBorders>
                  <w:noWrap w:val="0"/>
                  <w:vAlign w:val="center"/>
                </w:tcPr>
                <w:p w14:paraId="45B2371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p>
              </w:tc>
              <w:tc>
                <w:tcPr>
                  <w:tcW w:w="1714" w:type="pct"/>
                  <w:tcBorders>
                    <w:tl2br w:val="nil"/>
                    <w:tr2bl w:val="nil"/>
                  </w:tcBorders>
                  <w:noWrap w:val="0"/>
                  <w:vAlign w:val="center"/>
                </w:tcPr>
                <w:p w14:paraId="39DA76A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《大气污染物综合排放标准》(GB</w:t>
                  </w:r>
                  <w:r>
                    <w:rPr>
                      <w:rFonts w:hint="eastAsia" w:cs="Times New Roman"/>
                      <w:color w:val="000000" w:themeColor="text1"/>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Cs w:val="21"/>
                      <w:lang w:val="en-US" w:eastAsia="zh-CN"/>
                      <w14:textFill>
                        <w14:solidFill>
                          <w14:schemeClr w14:val="tx1"/>
                        </w14:solidFill>
                      </w14:textFill>
                    </w:rPr>
                    <w:t>16297-1996)表 2标准（</w:t>
                  </w:r>
                  <w:r>
                    <w:rPr>
                      <w:rFonts w:hint="eastAsia" w:ascii="Times New Roman" w:hAnsi="Times New Roman" w:eastAsia="宋体" w:cs="Times New Roman"/>
                      <w:color w:val="000000" w:themeColor="text1"/>
                      <w:szCs w:val="21"/>
                      <w:lang w:val="en-US" w:eastAsia="zh-CN"/>
                      <w14:textFill>
                        <w14:solidFill>
                          <w14:schemeClr w14:val="tx1"/>
                        </w14:solidFill>
                      </w14:textFill>
                    </w:rPr>
                    <w:t>8.5</w:t>
                  </w:r>
                  <w:r>
                    <w:rPr>
                      <w:rFonts w:hint="default" w:ascii="Times New Roman" w:hAnsi="Times New Roman" w:eastAsia="宋体" w:cs="Times New Roman"/>
                      <w:color w:val="000000" w:themeColor="text1"/>
                      <w:szCs w:val="21"/>
                      <w:lang w:val="en-US" w:eastAsia="zh-CN"/>
                      <w14:textFill>
                        <w14:solidFill>
                          <w14:schemeClr w14:val="tx1"/>
                        </w14:solidFill>
                      </w14:textFill>
                    </w:rPr>
                    <w:t>mg/m</w:t>
                  </w:r>
                  <w:r>
                    <w:rPr>
                      <w:rFonts w:hint="default" w:ascii="Times New Roman" w:hAnsi="Times New Roman" w:eastAsia="宋体" w:cs="Times New Roman"/>
                      <w:color w:val="000000" w:themeColor="text1"/>
                      <w:szCs w:val="21"/>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Cs w:val="21"/>
                      <w:lang w:val="en-US" w:eastAsia="zh-CN"/>
                      <w14:textFill>
                        <w14:solidFill>
                          <w14:schemeClr w14:val="tx1"/>
                        </w14:solidFill>
                      </w14:textFill>
                    </w:rPr>
                    <w:t>）</w:t>
                  </w:r>
                </w:p>
              </w:tc>
            </w:tr>
            <w:tr w14:paraId="045A21F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306" w:type="pct"/>
                  <w:vMerge w:val="continue"/>
                  <w:tcBorders>
                    <w:tl2br w:val="nil"/>
                    <w:tr2bl w:val="nil"/>
                  </w:tcBorders>
                  <w:noWrap w:val="0"/>
                  <w:vAlign w:val="center"/>
                </w:tcPr>
                <w:p w14:paraId="29EC96A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p>
              </w:tc>
              <w:tc>
                <w:tcPr>
                  <w:tcW w:w="314" w:type="pct"/>
                  <w:vMerge w:val="restart"/>
                  <w:tcBorders>
                    <w:tl2br w:val="nil"/>
                    <w:tr2bl w:val="nil"/>
                  </w:tcBorders>
                  <w:noWrap w:val="0"/>
                  <w:vAlign w:val="center"/>
                </w:tcPr>
                <w:p w14:paraId="3517E8F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2</w:t>
                  </w:r>
                </w:p>
              </w:tc>
              <w:tc>
                <w:tcPr>
                  <w:tcW w:w="422" w:type="pct"/>
                  <w:vMerge w:val="restart"/>
                  <w:tcBorders>
                    <w:tl2br w:val="nil"/>
                    <w:tr2bl w:val="nil"/>
                  </w:tcBorders>
                  <w:noWrap w:val="0"/>
                  <w:vAlign w:val="center"/>
                </w:tcPr>
                <w:p w14:paraId="1EF82E4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无组织</w:t>
                  </w:r>
                </w:p>
              </w:tc>
              <w:tc>
                <w:tcPr>
                  <w:tcW w:w="680" w:type="pct"/>
                  <w:tcBorders>
                    <w:tl2br w:val="nil"/>
                    <w:tr2bl w:val="nil"/>
                  </w:tcBorders>
                  <w:noWrap w:val="0"/>
                  <w:vAlign w:val="center"/>
                </w:tcPr>
                <w:p w14:paraId="09A9F60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非甲烷总烃</w:t>
                  </w:r>
                </w:p>
              </w:tc>
              <w:tc>
                <w:tcPr>
                  <w:tcW w:w="1561" w:type="pct"/>
                  <w:tcBorders>
                    <w:tl2br w:val="nil"/>
                    <w:tr2bl w:val="nil"/>
                  </w:tcBorders>
                  <w:noWrap w:val="0"/>
                  <w:vAlign w:val="center"/>
                </w:tcPr>
                <w:p w14:paraId="33DA41F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监测频率：1次/年；</w:t>
                  </w:r>
                </w:p>
                <w:p w14:paraId="48E71BEA">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监测点位：</w:t>
                  </w:r>
                  <w:r>
                    <w:rPr>
                      <w:rFonts w:hint="eastAsia" w:ascii="Times New Roman" w:hAnsi="Times New Roman" w:eastAsia="宋体" w:cs="Times New Roman"/>
                      <w:color w:val="000000" w:themeColor="text1"/>
                      <w:szCs w:val="21"/>
                      <w:lang w:val="en-US" w:eastAsia="zh-CN"/>
                      <w14:textFill>
                        <w14:solidFill>
                          <w14:schemeClr w14:val="tx1"/>
                        </w14:solidFill>
                      </w14:textFill>
                    </w:rPr>
                    <w:t>①</w:t>
                  </w:r>
                  <w:r>
                    <w:rPr>
                      <w:rFonts w:hint="default" w:ascii="Times New Roman" w:hAnsi="Times New Roman" w:eastAsia="宋体" w:cs="Times New Roman"/>
                      <w:color w:val="000000" w:themeColor="text1"/>
                      <w:szCs w:val="21"/>
                      <w:lang w:val="en-US" w:eastAsia="zh-CN"/>
                      <w14:textFill>
                        <w14:solidFill>
                          <w14:schemeClr w14:val="tx1"/>
                        </w14:solidFill>
                      </w14:textFill>
                    </w:rPr>
                    <w:t>厂界，上风向一个，下风向三个。</w:t>
                  </w:r>
                  <w:r>
                    <w:rPr>
                      <w:rFonts w:hint="eastAsia" w:ascii="Times New Roman" w:hAnsi="Times New Roman" w:eastAsia="宋体" w:cs="Times New Roman"/>
                      <w:color w:val="000000" w:themeColor="text1"/>
                      <w:szCs w:val="21"/>
                      <w:lang w:val="en-US" w:eastAsia="zh-CN"/>
                      <w14:textFill>
                        <w14:solidFill>
                          <w14:schemeClr w14:val="tx1"/>
                        </w14:solidFill>
                      </w14:textFill>
                    </w:rPr>
                    <w:t>②厂区内监控点一个。</w:t>
                  </w:r>
                </w:p>
              </w:tc>
              <w:tc>
                <w:tcPr>
                  <w:tcW w:w="1714" w:type="pct"/>
                  <w:tcBorders>
                    <w:tl2br w:val="nil"/>
                    <w:tr2bl w:val="nil"/>
                  </w:tcBorders>
                  <w:noWrap w:val="0"/>
                  <w:vAlign w:val="center"/>
                </w:tcPr>
                <w:p w14:paraId="6BCDA39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《挥发性有机物排放控制标准》（DB61/T</w:t>
                  </w:r>
                  <w:r>
                    <w:rPr>
                      <w:rFonts w:hint="eastAsia" w:cs="Times New Roman"/>
                      <w:color w:val="000000" w:themeColor="text1"/>
                      <w:szCs w:val="21"/>
                      <w:lang w:val="en-US" w:eastAsia="zh-CN"/>
                      <w14:textFill>
                        <w14:solidFill>
                          <w14:schemeClr w14:val="tx1"/>
                        </w14:solidFill>
                      </w14:textFill>
                    </w:rPr>
                    <w:t xml:space="preserve"> </w:t>
                  </w:r>
                  <w:r>
                    <w:rPr>
                      <w:rFonts w:hint="eastAsia" w:ascii="Times New Roman" w:hAnsi="Times New Roman" w:eastAsia="宋体" w:cs="Times New Roman"/>
                      <w:color w:val="000000" w:themeColor="text1"/>
                      <w:szCs w:val="21"/>
                      <w:lang w:val="en-US" w:eastAsia="zh-CN"/>
                      <w14:textFill>
                        <w14:solidFill>
                          <w14:schemeClr w14:val="tx1"/>
                        </w14:solidFill>
                      </w14:textFill>
                    </w:rPr>
                    <w:t>1061-2017）</w:t>
                  </w:r>
                </w:p>
                <w:p w14:paraId="58A34C9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《挥发性有机物无组织排放控制标准》（GB</w:t>
                  </w:r>
                  <w:r>
                    <w:rPr>
                      <w:rFonts w:hint="eastAsia" w:cs="Times New Roman"/>
                      <w:color w:val="000000" w:themeColor="text1"/>
                      <w:szCs w:val="21"/>
                      <w:lang w:val="en-US" w:eastAsia="zh-CN"/>
                      <w14:textFill>
                        <w14:solidFill>
                          <w14:schemeClr w14:val="tx1"/>
                        </w14:solidFill>
                      </w14:textFill>
                    </w:rPr>
                    <w:t xml:space="preserve"> </w:t>
                  </w:r>
                  <w:r>
                    <w:rPr>
                      <w:rFonts w:hint="eastAsia" w:ascii="Times New Roman" w:hAnsi="Times New Roman" w:eastAsia="宋体" w:cs="Times New Roman"/>
                      <w:color w:val="000000" w:themeColor="text1"/>
                      <w:szCs w:val="21"/>
                      <w:lang w:val="en-US" w:eastAsia="zh-CN"/>
                      <w14:textFill>
                        <w14:solidFill>
                          <w14:schemeClr w14:val="tx1"/>
                        </w14:solidFill>
                      </w14:textFill>
                    </w:rPr>
                    <w:t>37822-2019）</w:t>
                  </w:r>
                </w:p>
              </w:tc>
            </w:tr>
            <w:tr w14:paraId="7F232E2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306" w:type="pct"/>
                  <w:vMerge w:val="continue"/>
                  <w:tcBorders>
                    <w:tl2br w:val="nil"/>
                    <w:tr2bl w:val="nil"/>
                  </w:tcBorders>
                  <w:noWrap w:val="0"/>
                  <w:vAlign w:val="center"/>
                </w:tcPr>
                <w:p w14:paraId="7902A6F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p>
              </w:tc>
              <w:tc>
                <w:tcPr>
                  <w:tcW w:w="314" w:type="pct"/>
                  <w:vMerge w:val="continue"/>
                  <w:tcBorders>
                    <w:tl2br w:val="nil"/>
                    <w:tr2bl w:val="nil"/>
                  </w:tcBorders>
                  <w:noWrap w:val="0"/>
                  <w:vAlign w:val="center"/>
                </w:tcPr>
                <w:p w14:paraId="5EB976C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p>
              </w:tc>
              <w:tc>
                <w:tcPr>
                  <w:tcW w:w="422" w:type="pct"/>
                  <w:vMerge w:val="continue"/>
                  <w:tcBorders>
                    <w:tl2br w:val="nil"/>
                    <w:tr2bl w:val="nil"/>
                  </w:tcBorders>
                  <w:noWrap w:val="0"/>
                  <w:vAlign w:val="center"/>
                </w:tcPr>
                <w:p w14:paraId="658925B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p>
              </w:tc>
              <w:tc>
                <w:tcPr>
                  <w:tcW w:w="680" w:type="pct"/>
                  <w:tcBorders>
                    <w:tl2br w:val="nil"/>
                    <w:tr2bl w:val="nil"/>
                  </w:tcBorders>
                  <w:noWrap w:val="0"/>
                  <w:vAlign w:val="center"/>
                </w:tcPr>
                <w:p w14:paraId="1A6059F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颗粒物、锡及其化合物</w:t>
                  </w:r>
                </w:p>
              </w:tc>
              <w:tc>
                <w:tcPr>
                  <w:tcW w:w="1561" w:type="pct"/>
                  <w:tcBorders>
                    <w:tl2br w:val="nil"/>
                    <w:tr2bl w:val="nil"/>
                  </w:tcBorders>
                  <w:noWrap w:val="0"/>
                  <w:vAlign w:val="center"/>
                </w:tcPr>
                <w:p w14:paraId="6858A14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监测频率：1次/年；</w:t>
                  </w:r>
                </w:p>
                <w:p w14:paraId="612BD48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监测点位：厂界，上风向一个，下风向三个。</w:t>
                  </w:r>
                </w:p>
              </w:tc>
              <w:tc>
                <w:tcPr>
                  <w:tcW w:w="1714" w:type="pct"/>
                  <w:tcBorders>
                    <w:tl2br w:val="nil"/>
                    <w:tr2bl w:val="nil"/>
                  </w:tcBorders>
                  <w:noWrap w:val="0"/>
                  <w:vAlign w:val="center"/>
                </w:tcPr>
                <w:p w14:paraId="501DF2A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《大气污染物综合排放标准》(GB</w:t>
                  </w:r>
                  <w:r>
                    <w:rPr>
                      <w:rFonts w:hint="eastAsia" w:cs="Times New Roman"/>
                      <w:color w:val="000000" w:themeColor="text1"/>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Cs w:val="21"/>
                      <w:lang w:val="en-US" w:eastAsia="zh-CN"/>
                      <w14:textFill>
                        <w14:solidFill>
                          <w14:schemeClr w14:val="tx1"/>
                        </w14:solidFill>
                      </w14:textFill>
                    </w:rPr>
                    <w:t>16297-1996)</w:t>
                  </w:r>
                </w:p>
              </w:tc>
            </w:tr>
          </w:tbl>
          <w:p w14:paraId="016D8C0A">
            <w:pPr>
              <w:keepNext/>
              <w:keepLines/>
              <w:pageBreakBefore w:val="0"/>
              <w:widowControl/>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废气排放口监测点位设置技术要求：</w:t>
            </w:r>
          </w:p>
          <w:p w14:paraId="02AE6601">
            <w:pPr>
              <w:keepNext/>
              <w:keepLines/>
              <w:pageBreakBefore w:val="0"/>
              <w:widowControl/>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根据《排污单位污染物排放口监测点位》HJ 1405-2024中的相关要求：</w:t>
            </w:r>
          </w:p>
          <w:p w14:paraId="0F99068C">
            <w:pPr>
              <w:keepNext/>
              <w:keepLines/>
              <w:pageBreakBefore w:val="0"/>
              <w:widowControl/>
              <w:numPr>
                <w:ilvl w:val="0"/>
                <w:numId w:val="0"/>
              </w:numPr>
              <w:kinsoku/>
              <w:wordWrap/>
              <w:overflowPunct/>
              <w:topLinePunct w:val="0"/>
              <w:autoSpaceDE/>
              <w:autoSpaceDN/>
              <w:bidi w:val="0"/>
              <w:adjustRightInd/>
              <w:snapToGrid/>
              <w:spacing w:beforeAutospacing="0" w:afterAutospacing="0" w:line="360" w:lineRule="auto"/>
              <w:ind w:leftChars="200"/>
              <w:jc w:val="both"/>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1.监测断面：</w:t>
            </w:r>
          </w:p>
          <w:p w14:paraId="42401C2C">
            <w:pPr>
              <w:keepNext/>
              <w:keepLines/>
              <w:pageBreakBefore w:val="0"/>
              <w:widowControl/>
              <w:numPr>
                <w:ilvl w:val="0"/>
                <w:numId w:val="0"/>
              </w:numPr>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①监测断面应设置在规则的圆形、矩形排气筒/烟道上的竖直段或水平段，并避开拉筋等影响监测的内部结构件。</w:t>
            </w:r>
          </w:p>
          <w:p w14:paraId="1FD5E341">
            <w:pPr>
              <w:keepNext/>
              <w:keepLines/>
              <w:pageBreakBefore w:val="0"/>
              <w:widowControl/>
              <w:numPr>
                <w:ilvl w:val="0"/>
                <w:numId w:val="0"/>
              </w:numPr>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②监测断面宜设置在排气筒/烟道的负压段，相关标准有特殊要求的除外。</w:t>
            </w:r>
          </w:p>
          <w:p w14:paraId="3CB9BE62">
            <w:pPr>
              <w:keepNext/>
              <w:keepLines/>
              <w:pageBreakBefore w:val="0"/>
              <w:widowControl/>
              <w:numPr>
                <w:ilvl w:val="0"/>
                <w:numId w:val="0"/>
              </w:numPr>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③手工监测断面设置位置应满足，其按照气流方向的上游距离弯头、阀门、变径管≥4倍烟道直径，其下游距离上述部件≥2倍烟道直径。</w:t>
            </w:r>
          </w:p>
          <w:p w14:paraId="4D8522B3">
            <w:pPr>
              <w:keepNext/>
              <w:keepLines/>
              <w:pageBreakBefore w:val="0"/>
              <w:widowControl/>
              <w:numPr>
                <w:ilvl w:val="0"/>
                <w:numId w:val="0"/>
              </w:numPr>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④其余要求详见HJ 1405-2024 的4.2。</w:t>
            </w:r>
          </w:p>
          <w:p w14:paraId="79BCC19D">
            <w:pPr>
              <w:keepNext/>
              <w:keepLines/>
              <w:pageBreakBefore w:val="0"/>
              <w:widowControl/>
              <w:numPr>
                <w:ilvl w:val="0"/>
                <w:numId w:val="4"/>
              </w:numPr>
              <w:kinsoku/>
              <w:wordWrap/>
              <w:overflowPunct/>
              <w:topLinePunct w:val="0"/>
              <w:autoSpaceDE/>
              <w:autoSpaceDN/>
              <w:bidi w:val="0"/>
              <w:adjustRightInd/>
              <w:snapToGrid/>
              <w:spacing w:beforeAutospacing="0" w:afterAutospacing="0" w:line="360" w:lineRule="auto"/>
              <w:ind w:leftChars="200"/>
              <w:jc w:val="both"/>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监测孔要求</w:t>
            </w:r>
          </w:p>
          <w:p w14:paraId="0E967AD8">
            <w:pPr>
              <w:keepNext/>
              <w:keepLines/>
              <w:pageBreakBefore w:val="0"/>
              <w:widowControl/>
              <w:numPr>
                <w:ilvl w:val="0"/>
                <w:numId w:val="0"/>
              </w:numPr>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①手工监测断面处设置手工监测孔，其内径</w:t>
            </w:r>
            <w:r>
              <w:rPr>
                <w:rFonts w:hint="default" w:ascii="Times New Roman" w:hAnsi="Times New Roman" w:cs="Times New Roman"/>
                <w:color w:val="000000" w:themeColor="text1"/>
                <w:sz w:val="24"/>
                <w:szCs w:val="24"/>
                <w:lang w:val="en-US" w:eastAsia="zh-CN"/>
                <w14:textFill>
                  <w14:solidFill>
                    <w14:schemeClr w14:val="tx1"/>
                  </w14:solidFill>
                </w14:textFill>
              </w:rPr>
              <w:t>应</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满足相关污染物和排气参数的监测需要，一般应≥80mm。</w:t>
            </w:r>
          </w:p>
          <w:p w14:paraId="4DEA5D05">
            <w:pPr>
              <w:keepNext/>
              <w:keepLines/>
              <w:pageBreakBefore w:val="0"/>
              <w:widowControl/>
              <w:numPr>
                <w:ilvl w:val="0"/>
                <w:numId w:val="0"/>
              </w:numPr>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②手工监测孔应符合排气筒/烟道的密封要求，封闭形式宜优先参考HG/T 21533、HG/T 21534、HG/T 21535设计为快开方式。采用盖板、管堵或管帽等封闭的，应在监测时便于开启。</w:t>
            </w:r>
          </w:p>
          <w:p w14:paraId="41799886">
            <w:pPr>
              <w:keepNext/>
              <w:keepLines/>
              <w:pageBreakBefore w:val="0"/>
              <w:widowControl/>
              <w:numPr>
                <w:ilvl w:val="0"/>
                <w:numId w:val="0"/>
              </w:numPr>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③其余要求详见HJ 1405-2024 的4.3。</w:t>
            </w:r>
          </w:p>
          <w:p w14:paraId="757C6630">
            <w:pPr>
              <w:keepNext/>
              <w:keepLines/>
              <w:pageBreakBefore w:val="0"/>
              <w:widowControl/>
              <w:numPr>
                <w:ilvl w:val="0"/>
                <w:numId w:val="4"/>
              </w:numPr>
              <w:kinsoku/>
              <w:wordWrap/>
              <w:overflowPunct/>
              <w:topLinePunct w:val="0"/>
              <w:autoSpaceDE/>
              <w:autoSpaceDN/>
              <w:bidi w:val="0"/>
              <w:adjustRightInd/>
              <w:snapToGrid/>
              <w:spacing w:beforeAutospacing="0" w:afterAutospacing="0" w:line="360" w:lineRule="auto"/>
              <w:ind w:leftChars="200"/>
              <w:jc w:val="both"/>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工作平台要求</w:t>
            </w:r>
          </w:p>
          <w:p w14:paraId="069FEC2F">
            <w:pPr>
              <w:keepNext/>
              <w:keepLines/>
              <w:pageBreakBefore w:val="0"/>
              <w:widowControl/>
              <w:numPr>
                <w:ilvl w:val="0"/>
                <w:numId w:val="0"/>
              </w:numPr>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①监测断面距离坠落高度基准面2m以上时，应配套建设永久、安全、便于采样和测试的工作平台。</w:t>
            </w:r>
          </w:p>
          <w:p w14:paraId="09E53834">
            <w:pPr>
              <w:keepNext/>
              <w:keepLines/>
              <w:pageBreakBefore w:val="0"/>
              <w:widowControl/>
              <w:numPr>
                <w:ilvl w:val="0"/>
                <w:numId w:val="0"/>
              </w:numPr>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②除在水平烟道顶部开设监测孔外，工作平台宜设置在检测孔的正下方1.2m~1.3m处。</w:t>
            </w:r>
          </w:p>
          <w:p w14:paraId="60E73990">
            <w:pPr>
              <w:keepNext/>
              <w:keepLines/>
              <w:pageBreakBefore w:val="0"/>
              <w:widowControl/>
              <w:numPr>
                <w:ilvl w:val="0"/>
                <w:numId w:val="0"/>
              </w:numPr>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③工作平台长度应≥2m，宽度应保证人员及采样探杆操作的空间。</w:t>
            </w:r>
          </w:p>
          <w:p w14:paraId="09BAA896">
            <w:pPr>
              <w:keepNext/>
              <w:keepLines/>
              <w:pageBreakBefore w:val="0"/>
              <w:widowControl/>
              <w:numPr>
                <w:ilvl w:val="0"/>
                <w:numId w:val="0"/>
              </w:numPr>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④距离坠落高度基准面1.2m以上的工作平台及通道的所有敞开边缘应设置防护栏，</w:t>
            </w:r>
            <w:r>
              <w:rPr>
                <w:rFonts w:hint="default" w:ascii="Times New Roman" w:hAnsi="Times New Roman" w:cs="Times New Roman"/>
                <w:color w:val="000000" w:themeColor="text1"/>
                <w:sz w:val="24"/>
                <w:szCs w:val="24"/>
                <w:lang w:val="en-US" w:eastAsia="zh-CN"/>
                <w14:textFill>
                  <w14:solidFill>
                    <w14:schemeClr w14:val="tx1"/>
                  </w14:solidFill>
                </w14:textFill>
              </w:rPr>
              <w:t>其中</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工作平台的防护栏应带踢脚板。防护栏杆的高度应≥1.2m，扶手宜选用外径30mm~50mm钢管，扶手后应有不少于75mm净空间。防护栏杆</w:t>
            </w:r>
            <w:r>
              <w:rPr>
                <w:rFonts w:hint="default" w:ascii="Times New Roman" w:hAnsi="Times New Roman" w:cs="Times New Roman"/>
                <w:color w:val="000000" w:themeColor="text1"/>
                <w:sz w:val="24"/>
                <w:szCs w:val="24"/>
                <w:lang w:val="en-US" w:eastAsia="zh-CN"/>
                <w14:textFill>
                  <w14:solidFill>
                    <w14:schemeClr w14:val="tx1"/>
                  </w14:solidFill>
                </w14:textFill>
              </w:rPr>
              <w:t>踢脚板</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采用不小于100mm×2mm的钢板制造，其顶部在平台面之上高度应不小于100mm，底部距平台应大于10mm。</w:t>
            </w:r>
          </w:p>
          <w:p w14:paraId="375397D8">
            <w:pPr>
              <w:keepNext/>
              <w:keepLines/>
              <w:pageBreakBefore w:val="0"/>
              <w:widowControl/>
              <w:numPr>
                <w:ilvl w:val="0"/>
                <w:numId w:val="0"/>
              </w:numPr>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⑤其余要求详见HJ 1405-2024 的4.4。</w:t>
            </w:r>
          </w:p>
          <w:p w14:paraId="021FF2D5">
            <w:pPr>
              <w:keepNext/>
              <w:keepLines/>
              <w:widowControl/>
              <w:adjustRightInd w:val="0"/>
              <w:snapToGrid w:val="0"/>
              <w:spacing w:line="360" w:lineRule="auto"/>
              <w:jc w:val="left"/>
              <w:outlineLvl w:val="1"/>
              <w:rPr>
                <w:rFonts w:hint="default" w:ascii="Times New Roman" w:hAnsi="Times New Roman" w:eastAsia="黑体" w:cs="Times New Roman"/>
                <w:bCs/>
                <w:color w:val="000000" w:themeColor="text1"/>
                <w:sz w:val="24"/>
                <w:szCs w:val="28"/>
                <w14:textFill>
                  <w14:solidFill>
                    <w14:schemeClr w14:val="tx1"/>
                  </w14:solidFill>
                </w14:textFill>
              </w:rPr>
            </w:pPr>
            <w:r>
              <w:rPr>
                <w:rFonts w:hint="default" w:ascii="Times New Roman" w:hAnsi="Times New Roman" w:eastAsia="黑体" w:cs="Times New Roman"/>
                <w:bCs/>
                <w:color w:val="000000" w:themeColor="text1"/>
                <w:sz w:val="24"/>
                <w:szCs w:val="28"/>
                <w14:textFill>
                  <w14:solidFill>
                    <w14:schemeClr w14:val="tx1"/>
                  </w14:solidFill>
                </w14:textFill>
              </w:rPr>
              <w:t>二、运营期废水环境影响和保护措施</w:t>
            </w:r>
          </w:p>
          <w:p w14:paraId="61649AB7">
            <w:pPr>
              <w:keepNext/>
              <w:keepLines/>
              <w:widowControl/>
              <w:adjustRightInd w:val="0"/>
              <w:snapToGrid w:val="0"/>
              <w:spacing w:line="360" w:lineRule="auto"/>
              <w:jc w:val="left"/>
              <w:outlineLvl w:val="1"/>
              <w:rPr>
                <w:rFonts w:hint="default" w:ascii="Times New Roman" w:hAnsi="Times New Roman" w:eastAsia="黑体" w:cs="Times New Roman"/>
                <w:bCs/>
                <w:color w:val="000000" w:themeColor="text1"/>
                <w:sz w:val="24"/>
                <w:szCs w:val="28"/>
                <w:lang w:eastAsia="zh-CN"/>
                <w14:textFill>
                  <w14:solidFill>
                    <w14:schemeClr w14:val="tx1"/>
                  </w14:solidFill>
                </w14:textFill>
              </w:rPr>
            </w:pPr>
            <w:r>
              <w:rPr>
                <w:rFonts w:hint="default" w:ascii="Times New Roman" w:hAnsi="Times New Roman" w:eastAsia="黑体" w:cs="Times New Roman"/>
                <w:bCs/>
                <w:color w:val="000000" w:themeColor="text1"/>
                <w:sz w:val="24"/>
                <w:szCs w:val="28"/>
                <w:lang w:eastAsia="zh-CN"/>
                <w14:textFill>
                  <w14:solidFill>
                    <w14:schemeClr w14:val="tx1"/>
                  </w14:solidFill>
                </w14:textFill>
              </w:rPr>
              <w:t>1.地表水污染工序及源强分析</w:t>
            </w:r>
          </w:p>
          <w:p w14:paraId="5A5194E3">
            <w:pPr>
              <w:pStyle w:val="185"/>
              <w:spacing w:line="360" w:lineRule="auto"/>
              <w:rPr>
                <w:rFonts w:hint="eastAsia" w:ascii="Times New Roman" w:hAnsi="Times New Roman" w:cs="Times New Roman"/>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1）</w:t>
            </w:r>
            <w:r>
              <w:rPr>
                <w:rFonts w:hint="eastAsia" w:ascii="Times New Roman" w:hAnsi="Times New Roman" w:cs="Times New Roman"/>
                <w:color w:val="000000" w:themeColor="text1"/>
                <w:sz w:val="24"/>
                <w:lang w:val="en-US" w:eastAsia="zh-CN"/>
                <w14:textFill>
                  <w14:solidFill>
                    <w14:schemeClr w14:val="tx1"/>
                  </w14:solidFill>
                </w14:textFill>
              </w:rPr>
              <w:t>生产废水</w:t>
            </w:r>
          </w:p>
          <w:p w14:paraId="16926780">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去离子水制备废水</w:t>
            </w:r>
            <w:r>
              <w:rPr>
                <w:rFonts w:hint="default" w:ascii="Times New Roman" w:hAnsi="Times New Roman" w:cs="Times New Roman"/>
                <w:color w:val="000000" w:themeColor="text1"/>
                <w:sz w:val="24"/>
                <w:szCs w:val="24"/>
                <w:highlight w:val="none"/>
                <w:lang w:val="zh-CN" w:eastAsia="zh-CN"/>
                <w14:textFill>
                  <w14:solidFill>
                    <w14:schemeClr w14:val="tx1"/>
                  </w14:solidFill>
                </w14:textFill>
              </w:rPr>
              <w:t>：</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本项目所需</w:t>
            </w:r>
            <w:r>
              <w:rPr>
                <w:rFonts w:hint="eastAsia" w:cs="Times New Roman"/>
                <w:color w:val="000000" w:themeColor="text1"/>
                <w:sz w:val="24"/>
                <w:szCs w:val="24"/>
                <w:highlight w:val="none"/>
                <w:lang w:val="en-US" w:eastAsia="zh-CN"/>
                <w14:textFill>
                  <w14:solidFill>
                    <w14:schemeClr w14:val="tx1"/>
                  </w14:solidFill>
                </w14:textFill>
              </w:rPr>
              <w:t>去离子水</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共计</w:t>
            </w:r>
            <w:r>
              <w:rPr>
                <w:rFonts w:hint="eastAsia" w:cs="Times New Roman"/>
                <w:color w:val="000000" w:themeColor="text1"/>
                <w:sz w:val="24"/>
                <w:szCs w:val="24"/>
                <w:highlight w:val="none"/>
                <w:lang w:val="en-US" w:eastAsia="zh-CN"/>
                <w14:textFill>
                  <w14:solidFill>
                    <w14:schemeClr w14:val="tx1"/>
                  </w14:solidFill>
                </w14:textFill>
              </w:rPr>
              <w:t>375.87</w:t>
            </w:r>
            <w:r>
              <w:rPr>
                <w:rFonts w:hint="default" w:ascii="Times New Roman" w:hAnsi="Times New Roman" w:cs="Times New Roman"/>
                <w:color w:val="000000" w:themeColor="text1"/>
                <w:sz w:val="24"/>
                <w:szCs w:val="24"/>
                <w:lang w:eastAsia="zh-CN"/>
                <w14:textFill>
                  <w14:solidFill>
                    <w14:schemeClr w14:val="tx1"/>
                  </w14:solidFill>
                </w14:textFill>
              </w:rPr>
              <w:t>m</w:t>
            </w:r>
            <w:r>
              <w:rPr>
                <w:rFonts w:hint="default" w:ascii="Times New Roman" w:hAnsi="Times New Roman" w:cs="Times New Roman"/>
                <w:color w:val="000000" w:themeColor="text1"/>
                <w:sz w:val="24"/>
                <w:szCs w:val="24"/>
                <w:vertAlign w:val="superscript"/>
                <w:lang w:eastAsia="zh-CN"/>
                <w14:textFill>
                  <w14:solidFill>
                    <w14:schemeClr w14:val="tx1"/>
                  </w14:solidFill>
                </w14:textFill>
              </w:rPr>
              <w:t>3</w:t>
            </w:r>
            <w:r>
              <w:rPr>
                <w:rFonts w:hint="default" w:ascii="Times New Roman" w:hAnsi="Times New Roman" w:cs="Times New Roman"/>
                <w:color w:val="000000" w:themeColor="text1"/>
                <w:sz w:val="24"/>
                <w:szCs w:val="24"/>
                <w:lang w:eastAsia="zh-CN"/>
                <w14:textFill>
                  <w14:solidFill>
                    <w14:schemeClr w14:val="tx1"/>
                  </w14:solidFill>
                </w14:textFill>
              </w:rPr>
              <w:t>/a</w:t>
            </w: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去离子水</w:t>
            </w:r>
            <w:r>
              <w:rPr>
                <w:rFonts w:hint="eastAsia" w:ascii="Times New Roman" w:hAnsi="Times New Roman" w:cs="Times New Roman"/>
                <w:color w:val="000000" w:themeColor="text1"/>
                <w:sz w:val="24"/>
                <w:szCs w:val="24"/>
                <w:lang w:val="en-US" w:eastAsia="zh-CN"/>
                <w14:textFill>
                  <w14:solidFill>
                    <w14:schemeClr w14:val="tx1"/>
                  </w14:solidFill>
                </w14:textFill>
              </w:rPr>
              <w:t>制备</w:t>
            </w:r>
            <w:r>
              <w:rPr>
                <w:rFonts w:hint="default" w:ascii="Times New Roman" w:hAnsi="Times New Roman" w:cs="Times New Roman"/>
                <w:color w:val="000000" w:themeColor="text1"/>
                <w:sz w:val="24"/>
                <w:szCs w:val="24"/>
                <w:lang w:val="en-US" w:eastAsia="zh-CN"/>
                <w14:textFill>
                  <w14:solidFill>
                    <w14:schemeClr w14:val="tx1"/>
                  </w14:solidFill>
                </w14:textFill>
              </w:rPr>
              <w:t>率为</w:t>
            </w:r>
            <w:r>
              <w:rPr>
                <w:rFonts w:hint="eastAsia" w:cs="Times New Roman"/>
                <w:color w:val="000000" w:themeColor="text1"/>
                <w:sz w:val="24"/>
                <w:szCs w:val="24"/>
                <w:lang w:val="en-US" w:eastAsia="zh-CN"/>
                <w14:textFill>
                  <w14:solidFill>
                    <w14:schemeClr w14:val="tx1"/>
                  </w14:solidFill>
                </w14:textFill>
              </w:rPr>
              <w:t>6</w:t>
            </w:r>
            <w:r>
              <w:rPr>
                <w:rFonts w:hint="default" w:ascii="Times New Roman" w:hAnsi="Times New Roman" w:cs="Times New Roman"/>
                <w:color w:val="000000" w:themeColor="text1"/>
                <w:sz w:val="24"/>
                <w:szCs w:val="24"/>
                <w:lang w:val="en-US" w:eastAsia="zh-CN"/>
                <w14:textFill>
                  <w14:solidFill>
                    <w14:schemeClr w14:val="tx1"/>
                  </w14:solidFill>
                </w14:textFill>
              </w:rPr>
              <w:t>0</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则</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本项目</w:t>
            </w:r>
            <w:r>
              <w:rPr>
                <w:rFonts w:hint="eastAsia" w:cs="Times New Roman"/>
                <w:color w:val="000000" w:themeColor="text1"/>
                <w:sz w:val="24"/>
                <w:szCs w:val="24"/>
                <w:highlight w:val="none"/>
                <w:lang w:val="en-US" w:eastAsia="zh-CN"/>
                <w14:textFill>
                  <w14:solidFill>
                    <w14:schemeClr w14:val="tx1"/>
                  </w14:solidFill>
                </w14:textFill>
              </w:rPr>
              <w:t>去离子水</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制备废水产生量为</w:t>
            </w:r>
            <w:r>
              <w:rPr>
                <w:rFonts w:hint="eastAsia" w:cs="Times New Roman"/>
                <w:color w:val="000000" w:themeColor="text1"/>
                <w:sz w:val="24"/>
                <w:szCs w:val="24"/>
                <w:highlight w:val="none"/>
                <w:lang w:val="en-US" w:eastAsia="zh-CN"/>
                <w14:textFill>
                  <w14:solidFill>
                    <w14:schemeClr w14:val="tx1"/>
                  </w14:solidFill>
                </w14:textFill>
              </w:rPr>
              <w:t>250.58</w:t>
            </w:r>
            <w:r>
              <w:rPr>
                <w:rFonts w:hint="default" w:ascii="Times New Roman" w:hAnsi="Times New Roman" w:cs="Times New Roman"/>
                <w:color w:val="000000" w:themeColor="text1"/>
                <w:sz w:val="24"/>
                <w:szCs w:val="24"/>
                <w:lang w:eastAsia="zh-CN"/>
                <w14:textFill>
                  <w14:solidFill>
                    <w14:schemeClr w14:val="tx1"/>
                  </w14:solidFill>
                </w14:textFill>
              </w:rPr>
              <w:t>m</w:t>
            </w:r>
            <w:r>
              <w:rPr>
                <w:rFonts w:hint="default" w:ascii="Times New Roman" w:hAnsi="Times New Roman" w:cs="Times New Roman"/>
                <w:color w:val="000000" w:themeColor="text1"/>
                <w:sz w:val="24"/>
                <w:szCs w:val="24"/>
                <w:vertAlign w:val="superscript"/>
                <w:lang w:eastAsia="zh-CN"/>
                <w14:textFill>
                  <w14:solidFill>
                    <w14:schemeClr w14:val="tx1"/>
                  </w14:solidFill>
                </w14:textFill>
              </w:rPr>
              <w:t>3</w:t>
            </w:r>
            <w:r>
              <w:rPr>
                <w:rFonts w:hint="default" w:ascii="Times New Roman" w:hAnsi="Times New Roman" w:cs="Times New Roman"/>
                <w:color w:val="000000" w:themeColor="text1"/>
                <w:sz w:val="24"/>
                <w:szCs w:val="24"/>
                <w:lang w:eastAsia="zh-CN"/>
                <w14:textFill>
                  <w14:solidFill>
                    <w14:schemeClr w14:val="tx1"/>
                  </w14:solidFill>
                </w14:textFill>
              </w:rPr>
              <w:t>/a</w:t>
            </w: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主要是水中的阴阳离子含量较高，经反渗透浓水处理系统进行处理，处理后</w:t>
            </w:r>
            <w:r>
              <w:rPr>
                <w:rFonts w:hint="eastAsia" w:ascii="Times New Roman" w:hAnsi="Times New Roman" w:cs="Times New Roman"/>
                <w:color w:val="000000" w:themeColor="text1"/>
                <w:sz w:val="24"/>
                <w:szCs w:val="24"/>
                <w:lang w:val="en-US" w:eastAsia="zh-CN"/>
                <w14:textFill>
                  <w14:solidFill>
                    <w14:schemeClr w14:val="tx1"/>
                  </w14:solidFill>
                </w14:textFill>
              </w:rPr>
              <w:t>与园区其他生活污水一起排入市政污水管网</w:t>
            </w:r>
            <w:r>
              <w:rPr>
                <w:rFonts w:hint="default" w:ascii="Times New Roman" w:hAnsi="Times New Roman" w:cs="Times New Roman"/>
                <w:color w:val="000000" w:themeColor="text1"/>
                <w:sz w:val="24"/>
                <w:szCs w:val="24"/>
                <w:lang w:eastAsia="zh-CN"/>
                <w14:textFill>
                  <w14:solidFill>
                    <w14:schemeClr w14:val="tx1"/>
                  </w14:solidFill>
                </w14:textFill>
              </w:rPr>
              <w:t>。</w:t>
            </w:r>
          </w:p>
          <w:p w14:paraId="24E5B706">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膜冲洗废水：反渗透膜需</w:t>
            </w:r>
            <w:r>
              <w:rPr>
                <w:rFonts w:hint="eastAsia" w:cs="Times New Roman"/>
                <w:color w:val="000000" w:themeColor="text1"/>
                <w:sz w:val="24"/>
                <w:szCs w:val="24"/>
                <w:lang w:val="en-US" w:eastAsia="zh-CN"/>
                <w14:textFill>
                  <w14:solidFill>
                    <w14:schemeClr w14:val="tx1"/>
                  </w14:solidFill>
                </w14:textFill>
              </w:rPr>
              <w:t>每日进行冲洗，膜冲洗废水量为50.7m</w:t>
            </w:r>
            <w:r>
              <w:rPr>
                <w:rFonts w:hint="eastAsia" w:cs="Times New Roman"/>
                <w:color w:val="000000" w:themeColor="text1"/>
                <w:sz w:val="24"/>
                <w:szCs w:val="24"/>
                <w:vertAlign w:val="superscript"/>
                <w:lang w:val="en-US" w:eastAsia="zh-CN"/>
                <w14:textFill>
                  <w14:solidFill>
                    <w14:schemeClr w14:val="tx1"/>
                  </w14:solidFill>
                </w14:textFill>
              </w:rPr>
              <w:t>3</w:t>
            </w:r>
            <w:r>
              <w:rPr>
                <w:rFonts w:hint="eastAsia" w:cs="Times New Roman"/>
                <w:color w:val="000000" w:themeColor="text1"/>
                <w:sz w:val="24"/>
                <w:szCs w:val="24"/>
                <w:lang w:val="en-US" w:eastAsia="zh-CN"/>
                <w14:textFill>
                  <w14:solidFill>
                    <w14:schemeClr w14:val="tx1"/>
                  </w14:solidFill>
                </w14:textFill>
              </w:rPr>
              <w:t>/a（0.17m</w:t>
            </w:r>
            <w:r>
              <w:rPr>
                <w:rFonts w:hint="eastAsia" w:cs="Times New Roman"/>
                <w:color w:val="000000" w:themeColor="text1"/>
                <w:sz w:val="24"/>
                <w:szCs w:val="24"/>
                <w:vertAlign w:val="superscript"/>
                <w:lang w:val="en-US" w:eastAsia="zh-CN"/>
                <w14:textFill>
                  <w14:solidFill>
                    <w14:schemeClr w14:val="tx1"/>
                  </w14:solidFill>
                </w14:textFill>
              </w:rPr>
              <w:t>3</w:t>
            </w:r>
            <w:r>
              <w:rPr>
                <w:rFonts w:hint="eastAsia" w:cs="Times New Roman"/>
                <w:color w:val="000000" w:themeColor="text1"/>
                <w:sz w:val="24"/>
                <w:szCs w:val="24"/>
                <w:lang w:val="en-US" w:eastAsia="zh-CN"/>
                <w14:textFill>
                  <w14:solidFill>
                    <w14:schemeClr w14:val="tx1"/>
                  </w14:solidFill>
                </w14:textFill>
              </w:rPr>
              <w:t>/d），经反渗透浓水处理系统进行处理，处理后</w:t>
            </w:r>
            <w:r>
              <w:rPr>
                <w:rFonts w:hint="eastAsia" w:ascii="Times New Roman" w:hAnsi="Times New Roman" w:cs="Times New Roman"/>
                <w:color w:val="000000" w:themeColor="text1"/>
                <w:sz w:val="24"/>
                <w:szCs w:val="24"/>
                <w:lang w:val="en-US" w:eastAsia="zh-CN"/>
                <w14:textFill>
                  <w14:solidFill>
                    <w14:schemeClr w14:val="tx1"/>
                  </w14:solidFill>
                </w14:textFill>
              </w:rPr>
              <w:t>与园区其他生活污水一起排入市政污水管网</w:t>
            </w:r>
            <w:r>
              <w:rPr>
                <w:rFonts w:hint="default" w:ascii="Times New Roman" w:hAnsi="Times New Roman" w:cs="Times New Roman"/>
                <w:color w:val="000000" w:themeColor="text1"/>
                <w:sz w:val="24"/>
                <w:szCs w:val="24"/>
                <w:lang w:eastAsia="zh-CN"/>
                <w14:textFill>
                  <w14:solidFill>
                    <w14:schemeClr w14:val="tx1"/>
                  </w14:solidFill>
                </w14:textFill>
              </w:rPr>
              <w:t>。</w:t>
            </w:r>
          </w:p>
          <w:p w14:paraId="3728FD9F">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设备清洗采用人工清洗，</w:t>
            </w:r>
            <w:r>
              <w:rPr>
                <w:rFonts w:hint="default" w:ascii="Times New Roman" w:hAnsi="Times New Roman" w:cs="Times New Roman"/>
                <w:color w:val="000000" w:themeColor="text1"/>
                <w:sz w:val="24"/>
                <w:szCs w:val="24"/>
                <w:highlight w:val="none"/>
                <w:lang w:val="zh-CN" w:eastAsia="zh-CN"/>
                <w14:textFill>
                  <w14:solidFill>
                    <w14:schemeClr w14:val="tx1"/>
                  </w14:solidFill>
                </w14:textFill>
              </w:rPr>
              <w:t>根据建设单位提供资料，人工清洗过程损耗水量约为</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20%。则损耗水量约为</w:t>
            </w:r>
            <w:r>
              <w:rPr>
                <w:rFonts w:hint="eastAsia" w:cs="Times New Roman"/>
                <w:color w:val="000000" w:themeColor="text1"/>
                <w:sz w:val="24"/>
                <w:szCs w:val="24"/>
                <w:highlight w:val="none"/>
                <w:lang w:val="en-US" w:eastAsia="zh-CN"/>
                <w14:textFill>
                  <w14:solidFill>
                    <w14:schemeClr w14:val="tx1"/>
                  </w14:solidFill>
                </w14:textFill>
              </w:rPr>
              <w:t>1</w:t>
            </w:r>
            <w:r>
              <w:rPr>
                <w:rFonts w:hint="default" w:ascii="Times New Roman" w:hAnsi="Times New Roman" w:cs="Times New Roman"/>
                <w:color w:val="000000" w:themeColor="text1"/>
                <w:sz w:val="24"/>
                <w:szCs w:val="24"/>
                <w:lang w:eastAsia="zh-CN"/>
                <w14:textFill>
                  <w14:solidFill>
                    <w14:schemeClr w14:val="tx1"/>
                  </w14:solidFill>
                </w14:textFill>
              </w:rPr>
              <w:t>m</w:t>
            </w:r>
            <w:r>
              <w:rPr>
                <w:rFonts w:hint="default" w:ascii="Times New Roman" w:hAnsi="Times New Roman" w:cs="Times New Roman"/>
                <w:color w:val="000000" w:themeColor="text1"/>
                <w:sz w:val="24"/>
                <w:szCs w:val="24"/>
                <w:vertAlign w:val="superscript"/>
                <w:lang w:eastAsia="zh-CN"/>
                <w14:textFill>
                  <w14:solidFill>
                    <w14:schemeClr w14:val="tx1"/>
                  </w14:solidFill>
                </w14:textFill>
              </w:rPr>
              <w:t>3</w:t>
            </w:r>
            <w:r>
              <w:rPr>
                <w:rFonts w:hint="default" w:ascii="Times New Roman" w:hAnsi="Times New Roman" w:cs="Times New Roman"/>
                <w:color w:val="000000" w:themeColor="text1"/>
                <w:sz w:val="24"/>
                <w:szCs w:val="24"/>
                <w:lang w:eastAsia="zh-CN"/>
                <w14:textFill>
                  <w14:solidFill>
                    <w14:schemeClr w14:val="tx1"/>
                  </w14:solidFill>
                </w14:textFill>
              </w:rPr>
              <w:t>/a</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清洗废水产生量为</w:t>
            </w:r>
            <w:r>
              <w:rPr>
                <w:rFonts w:hint="eastAsia" w:cs="Times New Roman"/>
                <w:color w:val="000000" w:themeColor="text1"/>
                <w:sz w:val="24"/>
                <w:szCs w:val="24"/>
                <w:highlight w:val="none"/>
                <w:lang w:val="en-US" w:eastAsia="zh-CN"/>
                <w14:textFill>
                  <w14:solidFill>
                    <w14:schemeClr w14:val="tx1"/>
                  </w14:solidFill>
                </w14:textFill>
              </w:rPr>
              <w:t>4</w:t>
            </w:r>
            <w:r>
              <w:rPr>
                <w:rFonts w:hint="default" w:ascii="Times New Roman" w:hAnsi="Times New Roman" w:cs="Times New Roman"/>
                <w:color w:val="000000" w:themeColor="text1"/>
                <w:sz w:val="24"/>
                <w:szCs w:val="24"/>
                <w:lang w:eastAsia="zh-CN"/>
                <w14:textFill>
                  <w14:solidFill>
                    <w14:schemeClr w14:val="tx1"/>
                  </w14:solidFill>
                </w14:textFill>
              </w:rPr>
              <w:t>m</w:t>
            </w:r>
            <w:r>
              <w:rPr>
                <w:rFonts w:hint="default" w:ascii="Times New Roman" w:hAnsi="Times New Roman" w:cs="Times New Roman"/>
                <w:color w:val="000000" w:themeColor="text1"/>
                <w:sz w:val="24"/>
                <w:szCs w:val="24"/>
                <w:vertAlign w:val="superscript"/>
                <w:lang w:eastAsia="zh-CN"/>
                <w14:textFill>
                  <w14:solidFill>
                    <w14:schemeClr w14:val="tx1"/>
                  </w14:solidFill>
                </w14:textFill>
              </w:rPr>
              <w:t>3</w:t>
            </w:r>
            <w:r>
              <w:rPr>
                <w:rFonts w:hint="default" w:ascii="Times New Roman" w:hAnsi="Times New Roman" w:cs="Times New Roman"/>
                <w:color w:val="000000" w:themeColor="text1"/>
                <w:sz w:val="24"/>
                <w:szCs w:val="24"/>
                <w:lang w:eastAsia="zh-CN"/>
                <w14:textFill>
                  <w14:solidFill>
                    <w14:schemeClr w14:val="tx1"/>
                  </w14:solidFill>
                </w14:textFill>
              </w:rPr>
              <w:t>/a</w:t>
            </w: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highlight w:val="none"/>
                <w:lang w:val="zh-CN" w:eastAsia="zh-CN"/>
                <w14:textFill>
                  <w14:solidFill>
                    <w14:schemeClr w14:val="tx1"/>
                  </w14:solidFill>
                </w14:textFill>
              </w:rPr>
              <w:t>清洗</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废</w:t>
            </w:r>
            <w:r>
              <w:rPr>
                <w:rFonts w:hint="default" w:ascii="Times New Roman" w:hAnsi="Times New Roman" w:cs="Times New Roman"/>
                <w:color w:val="000000" w:themeColor="text1"/>
                <w:sz w:val="24"/>
                <w:szCs w:val="24"/>
                <w:highlight w:val="none"/>
                <w:lang w:val="zh-CN" w:eastAsia="zh-CN"/>
                <w14:textFill>
                  <w14:solidFill>
                    <w14:schemeClr w14:val="tx1"/>
                  </w14:solidFill>
                </w14:textFill>
              </w:rPr>
              <w:t>水</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收集至二级沉淀池</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沉淀</w:t>
            </w:r>
            <w:r>
              <w:rPr>
                <w:rFonts w:hint="default" w:ascii="Times New Roman" w:hAnsi="Times New Roman" w:cs="Times New Roman"/>
                <w:color w:val="000000" w:themeColor="text1"/>
                <w:sz w:val="24"/>
                <w:szCs w:val="24"/>
                <w:highlight w:val="none"/>
                <w:lang w:val="zh-CN" w:eastAsia="zh-CN"/>
                <w14:textFill>
                  <w14:solidFill>
                    <w14:schemeClr w14:val="tx1"/>
                  </w14:solidFill>
                </w14:textFill>
              </w:rPr>
              <w:t>，</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上清液</w:t>
            </w:r>
            <w:r>
              <w:rPr>
                <w:rFonts w:hint="default" w:ascii="Times New Roman" w:hAnsi="Times New Roman" w:cs="Times New Roman"/>
                <w:color w:val="000000" w:themeColor="text1"/>
                <w:sz w:val="24"/>
                <w:szCs w:val="24"/>
                <w:highlight w:val="none"/>
                <w:lang w:val="zh-CN" w:eastAsia="zh-CN"/>
                <w14:textFill>
                  <w14:solidFill>
                    <w14:schemeClr w14:val="tx1"/>
                  </w14:solidFill>
                </w14:textFill>
              </w:rPr>
              <w:t>可继续回用于产品配料。</w:t>
            </w:r>
          </w:p>
          <w:p w14:paraId="1569C83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b/>
                <w:color w:val="000000" w:themeColor="text1"/>
                <w:sz w:val="24"/>
                <w:szCs w:val="21"/>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2</w:t>
            </w:r>
            <w:r>
              <w:rPr>
                <w:rFonts w:hint="default" w:ascii="Times New Roman" w:hAnsi="Times New Roman" w:eastAsia="宋体" w:cs="Times New Roman"/>
                <w:color w:val="000000" w:themeColor="text1"/>
                <w:sz w:val="24"/>
                <w:lang w:val="en-US" w:eastAsia="zh-CN"/>
                <w14:textFill>
                  <w14:solidFill>
                    <w14:schemeClr w14:val="tx1"/>
                  </w14:solidFill>
                </w14:textFill>
              </w:rPr>
              <w:t>）生活</w:t>
            </w:r>
            <w:r>
              <w:rPr>
                <w:rFonts w:hint="default" w:ascii="Times New Roman" w:hAnsi="Times New Roman" w:cs="Times New Roman"/>
                <w:color w:val="000000" w:themeColor="text1"/>
                <w:sz w:val="24"/>
                <w:lang w:val="en-US" w:eastAsia="zh-CN"/>
                <w14:textFill>
                  <w14:solidFill>
                    <w14:schemeClr w14:val="tx1"/>
                  </w14:solidFill>
                </w14:textFill>
              </w:rPr>
              <w:t>污水：</w:t>
            </w:r>
            <w:r>
              <w:rPr>
                <w:rFonts w:hint="default" w:ascii="Times New Roman" w:hAnsi="Times New Roman" w:eastAsia="宋体" w:cs="Times New Roman"/>
                <w:color w:val="000000" w:themeColor="text1"/>
                <w:sz w:val="24"/>
                <w:szCs w:val="24"/>
                <w:lang w:eastAsia="zh-CN"/>
                <w14:textFill>
                  <w14:solidFill>
                    <w14:schemeClr w14:val="tx1"/>
                  </w14:solidFill>
                </w14:textFill>
              </w:rPr>
              <w:t>本</w:t>
            </w:r>
            <w:r>
              <w:rPr>
                <w:rFonts w:hint="default" w:ascii="Times New Roman" w:hAnsi="Times New Roman" w:eastAsia="宋体" w:cs="Times New Roman"/>
                <w:color w:val="000000" w:themeColor="text1"/>
                <w:sz w:val="24"/>
                <w:szCs w:val="24"/>
                <w14:textFill>
                  <w14:solidFill>
                    <w14:schemeClr w14:val="tx1"/>
                  </w14:solidFill>
                </w14:textFill>
              </w:rPr>
              <w:t>项目劳动定员</w:t>
            </w:r>
            <w:r>
              <w:rPr>
                <w:rFonts w:hint="default" w:ascii="Times New Roman" w:hAnsi="Times New Roman" w:cs="Times New Roman"/>
                <w:color w:val="000000" w:themeColor="text1"/>
                <w:sz w:val="24"/>
                <w:szCs w:val="24"/>
                <w:lang w:val="en-US" w:eastAsia="zh-CN"/>
                <w14:textFill>
                  <w14:solidFill>
                    <w14:schemeClr w14:val="tx1"/>
                  </w14:solidFill>
                </w14:textFill>
              </w:rPr>
              <w:t>30</w:t>
            </w:r>
            <w:r>
              <w:rPr>
                <w:rFonts w:hint="default" w:ascii="Times New Roman" w:hAnsi="Times New Roman" w:eastAsia="宋体" w:cs="Times New Roman"/>
                <w:color w:val="000000" w:themeColor="text1"/>
                <w:sz w:val="24"/>
                <w:szCs w:val="24"/>
                <w14:textFill>
                  <w14:solidFill>
                    <w14:schemeClr w14:val="tx1"/>
                  </w14:solidFill>
                </w14:textFill>
              </w:rPr>
              <w:t>人，厂区</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不</w:t>
            </w:r>
            <w:r>
              <w:rPr>
                <w:rFonts w:hint="default" w:ascii="Times New Roman" w:hAnsi="Times New Roman" w:eastAsia="宋体" w:cs="Times New Roman"/>
                <w:color w:val="000000" w:themeColor="text1"/>
                <w:sz w:val="24"/>
                <w:szCs w:val="24"/>
                <w14:textFill>
                  <w14:solidFill>
                    <w14:schemeClr w14:val="tx1"/>
                  </w14:solidFill>
                </w14:textFill>
              </w:rPr>
              <w:t>提供食宿，根据《行业用水定额》（陕西省地方标准 2020修订版），本项目运营期用水量按</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表B.17行政办公及科研院所通用值25m</w:t>
            </w:r>
            <w:r>
              <w:rPr>
                <w:rFonts w:hint="default" w:ascii="Times New Roman" w:hAnsi="Times New Roman" w:eastAsia="宋体" w:cs="Times New Roman"/>
                <w:color w:val="000000" w:themeColor="text1"/>
                <w:sz w:val="24"/>
                <w:szCs w:val="24"/>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/（人•a）</w:t>
            </w:r>
            <w:r>
              <w:rPr>
                <w:rFonts w:hint="default" w:ascii="Times New Roman" w:hAnsi="Times New Roman" w:eastAsia="宋体" w:cs="Times New Roman"/>
                <w:color w:val="000000" w:themeColor="text1"/>
                <w:sz w:val="24"/>
                <w:szCs w:val="24"/>
                <w14:textFill>
                  <w14:solidFill>
                    <w14:schemeClr w14:val="tx1"/>
                  </w14:solidFill>
                </w14:textFill>
              </w:rPr>
              <w:t>计</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项目年运行300天，则员工生活用水量为</w:t>
            </w:r>
            <w:r>
              <w:rPr>
                <w:rFonts w:hint="default" w:ascii="Times New Roman" w:hAnsi="Times New Roman" w:cs="Times New Roman"/>
                <w:color w:val="000000" w:themeColor="text1"/>
                <w:sz w:val="24"/>
                <w:szCs w:val="24"/>
                <w:lang w:val="en-US" w:eastAsia="zh-CN"/>
                <w14:textFill>
                  <w14:solidFill>
                    <w14:schemeClr w14:val="tx1"/>
                  </w14:solidFill>
                </w14:textFill>
              </w:rPr>
              <w:t>2.50</w:t>
            </w:r>
            <w:r>
              <w:rPr>
                <w:rFonts w:hint="default" w:ascii="Times New Roman" w:hAnsi="Times New Roman" w:eastAsia="宋体" w:cs="Times New Roman"/>
                <w:color w:val="000000" w:themeColor="text1"/>
                <w:sz w:val="24"/>
                <w:szCs w:val="24"/>
                <w14:textFill>
                  <w14:solidFill>
                    <w14:schemeClr w14:val="tx1"/>
                  </w14:solidFill>
                </w14:textFill>
              </w:rPr>
              <w:t>m</w:t>
            </w:r>
            <w:r>
              <w:rPr>
                <w:rFonts w:hint="default" w:ascii="Times New Roman" w:hAnsi="Times New Roman" w:eastAsia="宋体" w:cs="Times New Roman"/>
                <w:color w:val="000000" w:themeColor="text1"/>
                <w:sz w:val="24"/>
                <w:szCs w:val="24"/>
                <w:vertAlign w:val="superscript"/>
                <w14:textFill>
                  <w14:solidFill>
                    <w14:schemeClr w14:val="tx1"/>
                  </w14:solidFill>
                </w14:textFill>
              </w:rPr>
              <w:t>3</w:t>
            </w:r>
            <w:r>
              <w:rPr>
                <w:rFonts w:hint="default" w:ascii="Times New Roman" w:hAnsi="Times New Roman" w:eastAsia="宋体" w:cs="Times New Roman"/>
                <w:color w:val="000000" w:themeColor="text1"/>
                <w:sz w:val="24"/>
                <w:szCs w:val="24"/>
                <w14:textFill>
                  <w14:solidFill>
                    <w14:schemeClr w14:val="tx1"/>
                  </w14:solidFill>
                </w14:textFill>
              </w:rPr>
              <w:t>/d、</w:t>
            </w:r>
            <w:r>
              <w:rPr>
                <w:rFonts w:hint="default" w:ascii="Times New Roman" w:hAnsi="Times New Roman" w:cs="Times New Roman"/>
                <w:color w:val="000000" w:themeColor="text1"/>
                <w:sz w:val="24"/>
                <w:szCs w:val="24"/>
                <w:lang w:val="en-US" w:eastAsia="zh-CN"/>
                <w14:textFill>
                  <w14:solidFill>
                    <w14:schemeClr w14:val="tx1"/>
                  </w14:solidFill>
                </w14:textFill>
              </w:rPr>
              <w:t>750</w:t>
            </w:r>
            <w:r>
              <w:rPr>
                <w:rFonts w:hint="default" w:ascii="Times New Roman" w:hAnsi="Times New Roman" w:eastAsia="宋体" w:cs="Times New Roman"/>
                <w:color w:val="000000" w:themeColor="text1"/>
                <w:sz w:val="24"/>
                <w:szCs w:val="24"/>
                <w14:textFill>
                  <w14:solidFill>
                    <w14:schemeClr w14:val="tx1"/>
                  </w14:solidFill>
                </w14:textFill>
              </w:rPr>
              <w:t>m</w:t>
            </w:r>
            <w:r>
              <w:rPr>
                <w:rFonts w:hint="default" w:ascii="Times New Roman" w:hAnsi="Times New Roman" w:eastAsia="宋体" w:cs="Times New Roman"/>
                <w:color w:val="000000" w:themeColor="text1"/>
                <w:sz w:val="24"/>
                <w:szCs w:val="24"/>
                <w:vertAlign w:val="superscript"/>
                <w14:textFill>
                  <w14:solidFill>
                    <w14:schemeClr w14:val="tx1"/>
                  </w14:solidFill>
                </w14:textFill>
              </w:rPr>
              <w:t>3</w:t>
            </w:r>
            <w:r>
              <w:rPr>
                <w:rFonts w:hint="default" w:ascii="Times New Roman" w:hAnsi="Times New Roman" w:eastAsia="宋体" w:cs="Times New Roman"/>
                <w:color w:val="000000" w:themeColor="text1"/>
                <w:sz w:val="24"/>
                <w:szCs w:val="24"/>
                <w14:textFill>
                  <w14:solidFill>
                    <w14:schemeClr w14:val="tx1"/>
                  </w14:solidFill>
                </w14:textFill>
              </w:rPr>
              <w:t>/a。废水</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产生</w:t>
            </w:r>
            <w:r>
              <w:rPr>
                <w:rFonts w:hint="default" w:ascii="Times New Roman" w:hAnsi="Times New Roman" w:eastAsia="宋体" w:cs="Times New Roman"/>
                <w:color w:val="000000" w:themeColor="text1"/>
                <w:sz w:val="24"/>
                <w:szCs w:val="24"/>
                <w14:textFill>
                  <w14:solidFill>
                    <w14:schemeClr w14:val="tx1"/>
                  </w14:solidFill>
                </w14:textFill>
              </w:rPr>
              <w:t>量按用水量的85%</w:t>
            </w:r>
            <w:r>
              <w:rPr>
                <w:rFonts w:hint="default" w:ascii="Times New Roman" w:hAnsi="Times New Roman" w:cs="Times New Roman"/>
                <w:color w:val="000000" w:themeColor="text1"/>
                <w:sz w:val="24"/>
                <w:szCs w:val="24"/>
                <w:lang w:eastAsia="zh-CN"/>
                <w14:textFill>
                  <w14:solidFill>
                    <w14:schemeClr w14:val="tx1"/>
                  </w14:solidFill>
                </w14:textFill>
              </w:rPr>
              <w:t>计算</w:t>
            </w:r>
            <w:r>
              <w:rPr>
                <w:rFonts w:hint="default" w:ascii="Times New Roman" w:hAnsi="Times New Roman" w:eastAsia="宋体" w:cs="Times New Roman"/>
                <w:bCs/>
                <w:color w:val="000000" w:themeColor="text1"/>
                <w:sz w:val="24"/>
                <w:szCs w:val="24"/>
                <w14:textFill>
                  <w14:solidFill>
                    <w14:schemeClr w14:val="tx1"/>
                  </w14:solidFill>
                </w14:textFill>
              </w:rPr>
              <w:t>，则员工生活污水产生量为</w:t>
            </w:r>
            <w:r>
              <w:rPr>
                <w:rFonts w:hint="default" w:ascii="Times New Roman" w:hAnsi="Times New Roman" w:cs="Times New Roman"/>
                <w:bCs/>
                <w:color w:val="000000" w:themeColor="text1"/>
                <w:sz w:val="24"/>
                <w:szCs w:val="24"/>
                <w:lang w:val="en-US" w:eastAsia="zh-CN"/>
                <w14:textFill>
                  <w14:solidFill>
                    <w14:schemeClr w14:val="tx1"/>
                  </w14:solidFill>
                </w14:textFill>
              </w:rPr>
              <w:t>2.13</w:t>
            </w:r>
            <w:r>
              <w:rPr>
                <w:rFonts w:hint="default" w:ascii="Times New Roman" w:hAnsi="Times New Roman" w:eastAsia="宋体" w:cs="Times New Roman"/>
                <w:bCs/>
                <w:color w:val="000000" w:themeColor="text1"/>
                <w:sz w:val="24"/>
                <w:szCs w:val="24"/>
                <w14:textFill>
                  <w14:solidFill>
                    <w14:schemeClr w14:val="tx1"/>
                  </w14:solidFill>
                </w14:textFill>
              </w:rPr>
              <w:t>m</w:t>
            </w:r>
            <w:r>
              <w:rPr>
                <w:rFonts w:hint="default" w:ascii="Times New Roman" w:hAnsi="Times New Roman" w:eastAsia="宋体" w:cs="Times New Roman"/>
                <w:bCs/>
                <w:color w:val="000000" w:themeColor="text1"/>
                <w:sz w:val="24"/>
                <w:szCs w:val="24"/>
                <w:vertAlign w:val="superscript"/>
                <w14:textFill>
                  <w14:solidFill>
                    <w14:schemeClr w14:val="tx1"/>
                  </w14:solidFill>
                </w14:textFill>
              </w:rPr>
              <w:t>3</w:t>
            </w:r>
            <w:r>
              <w:rPr>
                <w:rFonts w:hint="default" w:ascii="Times New Roman" w:hAnsi="Times New Roman" w:eastAsia="宋体" w:cs="Times New Roman"/>
                <w:bCs/>
                <w:color w:val="000000" w:themeColor="text1"/>
                <w:sz w:val="24"/>
                <w:szCs w:val="24"/>
                <w14:textFill>
                  <w14:solidFill>
                    <w14:schemeClr w14:val="tx1"/>
                  </w14:solidFill>
                </w14:textFill>
              </w:rPr>
              <w:t>/d，</w:t>
            </w:r>
            <w:r>
              <w:rPr>
                <w:rFonts w:hint="default" w:ascii="Times New Roman" w:hAnsi="Times New Roman" w:cs="Times New Roman"/>
                <w:bCs/>
                <w:color w:val="000000" w:themeColor="text1"/>
                <w:sz w:val="24"/>
                <w:szCs w:val="24"/>
                <w:lang w:val="en-US" w:eastAsia="zh-CN"/>
                <w14:textFill>
                  <w14:solidFill>
                    <w14:schemeClr w14:val="tx1"/>
                  </w14:solidFill>
                </w14:textFill>
              </w:rPr>
              <w:t>638</w:t>
            </w:r>
            <w:r>
              <w:rPr>
                <w:rFonts w:hint="default" w:ascii="Times New Roman" w:hAnsi="Times New Roman" w:eastAsia="宋体" w:cs="Times New Roman"/>
                <w:bCs/>
                <w:color w:val="000000" w:themeColor="text1"/>
                <w:sz w:val="24"/>
                <w:szCs w:val="24"/>
                <w14:textFill>
                  <w14:solidFill>
                    <w14:schemeClr w14:val="tx1"/>
                  </w14:solidFill>
                </w14:textFill>
              </w:rPr>
              <w:t>m</w:t>
            </w:r>
            <w:r>
              <w:rPr>
                <w:rFonts w:hint="default" w:ascii="Times New Roman" w:hAnsi="Times New Roman" w:eastAsia="宋体" w:cs="Times New Roman"/>
                <w:bCs/>
                <w:color w:val="000000" w:themeColor="text1"/>
                <w:sz w:val="24"/>
                <w:szCs w:val="24"/>
                <w:vertAlign w:val="superscript"/>
                <w14:textFill>
                  <w14:solidFill>
                    <w14:schemeClr w14:val="tx1"/>
                  </w14:solidFill>
                </w14:textFill>
              </w:rPr>
              <w:t>3</w:t>
            </w:r>
            <w:r>
              <w:rPr>
                <w:rFonts w:hint="default" w:ascii="Times New Roman" w:hAnsi="Times New Roman" w:eastAsia="宋体" w:cs="Times New Roman"/>
                <w:bCs/>
                <w:color w:val="000000" w:themeColor="text1"/>
                <w:sz w:val="24"/>
                <w:szCs w:val="24"/>
                <w14:textFill>
                  <w14:solidFill>
                    <w14:schemeClr w14:val="tx1"/>
                  </w14:solidFill>
                </w14:textFill>
              </w:rPr>
              <w:t>/a</w:t>
            </w:r>
            <w:r>
              <w:rPr>
                <w:rFonts w:hint="default" w:ascii="Times New Roman" w:hAnsi="Times New Roman" w:eastAsia="宋体" w:cs="Times New Roman"/>
                <w:color w:val="000000" w:themeColor="text1"/>
                <w:sz w:val="24"/>
                <w:szCs w:val="24"/>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本项目生活污水经园区公用化粪池处理后沿市</w:t>
            </w:r>
            <w:r>
              <w:rPr>
                <w:rFonts w:hint="default" w:ascii="Times New Roman" w:hAnsi="Times New Roman" w:cs="Times New Roman"/>
                <w:color w:val="000000" w:themeColor="text1"/>
                <w:sz w:val="24"/>
                <w:szCs w:val="24"/>
                <w:lang w:val="en-US" w:eastAsia="zh-CN"/>
                <w14:textFill>
                  <w14:solidFill>
                    <w14:schemeClr w14:val="tx1"/>
                  </w14:solidFill>
                </w14:textFill>
              </w:rPr>
              <w:t>政</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污水管网排入凤翔区第二污水处理厂。</w:t>
            </w:r>
            <w:r>
              <w:rPr>
                <w:rFonts w:hint="default" w:ascii="Times New Roman" w:hAnsi="Times New Roman" w:cs="Times New Roman"/>
                <w:color w:val="000000" w:themeColor="text1"/>
                <w:sz w:val="24"/>
                <w14:textFill>
                  <w14:solidFill>
                    <w14:schemeClr w14:val="tx1"/>
                  </w14:solidFill>
                </w14:textFill>
              </w:rPr>
              <w:t>本项目运营后污水源强核算结果见表4-</w:t>
            </w:r>
            <w:r>
              <w:rPr>
                <w:rFonts w:hint="default" w:ascii="Times New Roman" w:hAnsi="Times New Roman" w:cs="Times New Roman"/>
                <w:color w:val="000000" w:themeColor="text1"/>
                <w:sz w:val="24"/>
                <w:lang w:val="en-US" w:eastAsia="zh-CN"/>
                <w14:textFill>
                  <w14:solidFill>
                    <w14:schemeClr w14:val="tx1"/>
                  </w14:solidFill>
                </w14:textFill>
              </w:rPr>
              <w:t>5</w:t>
            </w:r>
            <w:r>
              <w:rPr>
                <w:rFonts w:hint="default" w:ascii="Times New Roman" w:hAnsi="Times New Roman" w:cs="Times New Roman"/>
                <w:color w:val="000000" w:themeColor="text1"/>
                <w:sz w:val="24"/>
                <w14:textFill>
                  <w14:solidFill>
                    <w14:schemeClr w14:val="tx1"/>
                  </w14:solidFill>
                </w14:textFill>
              </w:rPr>
              <w:t>。</w:t>
            </w:r>
          </w:p>
          <w:p w14:paraId="57E169A2">
            <w:pPr>
              <w:widowControl/>
              <w:spacing w:line="440" w:lineRule="exact"/>
              <w:jc w:val="center"/>
              <w:rPr>
                <w:rFonts w:hint="default" w:ascii="Times New Roman" w:hAnsi="Times New Roman" w:eastAsia="黑体" w:cs="Times New Roman"/>
                <w:color w:val="000000" w:themeColor="text1"/>
                <w:sz w:val="24"/>
                <w:szCs w:val="21"/>
                <w14:textFill>
                  <w14:solidFill>
                    <w14:schemeClr w14:val="tx1"/>
                  </w14:solidFill>
                </w14:textFill>
              </w:rPr>
            </w:pPr>
            <w:r>
              <w:rPr>
                <w:rFonts w:hint="default" w:ascii="Times New Roman" w:hAnsi="Times New Roman" w:eastAsia="黑体" w:cs="Times New Roman"/>
                <w:color w:val="000000" w:themeColor="text1"/>
                <w:sz w:val="24"/>
                <w:szCs w:val="21"/>
                <w14:textFill>
                  <w14:solidFill>
                    <w14:schemeClr w14:val="tx1"/>
                  </w14:solidFill>
                </w14:textFill>
              </w:rPr>
              <w:t>表4-</w:t>
            </w:r>
            <w:r>
              <w:rPr>
                <w:rFonts w:hint="default" w:ascii="Times New Roman" w:hAnsi="Times New Roman" w:eastAsia="黑体" w:cs="Times New Roman"/>
                <w:color w:val="000000" w:themeColor="text1"/>
                <w:sz w:val="24"/>
                <w:szCs w:val="21"/>
                <w:lang w:val="en-US" w:eastAsia="zh-CN"/>
                <w14:textFill>
                  <w14:solidFill>
                    <w14:schemeClr w14:val="tx1"/>
                  </w14:solidFill>
                </w14:textFill>
              </w:rPr>
              <w:t>5</w:t>
            </w:r>
            <w:r>
              <w:rPr>
                <w:rFonts w:hint="default" w:ascii="Times New Roman" w:hAnsi="Times New Roman" w:eastAsia="黑体" w:cs="Times New Roman"/>
                <w:color w:val="000000" w:themeColor="text1"/>
                <w:sz w:val="24"/>
                <w:szCs w:val="21"/>
                <w14:textFill>
                  <w14:solidFill>
                    <w14:schemeClr w14:val="tx1"/>
                  </w14:solidFill>
                </w14:textFill>
              </w:rPr>
              <w:t xml:space="preserve">   废水污染源源强核算结果一览表</w:t>
            </w:r>
          </w:p>
          <w:tbl>
            <w:tblPr>
              <w:tblStyle w:val="36"/>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145"/>
              <w:gridCol w:w="916"/>
              <w:gridCol w:w="1179"/>
              <w:gridCol w:w="1076"/>
              <w:gridCol w:w="1279"/>
              <w:gridCol w:w="1307"/>
              <w:gridCol w:w="1213"/>
            </w:tblGrid>
            <w:tr w14:paraId="153C8B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9" w:hRule="atLeast"/>
                <w:jc w:val="center"/>
              </w:trPr>
              <w:tc>
                <w:tcPr>
                  <w:tcW w:w="706" w:type="pct"/>
                  <w:vMerge w:val="restart"/>
                  <w:noWrap w:val="0"/>
                  <w:vAlign w:val="center"/>
                </w:tcPr>
                <w:p w14:paraId="7F68C9D5">
                  <w:pPr>
                    <w:widowControl/>
                    <w:spacing w:line="320" w:lineRule="exact"/>
                    <w:jc w:val="center"/>
                    <w:rPr>
                      <w:rFonts w:hint="default" w:ascii="Times New Roman" w:hAnsi="Times New Roman" w:cs="Times New Roman"/>
                      <w:b/>
                      <w:color w:val="000000" w:themeColor="text1"/>
                      <w:szCs w:val="21"/>
                      <w14:textFill>
                        <w14:solidFill>
                          <w14:schemeClr w14:val="tx1"/>
                        </w14:solidFill>
                      </w14:textFill>
                    </w:rPr>
                  </w:pPr>
                  <w:r>
                    <w:rPr>
                      <w:rFonts w:hint="default" w:ascii="Times New Roman" w:hAnsi="Times New Roman" w:cs="Times New Roman"/>
                      <w:b/>
                      <w:color w:val="000000" w:themeColor="text1"/>
                      <w:szCs w:val="21"/>
                      <w14:textFill>
                        <w14:solidFill>
                          <w14:schemeClr w14:val="tx1"/>
                        </w14:solidFill>
                      </w14:textFill>
                    </w:rPr>
                    <w:t>污水</w:t>
                  </w:r>
                </w:p>
              </w:tc>
              <w:tc>
                <w:tcPr>
                  <w:tcW w:w="564" w:type="pct"/>
                  <w:vMerge w:val="restart"/>
                  <w:noWrap w:val="0"/>
                  <w:vAlign w:val="center"/>
                </w:tcPr>
                <w:p w14:paraId="6984787D">
                  <w:pPr>
                    <w:widowControl/>
                    <w:spacing w:line="320" w:lineRule="exact"/>
                    <w:jc w:val="center"/>
                    <w:rPr>
                      <w:rFonts w:hint="default" w:ascii="Times New Roman" w:hAnsi="Times New Roman" w:cs="Times New Roman"/>
                      <w:b/>
                      <w:color w:val="000000" w:themeColor="text1"/>
                      <w:szCs w:val="21"/>
                      <w14:textFill>
                        <w14:solidFill>
                          <w14:schemeClr w14:val="tx1"/>
                        </w14:solidFill>
                      </w14:textFill>
                    </w:rPr>
                  </w:pPr>
                  <w:r>
                    <w:rPr>
                      <w:rFonts w:hint="default" w:ascii="Times New Roman" w:hAnsi="Times New Roman" w:cs="Times New Roman"/>
                      <w:b/>
                      <w:color w:val="000000" w:themeColor="text1"/>
                      <w:szCs w:val="21"/>
                      <w14:textFill>
                        <w14:solidFill>
                          <w14:schemeClr w14:val="tx1"/>
                        </w14:solidFill>
                      </w14:textFill>
                    </w:rPr>
                    <w:t>污染物</w:t>
                  </w:r>
                </w:p>
              </w:tc>
              <w:tc>
                <w:tcPr>
                  <w:tcW w:w="1389" w:type="pct"/>
                  <w:gridSpan w:val="2"/>
                  <w:noWrap w:val="0"/>
                  <w:vAlign w:val="center"/>
                </w:tcPr>
                <w:p w14:paraId="4B05C2DE">
                  <w:pPr>
                    <w:widowControl/>
                    <w:spacing w:line="320" w:lineRule="exact"/>
                    <w:jc w:val="center"/>
                    <w:rPr>
                      <w:rFonts w:hint="default" w:ascii="Times New Roman" w:hAnsi="Times New Roman" w:cs="Times New Roman"/>
                      <w:b/>
                      <w:color w:val="000000" w:themeColor="text1"/>
                      <w:szCs w:val="21"/>
                      <w14:textFill>
                        <w14:solidFill>
                          <w14:schemeClr w14:val="tx1"/>
                        </w14:solidFill>
                      </w14:textFill>
                    </w:rPr>
                  </w:pPr>
                  <w:r>
                    <w:rPr>
                      <w:rFonts w:hint="default" w:ascii="Times New Roman" w:hAnsi="Times New Roman" w:cs="Times New Roman"/>
                      <w:b/>
                      <w:color w:val="000000" w:themeColor="text1"/>
                      <w:szCs w:val="21"/>
                      <w14:textFill>
                        <w14:solidFill>
                          <w14:schemeClr w14:val="tx1"/>
                        </w14:solidFill>
                      </w14:textFill>
                    </w:rPr>
                    <w:t>产生情况</w:t>
                  </w:r>
                </w:p>
              </w:tc>
              <w:tc>
                <w:tcPr>
                  <w:tcW w:w="788" w:type="pct"/>
                  <w:vMerge w:val="restart"/>
                  <w:noWrap w:val="0"/>
                  <w:vAlign w:val="center"/>
                </w:tcPr>
                <w:p w14:paraId="4F11F4D8">
                  <w:pPr>
                    <w:widowControl/>
                    <w:spacing w:line="320" w:lineRule="exact"/>
                    <w:jc w:val="center"/>
                    <w:rPr>
                      <w:rFonts w:hint="default" w:ascii="Times New Roman" w:hAnsi="Times New Roman" w:cs="Times New Roman"/>
                      <w:b/>
                      <w:color w:val="000000" w:themeColor="text1"/>
                      <w:szCs w:val="21"/>
                      <w14:textFill>
                        <w14:solidFill>
                          <w14:schemeClr w14:val="tx1"/>
                        </w14:solidFill>
                      </w14:textFill>
                    </w:rPr>
                  </w:pPr>
                  <w:r>
                    <w:rPr>
                      <w:rFonts w:hint="default" w:ascii="Times New Roman" w:hAnsi="Times New Roman" w:cs="Times New Roman"/>
                      <w:b/>
                      <w:color w:val="000000" w:themeColor="text1"/>
                      <w:szCs w:val="21"/>
                      <w14:textFill>
                        <w14:solidFill>
                          <w14:schemeClr w14:val="tx1"/>
                        </w14:solidFill>
                      </w14:textFill>
                    </w:rPr>
                    <w:t>处理措施</w:t>
                  </w:r>
                </w:p>
              </w:tc>
              <w:tc>
                <w:tcPr>
                  <w:tcW w:w="1552" w:type="pct"/>
                  <w:gridSpan w:val="2"/>
                  <w:noWrap w:val="0"/>
                  <w:vAlign w:val="center"/>
                </w:tcPr>
                <w:p w14:paraId="3CC65772">
                  <w:pPr>
                    <w:widowControl/>
                    <w:spacing w:line="320" w:lineRule="exact"/>
                    <w:jc w:val="center"/>
                    <w:rPr>
                      <w:rFonts w:hint="default" w:ascii="Times New Roman" w:hAnsi="Times New Roman" w:cs="Times New Roman"/>
                      <w:b/>
                      <w:color w:val="000000" w:themeColor="text1"/>
                      <w:szCs w:val="21"/>
                      <w14:textFill>
                        <w14:solidFill>
                          <w14:schemeClr w14:val="tx1"/>
                        </w14:solidFill>
                      </w14:textFill>
                    </w:rPr>
                  </w:pPr>
                  <w:r>
                    <w:rPr>
                      <w:rFonts w:hint="default" w:ascii="Times New Roman" w:hAnsi="Times New Roman" w:cs="Times New Roman"/>
                      <w:b/>
                      <w:color w:val="000000" w:themeColor="text1"/>
                      <w:szCs w:val="21"/>
                      <w14:textFill>
                        <w14:solidFill>
                          <w14:schemeClr w14:val="tx1"/>
                        </w14:solidFill>
                      </w14:textFill>
                    </w:rPr>
                    <w:t>排放情况</w:t>
                  </w:r>
                </w:p>
              </w:tc>
            </w:tr>
            <w:tr w14:paraId="429101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9" w:hRule="atLeast"/>
                <w:jc w:val="center"/>
              </w:trPr>
              <w:tc>
                <w:tcPr>
                  <w:tcW w:w="706" w:type="pct"/>
                  <w:vMerge w:val="continue"/>
                  <w:noWrap w:val="0"/>
                  <w:vAlign w:val="center"/>
                </w:tcPr>
                <w:p w14:paraId="0F821C93">
                  <w:pPr>
                    <w:widowControl/>
                    <w:spacing w:line="320" w:lineRule="exact"/>
                    <w:jc w:val="center"/>
                    <w:rPr>
                      <w:rFonts w:hint="default" w:ascii="Times New Roman" w:hAnsi="Times New Roman" w:cs="Times New Roman"/>
                      <w:color w:val="000000" w:themeColor="text1"/>
                      <w:szCs w:val="21"/>
                      <w14:textFill>
                        <w14:solidFill>
                          <w14:schemeClr w14:val="tx1"/>
                        </w14:solidFill>
                      </w14:textFill>
                    </w:rPr>
                  </w:pPr>
                </w:p>
              </w:tc>
              <w:tc>
                <w:tcPr>
                  <w:tcW w:w="564" w:type="pct"/>
                  <w:vMerge w:val="continue"/>
                  <w:noWrap w:val="0"/>
                  <w:vAlign w:val="center"/>
                </w:tcPr>
                <w:p w14:paraId="16BFD785">
                  <w:pPr>
                    <w:widowControl/>
                    <w:spacing w:line="320" w:lineRule="exact"/>
                    <w:jc w:val="center"/>
                    <w:rPr>
                      <w:rFonts w:hint="default" w:ascii="Times New Roman" w:hAnsi="Times New Roman" w:cs="Times New Roman"/>
                      <w:color w:val="000000" w:themeColor="text1"/>
                      <w:szCs w:val="21"/>
                      <w14:textFill>
                        <w14:solidFill>
                          <w14:schemeClr w14:val="tx1"/>
                        </w14:solidFill>
                      </w14:textFill>
                    </w:rPr>
                  </w:pPr>
                </w:p>
              </w:tc>
              <w:tc>
                <w:tcPr>
                  <w:tcW w:w="726" w:type="pct"/>
                  <w:noWrap w:val="0"/>
                  <w:vAlign w:val="center"/>
                </w:tcPr>
                <w:p w14:paraId="0E7AFBD4">
                  <w:pPr>
                    <w:widowControl/>
                    <w:spacing w:line="320" w:lineRule="exact"/>
                    <w:jc w:val="center"/>
                    <w:rPr>
                      <w:rFonts w:hint="default" w:ascii="Times New Roman" w:hAnsi="Times New Roman" w:cs="Times New Roman"/>
                      <w:b/>
                      <w:color w:val="000000" w:themeColor="text1"/>
                      <w:szCs w:val="21"/>
                      <w14:textFill>
                        <w14:solidFill>
                          <w14:schemeClr w14:val="tx1"/>
                        </w14:solidFill>
                      </w14:textFill>
                    </w:rPr>
                  </w:pPr>
                  <w:r>
                    <w:rPr>
                      <w:rFonts w:hint="default" w:ascii="Times New Roman" w:hAnsi="Times New Roman" w:cs="Times New Roman"/>
                      <w:b/>
                      <w:color w:val="000000" w:themeColor="text1"/>
                      <w:szCs w:val="21"/>
                      <w14:textFill>
                        <w14:solidFill>
                          <w14:schemeClr w14:val="tx1"/>
                        </w14:solidFill>
                      </w14:textFill>
                    </w:rPr>
                    <w:t>产生浓度</w:t>
                  </w:r>
                </w:p>
              </w:tc>
              <w:tc>
                <w:tcPr>
                  <w:tcW w:w="662" w:type="pct"/>
                  <w:noWrap w:val="0"/>
                  <w:vAlign w:val="center"/>
                </w:tcPr>
                <w:p w14:paraId="7F7D7BF1">
                  <w:pPr>
                    <w:widowControl/>
                    <w:spacing w:line="320" w:lineRule="exact"/>
                    <w:jc w:val="center"/>
                    <w:rPr>
                      <w:rFonts w:hint="default" w:ascii="Times New Roman" w:hAnsi="Times New Roman" w:cs="Times New Roman"/>
                      <w:b/>
                      <w:color w:val="000000" w:themeColor="text1"/>
                      <w:szCs w:val="21"/>
                      <w14:textFill>
                        <w14:solidFill>
                          <w14:schemeClr w14:val="tx1"/>
                        </w14:solidFill>
                      </w14:textFill>
                    </w:rPr>
                  </w:pPr>
                  <w:r>
                    <w:rPr>
                      <w:rFonts w:hint="default" w:ascii="Times New Roman" w:hAnsi="Times New Roman" w:cs="Times New Roman"/>
                      <w:b/>
                      <w:color w:val="000000" w:themeColor="text1"/>
                      <w:szCs w:val="21"/>
                      <w14:textFill>
                        <w14:solidFill>
                          <w14:schemeClr w14:val="tx1"/>
                        </w14:solidFill>
                      </w14:textFill>
                    </w:rPr>
                    <w:t>产生量</w:t>
                  </w:r>
                </w:p>
              </w:tc>
              <w:tc>
                <w:tcPr>
                  <w:tcW w:w="788" w:type="pct"/>
                  <w:vMerge w:val="continue"/>
                  <w:noWrap w:val="0"/>
                  <w:vAlign w:val="center"/>
                </w:tcPr>
                <w:p w14:paraId="34330074">
                  <w:pPr>
                    <w:widowControl/>
                    <w:spacing w:line="320" w:lineRule="exact"/>
                    <w:jc w:val="center"/>
                    <w:rPr>
                      <w:rFonts w:hint="default" w:ascii="Times New Roman" w:hAnsi="Times New Roman" w:cs="Times New Roman"/>
                      <w:b/>
                      <w:color w:val="000000" w:themeColor="text1"/>
                      <w:szCs w:val="21"/>
                      <w14:textFill>
                        <w14:solidFill>
                          <w14:schemeClr w14:val="tx1"/>
                        </w14:solidFill>
                      </w14:textFill>
                    </w:rPr>
                  </w:pPr>
                </w:p>
              </w:tc>
              <w:tc>
                <w:tcPr>
                  <w:tcW w:w="805" w:type="pct"/>
                  <w:noWrap w:val="0"/>
                  <w:vAlign w:val="center"/>
                </w:tcPr>
                <w:p w14:paraId="0B610C28">
                  <w:pPr>
                    <w:widowControl/>
                    <w:spacing w:line="320" w:lineRule="exact"/>
                    <w:jc w:val="center"/>
                    <w:rPr>
                      <w:rFonts w:hint="default" w:ascii="Times New Roman" w:hAnsi="Times New Roman" w:cs="Times New Roman"/>
                      <w:b/>
                      <w:color w:val="000000" w:themeColor="text1"/>
                      <w:szCs w:val="21"/>
                      <w14:textFill>
                        <w14:solidFill>
                          <w14:schemeClr w14:val="tx1"/>
                        </w14:solidFill>
                      </w14:textFill>
                    </w:rPr>
                  </w:pPr>
                  <w:r>
                    <w:rPr>
                      <w:rFonts w:hint="default" w:ascii="Times New Roman" w:hAnsi="Times New Roman" w:cs="Times New Roman"/>
                      <w:b/>
                      <w:color w:val="000000" w:themeColor="text1"/>
                      <w:szCs w:val="21"/>
                      <w14:textFill>
                        <w14:solidFill>
                          <w14:schemeClr w14:val="tx1"/>
                        </w14:solidFill>
                      </w14:textFill>
                    </w:rPr>
                    <w:t>排放浓度</w:t>
                  </w:r>
                </w:p>
              </w:tc>
              <w:tc>
                <w:tcPr>
                  <w:tcW w:w="746" w:type="pct"/>
                  <w:noWrap w:val="0"/>
                  <w:vAlign w:val="center"/>
                </w:tcPr>
                <w:p w14:paraId="03603465">
                  <w:pPr>
                    <w:widowControl/>
                    <w:spacing w:line="320" w:lineRule="exact"/>
                    <w:jc w:val="center"/>
                    <w:rPr>
                      <w:rFonts w:hint="default" w:ascii="Times New Roman" w:hAnsi="Times New Roman" w:cs="Times New Roman"/>
                      <w:b/>
                      <w:color w:val="000000" w:themeColor="text1"/>
                      <w:szCs w:val="21"/>
                      <w14:textFill>
                        <w14:solidFill>
                          <w14:schemeClr w14:val="tx1"/>
                        </w14:solidFill>
                      </w14:textFill>
                    </w:rPr>
                  </w:pPr>
                  <w:r>
                    <w:rPr>
                      <w:rFonts w:hint="default" w:ascii="Times New Roman" w:hAnsi="Times New Roman" w:cs="Times New Roman"/>
                      <w:b/>
                      <w:color w:val="000000" w:themeColor="text1"/>
                      <w:szCs w:val="21"/>
                      <w14:textFill>
                        <w14:solidFill>
                          <w14:schemeClr w14:val="tx1"/>
                        </w14:solidFill>
                      </w14:textFill>
                    </w:rPr>
                    <w:t>排放量</w:t>
                  </w:r>
                </w:p>
              </w:tc>
            </w:tr>
            <w:tr w14:paraId="7FB08B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4" w:hRule="atLeast"/>
                <w:jc w:val="center"/>
              </w:trPr>
              <w:tc>
                <w:tcPr>
                  <w:tcW w:w="706" w:type="pct"/>
                  <w:vMerge w:val="restart"/>
                  <w:noWrap w:val="0"/>
                  <w:vAlign w:val="center"/>
                </w:tcPr>
                <w:p w14:paraId="7DD5AF69">
                  <w:pPr>
                    <w:widowControl/>
                    <w:spacing w:line="320" w:lineRule="exact"/>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生活污水</w:t>
                  </w:r>
                </w:p>
                <w:p w14:paraId="48EBD1E9">
                  <w:pPr>
                    <w:widowControl/>
                    <w:spacing w:line="320" w:lineRule="exact"/>
                    <w:jc w:val="center"/>
                    <w:rPr>
                      <w:rFonts w:hint="default"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638</w:t>
                  </w:r>
                  <w:r>
                    <w:rPr>
                      <w:rFonts w:hint="default" w:ascii="Times New Roman" w:hAnsi="Times New Roman" w:cs="Times New Roman"/>
                      <w:color w:val="000000" w:themeColor="text1"/>
                      <w:sz w:val="21"/>
                      <w:szCs w:val="21"/>
                      <w14:textFill>
                        <w14:solidFill>
                          <w14:schemeClr w14:val="tx1"/>
                        </w14:solidFill>
                      </w14:textFill>
                    </w:rPr>
                    <w:t>m</w:t>
                  </w:r>
                  <w:r>
                    <w:rPr>
                      <w:rFonts w:hint="default" w:ascii="Times New Roman" w:hAnsi="Times New Roman" w:cs="Times New Roman"/>
                      <w:color w:val="000000" w:themeColor="text1"/>
                      <w:sz w:val="21"/>
                      <w:szCs w:val="21"/>
                      <w:vertAlign w:val="superscript"/>
                      <w14:textFill>
                        <w14:solidFill>
                          <w14:schemeClr w14:val="tx1"/>
                        </w14:solidFill>
                      </w14:textFill>
                    </w:rPr>
                    <w:t>3</w:t>
                  </w:r>
                  <w:r>
                    <w:rPr>
                      <w:rFonts w:hint="default" w:ascii="Times New Roman" w:hAnsi="Times New Roman" w:cs="Times New Roman"/>
                      <w:color w:val="000000" w:themeColor="text1"/>
                      <w:szCs w:val="21"/>
                      <w14:textFill>
                        <w14:solidFill>
                          <w14:schemeClr w14:val="tx1"/>
                        </w14:solidFill>
                      </w14:textFill>
                    </w:rPr>
                    <w:t>/a</w:t>
                  </w:r>
                </w:p>
              </w:tc>
              <w:tc>
                <w:tcPr>
                  <w:tcW w:w="564" w:type="pct"/>
                  <w:noWrap w:val="0"/>
                  <w:vAlign w:val="center"/>
                </w:tcPr>
                <w:p w14:paraId="1E83FE5C">
                  <w:pPr>
                    <w:widowControl/>
                    <w:spacing w:line="320" w:lineRule="exact"/>
                    <w:jc w:val="center"/>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COD</w:t>
                  </w:r>
                </w:p>
              </w:tc>
              <w:tc>
                <w:tcPr>
                  <w:tcW w:w="726" w:type="pct"/>
                  <w:noWrap w:val="0"/>
                  <w:vAlign w:val="center"/>
                </w:tcPr>
                <w:p w14:paraId="3EF19828">
                  <w:pPr>
                    <w:widowControl/>
                    <w:spacing w:line="320" w:lineRule="exact"/>
                    <w:jc w:val="center"/>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350mg/L</w:t>
                  </w:r>
                </w:p>
              </w:tc>
              <w:tc>
                <w:tcPr>
                  <w:tcW w:w="662" w:type="pct"/>
                  <w:noWrap w:val="0"/>
                  <w:vAlign w:val="center"/>
                </w:tcPr>
                <w:p w14:paraId="657EC9D9">
                  <w:pPr>
                    <w:widowControl/>
                    <w:spacing w:line="32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0.</w:t>
                  </w:r>
                  <w:r>
                    <w:rPr>
                      <w:rFonts w:hint="eastAsia" w:ascii="Times New Roman" w:hAnsi="Times New Roman" w:cs="Times New Roman"/>
                      <w:color w:val="000000" w:themeColor="text1"/>
                      <w:szCs w:val="21"/>
                      <w:lang w:val="en-US" w:eastAsia="zh-CN"/>
                      <w14:textFill>
                        <w14:solidFill>
                          <w14:schemeClr w14:val="tx1"/>
                        </w14:solidFill>
                      </w14:textFill>
                    </w:rPr>
                    <w:t>22</w:t>
                  </w:r>
                  <w:r>
                    <w:rPr>
                      <w:rFonts w:hint="default" w:ascii="Times New Roman" w:hAnsi="Times New Roman" w:cs="Times New Roman"/>
                      <w:color w:val="000000" w:themeColor="text1"/>
                      <w:szCs w:val="21"/>
                      <w14:textFill>
                        <w14:solidFill>
                          <w14:schemeClr w14:val="tx1"/>
                        </w14:solidFill>
                      </w14:textFill>
                    </w:rPr>
                    <w:t>t/a</w:t>
                  </w:r>
                </w:p>
              </w:tc>
              <w:tc>
                <w:tcPr>
                  <w:tcW w:w="788" w:type="pct"/>
                  <w:vMerge w:val="restart"/>
                  <w:noWrap w:val="0"/>
                  <w:vAlign w:val="center"/>
                </w:tcPr>
                <w:p w14:paraId="29931211">
                  <w:pPr>
                    <w:widowControl/>
                    <w:spacing w:line="32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生活污水经</w:t>
                  </w:r>
                  <w:r>
                    <w:rPr>
                      <w:rFonts w:hint="default" w:ascii="Times New Roman" w:hAnsi="Times New Roman" w:cs="Times New Roman"/>
                      <w:color w:val="000000" w:themeColor="text1"/>
                      <w:szCs w:val="21"/>
                      <w:lang w:val="en-US" w:eastAsia="zh-CN"/>
                      <w14:textFill>
                        <w14:solidFill>
                          <w14:schemeClr w14:val="tx1"/>
                        </w14:solidFill>
                      </w14:textFill>
                    </w:rPr>
                    <w:t>园区公用</w:t>
                  </w:r>
                  <w:r>
                    <w:rPr>
                      <w:rFonts w:hint="default" w:ascii="Times New Roman" w:hAnsi="Times New Roman" w:cs="Times New Roman"/>
                      <w:color w:val="000000" w:themeColor="text1"/>
                      <w:szCs w:val="21"/>
                      <w14:textFill>
                        <w14:solidFill>
                          <w14:schemeClr w14:val="tx1"/>
                        </w14:solidFill>
                      </w14:textFill>
                    </w:rPr>
                    <w:t>化粪池处理后排入市政管网</w:t>
                  </w:r>
                </w:p>
              </w:tc>
              <w:tc>
                <w:tcPr>
                  <w:tcW w:w="805" w:type="pct"/>
                  <w:noWrap w:val="0"/>
                  <w:vAlign w:val="center"/>
                </w:tcPr>
                <w:p w14:paraId="1A0C69E2">
                  <w:pPr>
                    <w:widowControl/>
                    <w:spacing w:line="32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300mg/L</w:t>
                  </w:r>
                </w:p>
              </w:tc>
              <w:tc>
                <w:tcPr>
                  <w:tcW w:w="746" w:type="pct"/>
                  <w:noWrap w:val="0"/>
                  <w:vAlign w:val="center"/>
                </w:tcPr>
                <w:p w14:paraId="0DB4C538">
                  <w:pPr>
                    <w:widowControl/>
                    <w:spacing w:line="32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0.1</w:t>
                  </w:r>
                  <w:r>
                    <w:rPr>
                      <w:rFonts w:hint="eastAsia" w:ascii="Times New Roman" w:hAnsi="Times New Roman" w:cs="Times New Roman"/>
                      <w:color w:val="000000" w:themeColor="text1"/>
                      <w:szCs w:val="21"/>
                      <w:lang w:val="en-US" w:eastAsia="zh-CN"/>
                      <w14:textFill>
                        <w14:solidFill>
                          <w14:schemeClr w14:val="tx1"/>
                        </w14:solidFill>
                      </w14:textFill>
                    </w:rPr>
                    <w:t>9</w:t>
                  </w:r>
                  <w:r>
                    <w:rPr>
                      <w:rFonts w:hint="default" w:ascii="Times New Roman" w:hAnsi="Times New Roman" w:cs="Times New Roman"/>
                      <w:color w:val="000000" w:themeColor="text1"/>
                      <w:szCs w:val="21"/>
                      <w14:textFill>
                        <w14:solidFill>
                          <w14:schemeClr w14:val="tx1"/>
                        </w14:solidFill>
                      </w14:textFill>
                    </w:rPr>
                    <w:t>t/a</w:t>
                  </w:r>
                </w:p>
              </w:tc>
            </w:tr>
            <w:tr w14:paraId="2974B1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4" w:hRule="atLeast"/>
                <w:jc w:val="center"/>
              </w:trPr>
              <w:tc>
                <w:tcPr>
                  <w:tcW w:w="706" w:type="pct"/>
                  <w:vMerge w:val="continue"/>
                  <w:noWrap w:val="0"/>
                  <w:vAlign w:val="center"/>
                </w:tcPr>
                <w:p w14:paraId="332024C7">
                  <w:pPr>
                    <w:widowControl/>
                    <w:spacing w:line="320" w:lineRule="exact"/>
                    <w:jc w:val="center"/>
                    <w:rPr>
                      <w:rFonts w:hint="default" w:ascii="Times New Roman" w:hAnsi="Times New Roman" w:cs="Times New Roman"/>
                      <w:color w:val="000000" w:themeColor="text1"/>
                      <w:szCs w:val="21"/>
                      <w14:textFill>
                        <w14:solidFill>
                          <w14:schemeClr w14:val="tx1"/>
                        </w14:solidFill>
                      </w14:textFill>
                    </w:rPr>
                  </w:pPr>
                </w:p>
              </w:tc>
              <w:tc>
                <w:tcPr>
                  <w:tcW w:w="564" w:type="pct"/>
                  <w:noWrap w:val="0"/>
                  <w:vAlign w:val="center"/>
                </w:tcPr>
                <w:p w14:paraId="45BAFCF1">
                  <w:pPr>
                    <w:widowControl/>
                    <w:spacing w:line="320" w:lineRule="exact"/>
                    <w:jc w:val="center"/>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BOD</w:t>
                  </w:r>
                  <w:r>
                    <w:rPr>
                      <w:rFonts w:hint="default" w:ascii="Times New Roman" w:hAnsi="Times New Roman" w:cs="Times New Roman"/>
                      <w:bCs/>
                      <w:color w:val="000000" w:themeColor="text1"/>
                      <w:szCs w:val="21"/>
                      <w:vertAlign w:val="subscript"/>
                      <w14:textFill>
                        <w14:solidFill>
                          <w14:schemeClr w14:val="tx1"/>
                        </w14:solidFill>
                      </w14:textFill>
                    </w:rPr>
                    <w:t>5</w:t>
                  </w:r>
                </w:p>
              </w:tc>
              <w:tc>
                <w:tcPr>
                  <w:tcW w:w="726" w:type="pct"/>
                  <w:noWrap w:val="0"/>
                  <w:vAlign w:val="center"/>
                </w:tcPr>
                <w:p w14:paraId="7F40A415">
                  <w:pPr>
                    <w:widowControl/>
                    <w:spacing w:line="320" w:lineRule="exact"/>
                    <w:jc w:val="center"/>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180</w:t>
                  </w:r>
                  <w:r>
                    <w:rPr>
                      <w:rFonts w:hint="default" w:ascii="Times New Roman" w:hAnsi="Times New Roman" w:cs="Times New Roman"/>
                      <w:color w:val="000000" w:themeColor="text1"/>
                      <w:szCs w:val="21"/>
                      <w14:textFill>
                        <w14:solidFill>
                          <w14:schemeClr w14:val="tx1"/>
                        </w14:solidFill>
                      </w14:textFill>
                    </w:rPr>
                    <w:t>mg/L</w:t>
                  </w:r>
                </w:p>
              </w:tc>
              <w:tc>
                <w:tcPr>
                  <w:tcW w:w="662" w:type="pct"/>
                  <w:noWrap w:val="0"/>
                  <w:vAlign w:val="center"/>
                </w:tcPr>
                <w:p w14:paraId="6588C3AE">
                  <w:pPr>
                    <w:widowControl/>
                    <w:spacing w:line="320" w:lineRule="exact"/>
                    <w:jc w:val="center"/>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0.</w:t>
                  </w:r>
                  <w:r>
                    <w:rPr>
                      <w:rFonts w:hint="eastAsia" w:ascii="Times New Roman" w:hAnsi="Times New Roman" w:cs="Times New Roman"/>
                      <w:color w:val="000000" w:themeColor="text1"/>
                      <w:szCs w:val="21"/>
                      <w:lang w:val="en-US" w:eastAsia="zh-CN"/>
                      <w14:textFill>
                        <w14:solidFill>
                          <w14:schemeClr w14:val="tx1"/>
                        </w14:solidFill>
                      </w14:textFill>
                    </w:rPr>
                    <w:t>11</w:t>
                  </w:r>
                  <w:r>
                    <w:rPr>
                      <w:rFonts w:hint="default" w:ascii="Times New Roman" w:hAnsi="Times New Roman" w:cs="Times New Roman"/>
                      <w:color w:val="000000" w:themeColor="text1"/>
                      <w:szCs w:val="21"/>
                      <w:lang w:val="en-US" w:eastAsia="zh-CN"/>
                      <w14:textFill>
                        <w14:solidFill>
                          <w14:schemeClr w14:val="tx1"/>
                        </w14:solidFill>
                      </w14:textFill>
                    </w:rPr>
                    <w:t>t</w:t>
                  </w:r>
                  <w:r>
                    <w:rPr>
                      <w:rFonts w:hint="default" w:ascii="Times New Roman" w:hAnsi="Times New Roman" w:cs="Times New Roman"/>
                      <w:color w:val="000000" w:themeColor="text1"/>
                      <w:szCs w:val="21"/>
                      <w14:textFill>
                        <w14:solidFill>
                          <w14:schemeClr w14:val="tx1"/>
                        </w14:solidFill>
                      </w14:textFill>
                    </w:rPr>
                    <w:t>/a</w:t>
                  </w:r>
                </w:p>
              </w:tc>
              <w:tc>
                <w:tcPr>
                  <w:tcW w:w="788" w:type="pct"/>
                  <w:vMerge w:val="continue"/>
                  <w:noWrap w:val="0"/>
                  <w:vAlign w:val="center"/>
                </w:tcPr>
                <w:p w14:paraId="05BD85E9">
                  <w:pPr>
                    <w:widowControl/>
                    <w:spacing w:line="320" w:lineRule="exact"/>
                    <w:jc w:val="center"/>
                    <w:rPr>
                      <w:rFonts w:hint="default" w:ascii="Times New Roman" w:hAnsi="Times New Roman" w:cs="Times New Roman"/>
                      <w:color w:val="000000" w:themeColor="text1"/>
                      <w:szCs w:val="21"/>
                      <w14:textFill>
                        <w14:solidFill>
                          <w14:schemeClr w14:val="tx1"/>
                        </w14:solidFill>
                      </w14:textFill>
                    </w:rPr>
                  </w:pPr>
                </w:p>
              </w:tc>
              <w:tc>
                <w:tcPr>
                  <w:tcW w:w="805" w:type="pct"/>
                  <w:noWrap w:val="0"/>
                  <w:vAlign w:val="center"/>
                </w:tcPr>
                <w:p w14:paraId="0719FB8B">
                  <w:pPr>
                    <w:widowControl/>
                    <w:spacing w:line="320" w:lineRule="exact"/>
                    <w:jc w:val="center"/>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150</w:t>
                  </w:r>
                  <w:r>
                    <w:rPr>
                      <w:rFonts w:hint="default" w:ascii="Times New Roman" w:hAnsi="Times New Roman" w:cs="Times New Roman"/>
                      <w:color w:val="000000" w:themeColor="text1"/>
                      <w:szCs w:val="21"/>
                      <w14:textFill>
                        <w14:solidFill>
                          <w14:schemeClr w14:val="tx1"/>
                        </w14:solidFill>
                      </w14:textFill>
                    </w:rPr>
                    <w:t>mg/L</w:t>
                  </w:r>
                </w:p>
              </w:tc>
              <w:tc>
                <w:tcPr>
                  <w:tcW w:w="746" w:type="pct"/>
                  <w:noWrap w:val="0"/>
                  <w:vAlign w:val="center"/>
                </w:tcPr>
                <w:p w14:paraId="1BDB6B6D">
                  <w:pPr>
                    <w:widowControl/>
                    <w:spacing w:line="320" w:lineRule="exact"/>
                    <w:jc w:val="center"/>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0.0</w:t>
                  </w:r>
                  <w:r>
                    <w:rPr>
                      <w:rFonts w:hint="eastAsia" w:ascii="Times New Roman" w:hAnsi="Times New Roman" w:cs="Times New Roman"/>
                      <w:color w:val="000000" w:themeColor="text1"/>
                      <w:szCs w:val="21"/>
                      <w:lang w:val="en-US" w:eastAsia="zh-CN"/>
                      <w14:textFill>
                        <w14:solidFill>
                          <w14:schemeClr w14:val="tx1"/>
                        </w14:solidFill>
                      </w14:textFill>
                    </w:rPr>
                    <w:t>96</w:t>
                  </w:r>
                  <w:r>
                    <w:rPr>
                      <w:rFonts w:hint="default" w:ascii="Times New Roman" w:hAnsi="Times New Roman" w:cs="Times New Roman"/>
                      <w:color w:val="000000" w:themeColor="text1"/>
                      <w:szCs w:val="21"/>
                      <w14:textFill>
                        <w14:solidFill>
                          <w14:schemeClr w14:val="tx1"/>
                        </w14:solidFill>
                      </w14:textFill>
                    </w:rPr>
                    <w:t>t/a</w:t>
                  </w:r>
                </w:p>
              </w:tc>
            </w:tr>
            <w:tr w14:paraId="036F1E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4" w:hRule="atLeast"/>
                <w:jc w:val="center"/>
              </w:trPr>
              <w:tc>
                <w:tcPr>
                  <w:tcW w:w="706" w:type="pct"/>
                  <w:vMerge w:val="continue"/>
                  <w:noWrap w:val="0"/>
                  <w:vAlign w:val="center"/>
                </w:tcPr>
                <w:p w14:paraId="1E8D61A0">
                  <w:pPr>
                    <w:widowControl/>
                    <w:spacing w:line="320" w:lineRule="exact"/>
                    <w:jc w:val="center"/>
                    <w:rPr>
                      <w:rFonts w:hint="default" w:ascii="Times New Roman" w:hAnsi="Times New Roman" w:cs="Times New Roman"/>
                      <w:color w:val="000000" w:themeColor="text1"/>
                      <w:szCs w:val="21"/>
                      <w14:textFill>
                        <w14:solidFill>
                          <w14:schemeClr w14:val="tx1"/>
                        </w14:solidFill>
                      </w14:textFill>
                    </w:rPr>
                  </w:pPr>
                </w:p>
              </w:tc>
              <w:tc>
                <w:tcPr>
                  <w:tcW w:w="564" w:type="pct"/>
                  <w:noWrap w:val="0"/>
                  <w:vAlign w:val="center"/>
                </w:tcPr>
                <w:p w14:paraId="2B83F9F9">
                  <w:pPr>
                    <w:widowControl/>
                    <w:spacing w:line="320" w:lineRule="exact"/>
                    <w:jc w:val="center"/>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SS</w:t>
                  </w:r>
                </w:p>
              </w:tc>
              <w:tc>
                <w:tcPr>
                  <w:tcW w:w="726" w:type="pct"/>
                  <w:noWrap w:val="0"/>
                  <w:vAlign w:val="center"/>
                </w:tcPr>
                <w:p w14:paraId="7A438C5E">
                  <w:pPr>
                    <w:widowControl/>
                    <w:spacing w:line="320" w:lineRule="exact"/>
                    <w:jc w:val="center"/>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200mg/L</w:t>
                  </w:r>
                </w:p>
              </w:tc>
              <w:tc>
                <w:tcPr>
                  <w:tcW w:w="662" w:type="pct"/>
                  <w:noWrap w:val="0"/>
                  <w:vAlign w:val="center"/>
                </w:tcPr>
                <w:p w14:paraId="69479695">
                  <w:pPr>
                    <w:widowControl/>
                    <w:spacing w:line="32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0.</w:t>
                  </w:r>
                  <w:r>
                    <w:rPr>
                      <w:rFonts w:hint="eastAsia" w:ascii="Times New Roman" w:hAnsi="Times New Roman" w:cs="Times New Roman"/>
                      <w:color w:val="000000" w:themeColor="text1"/>
                      <w:szCs w:val="21"/>
                      <w:lang w:val="en-US" w:eastAsia="zh-CN"/>
                      <w14:textFill>
                        <w14:solidFill>
                          <w14:schemeClr w14:val="tx1"/>
                        </w14:solidFill>
                      </w14:textFill>
                    </w:rPr>
                    <w:t>13</w:t>
                  </w:r>
                  <w:r>
                    <w:rPr>
                      <w:rFonts w:hint="default" w:ascii="Times New Roman" w:hAnsi="Times New Roman" w:cs="Times New Roman"/>
                      <w:color w:val="000000" w:themeColor="text1"/>
                      <w:szCs w:val="21"/>
                      <w14:textFill>
                        <w14:solidFill>
                          <w14:schemeClr w14:val="tx1"/>
                        </w14:solidFill>
                      </w14:textFill>
                    </w:rPr>
                    <w:t>t/a</w:t>
                  </w:r>
                </w:p>
              </w:tc>
              <w:tc>
                <w:tcPr>
                  <w:tcW w:w="788" w:type="pct"/>
                  <w:vMerge w:val="continue"/>
                  <w:noWrap w:val="0"/>
                  <w:vAlign w:val="center"/>
                </w:tcPr>
                <w:p w14:paraId="70D01692">
                  <w:pPr>
                    <w:widowControl/>
                    <w:spacing w:line="320" w:lineRule="exact"/>
                    <w:jc w:val="center"/>
                    <w:rPr>
                      <w:rFonts w:hint="default" w:ascii="Times New Roman" w:hAnsi="Times New Roman" w:cs="Times New Roman"/>
                      <w:color w:val="000000" w:themeColor="text1"/>
                      <w:szCs w:val="21"/>
                      <w14:textFill>
                        <w14:solidFill>
                          <w14:schemeClr w14:val="tx1"/>
                        </w14:solidFill>
                      </w14:textFill>
                    </w:rPr>
                  </w:pPr>
                </w:p>
              </w:tc>
              <w:tc>
                <w:tcPr>
                  <w:tcW w:w="805" w:type="pct"/>
                  <w:noWrap w:val="0"/>
                  <w:vAlign w:val="center"/>
                </w:tcPr>
                <w:p w14:paraId="49378945">
                  <w:pPr>
                    <w:widowControl/>
                    <w:spacing w:line="32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140mg/L</w:t>
                  </w:r>
                </w:p>
              </w:tc>
              <w:tc>
                <w:tcPr>
                  <w:tcW w:w="746" w:type="pct"/>
                  <w:noWrap w:val="0"/>
                  <w:vAlign w:val="center"/>
                </w:tcPr>
                <w:p w14:paraId="61AB226C">
                  <w:pPr>
                    <w:widowControl/>
                    <w:spacing w:line="32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0.0</w:t>
                  </w:r>
                  <w:r>
                    <w:rPr>
                      <w:rFonts w:hint="eastAsia" w:ascii="Times New Roman" w:hAnsi="Times New Roman" w:cs="Times New Roman"/>
                      <w:color w:val="000000" w:themeColor="text1"/>
                      <w:szCs w:val="21"/>
                      <w:lang w:val="en-US" w:eastAsia="zh-CN"/>
                      <w14:textFill>
                        <w14:solidFill>
                          <w14:schemeClr w14:val="tx1"/>
                        </w14:solidFill>
                      </w14:textFill>
                    </w:rPr>
                    <w:t>89</w:t>
                  </w:r>
                  <w:r>
                    <w:rPr>
                      <w:rFonts w:hint="default" w:ascii="Times New Roman" w:hAnsi="Times New Roman" w:cs="Times New Roman"/>
                      <w:color w:val="000000" w:themeColor="text1"/>
                      <w:szCs w:val="21"/>
                      <w14:textFill>
                        <w14:solidFill>
                          <w14:schemeClr w14:val="tx1"/>
                        </w14:solidFill>
                      </w14:textFill>
                    </w:rPr>
                    <w:t>t/a</w:t>
                  </w:r>
                </w:p>
              </w:tc>
            </w:tr>
            <w:tr w14:paraId="2B052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4" w:hRule="atLeast"/>
                <w:jc w:val="center"/>
              </w:trPr>
              <w:tc>
                <w:tcPr>
                  <w:tcW w:w="706" w:type="pct"/>
                  <w:vMerge w:val="continue"/>
                  <w:noWrap w:val="0"/>
                  <w:vAlign w:val="center"/>
                </w:tcPr>
                <w:p w14:paraId="62D68E9E">
                  <w:pPr>
                    <w:widowControl/>
                    <w:spacing w:line="320" w:lineRule="exact"/>
                    <w:jc w:val="center"/>
                    <w:rPr>
                      <w:rFonts w:hint="default" w:ascii="Times New Roman" w:hAnsi="Times New Roman" w:cs="Times New Roman"/>
                      <w:color w:val="000000" w:themeColor="text1"/>
                      <w:szCs w:val="21"/>
                      <w14:textFill>
                        <w14:solidFill>
                          <w14:schemeClr w14:val="tx1"/>
                        </w14:solidFill>
                      </w14:textFill>
                    </w:rPr>
                  </w:pPr>
                </w:p>
              </w:tc>
              <w:tc>
                <w:tcPr>
                  <w:tcW w:w="564" w:type="pct"/>
                  <w:noWrap w:val="0"/>
                  <w:vAlign w:val="center"/>
                </w:tcPr>
                <w:p w14:paraId="6B5ADF1F">
                  <w:pPr>
                    <w:widowControl/>
                    <w:spacing w:line="320" w:lineRule="exact"/>
                    <w:jc w:val="center"/>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氨氮</w:t>
                  </w:r>
                </w:p>
              </w:tc>
              <w:tc>
                <w:tcPr>
                  <w:tcW w:w="726" w:type="pct"/>
                  <w:noWrap w:val="0"/>
                  <w:vAlign w:val="center"/>
                </w:tcPr>
                <w:p w14:paraId="4F5D1A24">
                  <w:pPr>
                    <w:widowControl/>
                    <w:spacing w:line="32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35mg/L</w:t>
                  </w:r>
                </w:p>
              </w:tc>
              <w:tc>
                <w:tcPr>
                  <w:tcW w:w="662" w:type="pct"/>
                  <w:noWrap w:val="0"/>
                  <w:vAlign w:val="center"/>
                </w:tcPr>
                <w:p w14:paraId="2EFD92D8">
                  <w:pPr>
                    <w:widowControl/>
                    <w:spacing w:line="32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0.0</w:t>
                  </w:r>
                  <w:r>
                    <w:rPr>
                      <w:rFonts w:hint="eastAsia" w:ascii="Times New Roman" w:hAnsi="Times New Roman" w:cs="Times New Roman"/>
                      <w:color w:val="000000" w:themeColor="text1"/>
                      <w:szCs w:val="21"/>
                      <w:lang w:val="en-US" w:eastAsia="zh-CN"/>
                      <w14:textFill>
                        <w14:solidFill>
                          <w14:schemeClr w14:val="tx1"/>
                        </w14:solidFill>
                      </w14:textFill>
                    </w:rPr>
                    <w:t>22</w:t>
                  </w:r>
                  <w:r>
                    <w:rPr>
                      <w:rFonts w:hint="default" w:ascii="Times New Roman" w:hAnsi="Times New Roman" w:cs="Times New Roman"/>
                      <w:color w:val="000000" w:themeColor="text1"/>
                      <w:szCs w:val="21"/>
                      <w14:textFill>
                        <w14:solidFill>
                          <w14:schemeClr w14:val="tx1"/>
                        </w14:solidFill>
                      </w14:textFill>
                    </w:rPr>
                    <w:t>t/a</w:t>
                  </w:r>
                </w:p>
              </w:tc>
              <w:tc>
                <w:tcPr>
                  <w:tcW w:w="788" w:type="pct"/>
                  <w:vMerge w:val="continue"/>
                  <w:noWrap w:val="0"/>
                  <w:vAlign w:val="center"/>
                </w:tcPr>
                <w:p w14:paraId="42A49C90">
                  <w:pPr>
                    <w:widowControl/>
                    <w:spacing w:line="320" w:lineRule="exact"/>
                    <w:jc w:val="center"/>
                    <w:rPr>
                      <w:rFonts w:hint="default" w:ascii="Times New Roman" w:hAnsi="Times New Roman" w:cs="Times New Roman"/>
                      <w:color w:val="000000" w:themeColor="text1"/>
                      <w:szCs w:val="21"/>
                      <w14:textFill>
                        <w14:solidFill>
                          <w14:schemeClr w14:val="tx1"/>
                        </w14:solidFill>
                      </w14:textFill>
                    </w:rPr>
                  </w:pPr>
                </w:p>
              </w:tc>
              <w:tc>
                <w:tcPr>
                  <w:tcW w:w="805" w:type="pct"/>
                  <w:noWrap w:val="0"/>
                  <w:vAlign w:val="center"/>
                </w:tcPr>
                <w:p w14:paraId="4FACC9C5">
                  <w:pPr>
                    <w:widowControl/>
                    <w:spacing w:line="32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35mg/L</w:t>
                  </w:r>
                </w:p>
              </w:tc>
              <w:tc>
                <w:tcPr>
                  <w:tcW w:w="746" w:type="pct"/>
                  <w:noWrap w:val="0"/>
                  <w:vAlign w:val="center"/>
                </w:tcPr>
                <w:p w14:paraId="2FFB04B8">
                  <w:pPr>
                    <w:widowControl/>
                    <w:spacing w:line="32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0.0</w:t>
                  </w:r>
                  <w:r>
                    <w:rPr>
                      <w:rFonts w:hint="eastAsia" w:ascii="Times New Roman" w:hAnsi="Times New Roman" w:cs="Times New Roman"/>
                      <w:color w:val="000000" w:themeColor="text1"/>
                      <w:szCs w:val="21"/>
                      <w:lang w:val="en-US" w:eastAsia="zh-CN"/>
                      <w14:textFill>
                        <w14:solidFill>
                          <w14:schemeClr w14:val="tx1"/>
                        </w14:solidFill>
                      </w14:textFill>
                    </w:rPr>
                    <w:t>22</w:t>
                  </w:r>
                  <w:r>
                    <w:rPr>
                      <w:rFonts w:hint="default" w:ascii="Times New Roman" w:hAnsi="Times New Roman" w:cs="Times New Roman"/>
                      <w:color w:val="000000" w:themeColor="text1"/>
                      <w:szCs w:val="21"/>
                      <w:lang w:val="en-US" w:eastAsia="zh-CN"/>
                      <w14:textFill>
                        <w14:solidFill>
                          <w14:schemeClr w14:val="tx1"/>
                        </w14:solidFill>
                      </w14:textFill>
                    </w:rPr>
                    <w:t>t</w:t>
                  </w:r>
                  <w:r>
                    <w:rPr>
                      <w:rFonts w:hint="default" w:ascii="Times New Roman" w:hAnsi="Times New Roman" w:cs="Times New Roman"/>
                      <w:color w:val="000000" w:themeColor="text1"/>
                      <w:szCs w:val="21"/>
                      <w14:textFill>
                        <w14:solidFill>
                          <w14:schemeClr w14:val="tx1"/>
                        </w14:solidFill>
                      </w14:textFill>
                    </w:rPr>
                    <w:t>/a</w:t>
                  </w:r>
                </w:p>
              </w:tc>
            </w:tr>
            <w:tr w14:paraId="36F6A6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4" w:hRule="atLeast"/>
                <w:jc w:val="center"/>
              </w:trPr>
              <w:tc>
                <w:tcPr>
                  <w:tcW w:w="706" w:type="pct"/>
                  <w:vMerge w:val="continue"/>
                  <w:noWrap w:val="0"/>
                  <w:vAlign w:val="center"/>
                </w:tcPr>
                <w:p w14:paraId="08C12FFC">
                  <w:pPr>
                    <w:widowControl/>
                    <w:spacing w:line="320" w:lineRule="exact"/>
                    <w:jc w:val="center"/>
                    <w:rPr>
                      <w:rFonts w:hint="default" w:ascii="Times New Roman" w:hAnsi="Times New Roman" w:cs="Times New Roman"/>
                      <w:color w:val="000000" w:themeColor="text1"/>
                      <w:szCs w:val="21"/>
                      <w14:textFill>
                        <w14:solidFill>
                          <w14:schemeClr w14:val="tx1"/>
                        </w14:solidFill>
                      </w14:textFill>
                    </w:rPr>
                  </w:pPr>
                </w:p>
              </w:tc>
              <w:tc>
                <w:tcPr>
                  <w:tcW w:w="564" w:type="pct"/>
                  <w:noWrap w:val="0"/>
                  <w:vAlign w:val="center"/>
                </w:tcPr>
                <w:p w14:paraId="7CECB4B2">
                  <w:pPr>
                    <w:widowControl/>
                    <w:spacing w:line="320" w:lineRule="exact"/>
                    <w:jc w:val="center"/>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总磷</w:t>
                  </w:r>
                </w:p>
              </w:tc>
              <w:tc>
                <w:tcPr>
                  <w:tcW w:w="726" w:type="pct"/>
                  <w:noWrap w:val="0"/>
                  <w:vAlign w:val="center"/>
                </w:tcPr>
                <w:p w14:paraId="0E15772F">
                  <w:pPr>
                    <w:widowControl/>
                    <w:spacing w:line="32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5</w:t>
                  </w:r>
                  <w:r>
                    <w:rPr>
                      <w:rFonts w:hint="default" w:ascii="Times New Roman" w:hAnsi="Times New Roman" w:cs="Times New Roman"/>
                      <w:color w:val="000000" w:themeColor="text1"/>
                      <w:szCs w:val="21"/>
                      <w14:textFill>
                        <w14:solidFill>
                          <w14:schemeClr w14:val="tx1"/>
                        </w14:solidFill>
                      </w14:textFill>
                    </w:rPr>
                    <w:t>mg/L</w:t>
                  </w:r>
                </w:p>
              </w:tc>
              <w:tc>
                <w:tcPr>
                  <w:tcW w:w="662" w:type="pct"/>
                  <w:noWrap w:val="0"/>
                  <w:vAlign w:val="center"/>
                </w:tcPr>
                <w:p w14:paraId="597F6BF0">
                  <w:pPr>
                    <w:widowControl/>
                    <w:spacing w:line="32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0.00</w:t>
                  </w:r>
                  <w:r>
                    <w:rPr>
                      <w:rFonts w:hint="eastAsia" w:ascii="Times New Roman" w:hAnsi="Times New Roman" w:cs="Times New Roman"/>
                      <w:color w:val="000000" w:themeColor="text1"/>
                      <w:szCs w:val="21"/>
                      <w:lang w:val="en-US" w:eastAsia="zh-CN"/>
                      <w14:textFill>
                        <w14:solidFill>
                          <w14:schemeClr w14:val="tx1"/>
                        </w14:solidFill>
                      </w14:textFill>
                    </w:rPr>
                    <w:t>32</w:t>
                  </w:r>
                  <w:r>
                    <w:rPr>
                      <w:rFonts w:hint="default" w:ascii="Times New Roman" w:hAnsi="Times New Roman" w:cs="Times New Roman"/>
                      <w:color w:val="000000" w:themeColor="text1"/>
                      <w:szCs w:val="21"/>
                      <w14:textFill>
                        <w14:solidFill>
                          <w14:schemeClr w14:val="tx1"/>
                        </w14:solidFill>
                      </w14:textFill>
                    </w:rPr>
                    <w:t>t/a</w:t>
                  </w:r>
                </w:p>
              </w:tc>
              <w:tc>
                <w:tcPr>
                  <w:tcW w:w="788" w:type="pct"/>
                  <w:vMerge w:val="continue"/>
                  <w:noWrap w:val="0"/>
                  <w:vAlign w:val="center"/>
                </w:tcPr>
                <w:p w14:paraId="6D2D2432">
                  <w:pPr>
                    <w:widowControl/>
                    <w:spacing w:line="320" w:lineRule="exact"/>
                    <w:jc w:val="center"/>
                    <w:rPr>
                      <w:rFonts w:hint="default" w:ascii="Times New Roman" w:hAnsi="Times New Roman" w:cs="Times New Roman"/>
                      <w:color w:val="000000" w:themeColor="text1"/>
                      <w:szCs w:val="21"/>
                      <w14:textFill>
                        <w14:solidFill>
                          <w14:schemeClr w14:val="tx1"/>
                        </w14:solidFill>
                      </w14:textFill>
                    </w:rPr>
                  </w:pPr>
                </w:p>
              </w:tc>
              <w:tc>
                <w:tcPr>
                  <w:tcW w:w="805" w:type="pct"/>
                  <w:noWrap w:val="0"/>
                  <w:vAlign w:val="center"/>
                </w:tcPr>
                <w:p w14:paraId="7CBB8AFE">
                  <w:pPr>
                    <w:widowControl/>
                    <w:spacing w:line="32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5</w:t>
                  </w:r>
                  <w:r>
                    <w:rPr>
                      <w:rFonts w:hint="default" w:ascii="Times New Roman" w:hAnsi="Times New Roman" w:cs="Times New Roman"/>
                      <w:color w:val="000000" w:themeColor="text1"/>
                      <w:szCs w:val="21"/>
                      <w14:textFill>
                        <w14:solidFill>
                          <w14:schemeClr w14:val="tx1"/>
                        </w14:solidFill>
                      </w14:textFill>
                    </w:rPr>
                    <w:t>mg/L</w:t>
                  </w:r>
                </w:p>
              </w:tc>
              <w:tc>
                <w:tcPr>
                  <w:tcW w:w="746" w:type="pct"/>
                  <w:noWrap w:val="0"/>
                  <w:vAlign w:val="center"/>
                </w:tcPr>
                <w:p w14:paraId="1964B474">
                  <w:pPr>
                    <w:widowControl/>
                    <w:spacing w:line="32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0.00</w:t>
                  </w:r>
                  <w:r>
                    <w:rPr>
                      <w:rFonts w:hint="eastAsia" w:ascii="Times New Roman" w:hAnsi="Times New Roman" w:cs="Times New Roman"/>
                      <w:color w:val="000000" w:themeColor="text1"/>
                      <w:szCs w:val="21"/>
                      <w:lang w:val="en-US" w:eastAsia="zh-CN"/>
                      <w14:textFill>
                        <w14:solidFill>
                          <w14:schemeClr w14:val="tx1"/>
                        </w14:solidFill>
                      </w14:textFill>
                    </w:rPr>
                    <w:t>32</w:t>
                  </w:r>
                  <w:r>
                    <w:rPr>
                      <w:rFonts w:hint="default" w:ascii="Times New Roman" w:hAnsi="Times New Roman" w:cs="Times New Roman"/>
                      <w:color w:val="000000" w:themeColor="text1"/>
                      <w:szCs w:val="21"/>
                      <w14:textFill>
                        <w14:solidFill>
                          <w14:schemeClr w14:val="tx1"/>
                        </w14:solidFill>
                      </w14:textFill>
                    </w:rPr>
                    <w:t>t/a</w:t>
                  </w:r>
                </w:p>
              </w:tc>
            </w:tr>
            <w:tr w14:paraId="33504B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4" w:hRule="atLeast"/>
                <w:jc w:val="center"/>
              </w:trPr>
              <w:tc>
                <w:tcPr>
                  <w:tcW w:w="706" w:type="pct"/>
                  <w:vMerge w:val="continue"/>
                  <w:noWrap w:val="0"/>
                  <w:vAlign w:val="center"/>
                </w:tcPr>
                <w:p w14:paraId="2DEA1C41">
                  <w:pPr>
                    <w:widowControl/>
                    <w:spacing w:line="320" w:lineRule="exact"/>
                    <w:jc w:val="center"/>
                    <w:rPr>
                      <w:rFonts w:hint="default" w:ascii="Times New Roman" w:hAnsi="Times New Roman" w:cs="Times New Roman"/>
                      <w:color w:val="000000" w:themeColor="text1"/>
                      <w:szCs w:val="21"/>
                      <w14:textFill>
                        <w14:solidFill>
                          <w14:schemeClr w14:val="tx1"/>
                        </w14:solidFill>
                      </w14:textFill>
                    </w:rPr>
                  </w:pPr>
                </w:p>
              </w:tc>
              <w:tc>
                <w:tcPr>
                  <w:tcW w:w="564" w:type="pct"/>
                  <w:noWrap w:val="0"/>
                  <w:vAlign w:val="center"/>
                </w:tcPr>
                <w:p w14:paraId="36740D89">
                  <w:pPr>
                    <w:widowControl/>
                    <w:spacing w:line="320" w:lineRule="exact"/>
                    <w:jc w:val="center"/>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总氮</w:t>
                  </w:r>
                </w:p>
              </w:tc>
              <w:tc>
                <w:tcPr>
                  <w:tcW w:w="726" w:type="pct"/>
                  <w:noWrap w:val="0"/>
                  <w:vAlign w:val="center"/>
                </w:tcPr>
                <w:p w14:paraId="1DBC7653">
                  <w:pPr>
                    <w:widowControl/>
                    <w:spacing w:line="32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70mg/L</w:t>
                  </w:r>
                </w:p>
              </w:tc>
              <w:tc>
                <w:tcPr>
                  <w:tcW w:w="662" w:type="pct"/>
                  <w:noWrap w:val="0"/>
                  <w:vAlign w:val="center"/>
                </w:tcPr>
                <w:p w14:paraId="2D5E9C8C">
                  <w:pPr>
                    <w:widowControl/>
                    <w:spacing w:line="32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0.0</w:t>
                  </w:r>
                  <w:r>
                    <w:rPr>
                      <w:rFonts w:hint="eastAsia" w:ascii="Times New Roman" w:hAnsi="Times New Roman" w:cs="Times New Roman"/>
                      <w:color w:val="000000" w:themeColor="text1"/>
                      <w:szCs w:val="21"/>
                      <w:lang w:val="en-US" w:eastAsia="zh-CN"/>
                      <w14:textFill>
                        <w14:solidFill>
                          <w14:schemeClr w14:val="tx1"/>
                        </w14:solidFill>
                      </w14:textFill>
                    </w:rPr>
                    <w:t>45</w:t>
                  </w:r>
                  <w:r>
                    <w:rPr>
                      <w:rFonts w:hint="default" w:ascii="Times New Roman" w:hAnsi="Times New Roman" w:cs="Times New Roman"/>
                      <w:color w:val="000000" w:themeColor="text1"/>
                      <w:szCs w:val="21"/>
                      <w14:textFill>
                        <w14:solidFill>
                          <w14:schemeClr w14:val="tx1"/>
                        </w14:solidFill>
                      </w14:textFill>
                    </w:rPr>
                    <w:t>t/a</w:t>
                  </w:r>
                </w:p>
              </w:tc>
              <w:tc>
                <w:tcPr>
                  <w:tcW w:w="788" w:type="pct"/>
                  <w:vMerge w:val="continue"/>
                  <w:noWrap w:val="0"/>
                  <w:vAlign w:val="center"/>
                </w:tcPr>
                <w:p w14:paraId="602AF0AD">
                  <w:pPr>
                    <w:widowControl/>
                    <w:spacing w:line="320" w:lineRule="exact"/>
                    <w:jc w:val="center"/>
                    <w:rPr>
                      <w:rFonts w:hint="default" w:ascii="Times New Roman" w:hAnsi="Times New Roman" w:cs="Times New Roman"/>
                      <w:color w:val="000000" w:themeColor="text1"/>
                      <w:szCs w:val="21"/>
                      <w14:textFill>
                        <w14:solidFill>
                          <w14:schemeClr w14:val="tx1"/>
                        </w14:solidFill>
                      </w14:textFill>
                    </w:rPr>
                  </w:pPr>
                </w:p>
              </w:tc>
              <w:tc>
                <w:tcPr>
                  <w:tcW w:w="805" w:type="pct"/>
                  <w:noWrap w:val="0"/>
                  <w:vAlign w:val="center"/>
                </w:tcPr>
                <w:p w14:paraId="554C4D8C">
                  <w:pPr>
                    <w:widowControl/>
                    <w:spacing w:line="32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70mg/L</w:t>
                  </w:r>
                </w:p>
              </w:tc>
              <w:tc>
                <w:tcPr>
                  <w:tcW w:w="746" w:type="pct"/>
                  <w:noWrap w:val="0"/>
                  <w:vAlign w:val="center"/>
                </w:tcPr>
                <w:p w14:paraId="2ECE3740">
                  <w:pPr>
                    <w:widowControl/>
                    <w:spacing w:line="32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0.0</w:t>
                  </w:r>
                  <w:r>
                    <w:rPr>
                      <w:rFonts w:hint="eastAsia" w:ascii="Times New Roman" w:hAnsi="Times New Roman" w:cs="Times New Roman"/>
                      <w:color w:val="000000" w:themeColor="text1"/>
                      <w:szCs w:val="21"/>
                      <w:lang w:val="en-US" w:eastAsia="zh-CN"/>
                      <w14:textFill>
                        <w14:solidFill>
                          <w14:schemeClr w14:val="tx1"/>
                        </w14:solidFill>
                      </w14:textFill>
                    </w:rPr>
                    <w:t>45</w:t>
                  </w:r>
                  <w:r>
                    <w:rPr>
                      <w:rFonts w:hint="default" w:ascii="Times New Roman" w:hAnsi="Times New Roman" w:cs="Times New Roman"/>
                      <w:color w:val="000000" w:themeColor="text1"/>
                      <w:szCs w:val="21"/>
                      <w14:textFill>
                        <w14:solidFill>
                          <w14:schemeClr w14:val="tx1"/>
                        </w14:solidFill>
                      </w14:textFill>
                    </w:rPr>
                    <w:t>t/a</w:t>
                  </w:r>
                </w:p>
              </w:tc>
            </w:tr>
          </w:tbl>
          <w:p w14:paraId="6E338516">
            <w:pPr>
              <w:keepNext/>
              <w:keepLines/>
              <w:widowControl/>
              <w:adjustRightInd w:val="0"/>
              <w:snapToGrid w:val="0"/>
              <w:spacing w:line="360" w:lineRule="auto"/>
              <w:jc w:val="left"/>
              <w:outlineLvl w:val="1"/>
              <w:rPr>
                <w:rFonts w:hint="default" w:ascii="Times New Roman" w:hAnsi="Times New Roman" w:eastAsia="黑体" w:cs="Times New Roman"/>
                <w:bCs/>
                <w:color w:val="000000" w:themeColor="text1"/>
                <w:sz w:val="24"/>
                <w:szCs w:val="28"/>
                <w14:textFill>
                  <w14:solidFill>
                    <w14:schemeClr w14:val="tx1"/>
                  </w14:solidFill>
                </w14:textFill>
              </w:rPr>
            </w:pPr>
            <w:r>
              <w:rPr>
                <w:rFonts w:hint="default" w:ascii="Times New Roman" w:hAnsi="Times New Roman" w:eastAsia="黑体" w:cs="Times New Roman"/>
                <w:bCs/>
                <w:color w:val="000000" w:themeColor="text1"/>
                <w:sz w:val="24"/>
                <w:szCs w:val="28"/>
                <w:lang w:eastAsia="zh-CN"/>
                <w14:textFill>
                  <w14:solidFill>
                    <w14:schemeClr w14:val="tx1"/>
                  </w14:solidFill>
                </w14:textFill>
              </w:rPr>
              <w:t>2.</w:t>
            </w:r>
            <w:r>
              <w:rPr>
                <w:rFonts w:hint="default" w:ascii="Times New Roman" w:hAnsi="Times New Roman" w:eastAsia="黑体" w:cs="Times New Roman"/>
                <w:bCs/>
                <w:color w:val="000000" w:themeColor="text1"/>
                <w:sz w:val="24"/>
                <w:szCs w:val="28"/>
                <w14:textFill>
                  <w14:solidFill>
                    <w14:schemeClr w14:val="tx1"/>
                  </w14:solidFill>
                </w14:textFill>
              </w:rPr>
              <w:t>废水排放达标情况</w:t>
            </w:r>
          </w:p>
          <w:p w14:paraId="02152D13">
            <w:pPr>
              <w:keepNext/>
              <w:keepLines/>
              <w:pageBreakBefore w:val="0"/>
              <w:widowControl/>
              <w:kinsoku/>
              <w:wordWrap/>
              <w:overflowPunct/>
              <w:topLinePunct w:val="0"/>
              <w:autoSpaceDE/>
              <w:autoSpaceDN/>
              <w:bidi w:val="0"/>
              <w:adjustRightInd w:val="0"/>
              <w:snapToGrid w:val="0"/>
              <w:spacing w:line="360" w:lineRule="auto"/>
              <w:ind w:firstLine="480" w:firstLineChars="200"/>
              <w:jc w:val="left"/>
              <w:textAlignment w:val="auto"/>
              <w:outlineLvl w:val="1"/>
              <w:rPr>
                <w:rFonts w:hint="default" w:ascii="Times New Roman" w:hAnsi="Times New Roman" w:cs="Times New Roman"/>
                <w:bCs/>
                <w:color w:val="000000" w:themeColor="text1"/>
                <w:sz w:val="24"/>
                <w:lang w:bidi="ar"/>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本项目</w:t>
            </w:r>
            <w:r>
              <w:rPr>
                <w:rFonts w:hint="default" w:ascii="Times New Roman" w:hAnsi="Times New Roman" w:cs="Times New Roman"/>
                <w:color w:val="000000" w:themeColor="text1"/>
                <w:kern w:val="0"/>
                <w:sz w:val="24"/>
                <w14:textFill>
                  <w14:solidFill>
                    <w14:schemeClr w14:val="tx1"/>
                  </w14:solidFill>
                </w14:textFill>
              </w:rPr>
              <w:t>废水主要为职工生活污水，生活污水产生量为</w:t>
            </w:r>
            <w:r>
              <w:rPr>
                <w:rFonts w:hint="eastAsia" w:ascii="Times New Roman" w:hAnsi="Times New Roman" w:cs="Times New Roman"/>
                <w:color w:val="000000" w:themeColor="text1"/>
                <w:sz w:val="24"/>
                <w:lang w:val="en-US" w:eastAsia="zh-CN"/>
                <w14:textFill>
                  <w14:solidFill>
                    <w14:schemeClr w14:val="tx1"/>
                  </w14:solidFill>
                </w14:textFill>
              </w:rPr>
              <w:t>638</w:t>
            </w:r>
            <w:r>
              <w:rPr>
                <w:rFonts w:hint="default" w:ascii="Times New Roman" w:hAnsi="Times New Roman" w:eastAsia="宋体" w:cs="Times New Roman"/>
                <w:color w:val="000000" w:themeColor="text1"/>
                <w:kern w:val="0"/>
                <w:sz w:val="24"/>
                <w14:textFill>
                  <w14:solidFill>
                    <w14:schemeClr w14:val="tx1"/>
                  </w14:solidFill>
                </w14:textFill>
              </w:rPr>
              <w:t>t/a。生活污水经</w:t>
            </w:r>
            <w:r>
              <w:rPr>
                <w:rFonts w:hint="default" w:ascii="Times New Roman" w:hAnsi="Times New Roman" w:eastAsia="宋体" w:cs="Times New Roman"/>
                <w:color w:val="000000" w:themeColor="text1"/>
                <w:kern w:val="0"/>
                <w:sz w:val="24"/>
                <w:lang w:val="en-US" w:eastAsia="zh-CN"/>
                <w14:textFill>
                  <w14:solidFill>
                    <w14:schemeClr w14:val="tx1"/>
                  </w14:solidFill>
                </w14:textFill>
              </w:rPr>
              <w:t>园区公用</w:t>
            </w:r>
            <w:r>
              <w:rPr>
                <w:rFonts w:hint="default" w:ascii="Times New Roman" w:hAnsi="Times New Roman" w:eastAsia="宋体" w:cs="Times New Roman"/>
                <w:color w:val="000000" w:themeColor="text1"/>
                <w:kern w:val="0"/>
                <w:sz w:val="24"/>
                <w14:textFill>
                  <w14:solidFill>
                    <w14:schemeClr w14:val="tx1"/>
                  </w14:solidFill>
                </w14:textFill>
              </w:rPr>
              <w:t>化粪池处理后排入市政管网，最终进入</w:t>
            </w:r>
            <w:r>
              <w:rPr>
                <w:rFonts w:hint="default" w:ascii="Times New Roman" w:hAnsi="Times New Roman" w:eastAsia="宋体" w:cs="Times New Roman"/>
                <w:color w:val="000000" w:themeColor="text1"/>
                <w:kern w:val="0"/>
                <w:sz w:val="24"/>
                <w:lang w:val="en-US" w:eastAsia="zh-CN"/>
                <w14:textFill>
                  <w14:solidFill>
                    <w14:schemeClr w14:val="tx1"/>
                  </w14:solidFill>
                </w14:textFill>
              </w:rPr>
              <w:t>凤翔区第二污水处理厂</w:t>
            </w:r>
            <w:r>
              <w:rPr>
                <w:rFonts w:hint="default" w:ascii="Times New Roman" w:hAnsi="Times New Roman" w:eastAsia="宋体" w:cs="Times New Roman"/>
                <w:color w:val="000000" w:themeColor="text1"/>
                <w:kern w:val="0"/>
                <w:sz w:val="24"/>
                <w14:textFill>
                  <w14:solidFill>
                    <w14:schemeClr w14:val="tx1"/>
                  </w14:solidFill>
                </w14:textFill>
              </w:rPr>
              <w:t>处理；生活污水主要污染物为COD、BOD</w:t>
            </w:r>
            <w:r>
              <w:rPr>
                <w:rFonts w:hint="default" w:ascii="Times New Roman" w:hAnsi="Times New Roman" w:eastAsia="宋体" w:cs="Times New Roman"/>
                <w:color w:val="000000" w:themeColor="text1"/>
                <w:kern w:val="0"/>
                <w:sz w:val="24"/>
                <w:vertAlign w:val="subscript"/>
                <w14:textFill>
                  <w14:solidFill>
                    <w14:schemeClr w14:val="tx1"/>
                  </w14:solidFill>
                </w14:textFill>
              </w:rPr>
              <w:t>5</w:t>
            </w:r>
            <w:r>
              <w:rPr>
                <w:rFonts w:hint="default" w:ascii="Times New Roman" w:hAnsi="Times New Roman" w:eastAsia="宋体" w:cs="Times New Roman"/>
                <w:color w:val="000000" w:themeColor="text1"/>
                <w:kern w:val="0"/>
                <w:sz w:val="24"/>
                <w14:textFill>
                  <w14:solidFill>
                    <w14:schemeClr w14:val="tx1"/>
                  </w14:solidFill>
                </w14:textFill>
              </w:rPr>
              <w:t>、SS、氨氮、总磷、总氮、动植物油等。</w:t>
            </w:r>
            <w:r>
              <w:rPr>
                <w:rFonts w:hint="default" w:ascii="Times New Roman" w:hAnsi="Times New Roman" w:cs="Times New Roman"/>
                <w:bCs/>
                <w:color w:val="000000" w:themeColor="text1"/>
                <w:sz w:val="24"/>
                <w14:textFill>
                  <w14:solidFill>
                    <w14:schemeClr w14:val="tx1"/>
                  </w14:solidFill>
                </w14:textFill>
              </w:rPr>
              <w:t>进入</w:t>
            </w:r>
            <w:r>
              <w:rPr>
                <w:rFonts w:hint="default" w:ascii="Times New Roman" w:hAnsi="Times New Roman" w:cs="Times New Roman"/>
                <w:bCs/>
                <w:color w:val="000000" w:themeColor="text1"/>
                <w:sz w:val="24"/>
                <w:lang w:val="en-US" w:eastAsia="zh-CN"/>
                <w14:textFill>
                  <w14:solidFill>
                    <w14:schemeClr w14:val="tx1"/>
                  </w14:solidFill>
                </w14:textFill>
              </w:rPr>
              <w:t>污水管网</w:t>
            </w:r>
            <w:r>
              <w:rPr>
                <w:rFonts w:hint="default" w:ascii="Times New Roman" w:hAnsi="Times New Roman" w:cs="Times New Roman"/>
                <w:bCs/>
                <w:color w:val="000000" w:themeColor="text1"/>
                <w:sz w:val="24"/>
                <w14:textFill>
                  <w14:solidFill>
                    <w14:schemeClr w14:val="tx1"/>
                  </w14:solidFill>
                </w14:textFill>
              </w:rPr>
              <w:t>的</w:t>
            </w:r>
            <w:r>
              <w:rPr>
                <w:rFonts w:hint="default" w:ascii="Times New Roman" w:hAnsi="Times New Roman" w:cs="Times New Roman"/>
                <w:color w:val="000000" w:themeColor="text1"/>
                <w:kern w:val="0"/>
                <w:sz w:val="24"/>
                <w14:textFill>
                  <w14:solidFill>
                    <w14:schemeClr w14:val="tx1"/>
                  </w14:solidFill>
                </w14:textFill>
              </w:rPr>
              <w:t>生活</w:t>
            </w:r>
            <w:r>
              <w:rPr>
                <w:rFonts w:hint="default" w:ascii="Times New Roman" w:hAnsi="Times New Roman" w:cs="Times New Roman"/>
                <w:bCs/>
                <w:color w:val="000000" w:themeColor="text1"/>
                <w:sz w:val="24"/>
                <w14:textFill>
                  <w14:solidFill>
                    <w14:schemeClr w14:val="tx1"/>
                  </w14:solidFill>
                </w14:textFill>
              </w:rPr>
              <w:t>污水</w:t>
            </w:r>
            <w:r>
              <w:rPr>
                <w:rFonts w:hint="default" w:ascii="Times New Roman" w:hAnsi="Times New Roman" w:cs="Times New Roman"/>
                <w:bCs/>
                <w:color w:val="000000" w:themeColor="text1"/>
                <w:sz w:val="24"/>
                <w:lang w:eastAsia="zh-CN"/>
                <w14:textFill>
                  <w14:solidFill>
                    <w14:schemeClr w14:val="tx1"/>
                  </w14:solidFill>
                </w14:textFill>
              </w:rPr>
              <w:t>应</w:t>
            </w:r>
            <w:r>
              <w:rPr>
                <w:rFonts w:hint="default" w:ascii="Times New Roman" w:hAnsi="Times New Roman" w:cs="Times New Roman"/>
                <w:color w:val="000000" w:themeColor="text1"/>
                <w:sz w:val="24"/>
                <w14:textFill>
                  <w14:solidFill>
                    <w14:schemeClr w14:val="tx1"/>
                  </w14:solidFill>
                </w14:textFill>
              </w:rPr>
              <w:t>满足</w:t>
            </w:r>
            <w:r>
              <w:rPr>
                <w:rFonts w:hint="default" w:ascii="Times New Roman" w:hAnsi="Times New Roman" w:cs="Times New Roman"/>
                <w:bCs/>
                <w:color w:val="000000" w:themeColor="text1"/>
                <w:sz w:val="24"/>
                <w:lang w:val="en-US" w:eastAsia="zh-CN"/>
                <w14:textFill>
                  <w14:solidFill>
                    <w14:schemeClr w14:val="tx1"/>
                  </w14:solidFill>
                </w14:textFill>
              </w:rPr>
              <w:t>凤翔区第二污水处理厂</w:t>
            </w:r>
            <w:r>
              <w:rPr>
                <w:rFonts w:hint="default" w:ascii="Times New Roman" w:hAnsi="Times New Roman" w:cs="Times New Roman"/>
                <w:bCs/>
                <w:color w:val="000000" w:themeColor="text1"/>
                <w:sz w:val="24"/>
                <w:lang w:val="en-US" w:eastAsia="zh-CN" w:bidi="ar"/>
                <w14:textFill>
                  <w14:solidFill>
                    <w14:schemeClr w14:val="tx1"/>
                  </w14:solidFill>
                </w14:textFill>
              </w:rPr>
              <w:t>设计进水水质指标</w:t>
            </w:r>
            <w:r>
              <w:rPr>
                <w:rFonts w:hint="default" w:ascii="Times New Roman" w:hAnsi="Times New Roman" w:cs="Times New Roman"/>
                <w:bCs/>
                <w:color w:val="000000" w:themeColor="text1"/>
                <w:sz w:val="24"/>
                <w:lang w:bidi="ar"/>
                <w14:textFill>
                  <w14:solidFill>
                    <w14:schemeClr w14:val="tx1"/>
                  </w14:solidFill>
                </w14:textFill>
              </w:rPr>
              <w:t>要求。</w:t>
            </w:r>
          </w:p>
          <w:p w14:paraId="30EA2FB9">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cs="Times New Roman"/>
                <w:color w:val="000000" w:themeColor="text1"/>
                <w:sz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去离子水</w:t>
            </w:r>
            <w:r>
              <w:rPr>
                <w:rFonts w:hint="eastAsia" w:ascii="Times New Roman" w:hAnsi="Times New Roman" w:cs="Times New Roman"/>
                <w:color w:val="000000" w:themeColor="text1"/>
                <w:sz w:val="24"/>
                <w:szCs w:val="24"/>
                <w:lang w:val="en-US" w:eastAsia="zh-CN"/>
                <w14:textFill>
                  <w14:solidFill>
                    <w14:schemeClr w14:val="tx1"/>
                  </w14:solidFill>
                </w14:textFill>
              </w:rPr>
              <w:t>制备废水</w:t>
            </w:r>
            <w:r>
              <w:rPr>
                <w:rFonts w:hint="eastAsia" w:cs="Times New Roman"/>
                <w:color w:val="000000" w:themeColor="text1"/>
                <w:sz w:val="24"/>
                <w:szCs w:val="24"/>
                <w:lang w:val="en-US" w:eastAsia="zh-CN"/>
                <w14:textFill>
                  <w14:solidFill>
                    <w14:schemeClr w14:val="tx1"/>
                  </w14:solidFill>
                </w14:textFill>
              </w:rPr>
              <w:t>及膜冲洗废水</w:t>
            </w:r>
            <w:r>
              <w:rPr>
                <w:rFonts w:hint="eastAsia" w:ascii="Times New Roman" w:hAnsi="Times New Roman" w:cs="Times New Roman"/>
                <w:color w:val="000000" w:themeColor="text1"/>
                <w:sz w:val="24"/>
                <w:szCs w:val="24"/>
                <w:lang w:val="en-US" w:eastAsia="zh-CN"/>
                <w14:textFill>
                  <w14:solidFill>
                    <w14:schemeClr w14:val="tx1"/>
                  </w14:solidFill>
                </w14:textFill>
              </w:rPr>
              <w:t>中</w:t>
            </w:r>
            <w:r>
              <w:rPr>
                <w:rFonts w:hint="eastAsia" w:cs="Times New Roman"/>
                <w:color w:val="000000" w:themeColor="text1"/>
                <w:sz w:val="24"/>
                <w:szCs w:val="24"/>
                <w:lang w:val="en-US" w:eastAsia="zh-CN"/>
                <w14:textFill>
                  <w14:solidFill>
                    <w14:schemeClr w14:val="tx1"/>
                  </w14:solidFill>
                </w14:textFill>
              </w:rPr>
              <w:t>含各类阴阳离子</w:t>
            </w:r>
            <w:r>
              <w:rPr>
                <w:rFonts w:hint="eastAsia" w:ascii="Times New Roman" w:hAnsi="Times New Roman" w:cs="Times New Roman"/>
                <w:color w:val="000000" w:themeColor="text1"/>
                <w:sz w:val="24"/>
                <w:szCs w:val="24"/>
                <w:lang w:val="en-US" w:eastAsia="zh-CN"/>
                <w14:textFill>
                  <w14:solidFill>
                    <w14:schemeClr w14:val="tx1"/>
                  </w14:solidFill>
                </w14:textFill>
              </w:rPr>
              <w:t>，盐度</w:t>
            </w:r>
            <w:r>
              <w:rPr>
                <w:rFonts w:hint="eastAsia" w:cs="Times New Roman"/>
                <w:color w:val="000000" w:themeColor="text1"/>
                <w:sz w:val="24"/>
                <w:szCs w:val="24"/>
                <w:lang w:val="en-US" w:eastAsia="zh-CN"/>
                <w14:textFill>
                  <w14:solidFill>
                    <w14:schemeClr w14:val="tx1"/>
                  </w14:solidFill>
                </w14:textFill>
              </w:rPr>
              <w:t>高</w:t>
            </w:r>
            <w:r>
              <w:rPr>
                <w:rFonts w:hint="eastAsia" w:ascii="Times New Roman" w:hAnsi="Times New Roman" w:cs="Times New Roman"/>
                <w:color w:val="000000" w:themeColor="text1"/>
                <w:sz w:val="24"/>
                <w:szCs w:val="24"/>
                <w:lang w:val="en-US" w:eastAsia="zh-CN"/>
                <w14:textFill>
                  <w14:solidFill>
                    <w14:schemeClr w14:val="tx1"/>
                  </w14:solidFill>
                </w14:textFill>
              </w:rPr>
              <w:t>，水质中TDS含量小于</w:t>
            </w:r>
            <w:r>
              <w:rPr>
                <w:rFonts w:hint="eastAsia" w:cs="Times New Roman"/>
                <w:color w:val="000000" w:themeColor="text1"/>
                <w:sz w:val="24"/>
                <w:szCs w:val="24"/>
                <w:lang w:val="en-US" w:eastAsia="zh-CN"/>
                <w14:textFill>
                  <w14:solidFill>
                    <w14:schemeClr w14:val="tx1"/>
                  </w14:solidFill>
                </w14:textFill>
              </w:rPr>
              <w:t>2</w:t>
            </w:r>
            <w:r>
              <w:rPr>
                <w:rFonts w:hint="eastAsia" w:ascii="Times New Roman" w:hAnsi="Times New Roman" w:cs="Times New Roman"/>
                <w:color w:val="000000" w:themeColor="text1"/>
                <w:sz w:val="24"/>
                <w:szCs w:val="24"/>
                <w:lang w:val="en-US" w:eastAsia="zh-CN"/>
                <w14:textFill>
                  <w14:solidFill>
                    <w14:schemeClr w14:val="tx1"/>
                  </w14:solidFill>
                </w14:textFill>
              </w:rPr>
              <w:t>000mg/L，氯离子含量小于</w:t>
            </w:r>
            <w:r>
              <w:rPr>
                <w:rFonts w:hint="eastAsia" w:cs="Times New Roman"/>
                <w:color w:val="000000" w:themeColor="text1"/>
                <w:sz w:val="24"/>
                <w:szCs w:val="24"/>
                <w:lang w:val="en-US" w:eastAsia="zh-CN"/>
                <w14:textFill>
                  <w14:solidFill>
                    <w14:schemeClr w14:val="tx1"/>
                  </w14:solidFill>
                </w14:textFill>
              </w:rPr>
              <w:t>3</w:t>
            </w:r>
            <w:r>
              <w:rPr>
                <w:rFonts w:hint="eastAsia" w:ascii="Times New Roman" w:hAnsi="Times New Roman" w:cs="Times New Roman"/>
                <w:color w:val="000000" w:themeColor="text1"/>
                <w:sz w:val="24"/>
                <w:szCs w:val="24"/>
                <w:lang w:val="en-US" w:eastAsia="zh-CN"/>
                <w14:textFill>
                  <w14:solidFill>
                    <w14:schemeClr w14:val="tx1"/>
                  </w14:solidFill>
                </w14:textFill>
              </w:rPr>
              <w:t>00mg/L，</w:t>
            </w:r>
            <w:r>
              <w:rPr>
                <w:rFonts w:hint="eastAsia" w:cs="Times New Roman"/>
                <w:color w:val="000000" w:themeColor="text1"/>
                <w:sz w:val="24"/>
                <w:szCs w:val="24"/>
                <w:lang w:val="en-US" w:eastAsia="zh-CN"/>
                <w14:textFill>
                  <w14:solidFill>
                    <w14:schemeClr w14:val="tx1"/>
                  </w14:solidFill>
                </w14:textFill>
              </w:rPr>
              <w:t>经反渗透浓水处理系统进行处理，处理后</w:t>
            </w:r>
            <w:r>
              <w:rPr>
                <w:rFonts w:hint="eastAsia" w:ascii="Times New Roman" w:hAnsi="Times New Roman" w:cs="Times New Roman"/>
                <w:color w:val="000000" w:themeColor="text1"/>
                <w:sz w:val="24"/>
                <w:szCs w:val="24"/>
                <w:lang w:val="en-US" w:eastAsia="zh-CN"/>
                <w14:textFill>
                  <w14:solidFill>
                    <w14:schemeClr w14:val="tx1"/>
                  </w14:solidFill>
                </w14:textFill>
              </w:rPr>
              <w:t>与园区其他生活污水一起排入市政污水管网</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eastAsia" w:ascii="Times New Roman" w:hAnsi="Times New Roman" w:cs="Times New Roman"/>
                <w:color w:val="000000" w:themeColor="text1"/>
                <w:sz w:val="24"/>
                <w:lang w:val="en-US" w:eastAsia="zh-CN"/>
                <w14:textFill>
                  <w14:solidFill>
                    <w14:schemeClr w14:val="tx1"/>
                  </w14:solidFill>
                </w14:textFill>
              </w:rPr>
              <w:t>满足</w:t>
            </w:r>
            <w:r>
              <w:rPr>
                <w:rFonts w:hint="default" w:ascii="Times New Roman" w:hAnsi="Times New Roman" w:cs="Times New Roman"/>
                <w:color w:val="000000" w:themeColor="text1"/>
                <w:sz w:val="24"/>
                <w:lang w:val="en-US" w:eastAsia="zh-CN"/>
                <w14:textFill>
                  <w14:solidFill>
                    <w14:schemeClr w14:val="tx1"/>
                  </w14:solidFill>
                </w14:textFill>
              </w:rPr>
              <w:t>《污水排入城镇下水道水质标准》</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lang w:val="en-US" w:eastAsia="zh-CN"/>
                <w14:textFill>
                  <w14:solidFill>
                    <w14:schemeClr w14:val="tx1"/>
                  </w14:solidFill>
                </w14:textFill>
              </w:rPr>
              <w:t>GB/T31962-2015</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lang w:val="en-US" w:eastAsia="zh-CN"/>
                <w14:textFill>
                  <w14:solidFill>
                    <w14:schemeClr w14:val="tx1"/>
                  </w14:solidFill>
                </w14:textFill>
              </w:rPr>
              <w:t>中B级标准。</w:t>
            </w:r>
          </w:p>
          <w:p w14:paraId="351A5794">
            <w:pPr>
              <w:keepNext/>
              <w:keepLines/>
              <w:widowControl/>
              <w:numPr>
                <w:ilvl w:val="0"/>
                <w:numId w:val="0"/>
              </w:numPr>
              <w:adjustRightInd w:val="0"/>
              <w:snapToGrid w:val="0"/>
              <w:spacing w:line="360" w:lineRule="auto"/>
              <w:jc w:val="left"/>
              <w:outlineLvl w:val="1"/>
              <w:rPr>
                <w:rFonts w:hint="eastAsia" w:eastAsia="黑体" w:cs="Times New Roman"/>
                <w:bCs/>
                <w:color w:val="000000" w:themeColor="text1"/>
                <w:sz w:val="24"/>
                <w:szCs w:val="28"/>
                <w:lang w:val="en-US" w:eastAsia="zh-CN"/>
                <w14:textFill>
                  <w14:solidFill>
                    <w14:schemeClr w14:val="tx1"/>
                  </w14:solidFill>
                </w14:textFill>
              </w:rPr>
            </w:pPr>
            <w:r>
              <w:rPr>
                <w:rFonts w:hint="eastAsia" w:eastAsia="黑体" w:cs="Times New Roman"/>
                <w:bCs/>
                <w:color w:val="000000" w:themeColor="text1"/>
                <w:sz w:val="24"/>
                <w:szCs w:val="28"/>
                <w:lang w:val="en-US" w:eastAsia="zh-CN"/>
                <w14:textFill>
                  <w14:solidFill>
                    <w14:schemeClr w14:val="tx1"/>
                  </w14:solidFill>
                </w14:textFill>
              </w:rPr>
              <w:t>3、治理设施可行性</w:t>
            </w:r>
          </w:p>
          <w:p w14:paraId="49AC4A74">
            <w:pPr>
              <w:pStyle w:val="2"/>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ascii="Times New Roman" w:hAnsi="Times New Roman" w:cs="Times New Roman"/>
                <w:color w:val="000000" w:themeColor="text1"/>
                <w:sz w:val="24"/>
                <w:lang w:val="en-US" w:eastAsia="zh-CN"/>
                <w14:textFill>
                  <w14:solidFill>
                    <w14:schemeClr w14:val="tx1"/>
                  </w14:solidFill>
                </w14:textFill>
              </w:rPr>
              <w:t>反渗</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透处理系统：本项目年产生反渗透浓水</w:t>
            </w:r>
            <w:r>
              <w:rPr>
                <w:rFonts w:hint="eastAsia" w:ascii="Times New Roman" w:hAnsi="Times New Roman" w:cs="Times New Roman"/>
                <w:color w:val="000000" w:themeColor="text1"/>
                <w:kern w:val="2"/>
                <w:sz w:val="24"/>
                <w:szCs w:val="24"/>
                <w:lang w:val="en-US" w:eastAsia="zh-CN" w:bidi="ar-SA"/>
                <w14:textFill>
                  <w14:solidFill>
                    <w14:schemeClr w14:val="tx1"/>
                  </w14:solidFill>
                </w14:textFill>
              </w:rPr>
              <w:t>250.58</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m³，水量小、间歇产生，配套采用“调节中和+化学絮凝沉淀+均质稀释”处理工艺。通过投加碱剂调节pH，水中离子态重金属生成氢氧化物絮体，经混凝、沉淀去除；浓水氯离子、TDS因膜浓缩富集，利用厂区低含盐生活污水、冷却废水均质稀释，将氯化物、TDS控制在纳管标准以内。本项目年产生生活污水638m³，反渗透浓水</w:t>
            </w:r>
            <w:r>
              <w:rPr>
                <w:rFonts w:hint="eastAsia" w:ascii="Times New Roman" w:hAnsi="Times New Roman" w:cs="Times New Roman"/>
                <w:color w:val="000000" w:themeColor="text1"/>
                <w:kern w:val="2"/>
                <w:sz w:val="24"/>
                <w:szCs w:val="24"/>
                <w:lang w:val="en-US" w:eastAsia="zh-CN" w:bidi="ar-SA"/>
                <w14:textFill>
                  <w14:solidFill>
                    <w14:schemeClr w14:val="tx1"/>
                  </w14:solidFill>
                </w14:textFill>
              </w:rPr>
              <w:t>250.58</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m³，生活污水水量充足，可用于均质稀释反渗透浓水。经物料衡算，二者混合后废水氯离子浓度约</w:t>
            </w:r>
            <w:r>
              <w:rPr>
                <w:rFonts w:hint="eastAsia" w:ascii="Times New Roman" w:hAnsi="Times New Roman" w:cs="Times New Roman"/>
                <w:color w:val="000000" w:themeColor="text1"/>
                <w:kern w:val="2"/>
                <w:sz w:val="24"/>
                <w:szCs w:val="24"/>
                <w:lang w:val="en-US" w:eastAsia="zh-CN" w:bidi="ar-SA"/>
                <w14:textFill>
                  <w14:solidFill>
                    <w14:schemeClr w14:val="tx1"/>
                  </w14:solidFill>
                </w14:textFill>
              </w:rPr>
              <w:t>230</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mg/L，远低于800mg/L纳管控制标准。生活污水水量体量大于浓水，稀释缓冲能力强，可稳定降低浓水盐度、氯离子浓度，同时生活污水可均衡浓水间歇排放带来的水质波动。对外界水环境冲击较小。废水处理后达标接入市政管网，污染物排放满足管控要求，环境可行。</w:t>
            </w:r>
          </w:p>
          <w:p w14:paraId="088A9FF0">
            <w:pPr>
              <w:keepNext/>
              <w:keepLines/>
              <w:widowControl/>
              <w:adjustRightInd w:val="0"/>
              <w:snapToGrid w:val="0"/>
              <w:spacing w:line="360" w:lineRule="auto"/>
              <w:jc w:val="left"/>
              <w:outlineLvl w:val="1"/>
              <w:rPr>
                <w:rFonts w:hint="default" w:ascii="Times New Roman" w:hAnsi="Times New Roman" w:eastAsia="黑体" w:cs="Times New Roman"/>
                <w:bCs/>
                <w:color w:val="000000" w:themeColor="text1"/>
                <w:sz w:val="24"/>
                <w:szCs w:val="28"/>
                <w14:textFill>
                  <w14:solidFill>
                    <w14:schemeClr w14:val="tx1"/>
                  </w14:solidFill>
                </w14:textFill>
              </w:rPr>
            </w:pPr>
            <w:r>
              <w:rPr>
                <w:rFonts w:hint="eastAsia" w:eastAsia="黑体" w:cs="Times New Roman"/>
                <w:bCs/>
                <w:color w:val="000000" w:themeColor="text1"/>
                <w:sz w:val="24"/>
                <w:szCs w:val="28"/>
                <w:lang w:val="en-US" w:eastAsia="zh-CN"/>
                <w14:textFill>
                  <w14:solidFill>
                    <w14:schemeClr w14:val="tx1"/>
                  </w14:solidFill>
                </w14:textFill>
              </w:rPr>
              <w:t>4、</w:t>
            </w:r>
            <w:r>
              <w:rPr>
                <w:rFonts w:hint="default" w:ascii="Times New Roman" w:hAnsi="Times New Roman" w:eastAsia="黑体" w:cs="Times New Roman"/>
                <w:bCs/>
                <w:color w:val="000000" w:themeColor="text1"/>
                <w:sz w:val="24"/>
                <w:szCs w:val="28"/>
                <w14:textFill>
                  <w14:solidFill>
                    <w14:schemeClr w14:val="tx1"/>
                  </w14:solidFill>
                </w14:textFill>
              </w:rPr>
              <w:t>废水排放可行性分析</w:t>
            </w:r>
          </w:p>
          <w:p w14:paraId="0AB69596">
            <w:pPr>
              <w:widowControl/>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本项目</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反渗透浓水</w:t>
            </w:r>
            <w:r>
              <w:rPr>
                <w:rFonts w:hint="eastAsia" w:cs="Times New Roman"/>
                <w:color w:val="000000" w:themeColor="text1"/>
                <w:kern w:val="2"/>
                <w:sz w:val="24"/>
                <w:szCs w:val="24"/>
                <w:lang w:val="en-US" w:eastAsia="zh-CN" w:bidi="ar-SA"/>
                <w14:textFill>
                  <w14:solidFill>
                    <w14:schemeClr w14:val="tx1"/>
                  </w14:solidFill>
                </w14:textFill>
              </w:rPr>
              <w:t>及膜冲洗废水经反渗透处理系统处理后与其他</w:t>
            </w:r>
            <w:r>
              <w:rPr>
                <w:rFonts w:hint="default" w:ascii="Times New Roman" w:hAnsi="Times New Roman" w:cs="Times New Roman"/>
                <w:color w:val="000000" w:themeColor="text1"/>
                <w:sz w:val="24"/>
                <w:lang w:val="en-US" w:eastAsia="zh-CN"/>
                <w14:textFill>
                  <w14:solidFill>
                    <w14:schemeClr w14:val="tx1"/>
                  </w14:solidFill>
                </w14:textFill>
              </w:rPr>
              <w:t>生活污水经园区公用化粪池处理后排入市政管网</w:t>
            </w:r>
            <w:r>
              <w:rPr>
                <w:rFonts w:hint="default" w:ascii="Times New Roman" w:hAnsi="Times New Roman" w:cs="Times New Roman"/>
                <w:color w:val="000000" w:themeColor="text1"/>
                <w:sz w:val="24"/>
                <w14:textFill>
                  <w14:solidFill>
                    <w14:schemeClr w14:val="tx1"/>
                  </w14:solidFill>
                </w14:textFill>
              </w:rPr>
              <w:t>，最终进入</w:t>
            </w:r>
            <w:r>
              <w:rPr>
                <w:rFonts w:hint="default" w:ascii="Times New Roman" w:hAnsi="Times New Roman" w:cs="Times New Roman"/>
                <w:color w:val="000000" w:themeColor="text1"/>
                <w:sz w:val="24"/>
                <w:lang w:val="en-US" w:eastAsia="zh-CN"/>
                <w14:textFill>
                  <w14:solidFill>
                    <w14:schemeClr w14:val="tx1"/>
                  </w14:solidFill>
                </w14:textFill>
              </w:rPr>
              <w:t>凤翔区第二污水处理厂</w:t>
            </w:r>
            <w:r>
              <w:rPr>
                <w:rFonts w:hint="default" w:ascii="Times New Roman" w:hAnsi="Times New Roman" w:cs="Times New Roman"/>
                <w:color w:val="000000" w:themeColor="text1"/>
                <w:sz w:val="24"/>
                <w14:textFill>
                  <w14:solidFill>
                    <w14:schemeClr w14:val="tx1"/>
                  </w14:solidFill>
                </w14:textFill>
              </w:rPr>
              <w:t>处理。</w:t>
            </w:r>
            <w:r>
              <w:rPr>
                <w:rFonts w:hint="default" w:ascii="Times New Roman" w:hAnsi="Times New Roman" w:cs="Times New Roman"/>
                <w:bCs/>
                <w:color w:val="000000" w:themeColor="text1"/>
                <w:sz w:val="24"/>
                <w14:textFill>
                  <w14:solidFill>
                    <w14:schemeClr w14:val="tx1"/>
                  </w14:solidFill>
                </w14:textFill>
              </w:rPr>
              <w:t>进入市政污水管网的</w:t>
            </w:r>
            <w:r>
              <w:rPr>
                <w:rFonts w:hint="default" w:ascii="Times New Roman" w:hAnsi="Times New Roman" w:cs="Times New Roman"/>
                <w:color w:val="000000" w:themeColor="text1"/>
                <w:kern w:val="0"/>
                <w:sz w:val="24"/>
                <w14:textFill>
                  <w14:solidFill>
                    <w14:schemeClr w14:val="tx1"/>
                  </w14:solidFill>
                </w14:textFill>
              </w:rPr>
              <w:t>生活</w:t>
            </w:r>
            <w:r>
              <w:rPr>
                <w:rFonts w:hint="default" w:ascii="Times New Roman" w:hAnsi="Times New Roman" w:cs="Times New Roman"/>
                <w:bCs/>
                <w:color w:val="000000" w:themeColor="text1"/>
                <w:sz w:val="24"/>
                <w:lang w:val="en-US" w:eastAsia="zh-CN"/>
                <w14:textFill>
                  <w14:solidFill>
                    <w14:schemeClr w14:val="tx1"/>
                  </w14:solidFill>
                </w14:textFill>
              </w:rPr>
              <w:t>污</w:t>
            </w:r>
            <w:r>
              <w:rPr>
                <w:rFonts w:hint="default" w:ascii="Times New Roman" w:hAnsi="Times New Roman" w:cs="Times New Roman"/>
                <w:bCs/>
                <w:color w:val="000000" w:themeColor="text1"/>
                <w:sz w:val="24"/>
                <w14:textFill>
                  <w14:solidFill>
                    <w14:schemeClr w14:val="tx1"/>
                  </w14:solidFill>
                </w14:textFill>
              </w:rPr>
              <w:t>水中各污染物浓度分别为</w:t>
            </w:r>
            <w:r>
              <w:rPr>
                <w:rFonts w:hint="default" w:ascii="Times New Roman" w:hAnsi="Times New Roman" w:cs="Times New Roman"/>
                <w:color w:val="000000" w:themeColor="text1"/>
                <w:sz w:val="24"/>
                <w14:textFill>
                  <w14:solidFill>
                    <w14:schemeClr w14:val="tx1"/>
                  </w14:solidFill>
                </w14:textFill>
              </w:rPr>
              <w:t>COD：</w:t>
            </w:r>
            <w:r>
              <w:rPr>
                <w:rFonts w:hint="eastAsia" w:cs="Times New Roman"/>
                <w:color w:val="000000" w:themeColor="text1"/>
                <w:sz w:val="24"/>
                <w:lang w:val="en-US" w:eastAsia="zh-CN"/>
                <w14:textFill>
                  <w14:solidFill>
                    <w14:schemeClr w14:val="tx1"/>
                  </w14:solidFill>
                </w14:textFill>
              </w:rPr>
              <w:t>216</w:t>
            </w:r>
            <w:r>
              <w:rPr>
                <w:rFonts w:hint="default" w:ascii="Times New Roman" w:hAnsi="Times New Roman" w:cs="Times New Roman"/>
                <w:color w:val="000000" w:themeColor="text1"/>
                <w:sz w:val="24"/>
                <w14:textFill>
                  <w14:solidFill>
                    <w14:schemeClr w14:val="tx1"/>
                  </w14:solidFill>
                </w14:textFill>
              </w:rPr>
              <w:t>mg/L，BOD</w:t>
            </w:r>
            <w:r>
              <w:rPr>
                <w:rFonts w:hint="default" w:ascii="Times New Roman" w:hAnsi="Times New Roman" w:cs="Times New Roman"/>
                <w:color w:val="000000" w:themeColor="text1"/>
                <w:sz w:val="24"/>
                <w:vertAlign w:val="subscript"/>
                <w14:textFill>
                  <w14:solidFill>
                    <w14:schemeClr w14:val="tx1"/>
                  </w14:solidFill>
                </w14:textFill>
              </w:rPr>
              <w:t>5</w:t>
            </w:r>
            <w:r>
              <w:rPr>
                <w:rFonts w:hint="default" w:ascii="Times New Roman" w:hAnsi="Times New Roman" w:cs="Times New Roman"/>
                <w:color w:val="000000" w:themeColor="text1"/>
                <w:sz w:val="24"/>
                <w:vertAlign w:val="subscript"/>
                <w:lang w:eastAsia="zh-CN"/>
                <w14:textFill>
                  <w14:solidFill>
                    <w14:schemeClr w14:val="tx1"/>
                  </w14:solidFill>
                </w14:textFill>
              </w:rPr>
              <w:t>:</w:t>
            </w:r>
            <w:r>
              <w:rPr>
                <w:rFonts w:hint="eastAsia" w:cs="Times New Roman"/>
                <w:color w:val="000000" w:themeColor="text1"/>
                <w:sz w:val="24"/>
                <w:lang w:val="en-US" w:eastAsia="zh-CN"/>
                <w14:textFill>
                  <w14:solidFill>
                    <w14:schemeClr w14:val="tx1"/>
                  </w14:solidFill>
                </w14:textFill>
              </w:rPr>
              <w:t>108</w:t>
            </w:r>
            <w:r>
              <w:rPr>
                <w:rFonts w:hint="default" w:ascii="Times New Roman" w:hAnsi="Times New Roman" w:cs="Times New Roman"/>
                <w:color w:val="000000" w:themeColor="text1"/>
                <w:sz w:val="24"/>
                <w14:textFill>
                  <w14:solidFill>
                    <w14:schemeClr w14:val="tx1"/>
                  </w14:solidFill>
                </w14:textFill>
              </w:rPr>
              <w:t>mg/L，SS：1</w:t>
            </w:r>
            <w:r>
              <w:rPr>
                <w:rFonts w:hint="eastAsia" w:cs="Times New Roman"/>
                <w:color w:val="000000" w:themeColor="text1"/>
                <w:sz w:val="24"/>
                <w:lang w:val="en-US" w:eastAsia="zh-CN"/>
                <w14:textFill>
                  <w14:solidFill>
                    <w14:schemeClr w14:val="tx1"/>
                  </w14:solidFill>
                </w14:textFill>
              </w:rPr>
              <w:t>0</w:t>
            </w:r>
            <w:r>
              <w:rPr>
                <w:rFonts w:hint="default" w:ascii="Times New Roman" w:hAnsi="Times New Roman" w:cs="Times New Roman"/>
                <w:color w:val="000000" w:themeColor="text1"/>
                <w:sz w:val="24"/>
                <w14:textFill>
                  <w14:solidFill>
                    <w14:schemeClr w14:val="tx1"/>
                  </w14:solidFill>
                </w14:textFill>
              </w:rPr>
              <w:t>0mg/L，氨氮：</w:t>
            </w:r>
            <w:r>
              <w:rPr>
                <w:rFonts w:hint="eastAsia" w:cs="Times New Roman"/>
                <w:color w:val="000000" w:themeColor="text1"/>
                <w:sz w:val="24"/>
                <w:lang w:val="en-US" w:eastAsia="zh-CN"/>
                <w14:textFill>
                  <w14:solidFill>
                    <w14:schemeClr w14:val="tx1"/>
                  </w14:solidFill>
                </w14:textFill>
              </w:rPr>
              <w:t>25</w:t>
            </w:r>
            <w:r>
              <w:rPr>
                <w:rFonts w:hint="default" w:ascii="Times New Roman" w:hAnsi="Times New Roman" w:cs="Times New Roman"/>
                <w:color w:val="000000" w:themeColor="text1"/>
                <w:sz w:val="24"/>
                <w14:textFill>
                  <w14:solidFill>
                    <w14:schemeClr w14:val="tx1"/>
                  </w14:solidFill>
                </w14:textFill>
              </w:rPr>
              <w:t>mg/L，总磷：</w:t>
            </w:r>
            <w:r>
              <w:rPr>
                <w:rFonts w:hint="eastAsia" w:cs="Times New Roman"/>
                <w:color w:val="000000" w:themeColor="text1"/>
                <w:sz w:val="24"/>
                <w:lang w:val="en-US" w:eastAsia="zh-CN"/>
                <w14:textFill>
                  <w14:solidFill>
                    <w14:schemeClr w14:val="tx1"/>
                  </w14:solidFill>
                </w14:textFill>
              </w:rPr>
              <w:t>3.6</w:t>
            </w:r>
            <w:r>
              <w:rPr>
                <w:rFonts w:hint="default" w:ascii="Times New Roman" w:hAnsi="Times New Roman" w:cs="Times New Roman"/>
                <w:color w:val="000000" w:themeColor="text1"/>
                <w:sz w:val="24"/>
                <w14:textFill>
                  <w14:solidFill>
                    <w14:schemeClr w14:val="tx1"/>
                  </w14:solidFill>
                </w14:textFill>
              </w:rPr>
              <w:t>mg/L，总氮：</w:t>
            </w:r>
            <w:r>
              <w:rPr>
                <w:rFonts w:hint="eastAsia" w:cs="Times New Roman"/>
                <w:color w:val="000000" w:themeColor="text1"/>
                <w:sz w:val="24"/>
                <w:lang w:val="en-US" w:eastAsia="zh-CN"/>
                <w14:textFill>
                  <w14:solidFill>
                    <w14:schemeClr w14:val="tx1"/>
                  </w14:solidFill>
                </w14:textFill>
              </w:rPr>
              <w:t>51</w:t>
            </w:r>
            <w:r>
              <w:rPr>
                <w:rFonts w:hint="default" w:ascii="Times New Roman" w:hAnsi="Times New Roman" w:cs="Times New Roman"/>
                <w:color w:val="000000" w:themeColor="text1"/>
                <w:sz w:val="24"/>
                <w14:textFill>
                  <w14:solidFill>
                    <w14:schemeClr w14:val="tx1"/>
                  </w14:solidFill>
                </w14:textFill>
              </w:rPr>
              <w:t>mg/L，动植物油：10mg/L，</w:t>
            </w:r>
            <w:r>
              <w:rPr>
                <w:rFonts w:hint="eastAsia" w:ascii="Times New Roman" w:hAnsi="Times New Roman" w:cs="Times New Roman"/>
                <w:color w:val="000000" w:themeColor="text1"/>
                <w:sz w:val="24"/>
                <w:lang w:val="en-US" w:eastAsia="zh-CN"/>
                <w14:textFill>
                  <w14:solidFill>
                    <w14:schemeClr w14:val="tx1"/>
                  </w14:solidFill>
                </w14:textFill>
              </w:rPr>
              <w:t>溶解性总固体：</w:t>
            </w:r>
            <w:r>
              <w:rPr>
                <w:rFonts w:hint="eastAsia" w:cs="Times New Roman"/>
                <w:color w:val="000000" w:themeColor="text1"/>
                <w:sz w:val="24"/>
                <w:lang w:val="en-US" w:eastAsia="zh-CN"/>
                <w14:textFill>
                  <w14:solidFill>
                    <w14:schemeClr w14:val="tx1"/>
                  </w14:solidFill>
                </w14:textFill>
              </w:rPr>
              <w:t>830</w:t>
            </w:r>
            <w:r>
              <w:rPr>
                <w:rFonts w:hint="default" w:ascii="Times New Roman" w:hAnsi="Times New Roman" w:cs="Times New Roman"/>
                <w:color w:val="000000" w:themeColor="text1"/>
                <w:sz w:val="24"/>
                <w14:textFill>
                  <w14:solidFill>
                    <w14:schemeClr w14:val="tx1"/>
                  </w14:solidFill>
                </w14:textFill>
              </w:rPr>
              <w:t>mg/L，</w:t>
            </w:r>
            <w:r>
              <w:rPr>
                <w:rFonts w:hint="eastAsia" w:ascii="Times New Roman" w:hAnsi="Times New Roman" w:cs="Times New Roman"/>
                <w:color w:val="000000" w:themeColor="text1"/>
                <w:sz w:val="24"/>
                <w:lang w:val="en-US" w:eastAsia="zh-CN"/>
                <w14:textFill>
                  <w14:solidFill>
                    <w14:schemeClr w14:val="tx1"/>
                  </w14:solidFill>
                </w14:textFill>
              </w:rPr>
              <w:t>氯离子</w:t>
            </w:r>
            <w:r>
              <w:rPr>
                <w:rFonts w:hint="eastAsia" w:cs="Times New Roman"/>
                <w:color w:val="000000" w:themeColor="text1"/>
                <w:sz w:val="24"/>
                <w:lang w:val="en-US" w:eastAsia="zh-CN"/>
                <w14:textFill>
                  <w14:solidFill>
                    <w14:schemeClr w14:val="tx1"/>
                  </w14:solidFill>
                </w14:textFill>
              </w:rPr>
              <w:t>：230</w:t>
            </w:r>
            <w:r>
              <w:rPr>
                <w:rFonts w:hint="default" w:ascii="Times New Roman" w:hAnsi="Times New Roman" w:cs="Times New Roman"/>
                <w:color w:val="000000" w:themeColor="text1"/>
                <w:sz w:val="24"/>
                <w14:textFill>
                  <w14:solidFill>
                    <w14:schemeClr w14:val="tx1"/>
                  </w14:solidFill>
                </w14:textFill>
              </w:rPr>
              <w:t>mg/L</w:t>
            </w:r>
            <w:r>
              <w:rPr>
                <w:rFonts w:hint="eastAsia" w:ascii="Times New Roman" w:hAnsi="Times New Roman" w:cs="Times New Roman"/>
                <w:color w:val="000000" w:themeColor="text1"/>
                <w:sz w:val="24"/>
                <w:lang w:val="en-US"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可以达到</w:t>
            </w:r>
            <w:r>
              <w:rPr>
                <w:rFonts w:hint="default" w:ascii="Times New Roman" w:hAnsi="Times New Roman" w:cs="Times New Roman"/>
                <w:bCs/>
                <w:color w:val="000000" w:themeColor="text1"/>
                <w:sz w:val="24"/>
                <w:lang w:val="en-US" w:eastAsia="zh-CN"/>
                <w14:textFill>
                  <w14:solidFill>
                    <w14:schemeClr w14:val="tx1"/>
                  </w14:solidFill>
                </w14:textFill>
              </w:rPr>
              <w:t>凤翔区第二污水处理厂</w:t>
            </w:r>
            <w:r>
              <w:rPr>
                <w:rFonts w:hint="default" w:ascii="Times New Roman" w:hAnsi="Times New Roman" w:cs="Times New Roman"/>
                <w:bCs/>
                <w:color w:val="000000" w:themeColor="text1"/>
                <w:sz w:val="24"/>
                <w:lang w:val="en-US" w:eastAsia="zh-CN" w:bidi="ar"/>
                <w14:textFill>
                  <w14:solidFill>
                    <w14:schemeClr w14:val="tx1"/>
                  </w14:solidFill>
                </w14:textFill>
              </w:rPr>
              <w:t>设计进水水质指标</w:t>
            </w:r>
            <w:r>
              <w:rPr>
                <w:rFonts w:hint="default" w:ascii="Times New Roman" w:hAnsi="Times New Roman" w:cs="Times New Roman"/>
                <w:bCs/>
                <w:color w:val="000000" w:themeColor="text1"/>
                <w:sz w:val="24"/>
                <w:lang w:bidi="ar"/>
                <w14:textFill>
                  <w14:solidFill>
                    <w14:schemeClr w14:val="tx1"/>
                  </w14:solidFill>
                </w14:textFill>
              </w:rPr>
              <w:t>要求</w:t>
            </w:r>
            <w:r>
              <w:rPr>
                <w:rFonts w:hint="default" w:ascii="Times New Roman" w:hAnsi="Times New Roman" w:cs="Times New Roman"/>
                <w:color w:val="000000" w:themeColor="text1"/>
                <w:sz w:val="24"/>
                <w14:textFill>
                  <w14:solidFill>
                    <w14:schemeClr w14:val="tx1"/>
                  </w14:solidFill>
                </w14:textFill>
              </w:rPr>
              <w:t>，污水不会对周围环境产生明显影响。</w:t>
            </w:r>
          </w:p>
          <w:p w14:paraId="6129F37D">
            <w:pPr>
              <w:widowControl/>
              <w:spacing w:line="360" w:lineRule="auto"/>
              <w:ind w:firstLine="480" w:firstLineChars="200"/>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凤翔区第二污水处理厂位于宝鸡市凤翔区南指挥镇河南屯村，距离城区2公里，建设分两期实施，总设计处理规模为2万立方米/日。一期建设规模1万立方米/日，占地49.73亩，项目采用“预处理+改良A²O污泥法+深度处理”工艺，出水水质达到《陕西省黄河流域污水综合排放标准》中的A标准。</w:t>
            </w:r>
          </w:p>
          <w:p w14:paraId="72B76B14">
            <w:pPr>
              <w:widowControl/>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综上分析，本项目排放的废水水质符合</w:t>
            </w:r>
            <w:r>
              <w:rPr>
                <w:rFonts w:hint="default" w:ascii="Times New Roman" w:hAnsi="Times New Roman" w:cs="Times New Roman"/>
                <w:color w:val="000000" w:themeColor="text1"/>
                <w:sz w:val="24"/>
                <w:lang w:val="en-US" w:eastAsia="zh-CN"/>
                <w14:textFill>
                  <w14:solidFill>
                    <w14:schemeClr w14:val="tx1"/>
                  </w14:solidFill>
                </w14:textFill>
              </w:rPr>
              <w:t>凤翔区第二污水处理厂</w:t>
            </w:r>
            <w:r>
              <w:rPr>
                <w:rFonts w:hint="default" w:ascii="Times New Roman" w:hAnsi="Times New Roman" w:cs="Times New Roman"/>
                <w:color w:val="000000" w:themeColor="text1"/>
                <w:sz w:val="24"/>
                <w14:textFill>
                  <w14:solidFill>
                    <w14:schemeClr w14:val="tx1"/>
                  </w14:solidFill>
                </w14:textFill>
              </w:rPr>
              <w:t>进水水质要求，本项目排放的废水水量和水质均不会对该污水处理厂的运行造成明显不利影响。</w:t>
            </w:r>
            <w:r>
              <w:rPr>
                <w:rFonts w:hint="default" w:ascii="Times New Roman" w:hAnsi="Times New Roman" w:cs="Times New Roman"/>
                <w:color w:val="000000" w:themeColor="text1"/>
                <w:sz w:val="24"/>
                <w:lang w:val="en-US" w:eastAsia="zh-CN"/>
                <w14:textFill>
                  <w14:solidFill>
                    <w14:schemeClr w14:val="tx1"/>
                  </w14:solidFill>
                </w14:textFill>
              </w:rPr>
              <w:t>凤翔区第二污水处理厂</w:t>
            </w:r>
            <w:r>
              <w:rPr>
                <w:rFonts w:hint="default" w:ascii="Times New Roman" w:hAnsi="Times New Roman" w:cs="Times New Roman"/>
                <w:color w:val="000000" w:themeColor="text1"/>
                <w:sz w:val="24"/>
                <w14:textFill>
                  <w14:solidFill>
                    <w14:schemeClr w14:val="tx1"/>
                  </w14:solidFill>
                </w14:textFill>
              </w:rPr>
              <w:t>具备接纳本项目废水的能力，故本项目废水排放去向合理。</w:t>
            </w:r>
          </w:p>
          <w:p w14:paraId="5C50D486">
            <w:pPr>
              <w:keepNext/>
              <w:keepLines/>
              <w:widowControl/>
              <w:adjustRightInd w:val="0"/>
              <w:snapToGrid w:val="0"/>
              <w:spacing w:line="360" w:lineRule="auto"/>
              <w:jc w:val="left"/>
              <w:outlineLvl w:val="1"/>
              <w:rPr>
                <w:rFonts w:hint="default" w:ascii="Times New Roman" w:hAnsi="Times New Roman" w:eastAsia="黑体" w:cs="Times New Roman"/>
                <w:bCs/>
                <w:color w:val="000000" w:themeColor="text1"/>
                <w:sz w:val="24"/>
                <w:szCs w:val="28"/>
                <w14:textFill>
                  <w14:solidFill>
                    <w14:schemeClr w14:val="tx1"/>
                  </w14:solidFill>
                </w14:textFill>
              </w:rPr>
            </w:pPr>
            <w:r>
              <w:rPr>
                <w:rFonts w:hint="default" w:ascii="Times New Roman" w:hAnsi="Times New Roman" w:eastAsia="黑体" w:cs="Times New Roman"/>
                <w:bCs/>
                <w:color w:val="000000" w:themeColor="text1"/>
                <w:sz w:val="24"/>
                <w:szCs w:val="28"/>
                <w14:textFill>
                  <w14:solidFill>
                    <w14:schemeClr w14:val="tx1"/>
                  </w14:solidFill>
                </w14:textFill>
              </w:rPr>
              <w:t>三、运营期噪声环境影响和保护措施</w:t>
            </w:r>
          </w:p>
          <w:p w14:paraId="35D0AA9D">
            <w:pPr>
              <w:keepNext/>
              <w:keepLines/>
              <w:widowControl/>
              <w:adjustRightInd w:val="0"/>
              <w:snapToGrid w:val="0"/>
              <w:spacing w:line="360" w:lineRule="auto"/>
              <w:jc w:val="left"/>
              <w:outlineLvl w:val="1"/>
              <w:rPr>
                <w:rFonts w:hint="default" w:ascii="Times New Roman" w:hAnsi="Times New Roman" w:eastAsia="黑体" w:cs="Times New Roman"/>
                <w:bCs/>
                <w:color w:val="000000" w:themeColor="text1"/>
                <w:sz w:val="24"/>
                <w:szCs w:val="28"/>
                <w14:textFill>
                  <w14:solidFill>
                    <w14:schemeClr w14:val="tx1"/>
                  </w14:solidFill>
                </w14:textFill>
              </w:rPr>
            </w:pPr>
            <w:r>
              <w:rPr>
                <w:rFonts w:hint="default" w:ascii="Times New Roman" w:hAnsi="Times New Roman" w:eastAsia="黑体" w:cs="Times New Roman"/>
                <w:bCs/>
                <w:color w:val="000000" w:themeColor="text1"/>
                <w:sz w:val="24"/>
                <w:szCs w:val="28"/>
                <w:lang w:eastAsia="zh-CN"/>
                <w14:textFill>
                  <w14:solidFill>
                    <w14:schemeClr w14:val="tx1"/>
                  </w14:solidFill>
                </w14:textFill>
              </w:rPr>
              <w:t>1.</w:t>
            </w:r>
            <w:r>
              <w:rPr>
                <w:rFonts w:hint="default" w:ascii="Times New Roman" w:hAnsi="Times New Roman" w:eastAsia="黑体" w:cs="Times New Roman"/>
                <w:bCs/>
                <w:color w:val="000000" w:themeColor="text1"/>
                <w:sz w:val="24"/>
                <w:szCs w:val="28"/>
                <w14:textFill>
                  <w14:solidFill>
                    <w14:schemeClr w14:val="tx1"/>
                  </w14:solidFill>
                </w14:textFill>
              </w:rPr>
              <w:t>噪声源强分析</w:t>
            </w:r>
          </w:p>
          <w:p w14:paraId="2EEDBBC1">
            <w:pPr>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本项目运营期主要噪声为设备运行过程中产生的</w:t>
            </w:r>
            <w:r>
              <w:rPr>
                <w:rFonts w:hint="default" w:ascii="Times New Roman" w:hAnsi="Times New Roman" w:cs="Times New Roman"/>
                <w:snapToGrid w:val="0"/>
                <w:color w:val="000000" w:themeColor="text1"/>
                <w:kern w:val="0"/>
                <w:sz w:val="24"/>
                <w14:textFill>
                  <w14:solidFill>
                    <w14:schemeClr w14:val="tx1"/>
                  </w14:solidFill>
                </w14:textFill>
              </w:rPr>
              <w:t>机械噪声。</w:t>
            </w:r>
            <w:r>
              <w:rPr>
                <w:rFonts w:hint="default" w:ascii="Times New Roman" w:hAnsi="Times New Roman" w:cs="Times New Roman"/>
                <w:color w:val="000000" w:themeColor="text1"/>
                <w:sz w:val="24"/>
                <w14:textFill>
                  <w14:solidFill>
                    <w14:schemeClr w14:val="tx1"/>
                  </w14:solidFill>
                </w14:textFill>
              </w:rPr>
              <w:t>项目单台设备噪声源声功率级为75dB（A）</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lang w:val="en-US" w:eastAsia="zh-CN"/>
                <w14:textFill>
                  <w14:solidFill>
                    <w14:schemeClr w14:val="tx1"/>
                  </w14:solidFill>
                </w14:textFill>
              </w:rPr>
              <w:t>90</w:t>
            </w:r>
            <w:r>
              <w:rPr>
                <w:rFonts w:hint="default" w:ascii="Times New Roman" w:hAnsi="Times New Roman" w:cs="Times New Roman"/>
                <w:color w:val="000000" w:themeColor="text1"/>
                <w:sz w:val="24"/>
                <w14:textFill>
                  <w14:solidFill>
                    <w14:schemeClr w14:val="tx1"/>
                  </w14:solidFill>
                </w14:textFill>
              </w:rPr>
              <w:t>dB（A）。</w:t>
            </w:r>
            <w:r>
              <w:rPr>
                <w:rFonts w:hint="default" w:ascii="Times New Roman" w:hAnsi="Times New Roman" w:cs="Times New Roman"/>
                <w:color w:val="000000" w:themeColor="text1"/>
                <w:sz w:val="24"/>
                <w:lang w:val="en-US" w:eastAsia="zh-CN"/>
                <w14:textFill>
                  <w14:solidFill>
                    <w14:schemeClr w14:val="tx1"/>
                  </w14:solidFill>
                </w14:textFill>
              </w:rPr>
              <w:t>以项目西南角为原点（0，0，0），向东为X轴正方向，向北为Y轴正方向，向上为Z轴正方向</w:t>
            </w:r>
            <w:r>
              <w:rPr>
                <w:rFonts w:hint="eastAsia" w:cs="Times New Roman"/>
                <w:color w:val="000000" w:themeColor="text1"/>
                <w:sz w:val="24"/>
                <w:lang w:val="en-US"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各声源声级值详见表4-</w:t>
            </w:r>
            <w:r>
              <w:rPr>
                <w:rFonts w:hint="default" w:ascii="Times New Roman" w:hAnsi="Times New Roman" w:cs="Times New Roman"/>
                <w:color w:val="000000" w:themeColor="text1"/>
                <w:sz w:val="24"/>
                <w:lang w:val="en-US" w:eastAsia="zh-CN"/>
                <w14:textFill>
                  <w14:solidFill>
                    <w14:schemeClr w14:val="tx1"/>
                  </w14:solidFill>
                </w14:textFill>
              </w:rPr>
              <w:t>6</w:t>
            </w:r>
            <w:r>
              <w:rPr>
                <w:rFonts w:hint="default" w:ascii="Times New Roman" w:hAnsi="Times New Roman" w:cs="Times New Roman"/>
                <w:color w:val="000000" w:themeColor="text1"/>
                <w:sz w:val="24"/>
                <w14:textFill>
                  <w14:solidFill>
                    <w14:schemeClr w14:val="tx1"/>
                  </w14:solidFill>
                </w14:textFill>
              </w:rPr>
              <w:t>。</w:t>
            </w:r>
          </w:p>
          <w:p w14:paraId="178D3A25">
            <w:pPr>
              <w:widowControl/>
              <w:snapToGrid w:val="0"/>
              <w:spacing w:line="360" w:lineRule="auto"/>
              <w:jc w:val="left"/>
              <w:rPr>
                <w:rFonts w:hint="default" w:ascii="Times New Roman" w:hAnsi="Times New Roman" w:cs="Times New Roman"/>
                <w:bCs/>
                <w:color w:val="000000" w:themeColor="text1"/>
                <w:spacing w:val="-10"/>
                <w:szCs w:val="21"/>
                <w14:textFill>
                  <w14:solidFill>
                    <w14:schemeClr w14:val="tx1"/>
                  </w14:solidFill>
                </w14:textFill>
              </w:rPr>
            </w:pPr>
          </w:p>
        </w:tc>
      </w:tr>
    </w:tbl>
    <w:p w14:paraId="2E41989B">
      <w:pPr>
        <w:adjustRightInd w:val="0"/>
        <w:snapToGrid w:val="0"/>
        <w:spacing w:line="360" w:lineRule="auto"/>
        <w:rPr>
          <w:rFonts w:hint="default" w:ascii="Times New Roman" w:hAnsi="Times New Roman" w:cs="Times New Roman"/>
          <w:b/>
          <w:color w:val="000000" w:themeColor="text1"/>
          <w:kern w:val="0"/>
          <w:sz w:val="28"/>
          <w:szCs w:val="28"/>
          <w14:textFill>
            <w14:solidFill>
              <w14:schemeClr w14:val="tx1"/>
            </w14:solidFill>
          </w14:textFill>
        </w:rPr>
        <w:sectPr>
          <w:pgSz w:w="11907" w:h="16840"/>
          <w:pgMar w:top="1701" w:right="1531" w:bottom="2127" w:left="1531" w:header="851" w:footer="851" w:gutter="0"/>
          <w:pgBorders>
            <w:top w:val="none" w:sz="0" w:space="0"/>
            <w:left w:val="none" w:sz="0" w:space="0"/>
            <w:bottom w:val="none" w:sz="0" w:space="0"/>
            <w:right w:val="none" w:sz="0" w:space="0"/>
          </w:pgBorders>
          <w:cols w:space="720" w:num="1"/>
          <w:docGrid w:linePitch="312" w:charSpace="0"/>
        </w:sectPr>
      </w:pP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8"/>
        <w:gridCol w:w="12984"/>
      </w:tblGrid>
      <w:tr w14:paraId="48BF9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8" w:type="dxa"/>
          </w:tcPr>
          <w:p w14:paraId="428E9FF9">
            <w:pPr>
              <w:pStyle w:val="31"/>
              <w:jc w:val="center"/>
              <w:outlineLvl w:val="0"/>
              <w:rPr>
                <w:rFonts w:hint="default" w:ascii="Times New Roman" w:hAnsi="Times New Roman" w:eastAsia="黑体" w:cs="Times New Roman"/>
                <w:snapToGrid w:val="0"/>
                <w:color w:val="000000" w:themeColor="text1"/>
                <w:sz w:val="30"/>
                <w:szCs w:val="30"/>
                <w:vertAlign w:val="baseline"/>
                <w14:textFill>
                  <w14:solidFill>
                    <w14:schemeClr w14:val="tx1"/>
                  </w14:solidFill>
                </w14:textFill>
              </w:rPr>
            </w:pPr>
          </w:p>
        </w:tc>
        <w:tc>
          <w:tcPr>
            <w:tcW w:w="12984" w:type="dxa"/>
          </w:tcPr>
          <w:p w14:paraId="5B8D5600">
            <w:pPr>
              <w:widowControl/>
              <w:spacing w:line="440" w:lineRule="exact"/>
              <w:jc w:val="center"/>
              <w:rPr>
                <w:rFonts w:hint="default" w:ascii="Times New Roman" w:hAnsi="Times New Roman" w:eastAsia="宋体" w:cs="Times New Roman"/>
                <w:b/>
                <w:bCs/>
                <w:color w:val="000000" w:themeColor="text1"/>
                <w:kern w:val="0"/>
                <w:sz w:val="24"/>
                <w:lang w:bidi="ar"/>
                <w14:textFill>
                  <w14:solidFill>
                    <w14:schemeClr w14:val="tx1"/>
                  </w14:solidFill>
                </w14:textFill>
              </w:rPr>
            </w:pPr>
            <w:r>
              <w:rPr>
                <w:rFonts w:hint="default" w:ascii="Times New Roman" w:hAnsi="Times New Roman" w:cs="Times New Roman"/>
                <w:b/>
                <w:color w:val="000000" w:themeColor="text1"/>
                <w:sz w:val="24"/>
                <w14:textFill>
                  <w14:solidFill>
                    <w14:schemeClr w14:val="tx1"/>
                  </w14:solidFill>
                </w14:textFill>
              </w:rPr>
              <w:t>表4-</w:t>
            </w:r>
            <w:r>
              <w:rPr>
                <w:rFonts w:hint="eastAsia" w:ascii="Times New Roman" w:hAnsi="Times New Roman" w:cs="Times New Roman"/>
                <w:b/>
                <w:color w:val="000000" w:themeColor="text1"/>
                <w:sz w:val="24"/>
                <w:lang w:val="en-US" w:eastAsia="zh-CN"/>
                <w14:textFill>
                  <w14:solidFill>
                    <w14:schemeClr w14:val="tx1"/>
                  </w14:solidFill>
                </w14:textFill>
              </w:rPr>
              <w:t>6</w:t>
            </w:r>
            <w:r>
              <w:rPr>
                <w:rFonts w:hint="default" w:ascii="Times New Roman" w:hAnsi="Times New Roman" w:cs="Times New Roman"/>
                <w:b/>
                <w:color w:val="000000" w:themeColor="text1"/>
                <w:sz w:val="24"/>
                <w14:textFill>
                  <w14:solidFill>
                    <w14:schemeClr w14:val="tx1"/>
                  </w14:solidFill>
                </w14:textFill>
              </w:rPr>
              <w:t xml:space="preserve">  </w:t>
            </w:r>
            <w:r>
              <w:rPr>
                <w:rFonts w:hint="default" w:ascii="Times New Roman" w:hAnsi="Times New Roman" w:eastAsia="宋体" w:cs="Times New Roman"/>
                <w:b/>
                <w:bCs/>
                <w:color w:val="000000" w:themeColor="text1"/>
                <w:kern w:val="0"/>
                <w:sz w:val="24"/>
                <w:lang w:bidi="ar"/>
                <w14:textFill>
                  <w14:solidFill>
                    <w14:schemeClr w14:val="tx1"/>
                  </w14:solidFill>
                </w14:textFill>
              </w:rPr>
              <w:t>工业企业噪声源强调查清单（室</w:t>
            </w:r>
            <w:r>
              <w:rPr>
                <w:rFonts w:hint="default" w:ascii="Times New Roman" w:hAnsi="Times New Roman" w:eastAsia="宋体" w:cs="Times New Roman"/>
                <w:b/>
                <w:bCs/>
                <w:color w:val="000000" w:themeColor="text1"/>
                <w:kern w:val="0"/>
                <w:sz w:val="24"/>
                <w:lang w:val="en-US" w:eastAsia="zh-CN" w:bidi="ar"/>
                <w14:textFill>
                  <w14:solidFill>
                    <w14:schemeClr w14:val="tx1"/>
                  </w14:solidFill>
                </w14:textFill>
              </w:rPr>
              <w:t>内</w:t>
            </w:r>
            <w:r>
              <w:rPr>
                <w:rFonts w:hint="default" w:ascii="Times New Roman" w:hAnsi="Times New Roman" w:eastAsia="宋体" w:cs="Times New Roman"/>
                <w:b/>
                <w:bCs/>
                <w:color w:val="000000" w:themeColor="text1"/>
                <w:kern w:val="0"/>
                <w:sz w:val="24"/>
                <w:lang w:bidi="ar"/>
                <w14:textFill>
                  <w14:solidFill>
                    <w14:schemeClr w14:val="tx1"/>
                  </w14:solidFill>
                </w14:textFill>
              </w:rPr>
              <w:t>声源）</w:t>
            </w:r>
          </w:p>
          <w:tbl>
            <w:tblPr>
              <w:tblStyle w:val="36"/>
              <w:tblW w:w="4998"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601"/>
              <w:gridCol w:w="604"/>
              <w:gridCol w:w="1002"/>
              <w:gridCol w:w="1149"/>
              <w:gridCol w:w="2352"/>
              <w:gridCol w:w="696"/>
              <w:gridCol w:w="849"/>
              <w:gridCol w:w="520"/>
              <w:gridCol w:w="604"/>
              <w:gridCol w:w="604"/>
              <w:gridCol w:w="604"/>
              <w:gridCol w:w="953"/>
              <w:gridCol w:w="1167"/>
              <w:gridCol w:w="1028"/>
            </w:tblGrid>
            <w:tr w14:paraId="5DC004C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36" w:type="pct"/>
                  <w:vMerge w:val="restart"/>
                  <w:tcBorders>
                    <w:tl2br w:val="nil"/>
                    <w:tr2bl w:val="nil"/>
                  </w:tcBorders>
                  <w:noWrap w:val="0"/>
                  <w:vAlign w:val="center"/>
                </w:tcPr>
                <w:p w14:paraId="52648229">
                  <w:pPr>
                    <w:jc w:val="center"/>
                    <w:rPr>
                      <w:rFonts w:hint="default" w:ascii="Times New Roman" w:hAnsi="Times New Roman" w:eastAsia="宋体" w:cs="Times New Roman"/>
                      <w:b/>
                      <w:bCs/>
                      <w:color w:val="000000" w:themeColor="text1"/>
                      <w:szCs w:val="21"/>
                      <w14:textFill>
                        <w14:solidFill>
                          <w14:schemeClr w14:val="tx1"/>
                        </w14:solidFill>
                      </w14:textFill>
                    </w:rPr>
                  </w:pPr>
                  <w:r>
                    <w:rPr>
                      <w:rFonts w:hint="default" w:ascii="Times New Roman" w:hAnsi="Times New Roman" w:eastAsia="宋体" w:cs="Times New Roman"/>
                      <w:b/>
                      <w:bCs/>
                      <w:color w:val="000000" w:themeColor="text1"/>
                      <w:szCs w:val="21"/>
                      <w14:textFill>
                        <w14:solidFill>
                          <w14:schemeClr w14:val="tx1"/>
                        </w14:solidFill>
                      </w14:textFill>
                    </w:rPr>
                    <w:t>序号</w:t>
                  </w:r>
                </w:p>
              </w:tc>
              <w:tc>
                <w:tcPr>
                  <w:tcW w:w="237" w:type="pct"/>
                  <w:vMerge w:val="restart"/>
                  <w:tcBorders>
                    <w:tl2br w:val="nil"/>
                    <w:tr2bl w:val="nil"/>
                  </w:tcBorders>
                  <w:noWrap w:val="0"/>
                  <w:vAlign w:val="center"/>
                </w:tcPr>
                <w:p w14:paraId="42670345">
                  <w:pPr>
                    <w:jc w:val="center"/>
                    <w:rPr>
                      <w:rFonts w:hint="default" w:ascii="Times New Roman" w:hAnsi="Times New Roman" w:eastAsia="宋体" w:cs="Times New Roman"/>
                      <w:b/>
                      <w:bCs/>
                      <w:color w:val="000000" w:themeColor="text1"/>
                      <w:szCs w:val="21"/>
                      <w14:textFill>
                        <w14:solidFill>
                          <w14:schemeClr w14:val="tx1"/>
                        </w14:solidFill>
                      </w14:textFill>
                    </w:rPr>
                  </w:pPr>
                  <w:r>
                    <w:rPr>
                      <w:rFonts w:hint="default" w:ascii="Times New Roman" w:hAnsi="Times New Roman" w:eastAsia="宋体" w:cs="Times New Roman"/>
                      <w:b/>
                      <w:bCs/>
                      <w:color w:val="000000" w:themeColor="text1"/>
                      <w:szCs w:val="21"/>
                      <w14:textFill>
                        <w14:solidFill>
                          <w14:schemeClr w14:val="tx1"/>
                        </w14:solidFill>
                      </w14:textFill>
                    </w:rPr>
                    <w:t>建筑物名称</w:t>
                  </w:r>
                </w:p>
              </w:tc>
              <w:tc>
                <w:tcPr>
                  <w:tcW w:w="393" w:type="pct"/>
                  <w:vMerge w:val="restart"/>
                  <w:tcBorders>
                    <w:tl2br w:val="nil"/>
                    <w:tr2bl w:val="nil"/>
                  </w:tcBorders>
                  <w:noWrap w:val="0"/>
                  <w:vAlign w:val="center"/>
                </w:tcPr>
                <w:p w14:paraId="1226CD9B">
                  <w:pPr>
                    <w:jc w:val="center"/>
                    <w:rPr>
                      <w:rFonts w:hint="default" w:ascii="Times New Roman" w:hAnsi="Times New Roman" w:eastAsia="宋体" w:cs="Times New Roman"/>
                      <w:b/>
                      <w:bCs/>
                      <w:color w:val="000000" w:themeColor="text1"/>
                      <w:szCs w:val="21"/>
                      <w14:textFill>
                        <w14:solidFill>
                          <w14:schemeClr w14:val="tx1"/>
                        </w14:solidFill>
                      </w14:textFill>
                    </w:rPr>
                  </w:pPr>
                  <w:r>
                    <w:rPr>
                      <w:rFonts w:hint="default" w:ascii="Times New Roman" w:hAnsi="Times New Roman" w:eastAsia="宋体" w:cs="Times New Roman"/>
                      <w:b/>
                      <w:bCs/>
                      <w:color w:val="000000" w:themeColor="text1"/>
                      <w:szCs w:val="21"/>
                      <w14:textFill>
                        <w14:solidFill>
                          <w14:schemeClr w14:val="tx1"/>
                        </w14:solidFill>
                      </w14:textFill>
                    </w:rPr>
                    <w:t>声源名称</w:t>
                  </w:r>
                </w:p>
              </w:tc>
              <w:tc>
                <w:tcPr>
                  <w:tcW w:w="451" w:type="pct"/>
                  <w:tcBorders>
                    <w:tl2br w:val="nil"/>
                    <w:tr2bl w:val="nil"/>
                  </w:tcBorders>
                  <w:noWrap w:val="0"/>
                  <w:vAlign w:val="center"/>
                </w:tcPr>
                <w:p w14:paraId="3576A984">
                  <w:pPr>
                    <w:jc w:val="center"/>
                    <w:rPr>
                      <w:rFonts w:hint="default" w:ascii="Times New Roman" w:hAnsi="Times New Roman" w:eastAsia="宋体" w:cs="Times New Roman"/>
                      <w:b/>
                      <w:bCs/>
                      <w:color w:val="000000" w:themeColor="text1"/>
                      <w:szCs w:val="21"/>
                      <w14:textFill>
                        <w14:solidFill>
                          <w14:schemeClr w14:val="tx1"/>
                        </w14:solidFill>
                      </w14:textFill>
                    </w:rPr>
                  </w:pPr>
                  <w:r>
                    <w:rPr>
                      <w:rFonts w:hint="default" w:ascii="Times New Roman" w:hAnsi="Times New Roman" w:eastAsia="宋体" w:cs="Times New Roman"/>
                      <w:b/>
                      <w:bCs/>
                      <w:color w:val="000000" w:themeColor="text1"/>
                      <w:szCs w:val="21"/>
                      <w14:textFill>
                        <w14:solidFill>
                          <w14:schemeClr w14:val="tx1"/>
                        </w14:solidFill>
                      </w14:textFill>
                    </w:rPr>
                    <w:t>声源源强</w:t>
                  </w:r>
                </w:p>
              </w:tc>
              <w:tc>
                <w:tcPr>
                  <w:tcW w:w="923" w:type="pct"/>
                  <w:vMerge w:val="restart"/>
                  <w:tcBorders>
                    <w:tl2br w:val="nil"/>
                    <w:tr2bl w:val="nil"/>
                  </w:tcBorders>
                  <w:noWrap w:val="0"/>
                  <w:vAlign w:val="center"/>
                </w:tcPr>
                <w:p w14:paraId="32C5E953">
                  <w:pPr>
                    <w:jc w:val="center"/>
                    <w:rPr>
                      <w:rFonts w:hint="default" w:ascii="Times New Roman" w:hAnsi="Times New Roman" w:eastAsia="宋体" w:cs="Times New Roman"/>
                      <w:b/>
                      <w:bCs/>
                      <w:color w:val="000000" w:themeColor="text1"/>
                      <w:szCs w:val="21"/>
                      <w14:textFill>
                        <w14:solidFill>
                          <w14:schemeClr w14:val="tx1"/>
                        </w14:solidFill>
                      </w14:textFill>
                    </w:rPr>
                  </w:pPr>
                  <w:r>
                    <w:rPr>
                      <w:rFonts w:hint="default" w:ascii="Times New Roman" w:hAnsi="Times New Roman" w:eastAsia="宋体" w:cs="Times New Roman"/>
                      <w:b/>
                      <w:bCs/>
                      <w:color w:val="000000" w:themeColor="text1"/>
                      <w:szCs w:val="21"/>
                      <w14:textFill>
                        <w14:solidFill>
                          <w14:schemeClr w14:val="tx1"/>
                        </w14:solidFill>
                      </w14:textFill>
                    </w:rPr>
                    <w:t>声源控制措施</w:t>
                  </w:r>
                </w:p>
              </w:tc>
              <w:tc>
                <w:tcPr>
                  <w:tcW w:w="810" w:type="pct"/>
                  <w:gridSpan w:val="3"/>
                  <w:tcBorders>
                    <w:tl2br w:val="nil"/>
                    <w:tr2bl w:val="nil"/>
                  </w:tcBorders>
                  <w:noWrap w:val="0"/>
                  <w:vAlign w:val="center"/>
                </w:tcPr>
                <w:p w14:paraId="4E947F50">
                  <w:pPr>
                    <w:jc w:val="center"/>
                    <w:rPr>
                      <w:rFonts w:hint="default" w:ascii="Times New Roman" w:hAnsi="Times New Roman" w:eastAsia="宋体" w:cs="Times New Roman"/>
                      <w:b/>
                      <w:bCs/>
                      <w:color w:val="000000" w:themeColor="text1"/>
                      <w:szCs w:val="21"/>
                      <w14:textFill>
                        <w14:solidFill>
                          <w14:schemeClr w14:val="tx1"/>
                        </w14:solidFill>
                      </w14:textFill>
                    </w:rPr>
                  </w:pPr>
                  <w:r>
                    <w:rPr>
                      <w:rFonts w:hint="default" w:ascii="Times New Roman" w:hAnsi="Times New Roman" w:eastAsia="宋体" w:cs="Times New Roman"/>
                      <w:b/>
                      <w:bCs/>
                      <w:color w:val="000000" w:themeColor="text1"/>
                      <w:szCs w:val="21"/>
                      <w14:textFill>
                        <w14:solidFill>
                          <w14:schemeClr w14:val="tx1"/>
                        </w14:solidFill>
                      </w14:textFill>
                    </w:rPr>
                    <w:t>空间相</w:t>
                  </w:r>
                </w:p>
                <w:p w14:paraId="5626E32A">
                  <w:pPr>
                    <w:jc w:val="center"/>
                    <w:rPr>
                      <w:rFonts w:hint="default" w:ascii="Times New Roman" w:hAnsi="Times New Roman" w:eastAsia="宋体" w:cs="Times New Roman"/>
                      <w:b/>
                      <w:bCs/>
                      <w:color w:val="000000" w:themeColor="text1"/>
                      <w:szCs w:val="21"/>
                      <w14:textFill>
                        <w14:solidFill>
                          <w14:schemeClr w14:val="tx1"/>
                        </w14:solidFill>
                      </w14:textFill>
                    </w:rPr>
                  </w:pPr>
                  <w:r>
                    <w:rPr>
                      <w:rFonts w:hint="default" w:ascii="Times New Roman" w:hAnsi="Times New Roman" w:eastAsia="宋体" w:cs="Times New Roman"/>
                      <w:b/>
                      <w:bCs/>
                      <w:color w:val="000000" w:themeColor="text1"/>
                      <w:szCs w:val="21"/>
                      <w14:textFill>
                        <w14:solidFill>
                          <w14:schemeClr w14:val="tx1"/>
                        </w14:solidFill>
                      </w14:textFill>
                    </w:rPr>
                    <w:t>对位置/m</w:t>
                  </w:r>
                </w:p>
              </w:tc>
              <w:tc>
                <w:tcPr>
                  <w:tcW w:w="237" w:type="pct"/>
                  <w:vMerge w:val="restart"/>
                  <w:tcBorders>
                    <w:tl2br w:val="nil"/>
                    <w:tr2bl w:val="nil"/>
                  </w:tcBorders>
                  <w:noWrap w:val="0"/>
                  <w:vAlign w:val="center"/>
                </w:tcPr>
                <w:p w14:paraId="2800C99F">
                  <w:pPr>
                    <w:jc w:val="center"/>
                    <w:rPr>
                      <w:rFonts w:hint="default" w:ascii="Times New Roman" w:hAnsi="Times New Roman" w:eastAsia="宋体" w:cs="Times New Roman"/>
                      <w:b/>
                      <w:bCs/>
                      <w:color w:val="000000" w:themeColor="text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Cs w:val="21"/>
                      <w:lang w:val="en-US" w:eastAsia="zh-CN"/>
                      <w14:textFill>
                        <w14:solidFill>
                          <w14:schemeClr w14:val="tx1"/>
                        </w14:solidFill>
                      </w14:textFill>
                    </w:rPr>
                    <w:t>距室内边界距离/m</w:t>
                  </w:r>
                </w:p>
              </w:tc>
              <w:tc>
                <w:tcPr>
                  <w:tcW w:w="237" w:type="pct"/>
                  <w:vMerge w:val="restart"/>
                  <w:tcBorders>
                    <w:tl2br w:val="nil"/>
                    <w:tr2bl w:val="nil"/>
                  </w:tcBorders>
                  <w:noWrap w:val="0"/>
                  <w:vAlign w:val="center"/>
                </w:tcPr>
                <w:p w14:paraId="04DA3D9A">
                  <w:pPr>
                    <w:jc w:val="center"/>
                    <w:rPr>
                      <w:rFonts w:hint="default" w:ascii="Times New Roman" w:hAnsi="Times New Roman" w:eastAsia="宋体" w:cs="Times New Roman"/>
                      <w:b/>
                      <w:bCs/>
                      <w:color w:val="000000" w:themeColor="text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Cs w:val="21"/>
                      <w:lang w:val="en-US" w:eastAsia="zh-CN"/>
                      <w14:textFill>
                        <w14:solidFill>
                          <w14:schemeClr w14:val="tx1"/>
                        </w14:solidFill>
                      </w14:textFill>
                    </w:rPr>
                    <w:t>室内边界声压级</w:t>
                  </w:r>
                </w:p>
              </w:tc>
              <w:tc>
                <w:tcPr>
                  <w:tcW w:w="237" w:type="pct"/>
                  <w:vMerge w:val="restart"/>
                  <w:tcBorders>
                    <w:tl2br w:val="nil"/>
                    <w:tr2bl w:val="nil"/>
                  </w:tcBorders>
                  <w:noWrap w:val="0"/>
                  <w:vAlign w:val="center"/>
                </w:tcPr>
                <w:p w14:paraId="7EFC8176">
                  <w:pPr>
                    <w:jc w:val="center"/>
                    <w:rPr>
                      <w:rFonts w:hint="default" w:ascii="Times New Roman" w:hAnsi="Times New Roman" w:eastAsia="宋体" w:cs="Times New Roman"/>
                      <w:b/>
                      <w:bCs/>
                      <w:color w:val="000000" w:themeColor="text1"/>
                      <w:szCs w:val="21"/>
                      <w14:textFill>
                        <w14:solidFill>
                          <w14:schemeClr w14:val="tx1"/>
                        </w14:solidFill>
                      </w14:textFill>
                    </w:rPr>
                  </w:pPr>
                  <w:r>
                    <w:rPr>
                      <w:rFonts w:hint="default" w:ascii="Times New Roman" w:hAnsi="Times New Roman" w:eastAsia="宋体" w:cs="Times New Roman"/>
                      <w:b/>
                      <w:bCs/>
                      <w:color w:val="000000" w:themeColor="text1"/>
                      <w:szCs w:val="21"/>
                      <w14:textFill>
                        <w14:solidFill>
                          <w14:schemeClr w14:val="tx1"/>
                        </w14:solidFill>
                      </w14:textFill>
                    </w:rPr>
                    <w:t>运行时段</w:t>
                  </w:r>
                </w:p>
              </w:tc>
              <w:tc>
                <w:tcPr>
                  <w:tcW w:w="374" w:type="pct"/>
                  <w:vMerge w:val="restart"/>
                  <w:tcBorders>
                    <w:tl2br w:val="nil"/>
                    <w:tr2bl w:val="nil"/>
                  </w:tcBorders>
                  <w:noWrap w:val="0"/>
                  <w:vAlign w:val="center"/>
                </w:tcPr>
                <w:p w14:paraId="244F5249">
                  <w:pPr>
                    <w:jc w:val="center"/>
                    <w:rPr>
                      <w:rFonts w:hint="default" w:ascii="Times New Roman" w:hAnsi="Times New Roman" w:eastAsia="宋体" w:cs="Times New Roman"/>
                      <w:b/>
                      <w:bCs/>
                      <w:color w:val="000000" w:themeColor="text1"/>
                      <w:szCs w:val="21"/>
                      <w14:textFill>
                        <w14:solidFill>
                          <w14:schemeClr w14:val="tx1"/>
                        </w14:solidFill>
                      </w14:textFill>
                    </w:rPr>
                  </w:pPr>
                  <w:r>
                    <w:rPr>
                      <w:rFonts w:hint="default" w:ascii="Times New Roman" w:hAnsi="Times New Roman" w:eastAsia="宋体" w:cs="Times New Roman"/>
                      <w:b/>
                      <w:bCs/>
                      <w:color w:val="000000" w:themeColor="text1"/>
                      <w:szCs w:val="21"/>
                      <w14:textFill>
                        <w14:solidFill>
                          <w14:schemeClr w14:val="tx1"/>
                        </w14:solidFill>
                      </w14:textFill>
                    </w:rPr>
                    <w:t>建筑物插入损失</w:t>
                  </w:r>
                </w:p>
              </w:tc>
              <w:tc>
                <w:tcPr>
                  <w:tcW w:w="861" w:type="pct"/>
                  <w:gridSpan w:val="2"/>
                  <w:tcBorders>
                    <w:tl2br w:val="nil"/>
                    <w:tr2bl w:val="nil"/>
                  </w:tcBorders>
                  <w:noWrap w:val="0"/>
                  <w:vAlign w:val="center"/>
                </w:tcPr>
                <w:p w14:paraId="762C21CF">
                  <w:pPr>
                    <w:jc w:val="center"/>
                    <w:rPr>
                      <w:rFonts w:hint="default" w:ascii="Times New Roman" w:hAnsi="Times New Roman" w:eastAsia="宋体" w:cs="Times New Roman"/>
                      <w:b/>
                      <w:bCs/>
                      <w:color w:val="000000" w:themeColor="text1"/>
                      <w:szCs w:val="21"/>
                      <w14:textFill>
                        <w14:solidFill>
                          <w14:schemeClr w14:val="tx1"/>
                        </w14:solidFill>
                      </w14:textFill>
                    </w:rPr>
                  </w:pPr>
                  <w:r>
                    <w:rPr>
                      <w:rFonts w:hint="default" w:ascii="Times New Roman" w:hAnsi="Times New Roman" w:eastAsia="宋体" w:cs="Times New Roman"/>
                      <w:b/>
                      <w:bCs/>
                      <w:color w:val="000000" w:themeColor="text1"/>
                      <w:szCs w:val="21"/>
                      <w14:textFill>
                        <w14:solidFill>
                          <w14:schemeClr w14:val="tx1"/>
                        </w14:solidFill>
                      </w14:textFill>
                    </w:rPr>
                    <w:t>建筑物</w:t>
                  </w:r>
                </w:p>
                <w:p w14:paraId="2C011FBB">
                  <w:pPr>
                    <w:jc w:val="center"/>
                    <w:rPr>
                      <w:rFonts w:hint="default" w:ascii="Times New Roman" w:hAnsi="Times New Roman" w:eastAsia="宋体" w:cs="Times New Roman"/>
                      <w:b/>
                      <w:bCs/>
                      <w:color w:val="000000" w:themeColor="text1"/>
                      <w:szCs w:val="21"/>
                      <w14:textFill>
                        <w14:solidFill>
                          <w14:schemeClr w14:val="tx1"/>
                        </w14:solidFill>
                      </w14:textFill>
                    </w:rPr>
                  </w:pPr>
                  <w:r>
                    <w:rPr>
                      <w:rFonts w:hint="default" w:ascii="Times New Roman" w:hAnsi="Times New Roman" w:eastAsia="宋体" w:cs="Times New Roman"/>
                      <w:b/>
                      <w:bCs/>
                      <w:color w:val="000000" w:themeColor="text1"/>
                      <w:szCs w:val="21"/>
                      <w14:textFill>
                        <w14:solidFill>
                          <w14:schemeClr w14:val="tx1"/>
                        </w14:solidFill>
                      </w14:textFill>
                    </w:rPr>
                    <w:t>外噪声</w:t>
                  </w:r>
                </w:p>
              </w:tc>
            </w:tr>
            <w:tr w14:paraId="220769D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36" w:type="pct"/>
                  <w:vMerge w:val="continue"/>
                  <w:tcBorders>
                    <w:tl2br w:val="nil"/>
                    <w:tr2bl w:val="nil"/>
                  </w:tcBorders>
                  <w:noWrap w:val="0"/>
                  <w:vAlign w:val="center"/>
                </w:tcPr>
                <w:p w14:paraId="12FB6494">
                  <w:pPr>
                    <w:jc w:val="center"/>
                    <w:rPr>
                      <w:rFonts w:hint="default" w:ascii="Times New Roman" w:hAnsi="Times New Roman" w:eastAsia="宋体" w:cs="Times New Roman"/>
                      <w:b/>
                      <w:bCs/>
                      <w:color w:val="000000" w:themeColor="text1"/>
                      <w:szCs w:val="21"/>
                      <w14:textFill>
                        <w14:solidFill>
                          <w14:schemeClr w14:val="tx1"/>
                        </w14:solidFill>
                      </w14:textFill>
                    </w:rPr>
                  </w:pPr>
                </w:p>
              </w:tc>
              <w:tc>
                <w:tcPr>
                  <w:tcW w:w="237" w:type="pct"/>
                  <w:vMerge w:val="continue"/>
                  <w:tcBorders>
                    <w:tl2br w:val="nil"/>
                    <w:tr2bl w:val="nil"/>
                  </w:tcBorders>
                  <w:noWrap w:val="0"/>
                  <w:vAlign w:val="center"/>
                </w:tcPr>
                <w:p w14:paraId="59994D36">
                  <w:pPr>
                    <w:jc w:val="center"/>
                    <w:rPr>
                      <w:rFonts w:hint="default" w:ascii="Times New Roman" w:hAnsi="Times New Roman" w:eastAsia="宋体" w:cs="Times New Roman"/>
                      <w:b/>
                      <w:bCs/>
                      <w:color w:val="000000" w:themeColor="text1"/>
                      <w:szCs w:val="21"/>
                      <w14:textFill>
                        <w14:solidFill>
                          <w14:schemeClr w14:val="tx1"/>
                        </w14:solidFill>
                      </w14:textFill>
                    </w:rPr>
                  </w:pPr>
                </w:p>
              </w:tc>
              <w:tc>
                <w:tcPr>
                  <w:tcW w:w="393" w:type="pct"/>
                  <w:vMerge w:val="continue"/>
                  <w:tcBorders>
                    <w:tl2br w:val="nil"/>
                    <w:tr2bl w:val="nil"/>
                  </w:tcBorders>
                  <w:noWrap w:val="0"/>
                  <w:vAlign w:val="center"/>
                </w:tcPr>
                <w:p w14:paraId="585F3875">
                  <w:pPr>
                    <w:jc w:val="center"/>
                    <w:rPr>
                      <w:rFonts w:hint="default" w:ascii="Times New Roman" w:hAnsi="Times New Roman" w:eastAsia="宋体" w:cs="Times New Roman"/>
                      <w:b/>
                      <w:bCs/>
                      <w:color w:val="000000" w:themeColor="text1"/>
                      <w:szCs w:val="21"/>
                      <w14:textFill>
                        <w14:solidFill>
                          <w14:schemeClr w14:val="tx1"/>
                        </w14:solidFill>
                      </w14:textFill>
                    </w:rPr>
                  </w:pPr>
                </w:p>
              </w:tc>
              <w:tc>
                <w:tcPr>
                  <w:tcW w:w="451" w:type="pct"/>
                  <w:tcBorders>
                    <w:tl2br w:val="nil"/>
                    <w:tr2bl w:val="nil"/>
                  </w:tcBorders>
                  <w:noWrap w:val="0"/>
                  <w:vAlign w:val="center"/>
                </w:tcPr>
                <w:p w14:paraId="0C3FF732">
                  <w:pPr>
                    <w:jc w:val="center"/>
                    <w:rPr>
                      <w:rFonts w:hint="default" w:ascii="Times New Roman" w:hAnsi="Times New Roman" w:eastAsia="宋体" w:cs="Times New Roman"/>
                      <w:b/>
                      <w:bCs/>
                      <w:color w:val="000000" w:themeColor="text1"/>
                      <w:szCs w:val="21"/>
                      <w14:textFill>
                        <w14:solidFill>
                          <w14:schemeClr w14:val="tx1"/>
                        </w14:solidFill>
                      </w14:textFill>
                    </w:rPr>
                  </w:pPr>
                  <w:r>
                    <w:rPr>
                      <w:rFonts w:hint="default" w:ascii="Times New Roman" w:hAnsi="Times New Roman" w:eastAsia="宋体" w:cs="Times New Roman"/>
                      <w:b/>
                      <w:bCs/>
                      <w:color w:val="000000" w:themeColor="text1"/>
                      <w:szCs w:val="21"/>
                      <w14:textFill>
                        <w14:solidFill>
                          <w14:schemeClr w14:val="tx1"/>
                        </w14:solidFill>
                      </w14:textFill>
                    </w:rPr>
                    <w:t>声功率级/dB</w:t>
                  </w:r>
                </w:p>
                <w:p w14:paraId="45DA7D1E">
                  <w:pPr>
                    <w:jc w:val="center"/>
                    <w:rPr>
                      <w:rFonts w:hint="default" w:ascii="Times New Roman" w:hAnsi="Times New Roman" w:eastAsia="宋体" w:cs="Times New Roman"/>
                      <w:b/>
                      <w:bCs/>
                      <w:color w:val="000000" w:themeColor="text1"/>
                      <w:szCs w:val="21"/>
                      <w14:textFill>
                        <w14:solidFill>
                          <w14:schemeClr w14:val="tx1"/>
                        </w14:solidFill>
                      </w14:textFill>
                    </w:rPr>
                  </w:pPr>
                  <w:r>
                    <w:rPr>
                      <w:rFonts w:hint="default" w:ascii="Times New Roman" w:hAnsi="Times New Roman" w:eastAsia="宋体" w:cs="Times New Roman"/>
                      <w:b/>
                      <w:bCs/>
                      <w:color w:val="000000" w:themeColor="text1"/>
                      <w:szCs w:val="21"/>
                      <w14:textFill>
                        <w14:solidFill>
                          <w14:schemeClr w14:val="tx1"/>
                        </w14:solidFill>
                      </w14:textFill>
                    </w:rPr>
                    <w:t>（A）</w:t>
                  </w:r>
                </w:p>
              </w:tc>
              <w:tc>
                <w:tcPr>
                  <w:tcW w:w="923" w:type="pct"/>
                  <w:vMerge w:val="continue"/>
                  <w:tcBorders>
                    <w:tl2br w:val="nil"/>
                    <w:tr2bl w:val="nil"/>
                  </w:tcBorders>
                  <w:noWrap w:val="0"/>
                  <w:vAlign w:val="center"/>
                </w:tcPr>
                <w:p w14:paraId="023DA76F">
                  <w:pPr>
                    <w:jc w:val="center"/>
                    <w:rPr>
                      <w:rFonts w:hint="default" w:ascii="Times New Roman" w:hAnsi="Times New Roman" w:eastAsia="宋体" w:cs="Times New Roman"/>
                      <w:b/>
                      <w:bCs/>
                      <w:color w:val="000000" w:themeColor="text1"/>
                      <w:szCs w:val="21"/>
                      <w14:textFill>
                        <w14:solidFill>
                          <w14:schemeClr w14:val="tx1"/>
                        </w14:solidFill>
                      </w14:textFill>
                    </w:rPr>
                  </w:pPr>
                </w:p>
              </w:tc>
              <w:tc>
                <w:tcPr>
                  <w:tcW w:w="273" w:type="pct"/>
                  <w:tcBorders>
                    <w:tl2br w:val="nil"/>
                    <w:tr2bl w:val="nil"/>
                  </w:tcBorders>
                  <w:noWrap w:val="0"/>
                  <w:vAlign w:val="center"/>
                </w:tcPr>
                <w:p w14:paraId="05D408AB">
                  <w:pPr>
                    <w:jc w:val="center"/>
                    <w:rPr>
                      <w:rFonts w:hint="default" w:ascii="Times New Roman" w:hAnsi="Times New Roman" w:eastAsia="宋体" w:cs="Times New Roman"/>
                      <w:b/>
                      <w:bCs/>
                      <w:color w:val="000000" w:themeColor="text1"/>
                      <w:szCs w:val="21"/>
                      <w14:textFill>
                        <w14:solidFill>
                          <w14:schemeClr w14:val="tx1"/>
                        </w14:solidFill>
                      </w14:textFill>
                    </w:rPr>
                  </w:pPr>
                  <w:r>
                    <w:rPr>
                      <w:rFonts w:hint="default" w:ascii="Times New Roman" w:hAnsi="Times New Roman" w:eastAsia="宋体" w:cs="Times New Roman"/>
                      <w:b/>
                      <w:bCs/>
                      <w:color w:val="000000" w:themeColor="text1"/>
                      <w:szCs w:val="21"/>
                      <w14:textFill>
                        <w14:solidFill>
                          <w14:schemeClr w14:val="tx1"/>
                        </w14:solidFill>
                      </w14:textFill>
                    </w:rPr>
                    <w:t>X</w:t>
                  </w:r>
                </w:p>
              </w:tc>
              <w:tc>
                <w:tcPr>
                  <w:tcW w:w="333" w:type="pct"/>
                  <w:tcBorders>
                    <w:tl2br w:val="nil"/>
                    <w:tr2bl w:val="nil"/>
                  </w:tcBorders>
                  <w:noWrap w:val="0"/>
                  <w:vAlign w:val="center"/>
                </w:tcPr>
                <w:p w14:paraId="1DD57358">
                  <w:pPr>
                    <w:jc w:val="center"/>
                    <w:rPr>
                      <w:rFonts w:hint="default" w:ascii="Times New Roman" w:hAnsi="Times New Roman" w:eastAsia="宋体" w:cs="Times New Roman"/>
                      <w:b/>
                      <w:bCs/>
                      <w:color w:val="000000" w:themeColor="text1"/>
                      <w:szCs w:val="21"/>
                      <w14:textFill>
                        <w14:solidFill>
                          <w14:schemeClr w14:val="tx1"/>
                        </w14:solidFill>
                      </w14:textFill>
                    </w:rPr>
                  </w:pPr>
                  <w:r>
                    <w:rPr>
                      <w:rFonts w:hint="default" w:ascii="Times New Roman" w:hAnsi="Times New Roman" w:eastAsia="宋体" w:cs="Times New Roman"/>
                      <w:b/>
                      <w:bCs/>
                      <w:color w:val="000000" w:themeColor="text1"/>
                      <w:szCs w:val="21"/>
                      <w14:textFill>
                        <w14:solidFill>
                          <w14:schemeClr w14:val="tx1"/>
                        </w14:solidFill>
                      </w14:textFill>
                    </w:rPr>
                    <w:t>Y</w:t>
                  </w:r>
                </w:p>
              </w:tc>
              <w:tc>
                <w:tcPr>
                  <w:tcW w:w="204" w:type="pct"/>
                  <w:tcBorders>
                    <w:tl2br w:val="nil"/>
                    <w:tr2bl w:val="nil"/>
                  </w:tcBorders>
                  <w:noWrap w:val="0"/>
                  <w:vAlign w:val="center"/>
                </w:tcPr>
                <w:p w14:paraId="37630FF1">
                  <w:pPr>
                    <w:jc w:val="center"/>
                    <w:rPr>
                      <w:rFonts w:hint="default" w:ascii="Times New Roman" w:hAnsi="Times New Roman" w:eastAsia="宋体" w:cs="Times New Roman"/>
                      <w:b/>
                      <w:bCs/>
                      <w:color w:val="000000" w:themeColor="text1"/>
                      <w:szCs w:val="21"/>
                      <w14:textFill>
                        <w14:solidFill>
                          <w14:schemeClr w14:val="tx1"/>
                        </w14:solidFill>
                      </w14:textFill>
                    </w:rPr>
                  </w:pPr>
                  <w:r>
                    <w:rPr>
                      <w:rFonts w:hint="default" w:ascii="Times New Roman" w:hAnsi="Times New Roman" w:eastAsia="宋体" w:cs="Times New Roman"/>
                      <w:b/>
                      <w:bCs/>
                      <w:color w:val="000000" w:themeColor="text1"/>
                      <w:szCs w:val="21"/>
                      <w14:textFill>
                        <w14:solidFill>
                          <w14:schemeClr w14:val="tx1"/>
                        </w14:solidFill>
                      </w14:textFill>
                    </w:rPr>
                    <w:t>Z</w:t>
                  </w:r>
                </w:p>
              </w:tc>
              <w:tc>
                <w:tcPr>
                  <w:tcW w:w="237" w:type="pct"/>
                  <w:vMerge w:val="continue"/>
                  <w:tcBorders>
                    <w:tl2br w:val="nil"/>
                    <w:tr2bl w:val="nil"/>
                  </w:tcBorders>
                  <w:noWrap w:val="0"/>
                  <w:vAlign w:val="center"/>
                </w:tcPr>
                <w:p w14:paraId="29899E94">
                  <w:pPr>
                    <w:jc w:val="center"/>
                    <w:rPr>
                      <w:rFonts w:hint="default" w:ascii="Times New Roman" w:hAnsi="Times New Roman" w:eastAsia="宋体" w:cs="Times New Roman"/>
                      <w:b/>
                      <w:bCs/>
                      <w:color w:val="000000" w:themeColor="text1"/>
                      <w:szCs w:val="21"/>
                      <w14:textFill>
                        <w14:solidFill>
                          <w14:schemeClr w14:val="tx1"/>
                        </w14:solidFill>
                      </w14:textFill>
                    </w:rPr>
                  </w:pPr>
                </w:p>
              </w:tc>
              <w:tc>
                <w:tcPr>
                  <w:tcW w:w="237" w:type="pct"/>
                  <w:vMerge w:val="continue"/>
                  <w:tcBorders>
                    <w:tl2br w:val="nil"/>
                    <w:tr2bl w:val="nil"/>
                  </w:tcBorders>
                  <w:noWrap w:val="0"/>
                  <w:vAlign w:val="center"/>
                </w:tcPr>
                <w:p w14:paraId="77C2590C">
                  <w:pPr>
                    <w:jc w:val="center"/>
                    <w:rPr>
                      <w:rFonts w:hint="default" w:ascii="Times New Roman" w:hAnsi="Times New Roman" w:eastAsia="宋体" w:cs="Times New Roman"/>
                      <w:b/>
                      <w:bCs/>
                      <w:color w:val="000000" w:themeColor="text1"/>
                      <w:szCs w:val="21"/>
                      <w14:textFill>
                        <w14:solidFill>
                          <w14:schemeClr w14:val="tx1"/>
                        </w14:solidFill>
                      </w14:textFill>
                    </w:rPr>
                  </w:pPr>
                </w:p>
              </w:tc>
              <w:tc>
                <w:tcPr>
                  <w:tcW w:w="237" w:type="pct"/>
                  <w:vMerge w:val="continue"/>
                  <w:tcBorders>
                    <w:tl2br w:val="nil"/>
                    <w:tr2bl w:val="nil"/>
                  </w:tcBorders>
                  <w:noWrap w:val="0"/>
                  <w:vAlign w:val="center"/>
                </w:tcPr>
                <w:p w14:paraId="1A959D0E">
                  <w:pPr>
                    <w:jc w:val="center"/>
                    <w:rPr>
                      <w:rFonts w:hint="default" w:ascii="Times New Roman" w:hAnsi="Times New Roman" w:eastAsia="宋体" w:cs="Times New Roman"/>
                      <w:b/>
                      <w:bCs/>
                      <w:color w:val="000000" w:themeColor="text1"/>
                      <w:szCs w:val="21"/>
                      <w14:textFill>
                        <w14:solidFill>
                          <w14:schemeClr w14:val="tx1"/>
                        </w14:solidFill>
                      </w14:textFill>
                    </w:rPr>
                  </w:pPr>
                </w:p>
              </w:tc>
              <w:tc>
                <w:tcPr>
                  <w:tcW w:w="374" w:type="pct"/>
                  <w:vMerge w:val="continue"/>
                  <w:tcBorders>
                    <w:tl2br w:val="nil"/>
                    <w:tr2bl w:val="nil"/>
                  </w:tcBorders>
                  <w:noWrap w:val="0"/>
                  <w:vAlign w:val="center"/>
                </w:tcPr>
                <w:p w14:paraId="3E6EC367">
                  <w:pPr>
                    <w:jc w:val="center"/>
                    <w:rPr>
                      <w:rFonts w:hint="default" w:ascii="Times New Roman" w:hAnsi="Times New Roman" w:eastAsia="宋体" w:cs="Times New Roman"/>
                      <w:b/>
                      <w:bCs/>
                      <w:color w:val="000000" w:themeColor="text1"/>
                      <w:szCs w:val="21"/>
                      <w14:textFill>
                        <w14:solidFill>
                          <w14:schemeClr w14:val="tx1"/>
                        </w14:solidFill>
                      </w14:textFill>
                    </w:rPr>
                  </w:pPr>
                </w:p>
              </w:tc>
              <w:tc>
                <w:tcPr>
                  <w:tcW w:w="458" w:type="pct"/>
                  <w:tcBorders>
                    <w:tl2br w:val="nil"/>
                    <w:tr2bl w:val="nil"/>
                  </w:tcBorders>
                  <w:noWrap w:val="0"/>
                  <w:vAlign w:val="center"/>
                </w:tcPr>
                <w:p w14:paraId="5E51662F">
                  <w:pPr>
                    <w:jc w:val="center"/>
                    <w:rPr>
                      <w:rFonts w:hint="default" w:ascii="Times New Roman" w:hAnsi="Times New Roman" w:eastAsia="宋体" w:cs="Times New Roman"/>
                      <w:b/>
                      <w:bCs/>
                      <w:color w:val="000000" w:themeColor="text1"/>
                      <w:szCs w:val="21"/>
                      <w14:textFill>
                        <w14:solidFill>
                          <w14:schemeClr w14:val="tx1"/>
                        </w14:solidFill>
                      </w14:textFill>
                    </w:rPr>
                  </w:pPr>
                  <w:r>
                    <w:rPr>
                      <w:rFonts w:hint="default" w:ascii="Times New Roman" w:hAnsi="Times New Roman" w:eastAsia="宋体" w:cs="Times New Roman"/>
                      <w:b/>
                      <w:bCs/>
                      <w:color w:val="000000" w:themeColor="text1"/>
                      <w:szCs w:val="21"/>
                      <w14:textFill>
                        <w14:solidFill>
                          <w14:schemeClr w14:val="tx1"/>
                        </w14:solidFill>
                      </w14:textFill>
                    </w:rPr>
                    <w:t>声压级/dB(A)</w:t>
                  </w:r>
                </w:p>
              </w:tc>
              <w:tc>
                <w:tcPr>
                  <w:tcW w:w="403" w:type="pct"/>
                  <w:tcBorders>
                    <w:tl2br w:val="nil"/>
                    <w:tr2bl w:val="nil"/>
                  </w:tcBorders>
                  <w:noWrap w:val="0"/>
                  <w:vAlign w:val="center"/>
                </w:tcPr>
                <w:p w14:paraId="619269B4">
                  <w:pPr>
                    <w:jc w:val="center"/>
                    <w:rPr>
                      <w:rFonts w:hint="default" w:ascii="Times New Roman" w:hAnsi="Times New Roman" w:eastAsia="宋体" w:cs="Times New Roman"/>
                      <w:b/>
                      <w:bCs/>
                      <w:color w:val="000000" w:themeColor="text1"/>
                      <w:szCs w:val="21"/>
                      <w14:textFill>
                        <w14:solidFill>
                          <w14:schemeClr w14:val="tx1"/>
                        </w14:solidFill>
                      </w14:textFill>
                    </w:rPr>
                  </w:pPr>
                  <w:r>
                    <w:rPr>
                      <w:rFonts w:hint="default" w:ascii="Times New Roman" w:hAnsi="Times New Roman" w:eastAsia="宋体" w:cs="Times New Roman"/>
                      <w:b/>
                      <w:bCs/>
                      <w:color w:val="000000" w:themeColor="text1"/>
                      <w:szCs w:val="21"/>
                      <w14:textFill>
                        <w14:solidFill>
                          <w14:schemeClr w14:val="tx1"/>
                        </w14:solidFill>
                      </w14:textFill>
                    </w:rPr>
                    <w:t>建筑物外距离</w:t>
                  </w:r>
                </w:p>
              </w:tc>
            </w:tr>
            <w:tr w14:paraId="5FC02BD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36" w:type="pct"/>
                  <w:tcBorders>
                    <w:tl2br w:val="nil"/>
                    <w:tr2bl w:val="nil"/>
                  </w:tcBorders>
                  <w:noWrap w:val="0"/>
                  <w:vAlign w:val="center"/>
                </w:tcPr>
                <w:p w14:paraId="44ECBF8E">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w:t>
                  </w:r>
                </w:p>
              </w:tc>
              <w:tc>
                <w:tcPr>
                  <w:tcW w:w="237" w:type="pct"/>
                  <w:vMerge w:val="restart"/>
                  <w:tcBorders>
                    <w:tl2br w:val="nil"/>
                    <w:tr2bl w:val="nil"/>
                  </w:tcBorders>
                  <w:noWrap w:val="0"/>
                  <w:vAlign w:val="center"/>
                </w:tcPr>
                <w:p w14:paraId="7C6A7EF5">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造粒车间</w:t>
                  </w:r>
                </w:p>
              </w:tc>
              <w:tc>
                <w:tcPr>
                  <w:tcW w:w="393" w:type="pct"/>
                  <w:tcBorders>
                    <w:tl2br w:val="nil"/>
                    <w:tr2bl w:val="nil"/>
                  </w:tcBorders>
                  <w:noWrap w:val="0"/>
                  <w:vAlign w:val="center"/>
                </w:tcPr>
                <w:p w14:paraId="44085B45">
                  <w:pPr>
                    <w:jc w:val="center"/>
                    <w:rPr>
                      <w:rFonts w:hint="default" w:ascii="Times New Roman" w:hAnsi="Times New Roman" w:eastAsia="宋体" w:cs="Times New Roman"/>
                      <w:color w:val="000000" w:themeColor="text1"/>
                      <w:szCs w:val="21"/>
                      <w:lang w:val="en-US"/>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砂磨机1</w:t>
                  </w:r>
                </w:p>
              </w:tc>
              <w:tc>
                <w:tcPr>
                  <w:tcW w:w="451" w:type="pct"/>
                  <w:tcBorders>
                    <w:tl2br w:val="nil"/>
                    <w:tr2bl w:val="nil"/>
                  </w:tcBorders>
                  <w:noWrap w:val="0"/>
                  <w:vAlign w:val="center"/>
                </w:tcPr>
                <w:p w14:paraId="64084DF3">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75</w:t>
                  </w:r>
                </w:p>
              </w:tc>
              <w:tc>
                <w:tcPr>
                  <w:tcW w:w="923" w:type="pct"/>
                  <w:tcBorders>
                    <w:tl2br w:val="nil"/>
                    <w:tr2bl w:val="nil"/>
                  </w:tcBorders>
                  <w:noWrap w:val="0"/>
                  <w:vAlign w:val="center"/>
                </w:tcPr>
                <w:p w14:paraId="44D9DBAE">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lang w:bidi="ar"/>
                      <w14:textFill>
                        <w14:solidFill>
                          <w14:schemeClr w14:val="tx1"/>
                        </w14:solidFill>
                      </w14:textFill>
                    </w:rPr>
                    <w:t>基础减振</w:t>
                  </w:r>
                  <w:r>
                    <w:rPr>
                      <w:rFonts w:hint="eastAsia" w:ascii="Times New Roman" w:hAnsi="Times New Roman" w:eastAsia="宋体" w:cs="Times New Roman"/>
                      <w:color w:val="000000" w:themeColor="text1"/>
                      <w:kern w:val="0"/>
                      <w:szCs w:val="21"/>
                      <w:lang w:eastAsia="zh-CN" w:bidi="ar"/>
                      <w14:textFill>
                        <w14:solidFill>
                          <w14:schemeClr w14:val="tx1"/>
                        </w14:solidFill>
                      </w14:textFill>
                    </w:rPr>
                    <w:t>、</w:t>
                  </w:r>
                  <w:r>
                    <w:rPr>
                      <w:rFonts w:hint="eastAsia" w:ascii="Times New Roman" w:hAnsi="Times New Roman" w:eastAsia="宋体" w:cs="Times New Roman"/>
                      <w:color w:val="000000" w:themeColor="text1"/>
                      <w:kern w:val="0"/>
                      <w:szCs w:val="21"/>
                      <w:lang w:val="en-US" w:eastAsia="zh-CN" w:bidi="ar"/>
                      <w14:textFill>
                        <w14:solidFill>
                          <w14:schemeClr w14:val="tx1"/>
                        </w14:solidFill>
                      </w14:textFill>
                    </w:rPr>
                    <w:t>厂房隔声</w:t>
                  </w:r>
                </w:p>
              </w:tc>
              <w:tc>
                <w:tcPr>
                  <w:tcW w:w="273" w:type="pct"/>
                  <w:tcBorders>
                    <w:tl2br w:val="nil"/>
                    <w:tr2bl w:val="nil"/>
                  </w:tcBorders>
                  <w:noWrap w:val="0"/>
                  <w:vAlign w:val="center"/>
                </w:tcPr>
                <w:p w14:paraId="0E4D0701">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10</w:t>
                  </w:r>
                </w:p>
              </w:tc>
              <w:tc>
                <w:tcPr>
                  <w:tcW w:w="333" w:type="pct"/>
                  <w:tcBorders>
                    <w:tl2br w:val="nil"/>
                    <w:tr2bl w:val="nil"/>
                  </w:tcBorders>
                  <w:noWrap w:val="0"/>
                  <w:vAlign w:val="center"/>
                </w:tcPr>
                <w:p w14:paraId="52CD2BC1">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34</w:t>
                  </w:r>
                </w:p>
              </w:tc>
              <w:tc>
                <w:tcPr>
                  <w:tcW w:w="204" w:type="pct"/>
                  <w:tcBorders>
                    <w:tl2br w:val="nil"/>
                    <w:tr2bl w:val="nil"/>
                  </w:tcBorders>
                  <w:noWrap w:val="0"/>
                  <w:vAlign w:val="center"/>
                </w:tcPr>
                <w:p w14:paraId="0706A591">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w:t>
                  </w:r>
                </w:p>
              </w:tc>
              <w:tc>
                <w:tcPr>
                  <w:tcW w:w="237" w:type="pct"/>
                  <w:tcBorders>
                    <w:tl2br w:val="nil"/>
                    <w:tr2bl w:val="nil"/>
                  </w:tcBorders>
                  <w:noWrap w:val="0"/>
                  <w:vAlign w:val="center"/>
                </w:tcPr>
                <w:p w14:paraId="2597943B">
                  <w:pPr>
                    <w:jc w:val="center"/>
                    <w:rPr>
                      <w:rFonts w:hint="default" w:ascii="Times New Roman" w:hAnsi="Times New Roman" w:eastAsia="宋体" w:cs="Times New Roman"/>
                      <w:color w:val="000000" w:themeColor="text1"/>
                      <w:kern w:val="0"/>
                      <w:szCs w:val="21"/>
                      <w:lang w:val="en-US" w:eastAsia="zh-CN" w:bidi="ar"/>
                      <w14:textFill>
                        <w14:solidFill>
                          <w14:schemeClr w14:val="tx1"/>
                        </w14:solidFill>
                      </w14:textFill>
                    </w:rPr>
                  </w:pPr>
                  <w:r>
                    <w:rPr>
                      <w:rFonts w:hint="eastAsia" w:ascii="Times New Roman" w:hAnsi="Times New Roman" w:cs="Times New Roman"/>
                      <w:color w:val="000000" w:themeColor="text1"/>
                      <w:kern w:val="0"/>
                      <w:szCs w:val="21"/>
                      <w:lang w:val="en-US" w:eastAsia="zh-CN" w:bidi="ar"/>
                      <w14:textFill>
                        <w14:solidFill>
                          <w14:schemeClr w14:val="tx1"/>
                        </w14:solidFill>
                      </w14:textFill>
                    </w:rPr>
                    <w:t>2</w:t>
                  </w:r>
                </w:p>
              </w:tc>
              <w:tc>
                <w:tcPr>
                  <w:tcW w:w="237" w:type="pct"/>
                  <w:tcBorders>
                    <w:tl2br w:val="nil"/>
                    <w:tr2bl w:val="nil"/>
                  </w:tcBorders>
                  <w:noWrap w:val="0"/>
                  <w:vAlign w:val="center"/>
                </w:tcPr>
                <w:p w14:paraId="05131B0C">
                  <w:pPr>
                    <w:jc w:val="center"/>
                    <w:rPr>
                      <w:rFonts w:hint="default" w:ascii="Times New Roman" w:hAnsi="Times New Roman" w:eastAsia="宋体" w:cs="Times New Roman"/>
                      <w:color w:val="000000" w:themeColor="text1"/>
                      <w:kern w:val="0"/>
                      <w:szCs w:val="21"/>
                      <w:lang w:val="en-US" w:eastAsia="zh-CN" w:bidi="ar"/>
                      <w14:textFill>
                        <w14:solidFill>
                          <w14:schemeClr w14:val="tx1"/>
                        </w14:solidFill>
                      </w14:textFill>
                    </w:rPr>
                  </w:pPr>
                  <w:r>
                    <w:rPr>
                      <w:rFonts w:hint="eastAsia" w:ascii="Times New Roman" w:hAnsi="Times New Roman" w:cs="Times New Roman"/>
                      <w:color w:val="000000" w:themeColor="text1"/>
                      <w:kern w:val="0"/>
                      <w:szCs w:val="21"/>
                      <w:lang w:val="en-US" w:eastAsia="zh-CN" w:bidi="ar"/>
                      <w14:textFill>
                        <w14:solidFill>
                          <w14:schemeClr w14:val="tx1"/>
                        </w14:solidFill>
                      </w14:textFill>
                    </w:rPr>
                    <w:t>69</w:t>
                  </w:r>
                </w:p>
              </w:tc>
              <w:tc>
                <w:tcPr>
                  <w:tcW w:w="237" w:type="pct"/>
                  <w:tcBorders>
                    <w:tl2br w:val="nil"/>
                    <w:tr2bl w:val="nil"/>
                  </w:tcBorders>
                  <w:noWrap w:val="0"/>
                  <w:vAlign w:val="center"/>
                </w:tcPr>
                <w:p w14:paraId="01431365">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lang w:bidi="ar"/>
                      <w14:textFill>
                        <w14:solidFill>
                          <w14:schemeClr w14:val="tx1"/>
                        </w14:solidFill>
                      </w14:textFill>
                    </w:rPr>
                    <w:t>昼</w:t>
                  </w:r>
                  <w:r>
                    <w:rPr>
                      <w:rFonts w:hint="default" w:ascii="Times New Roman" w:hAnsi="Times New Roman" w:eastAsia="宋体" w:cs="Times New Roman"/>
                      <w:color w:val="000000" w:themeColor="text1"/>
                      <w:szCs w:val="21"/>
                      <w14:textFill>
                        <w14:solidFill>
                          <w14:schemeClr w14:val="tx1"/>
                        </w14:solidFill>
                      </w14:textFill>
                    </w:rPr>
                    <w:t>间</w:t>
                  </w:r>
                </w:p>
              </w:tc>
              <w:tc>
                <w:tcPr>
                  <w:tcW w:w="374" w:type="pct"/>
                  <w:tcBorders>
                    <w:tl2br w:val="nil"/>
                    <w:tr2bl w:val="nil"/>
                  </w:tcBorders>
                  <w:noWrap w:val="0"/>
                  <w:vAlign w:val="center"/>
                </w:tcPr>
                <w:p w14:paraId="4248E544">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20</w:t>
                  </w:r>
                </w:p>
              </w:tc>
              <w:tc>
                <w:tcPr>
                  <w:tcW w:w="458" w:type="pct"/>
                  <w:tcBorders>
                    <w:tl2br w:val="nil"/>
                    <w:tr2bl w:val="nil"/>
                  </w:tcBorders>
                  <w:noWrap w:val="0"/>
                  <w:vAlign w:val="center"/>
                </w:tcPr>
                <w:p w14:paraId="3B1A8F2B">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49</w:t>
                  </w:r>
                </w:p>
              </w:tc>
              <w:tc>
                <w:tcPr>
                  <w:tcW w:w="403" w:type="pct"/>
                  <w:tcBorders>
                    <w:tl2br w:val="nil"/>
                    <w:tr2bl w:val="nil"/>
                  </w:tcBorders>
                  <w:noWrap w:val="0"/>
                  <w:vAlign w:val="center"/>
                </w:tcPr>
                <w:p w14:paraId="643FAF94">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w:t>
                  </w:r>
                </w:p>
              </w:tc>
            </w:tr>
            <w:tr w14:paraId="72C71EE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36" w:type="pct"/>
                  <w:tcBorders>
                    <w:tl2br w:val="nil"/>
                    <w:tr2bl w:val="nil"/>
                  </w:tcBorders>
                  <w:noWrap w:val="0"/>
                  <w:vAlign w:val="center"/>
                </w:tcPr>
                <w:p w14:paraId="6F1D8869">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2</w:t>
                  </w:r>
                </w:p>
              </w:tc>
              <w:tc>
                <w:tcPr>
                  <w:tcW w:w="237" w:type="pct"/>
                  <w:vMerge w:val="continue"/>
                  <w:tcBorders>
                    <w:tl2br w:val="nil"/>
                    <w:tr2bl w:val="nil"/>
                  </w:tcBorders>
                  <w:noWrap w:val="0"/>
                  <w:vAlign w:val="center"/>
                </w:tcPr>
                <w:p w14:paraId="50C073DD">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393" w:type="pct"/>
                  <w:tcBorders>
                    <w:tl2br w:val="nil"/>
                    <w:tr2bl w:val="nil"/>
                  </w:tcBorders>
                  <w:noWrap w:val="0"/>
                  <w:vAlign w:val="center"/>
                </w:tcPr>
                <w:p w14:paraId="473121E1">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砂磨机</w:t>
                  </w:r>
                  <w:r>
                    <w:rPr>
                      <w:rFonts w:hint="default" w:ascii="Times New Roman" w:hAnsi="Times New Roman" w:cs="Times New Roman"/>
                      <w:color w:val="000000" w:themeColor="text1"/>
                      <w:sz w:val="21"/>
                      <w:szCs w:val="21"/>
                      <w:lang w:val="en-US" w:eastAsia="zh-CN"/>
                      <w14:textFill>
                        <w14:solidFill>
                          <w14:schemeClr w14:val="tx1"/>
                        </w14:solidFill>
                      </w14:textFill>
                    </w:rPr>
                    <w:t>2</w:t>
                  </w:r>
                </w:p>
              </w:tc>
              <w:tc>
                <w:tcPr>
                  <w:tcW w:w="451" w:type="pct"/>
                  <w:tcBorders>
                    <w:tl2br w:val="nil"/>
                    <w:tr2bl w:val="nil"/>
                  </w:tcBorders>
                  <w:noWrap w:val="0"/>
                  <w:vAlign w:val="center"/>
                </w:tcPr>
                <w:p w14:paraId="033F4EE6">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75</w:t>
                  </w:r>
                </w:p>
              </w:tc>
              <w:tc>
                <w:tcPr>
                  <w:tcW w:w="923" w:type="pct"/>
                  <w:tcBorders>
                    <w:tl2br w:val="nil"/>
                    <w:tr2bl w:val="nil"/>
                  </w:tcBorders>
                  <w:noWrap w:val="0"/>
                  <w:vAlign w:val="center"/>
                </w:tcPr>
                <w:p w14:paraId="0C432D4D">
                  <w:pPr>
                    <w:jc w:val="center"/>
                    <w:rPr>
                      <w:rFonts w:hint="default" w:ascii="Times New Roman" w:hAnsi="Times New Roman" w:eastAsia="宋体" w:cs="Times New Roman"/>
                      <w:color w:val="000000" w:themeColor="text1"/>
                      <w:kern w:val="0"/>
                      <w:szCs w:val="21"/>
                      <w:lang w:bidi="ar"/>
                      <w14:textFill>
                        <w14:solidFill>
                          <w14:schemeClr w14:val="tx1"/>
                        </w14:solidFill>
                      </w14:textFill>
                    </w:rPr>
                  </w:pPr>
                  <w:r>
                    <w:rPr>
                      <w:rFonts w:hint="default" w:ascii="Times New Roman" w:hAnsi="Times New Roman" w:eastAsia="宋体" w:cs="Times New Roman"/>
                      <w:color w:val="000000" w:themeColor="text1"/>
                      <w:kern w:val="0"/>
                      <w:szCs w:val="21"/>
                      <w:lang w:bidi="ar"/>
                      <w14:textFill>
                        <w14:solidFill>
                          <w14:schemeClr w14:val="tx1"/>
                        </w14:solidFill>
                      </w14:textFill>
                    </w:rPr>
                    <w:t>基础减振</w:t>
                  </w:r>
                  <w:r>
                    <w:rPr>
                      <w:rFonts w:hint="eastAsia" w:ascii="Times New Roman" w:hAnsi="Times New Roman" w:eastAsia="宋体" w:cs="Times New Roman"/>
                      <w:color w:val="000000" w:themeColor="text1"/>
                      <w:kern w:val="0"/>
                      <w:szCs w:val="21"/>
                      <w:lang w:eastAsia="zh-CN" w:bidi="ar"/>
                      <w14:textFill>
                        <w14:solidFill>
                          <w14:schemeClr w14:val="tx1"/>
                        </w14:solidFill>
                      </w14:textFill>
                    </w:rPr>
                    <w:t>、</w:t>
                  </w:r>
                  <w:r>
                    <w:rPr>
                      <w:rFonts w:hint="eastAsia" w:ascii="Times New Roman" w:hAnsi="Times New Roman" w:eastAsia="宋体" w:cs="Times New Roman"/>
                      <w:color w:val="000000" w:themeColor="text1"/>
                      <w:kern w:val="0"/>
                      <w:szCs w:val="21"/>
                      <w:lang w:val="en-US" w:eastAsia="zh-CN" w:bidi="ar"/>
                      <w14:textFill>
                        <w14:solidFill>
                          <w14:schemeClr w14:val="tx1"/>
                        </w14:solidFill>
                      </w14:textFill>
                    </w:rPr>
                    <w:t>厂房隔声</w:t>
                  </w:r>
                </w:p>
              </w:tc>
              <w:tc>
                <w:tcPr>
                  <w:tcW w:w="273" w:type="pct"/>
                  <w:tcBorders>
                    <w:tl2br w:val="nil"/>
                    <w:tr2bl w:val="nil"/>
                  </w:tcBorders>
                  <w:noWrap w:val="0"/>
                  <w:vAlign w:val="center"/>
                </w:tcPr>
                <w:p w14:paraId="2FDFD30E">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11</w:t>
                  </w:r>
                </w:p>
              </w:tc>
              <w:tc>
                <w:tcPr>
                  <w:tcW w:w="333" w:type="pct"/>
                  <w:tcBorders>
                    <w:tl2br w:val="nil"/>
                    <w:tr2bl w:val="nil"/>
                  </w:tcBorders>
                  <w:noWrap w:val="0"/>
                  <w:vAlign w:val="center"/>
                </w:tcPr>
                <w:p w14:paraId="5E225F98">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34</w:t>
                  </w:r>
                </w:p>
              </w:tc>
              <w:tc>
                <w:tcPr>
                  <w:tcW w:w="204" w:type="pct"/>
                  <w:tcBorders>
                    <w:tl2br w:val="nil"/>
                    <w:tr2bl w:val="nil"/>
                  </w:tcBorders>
                  <w:noWrap w:val="0"/>
                  <w:vAlign w:val="center"/>
                </w:tcPr>
                <w:p w14:paraId="7AB62E23">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w:t>
                  </w:r>
                </w:p>
              </w:tc>
              <w:tc>
                <w:tcPr>
                  <w:tcW w:w="237" w:type="pct"/>
                  <w:tcBorders>
                    <w:tl2br w:val="nil"/>
                    <w:tr2bl w:val="nil"/>
                  </w:tcBorders>
                  <w:noWrap w:val="0"/>
                  <w:vAlign w:val="center"/>
                </w:tcPr>
                <w:p w14:paraId="5A392C0D">
                  <w:pPr>
                    <w:jc w:val="center"/>
                    <w:rPr>
                      <w:rFonts w:hint="default" w:ascii="Times New Roman" w:hAnsi="Times New Roman" w:eastAsia="宋体" w:cs="Times New Roman"/>
                      <w:color w:val="000000" w:themeColor="text1"/>
                      <w:kern w:val="0"/>
                      <w:szCs w:val="21"/>
                      <w:lang w:val="en-US" w:eastAsia="zh-CN" w:bidi="ar"/>
                      <w14:textFill>
                        <w14:solidFill>
                          <w14:schemeClr w14:val="tx1"/>
                        </w14:solidFill>
                      </w14:textFill>
                    </w:rPr>
                  </w:pPr>
                  <w:r>
                    <w:rPr>
                      <w:rFonts w:hint="eastAsia" w:ascii="Times New Roman" w:hAnsi="Times New Roman" w:cs="Times New Roman"/>
                      <w:color w:val="000000" w:themeColor="text1"/>
                      <w:kern w:val="0"/>
                      <w:szCs w:val="21"/>
                      <w:lang w:val="en-US" w:eastAsia="zh-CN" w:bidi="ar"/>
                      <w14:textFill>
                        <w14:solidFill>
                          <w14:schemeClr w14:val="tx1"/>
                        </w14:solidFill>
                      </w14:textFill>
                    </w:rPr>
                    <w:t>2</w:t>
                  </w:r>
                </w:p>
              </w:tc>
              <w:tc>
                <w:tcPr>
                  <w:tcW w:w="237" w:type="pct"/>
                  <w:tcBorders>
                    <w:tl2br w:val="nil"/>
                    <w:tr2bl w:val="nil"/>
                  </w:tcBorders>
                  <w:noWrap w:val="0"/>
                  <w:vAlign w:val="center"/>
                </w:tcPr>
                <w:p w14:paraId="425C8E88">
                  <w:pPr>
                    <w:jc w:val="center"/>
                    <w:rPr>
                      <w:rFonts w:hint="default" w:ascii="Times New Roman" w:hAnsi="Times New Roman" w:eastAsia="宋体" w:cs="Times New Roman"/>
                      <w:color w:val="000000" w:themeColor="text1"/>
                      <w:kern w:val="0"/>
                      <w:szCs w:val="21"/>
                      <w:lang w:val="en-US" w:eastAsia="zh-CN" w:bidi="ar"/>
                      <w14:textFill>
                        <w14:solidFill>
                          <w14:schemeClr w14:val="tx1"/>
                        </w14:solidFill>
                      </w14:textFill>
                    </w:rPr>
                  </w:pPr>
                  <w:r>
                    <w:rPr>
                      <w:rFonts w:hint="eastAsia" w:ascii="Times New Roman" w:hAnsi="Times New Roman" w:cs="Times New Roman"/>
                      <w:color w:val="000000" w:themeColor="text1"/>
                      <w:kern w:val="0"/>
                      <w:szCs w:val="21"/>
                      <w:lang w:val="en-US" w:eastAsia="zh-CN" w:bidi="ar"/>
                      <w14:textFill>
                        <w14:solidFill>
                          <w14:schemeClr w14:val="tx1"/>
                        </w14:solidFill>
                      </w14:textFill>
                    </w:rPr>
                    <w:t>69</w:t>
                  </w:r>
                </w:p>
              </w:tc>
              <w:tc>
                <w:tcPr>
                  <w:tcW w:w="237" w:type="pct"/>
                  <w:tcBorders>
                    <w:tl2br w:val="nil"/>
                    <w:tr2bl w:val="nil"/>
                  </w:tcBorders>
                  <w:noWrap w:val="0"/>
                  <w:vAlign w:val="center"/>
                </w:tcPr>
                <w:p w14:paraId="1E643504">
                  <w:pPr>
                    <w:jc w:val="center"/>
                    <w:rPr>
                      <w:rFonts w:hint="default" w:ascii="Times New Roman" w:hAnsi="Times New Roman" w:eastAsia="宋体" w:cs="Times New Roman"/>
                      <w:color w:val="000000" w:themeColor="text1"/>
                      <w:kern w:val="0"/>
                      <w:szCs w:val="21"/>
                      <w:lang w:bidi="ar"/>
                      <w14:textFill>
                        <w14:solidFill>
                          <w14:schemeClr w14:val="tx1"/>
                        </w14:solidFill>
                      </w14:textFill>
                    </w:rPr>
                  </w:pPr>
                  <w:r>
                    <w:rPr>
                      <w:rFonts w:hint="default" w:ascii="Times New Roman" w:hAnsi="Times New Roman" w:eastAsia="宋体" w:cs="Times New Roman"/>
                      <w:color w:val="000000" w:themeColor="text1"/>
                      <w:kern w:val="0"/>
                      <w:szCs w:val="21"/>
                      <w:lang w:bidi="ar"/>
                      <w14:textFill>
                        <w14:solidFill>
                          <w14:schemeClr w14:val="tx1"/>
                        </w14:solidFill>
                      </w14:textFill>
                    </w:rPr>
                    <w:t>昼</w:t>
                  </w:r>
                  <w:r>
                    <w:rPr>
                      <w:rFonts w:hint="default" w:ascii="Times New Roman" w:hAnsi="Times New Roman" w:eastAsia="宋体" w:cs="Times New Roman"/>
                      <w:color w:val="000000" w:themeColor="text1"/>
                      <w:szCs w:val="21"/>
                      <w14:textFill>
                        <w14:solidFill>
                          <w14:schemeClr w14:val="tx1"/>
                        </w14:solidFill>
                      </w14:textFill>
                    </w:rPr>
                    <w:t>间</w:t>
                  </w:r>
                </w:p>
              </w:tc>
              <w:tc>
                <w:tcPr>
                  <w:tcW w:w="374" w:type="pct"/>
                  <w:tcBorders>
                    <w:tl2br w:val="nil"/>
                    <w:tr2bl w:val="nil"/>
                  </w:tcBorders>
                  <w:noWrap w:val="0"/>
                  <w:vAlign w:val="center"/>
                </w:tcPr>
                <w:p w14:paraId="754355CA">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20</w:t>
                  </w:r>
                </w:p>
              </w:tc>
              <w:tc>
                <w:tcPr>
                  <w:tcW w:w="458" w:type="pct"/>
                  <w:tcBorders>
                    <w:tl2br w:val="nil"/>
                    <w:tr2bl w:val="nil"/>
                  </w:tcBorders>
                  <w:noWrap w:val="0"/>
                  <w:vAlign w:val="center"/>
                </w:tcPr>
                <w:p w14:paraId="56B4C71C">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49</w:t>
                  </w:r>
                </w:p>
              </w:tc>
              <w:tc>
                <w:tcPr>
                  <w:tcW w:w="403" w:type="pct"/>
                  <w:tcBorders>
                    <w:tl2br w:val="nil"/>
                    <w:tr2bl w:val="nil"/>
                  </w:tcBorders>
                  <w:noWrap w:val="0"/>
                  <w:vAlign w:val="center"/>
                </w:tcPr>
                <w:p w14:paraId="3C9E58A3">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w:t>
                  </w:r>
                </w:p>
              </w:tc>
            </w:tr>
            <w:tr w14:paraId="122FDFE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36" w:type="pct"/>
                  <w:tcBorders>
                    <w:tl2br w:val="nil"/>
                    <w:tr2bl w:val="nil"/>
                  </w:tcBorders>
                  <w:noWrap w:val="0"/>
                  <w:vAlign w:val="center"/>
                </w:tcPr>
                <w:p w14:paraId="7DC0D8B7">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3</w:t>
                  </w:r>
                </w:p>
              </w:tc>
              <w:tc>
                <w:tcPr>
                  <w:tcW w:w="237" w:type="pct"/>
                  <w:vMerge w:val="continue"/>
                  <w:tcBorders>
                    <w:tl2br w:val="nil"/>
                    <w:tr2bl w:val="nil"/>
                  </w:tcBorders>
                  <w:noWrap w:val="0"/>
                  <w:vAlign w:val="center"/>
                </w:tcPr>
                <w:p w14:paraId="0AEF9DAB">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393" w:type="pct"/>
                  <w:tcBorders>
                    <w:tl2br w:val="nil"/>
                    <w:tr2bl w:val="nil"/>
                  </w:tcBorders>
                  <w:noWrap w:val="0"/>
                  <w:vAlign w:val="center"/>
                </w:tcPr>
                <w:p w14:paraId="56817561">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砂磨机</w:t>
                  </w:r>
                  <w:r>
                    <w:rPr>
                      <w:rFonts w:hint="default" w:ascii="Times New Roman" w:hAnsi="Times New Roman" w:cs="Times New Roman"/>
                      <w:color w:val="000000" w:themeColor="text1"/>
                      <w:sz w:val="21"/>
                      <w:szCs w:val="21"/>
                      <w:lang w:val="en-US" w:eastAsia="zh-CN"/>
                      <w14:textFill>
                        <w14:solidFill>
                          <w14:schemeClr w14:val="tx1"/>
                        </w14:solidFill>
                      </w14:textFill>
                    </w:rPr>
                    <w:t>3</w:t>
                  </w:r>
                </w:p>
              </w:tc>
              <w:tc>
                <w:tcPr>
                  <w:tcW w:w="451" w:type="pct"/>
                  <w:tcBorders>
                    <w:tl2br w:val="nil"/>
                    <w:tr2bl w:val="nil"/>
                  </w:tcBorders>
                  <w:noWrap w:val="0"/>
                  <w:vAlign w:val="center"/>
                </w:tcPr>
                <w:p w14:paraId="3F154FE7">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75</w:t>
                  </w:r>
                </w:p>
              </w:tc>
              <w:tc>
                <w:tcPr>
                  <w:tcW w:w="923" w:type="pct"/>
                  <w:tcBorders>
                    <w:tl2br w:val="nil"/>
                    <w:tr2bl w:val="nil"/>
                  </w:tcBorders>
                  <w:noWrap w:val="0"/>
                  <w:vAlign w:val="center"/>
                </w:tcPr>
                <w:p w14:paraId="5331160D">
                  <w:pPr>
                    <w:jc w:val="center"/>
                    <w:rPr>
                      <w:rFonts w:hint="default" w:ascii="Times New Roman" w:hAnsi="Times New Roman" w:eastAsia="宋体" w:cs="Times New Roman"/>
                      <w:color w:val="000000" w:themeColor="text1"/>
                      <w:kern w:val="0"/>
                      <w:szCs w:val="21"/>
                      <w:lang w:bidi="ar"/>
                      <w14:textFill>
                        <w14:solidFill>
                          <w14:schemeClr w14:val="tx1"/>
                        </w14:solidFill>
                      </w14:textFill>
                    </w:rPr>
                  </w:pPr>
                  <w:r>
                    <w:rPr>
                      <w:rFonts w:hint="default" w:ascii="Times New Roman" w:hAnsi="Times New Roman" w:eastAsia="宋体" w:cs="Times New Roman"/>
                      <w:color w:val="000000" w:themeColor="text1"/>
                      <w:kern w:val="0"/>
                      <w:szCs w:val="21"/>
                      <w:lang w:bidi="ar"/>
                      <w14:textFill>
                        <w14:solidFill>
                          <w14:schemeClr w14:val="tx1"/>
                        </w14:solidFill>
                      </w14:textFill>
                    </w:rPr>
                    <w:t>基础减振</w:t>
                  </w:r>
                  <w:r>
                    <w:rPr>
                      <w:rFonts w:hint="eastAsia" w:ascii="Times New Roman" w:hAnsi="Times New Roman" w:eastAsia="宋体" w:cs="Times New Roman"/>
                      <w:color w:val="000000" w:themeColor="text1"/>
                      <w:kern w:val="0"/>
                      <w:szCs w:val="21"/>
                      <w:lang w:eastAsia="zh-CN" w:bidi="ar"/>
                      <w14:textFill>
                        <w14:solidFill>
                          <w14:schemeClr w14:val="tx1"/>
                        </w14:solidFill>
                      </w14:textFill>
                    </w:rPr>
                    <w:t>、</w:t>
                  </w:r>
                  <w:r>
                    <w:rPr>
                      <w:rFonts w:hint="eastAsia" w:ascii="Times New Roman" w:hAnsi="Times New Roman" w:eastAsia="宋体" w:cs="Times New Roman"/>
                      <w:color w:val="000000" w:themeColor="text1"/>
                      <w:kern w:val="0"/>
                      <w:szCs w:val="21"/>
                      <w:lang w:val="en-US" w:eastAsia="zh-CN" w:bidi="ar"/>
                      <w14:textFill>
                        <w14:solidFill>
                          <w14:schemeClr w14:val="tx1"/>
                        </w14:solidFill>
                      </w14:textFill>
                    </w:rPr>
                    <w:t>厂房隔声</w:t>
                  </w:r>
                </w:p>
              </w:tc>
              <w:tc>
                <w:tcPr>
                  <w:tcW w:w="273" w:type="pct"/>
                  <w:tcBorders>
                    <w:tl2br w:val="nil"/>
                    <w:tr2bl w:val="nil"/>
                  </w:tcBorders>
                  <w:noWrap w:val="0"/>
                  <w:vAlign w:val="center"/>
                </w:tcPr>
                <w:p w14:paraId="6DE107A1">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12</w:t>
                  </w:r>
                </w:p>
              </w:tc>
              <w:tc>
                <w:tcPr>
                  <w:tcW w:w="333" w:type="pct"/>
                  <w:tcBorders>
                    <w:tl2br w:val="nil"/>
                    <w:tr2bl w:val="nil"/>
                  </w:tcBorders>
                  <w:noWrap w:val="0"/>
                  <w:vAlign w:val="center"/>
                </w:tcPr>
                <w:p w14:paraId="39C79BCD">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34</w:t>
                  </w:r>
                </w:p>
              </w:tc>
              <w:tc>
                <w:tcPr>
                  <w:tcW w:w="204" w:type="pct"/>
                  <w:tcBorders>
                    <w:tl2br w:val="nil"/>
                    <w:tr2bl w:val="nil"/>
                  </w:tcBorders>
                  <w:noWrap w:val="0"/>
                  <w:vAlign w:val="center"/>
                </w:tcPr>
                <w:p w14:paraId="54D18440">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w:t>
                  </w:r>
                </w:p>
              </w:tc>
              <w:tc>
                <w:tcPr>
                  <w:tcW w:w="237" w:type="pct"/>
                  <w:tcBorders>
                    <w:tl2br w:val="nil"/>
                    <w:tr2bl w:val="nil"/>
                  </w:tcBorders>
                  <w:noWrap w:val="0"/>
                  <w:vAlign w:val="center"/>
                </w:tcPr>
                <w:p w14:paraId="0F687B0F">
                  <w:pPr>
                    <w:jc w:val="center"/>
                    <w:rPr>
                      <w:rFonts w:hint="default" w:ascii="Times New Roman" w:hAnsi="Times New Roman" w:eastAsia="宋体" w:cs="Times New Roman"/>
                      <w:color w:val="000000" w:themeColor="text1"/>
                      <w:kern w:val="0"/>
                      <w:szCs w:val="21"/>
                      <w:lang w:val="en-US" w:eastAsia="zh-CN" w:bidi="ar"/>
                      <w14:textFill>
                        <w14:solidFill>
                          <w14:schemeClr w14:val="tx1"/>
                        </w14:solidFill>
                      </w14:textFill>
                    </w:rPr>
                  </w:pPr>
                  <w:r>
                    <w:rPr>
                      <w:rFonts w:hint="eastAsia" w:ascii="Times New Roman" w:hAnsi="Times New Roman" w:cs="Times New Roman"/>
                      <w:color w:val="000000" w:themeColor="text1"/>
                      <w:kern w:val="0"/>
                      <w:szCs w:val="21"/>
                      <w:lang w:val="en-US" w:eastAsia="zh-CN" w:bidi="ar"/>
                      <w14:textFill>
                        <w14:solidFill>
                          <w14:schemeClr w14:val="tx1"/>
                        </w14:solidFill>
                      </w14:textFill>
                    </w:rPr>
                    <w:t>2</w:t>
                  </w:r>
                </w:p>
              </w:tc>
              <w:tc>
                <w:tcPr>
                  <w:tcW w:w="237" w:type="pct"/>
                  <w:tcBorders>
                    <w:tl2br w:val="nil"/>
                    <w:tr2bl w:val="nil"/>
                  </w:tcBorders>
                  <w:noWrap w:val="0"/>
                  <w:vAlign w:val="center"/>
                </w:tcPr>
                <w:p w14:paraId="114BDF2C">
                  <w:pPr>
                    <w:jc w:val="center"/>
                    <w:rPr>
                      <w:rFonts w:hint="default" w:ascii="Times New Roman" w:hAnsi="Times New Roman" w:eastAsia="宋体" w:cs="Times New Roman"/>
                      <w:color w:val="000000" w:themeColor="text1"/>
                      <w:kern w:val="0"/>
                      <w:szCs w:val="21"/>
                      <w:lang w:val="en-US" w:eastAsia="zh-CN" w:bidi="ar"/>
                      <w14:textFill>
                        <w14:solidFill>
                          <w14:schemeClr w14:val="tx1"/>
                        </w14:solidFill>
                      </w14:textFill>
                    </w:rPr>
                  </w:pPr>
                  <w:r>
                    <w:rPr>
                      <w:rFonts w:hint="eastAsia" w:ascii="Times New Roman" w:hAnsi="Times New Roman" w:cs="Times New Roman"/>
                      <w:color w:val="000000" w:themeColor="text1"/>
                      <w:kern w:val="0"/>
                      <w:szCs w:val="21"/>
                      <w:lang w:val="en-US" w:eastAsia="zh-CN" w:bidi="ar"/>
                      <w14:textFill>
                        <w14:solidFill>
                          <w14:schemeClr w14:val="tx1"/>
                        </w14:solidFill>
                      </w14:textFill>
                    </w:rPr>
                    <w:t>69</w:t>
                  </w:r>
                </w:p>
              </w:tc>
              <w:tc>
                <w:tcPr>
                  <w:tcW w:w="237" w:type="pct"/>
                  <w:tcBorders>
                    <w:tl2br w:val="nil"/>
                    <w:tr2bl w:val="nil"/>
                  </w:tcBorders>
                  <w:noWrap w:val="0"/>
                  <w:vAlign w:val="center"/>
                </w:tcPr>
                <w:p w14:paraId="315C2B7B">
                  <w:pPr>
                    <w:jc w:val="center"/>
                    <w:rPr>
                      <w:rFonts w:hint="default" w:ascii="Times New Roman" w:hAnsi="Times New Roman" w:eastAsia="宋体" w:cs="Times New Roman"/>
                      <w:color w:val="000000" w:themeColor="text1"/>
                      <w:kern w:val="0"/>
                      <w:szCs w:val="21"/>
                      <w:lang w:bidi="ar"/>
                      <w14:textFill>
                        <w14:solidFill>
                          <w14:schemeClr w14:val="tx1"/>
                        </w14:solidFill>
                      </w14:textFill>
                    </w:rPr>
                  </w:pPr>
                  <w:r>
                    <w:rPr>
                      <w:rFonts w:hint="default" w:ascii="Times New Roman" w:hAnsi="Times New Roman" w:eastAsia="宋体" w:cs="Times New Roman"/>
                      <w:color w:val="000000" w:themeColor="text1"/>
                      <w:kern w:val="0"/>
                      <w:szCs w:val="21"/>
                      <w:lang w:bidi="ar"/>
                      <w14:textFill>
                        <w14:solidFill>
                          <w14:schemeClr w14:val="tx1"/>
                        </w14:solidFill>
                      </w14:textFill>
                    </w:rPr>
                    <w:t>昼</w:t>
                  </w:r>
                  <w:r>
                    <w:rPr>
                      <w:rFonts w:hint="default" w:ascii="Times New Roman" w:hAnsi="Times New Roman" w:eastAsia="宋体" w:cs="Times New Roman"/>
                      <w:color w:val="000000" w:themeColor="text1"/>
                      <w:szCs w:val="21"/>
                      <w14:textFill>
                        <w14:solidFill>
                          <w14:schemeClr w14:val="tx1"/>
                        </w14:solidFill>
                      </w14:textFill>
                    </w:rPr>
                    <w:t>间</w:t>
                  </w:r>
                </w:p>
              </w:tc>
              <w:tc>
                <w:tcPr>
                  <w:tcW w:w="374" w:type="pct"/>
                  <w:tcBorders>
                    <w:tl2br w:val="nil"/>
                    <w:tr2bl w:val="nil"/>
                  </w:tcBorders>
                  <w:noWrap w:val="0"/>
                  <w:vAlign w:val="center"/>
                </w:tcPr>
                <w:p w14:paraId="689A7259">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20</w:t>
                  </w:r>
                </w:p>
              </w:tc>
              <w:tc>
                <w:tcPr>
                  <w:tcW w:w="458" w:type="pct"/>
                  <w:tcBorders>
                    <w:tl2br w:val="nil"/>
                    <w:tr2bl w:val="nil"/>
                  </w:tcBorders>
                  <w:noWrap w:val="0"/>
                  <w:vAlign w:val="center"/>
                </w:tcPr>
                <w:p w14:paraId="50304201">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49</w:t>
                  </w:r>
                </w:p>
              </w:tc>
              <w:tc>
                <w:tcPr>
                  <w:tcW w:w="403" w:type="pct"/>
                  <w:tcBorders>
                    <w:tl2br w:val="nil"/>
                    <w:tr2bl w:val="nil"/>
                  </w:tcBorders>
                  <w:noWrap w:val="0"/>
                  <w:vAlign w:val="center"/>
                </w:tcPr>
                <w:p w14:paraId="3A0A5563">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w:t>
                  </w:r>
                </w:p>
              </w:tc>
            </w:tr>
            <w:tr w14:paraId="734244F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36" w:type="pct"/>
                  <w:tcBorders>
                    <w:tl2br w:val="nil"/>
                    <w:tr2bl w:val="nil"/>
                  </w:tcBorders>
                  <w:noWrap w:val="0"/>
                  <w:vAlign w:val="center"/>
                </w:tcPr>
                <w:p w14:paraId="6CECFB60">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4</w:t>
                  </w:r>
                </w:p>
              </w:tc>
              <w:tc>
                <w:tcPr>
                  <w:tcW w:w="237" w:type="pct"/>
                  <w:vMerge w:val="continue"/>
                  <w:tcBorders>
                    <w:tl2br w:val="nil"/>
                    <w:tr2bl w:val="nil"/>
                  </w:tcBorders>
                  <w:noWrap w:val="0"/>
                  <w:vAlign w:val="center"/>
                </w:tcPr>
                <w:p w14:paraId="46FA1648">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393" w:type="pct"/>
                  <w:tcBorders>
                    <w:tl2br w:val="nil"/>
                    <w:tr2bl w:val="nil"/>
                  </w:tcBorders>
                  <w:noWrap w:val="0"/>
                  <w:vAlign w:val="center"/>
                </w:tcPr>
                <w:p w14:paraId="3135CB9B">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砂磨机</w:t>
                  </w:r>
                  <w:r>
                    <w:rPr>
                      <w:rFonts w:hint="default" w:ascii="Times New Roman" w:hAnsi="Times New Roman" w:cs="Times New Roman"/>
                      <w:color w:val="000000" w:themeColor="text1"/>
                      <w:sz w:val="21"/>
                      <w:szCs w:val="21"/>
                      <w:lang w:val="en-US" w:eastAsia="zh-CN"/>
                      <w14:textFill>
                        <w14:solidFill>
                          <w14:schemeClr w14:val="tx1"/>
                        </w14:solidFill>
                      </w14:textFill>
                    </w:rPr>
                    <w:t>4</w:t>
                  </w:r>
                </w:p>
              </w:tc>
              <w:tc>
                <w:tcPr>
                  <w:tcW w:w="451" w:type="pct"/>
                  <w:tcBorders>
                    <w:tl2br w:val="nil"/>
                    <w:tr2bl w:val="nil"/>
                  </w:tcBorders>
                  <w:noWrap w:val="0"/>
                  <w:vAlign w:val="center"/>
                </w:tcPr>
                <w:p w14:paraId="7B2BF086">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75</w:t>
                  </w:r>
                </w:p>
              </w:tc>
              <w:tc>
                <w:tcPr>
                  <w:tcW w:w="923" w:type="pct"/>
                  <w:tcBorders>
                    <w:tl2br w:val="nil"/>
                    <w:tr2bl w:val="nil"/>
                  </w:tcBorders>
                  <w:noWrap w:val="0"/>
                  <w:vAlign w:val="center"/>
                </w:tcPr>
                <w:p w14:paraId="4F3D39E7">
                  <w:pPr>
                    <w:jc w:val="center"/>
                    <w:rPr>
                      <w:rFonts w:hint="default" w:ascii="Times New Roman" w:hAnsi="Times New Roman" w:eastAsia="宋体" w:cs="Times New Roman"/>
                      <w:color w:val="000000" w:themeColor="text1"/>
                      <w:kern w:val="0"/>
                      <w:szCs w:val="21"/>
                      <w:lang w:bidi="ar"/>
                      <w14:textFill>
                        <w14:solidFill>
                          <w14:schemeClr w14:val="tx1"/>
                        </w14:solidFill>
                      </w14:textFill>
                    </w:rPr>
                  </w:pPr>
                  <w:r>
                    <w:rPr>
                      <w:rFonts w:hint="default" w:ascii="Times New Roman" w:hAnsi="Times New Roman" w:eastAsia="宋体" w:cs="Times New Roman"/>
                      <w:color w:val="000000" w:themeColor="text1"/>
                      <w:kern w:val="0"/>
                      <w:szCs w:val="21"/>
                      <w:lang w:bidi="ar"/>
                      <w14:textFill>
                        <w14:solidFill>
                          <w14:schemeClr w14:val="tx1"/>
                        </w14:solidFill>
                      </w14:textFill>
                    </w:rPr>
                    <w:t>基础减振</w:t>
                  </w:r>
                  <w:r>
                    <w:rPr>
                      <w:rFonts w:hint="eastAsia" w:ascii="Times New Roman" w:hAnsi="Times New Roman" w:eastAsia="宋体" w:cs="Times New Roman"/>
                      <w:color w:val="000000" w:themeColor="text1"/>
                      <w:kern w:val="0"/>
                      <w:szCs w:val="21"/>
                      <w:lang w:eastAsia="zh-CN" w:bidi="ar"/>
                      <w14:textFill>
                        <w14:solidFill>
                          <w14:schemeClr w14:val="tx1"/>
                        </w14:solidFill>
                      </w14:textFill>
                    </w:rPr>
                    <w:t>、</w:t>
                  </w:r>
                  <w:r>
                    <w:rPr>
                      <w:rFonts w:hint="eastAsia" w:ascii="Times New Roman" w:hAnsi="Times New Roman" w:eastAsia="宋体" w:cs="Times New Roman"/>
                      <w:color w:val="000000" w:themeColor="text1"/>
                      <w:kern w:val="0"/>
                      <w:szCs w:val="21"/>
                      <w:lang w:val="en-US" w:eastAsia="zh-CN" w:bidi="ar"/>
                      <w14:textFill>
                        <w14:solidFill>
                          <w14:schemeClr w14:val="tx1"/>
                        </w14:solidFill>
                      </w14:textFill>
                    </w:rPr>
                    <w:t>厂房隔声</w:t>
                  </w:r>
                </w:p>
              </w:tc>
              <w:tc>
                <w:tcPr>
                  <w:tcW w:w="273" w:type="pct"/>
                  <w:tcBorders>
                    <w:tl2br w:val="nil"/>
                    <w:tr2bl w:val="nil"/>
                  </w:tcBorders>
                  <w:noWrap w:val="0"/>
                  <w:vAlign w:val="center"/>
                </w:tcPr>
                <w:p w14:paraId="2774ED60">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13</w:t>
                  </w:r>
                </w:p>
              </w:tc>
              <w:tc>
                <w:tcPr>
                  <w:tcW w:w="333" w:type="pct"/>
                  <w:tcBorders>
                    <w:tl2br w:val="nil"/>
                    <w:tr2bl w:val="nil"/>
                  </w:tcBorders>
                  <w:noWrap w:val="0"/>
                  <w:vAlign w:val="center"/>
                </w:tcPr>
                <w:p w14:paraId="7A287FF3">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34</w:t>
                  </w:r>
                </w:p>
              </w:tc>
              <w:tc>
                <w:tcPr>
                  <w:tcW w:w="204" w:type="pct"/>
                  <w:tcBorders>
                    <w:tl2br w:val="nil"/>
                    <w:tr2bl w:val="nil"/>
                  </w:tcBorders>
                  <w:noWrap w:val="0"/>
                  <w:vAlign w:val="center"/>
                </w:tcPr>
                <w:p w14:paraId="1E7D1DC2">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w:t>
                  </w:r>
                </w:p>
              </w:tc>
              <w:tc>
                <w:tcPr>
                  <w:tcW w:w="237" w:type="pct"/>
                  <w:tcBorders>
                    <w:tl2br w:val="nil"/>
                    <w:tr2bl w:val="nil"/>
                  </w:tcBorders>
                  <w:noWrap w:val="0"/>
                  <w:vAlign w:val="center"/>
                </w:tcPr>
                <w:p w14:paraId="7290C6DA">
                  <w:pPr>
                    <w:jc w:val="center"/>
                    <w:rPr>
                      <w:rFonts w:hint="default" w:ascii="Times New Roman" w:hAnsi="Times New Roman" w:eastAsia="宋体" w:cs="Times New Roman"/>
                      <w:color w:val="000000" w:themeColor="text1"/>
                      <w:kern w:val="0"/>
                      <w:szCs w:val="21"/>
                      <w:lang w:val="en-US" w:eastAsia="zh-CN" w:bidi="ar"/>
                      <w14:textFill>
                        <w14:solidFill>
                          <w14:schemeClr w14:val="tx1"/>
                        </w14:solidFill>
                      </w14:textFill>
                    </w:rPr>
                  </w:pPr>
                  <w:r>
                    <w:rPr>
                      <w:rFonts w:hint="eastAsia" w:ascii="Times New Roman" w:hAnsi="Times New Roman" w:cs="Times New Roman"/>
                      <w:color w:val="000000" w:themeColor="text1"/>
                      <w:kern w:val="0"/>
                      <w:szCs w:val="21"/>
                      <w:lang w:val="en-US" w:eastAsia="zh-CN" w:bidi="ar"/>
                      <w14:textFill>
                        <w14:solidFill>
                          <w14:schemeClr w14:val="tx1"/>
                        </w14:solidFill>
                      </w14:textFill>
                    </w:rPr>
                    <w:t>2</w:t>
                  </w:r>
                </w:p>
              </w:tc>
              <w:tc>
                <w:tcPr>
                  <w:tcW w:w="237" w:type="pct"/>
                  <w:tcBorders>
                    <w:tl2br w:val="nil"/>
                    <w:tr2bl w:val="nil"/>
                  </w:tcBorders>
                  <w:noWrap w:val="0"/>
                  <w:vAlign w:val="center"/>
                </w:tcPr>
                <w:p w14:paraId="63D3BB50">
                  <w:pPr>
                    <w:jc w:val="center"/>
                    <w:rPr>
                      <w:rFonts w:hint="default" w:ascii="Times New Roman" w:hAnsi="Times New Roman" w:eastAsia="宋体" w:cs="Times New Roman"/>
                      <w:color w:val="000000" w:themeColor="text1"/>
                      <w:kern w:val="0"/>
                      <w:szCs w:val="21"/>
                      <w:lang w:val="en-US" w:eastAsia="zh-CN" w:bidi="ar"/>
                      <w14:textFill>
                        <w14:solidFill>
                          <w14:schemeClr w14:val="tx1"/>
                        </w14:solidFill>
                      </w14:textFill>
                    </w:rPr>
                  </w:pPr>
                  <w:r>
                    <w:rPr>
                      <w:rFonts w:hint="eastAsia" w:ascii="Times New Roman" w:hAnsi="Times New Roman" w:cs="Times New Roman"/>
                      <w:color w:val="000000" w:themeColor="text1"/>
                      <w:kern w:val="0"/>
                      <w:szCs w:val="21"/>
                      <w:lang w:val="en-US" w:eastAsia="zh-CN" w:bidi="ar"/>
                      <w14:textFill>
                        <w14:solidFill>
                          <w14:schemeClr w14:val="tx1"/>
                        </w14:solidFill>
                      </w14:textFill>
                    </w:rPr>
                    <w:t>69</w:t>
                  </w:r>
                </w:p>
              </w:tc>
              <w:tc>
                <w:tcPr>
                  <w:tcW w:w="237" w:type="pct"/>
                  <w:tcBorders>
                    <w:tl2br w:val="nil"/>
                    <w:tr2bl w:val="nil"/>
                  </w:tcBorders>
                  <w:noWrap w:val="0"/>
                  <w:vAlign w:val="center"/>
                </w:tcPr>
                <w:p w14:paraId="42A54ABA">
                  <w:pPr>
                    <w:jc w:val="center"/>
                    <w:rPr>
                      <w:rFonts w:hint="default" w:ascii="Times New Roman" w:hAnsi="Times New Roman" w:eastAsia="宋体" w:cs="Times New Roman"/>
                      <w:color w:val="000000" w:themeColor="text1"/>
                      <w:kern w:val="0"/>
                      <w:szCs w:val="21"/>
                      <w:lang w:bidi="ar"/>
                      <w14:textFill>
                        <w14:solidFill>
                          <w14:schemeClr w14:val="tx1"/>
                        </w14:solidFill>
                      </w14:textFill>
                    </w:rPr>
                  </w:pPr>
                  <w:r>
                    <w:rPr>
                      <w:rFonts w:hint="default" w:ascii="Times New Roman" w:hAnsi="Times New Roman" w:eastAsia="宋体" w:cs="Times New Roman"/>
                      <w:color w:val="000000" w:themeColor="text1"/>
                      <w:kern w:val="0"/>
                      <w:szCs w:val="21"/>
                      <w:lang w:bidi="ar"/>
                      <w14:textFill>
                        <w14:solidFill>
                          <w14:schemeClr w14:val="tx1"/>
                        </w14:solidFill>
                      </w14:textFill>
                    </w:rPr>
                    <w:t>昼</w:t>
                  </w:r>
                  <w:r>
                    <w:rPr>
                      <w:rFonts w:hint="default" w:ascii="Times New Roman" w:hAnsi="Times New Roman" w:eastAsia="宋体" w:cs="Times New Roman"/>
                      <w:color w:val="000000" w:themeColor="text1"/>
                      <w:szCs w:val="21"/>
                      <w14:textFill>
                        <w14:solidFill>
                          <w14:schemeClr w14:val="tx1"/>
                        </w14:solidFill>
                      </w14:textFill>
                    </w:rPr>
                    <w:t>间</w:t>
                  </w:r>
                </w:p>
              </w:tc>
              <w:tc>
                <w:tcPr>
                  <w:tcW w:w="374" w:type="pct"/>
                  <w:tcBorders>
                    <w:tl2br w:val="nil"/>
                    <w:tr2bl w:val="nil"/>
                  </w:tcBorders>
                  <w:noWrap w:val="0"/>
                  <w:vAlign w:val="center"/>
                </w:tcPr>
                <w:p w14:paraId="4FACEC09">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20</w:t>
                  </w:r>
                </w:p>
              </w:tc>
              <w:tc>
                <w:tcPr>
                  <w:tcW w:w="458" w:type="pct"/>
                  <w:tcBorders>
                    <w:tl2br w:val="nil"/>
                    <w:tr2bl w:val="nil"/>
                  </w:tcBorders>
                  <w:noWrap w:val="0"/>
                  <w:vAlign w:val="center"/>
                </w:tcPr>
                <w:p w14:paraId="4D1CAC58">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49</w:t>
                  </w:r>
                </w:p>
              </w:tc>
              <w:tc>
                <w:tcPr>
                  <w:tcW w:w="403" w:type="pct"/>
                  <w:tcBorders>
                    <w:tl2br w:val="nil"/>
                    <w:tr2bl w:val="nil"/>
                  </w:tcBorders>
                  <w:noWrap w:val="0"/>
                  <w:vAlign w:val="center"/>
                </w:tcPr>
                <w:p w14:paraId="647E9D2E">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w:t>
                  </w:r>
                </w:p>
              </w:tc>
            </w:tr>
            <w:tr w14:paraId="0C6958C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36" w:type="pct"/>
                  <w:tcBorders>
                    <w:tl2br w:val="nil"/>
                    <w:tr2bl w:val="nil"/>
                  </w:tcBorders>
                  <w:noWrap w:val="0"/>
                  <w:vAlign w:val="center"/>
                </w:tcPr>
                <w:p w14:paraId="35697A4D">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5</w:t>
                  </w:r>
                </w:p>
              </w:tc>
              <w:tc>
                <w:tcPr>
                  <w:tcW w:w="237" w:type="pct"/>
                  <w:vMerge w:val="continue"/>
                  <w:tcBorders>
                    <w:tl2br w:val="nil"/>
                    <w:tr2bl w:val="nil"/>
                  </w:tcBorders>
                  <w:noWrap w:val="0"/>
                  <w:vAlign w:val="center"/>
                </w:tcPr>
                <w:p w14:paraId="0320ED15">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393" w:type="pct"/>
                  <w:tcBorders>
                    <w:tl2br w:val="nil"/>
                    <w:tr2bl w:val="nil"/>
                  </w:tcBorders>
                  <w:noWrap w:val="0"/>
                  <w:vAlign w:val="center"/>
                </w:tcPr>
                <w:p w14:paraId="2A603082">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砂磨机</w:t>
                  </w:r>
                  <w:r>
                    <w:rPr>
                      <w:rFonts w:hint="default" w:ascii="Times New Roman" w:hAnsi="Times New Roman" w:cs="Times New Roman"/>
                      <w:color w:val="000000" w:themeColor="text1"/>
                      <w:sz w:val="21"/>
                      <w:szCs w:val="21"/>
                      <w:lang w:val="en-US" w:eastAsia="zh-CN"/>
                      <w14:textFill>
                        <w14:solidFill>
                          <w14:schemeClr w14:val="tx1"/>
                        </w14:solidFill>
                      </w14:textFill>
                    </w:rPr>
                    <w:t>5</w:t>
                  </w:r>
                </w:p>
              </w:tc>
              <w:tc>
                <w:tcPr>
                  <w:tcW w:w="451" w:type="pct"/>
                  <w:tcBorders>
                    <w:tl2br w:val="nil"/>
                    <w:tr2bl w:val="nil"/>
                  </w:tcBorders>
                  <w:noWrap w:val="0"/>
                  <w:vAlign w:val="center"/>
                </w:tcPr>
                <w:p w14:paraId="56DA2B81">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75</w:t>
                  </w:r>
                </w:p>
              </w:tc>
              <w:tc>
                <w:tcPr>
                  <w:tcW w:w="923" w:type="pct"/>
                  <w:tcBorders>
                    <w:tl2br w:val="nil"/>
                    <w:tr2bl w:val="nil"/>
                  </w:tcBorders>
                  <w:noWrap w:val="0"/>
                  <w:vAlign w:val="center"/>
                </w:tcPr>
                <w:p w14:paraId="2F752A27">
                  <w:pPr>
                    <w:jc w:val="center"/>
                    <w:rPr>
                      <w:rFonts w:hint="default" w:ascii="Times New Roman" w:hAnsi="Times New Roman" w:eastAsia="宋体" w:cs="Times New Roman"/>
                      <w:color w:val="000000" w:themeColor="text1"/>
                      <w:kern w:val="0"/>
                      <w:szCs w:val="21"/>
                      <w:lang w:bidi="ar"/>
                      <w14:textFill>
                        <w14:solidFill>
                          <w14:schemeClr w14:val="tx1"/>
                        </w14:solidFill>
                      </w14:textFill>
                    </w:rPr>
                  </w:pPr>
                  <w:r>
                    <w:rPr>
                      <w:rFonts w:hint="default" w:ascii="Times New Roman" w:hAnsi="Times New Roman" w:eastAsia="宋体" w:cs="Times New Roman"/>
                      <w:color w:val="000000" w:themeColor="text1"/>
                      <w:kern w:val="0"/>
                      <w:szCs w:val="21"/>
                      <w:lang w:bidi="ar"/>
                      <w14:textFill>
                        <w14:solidFill>
                          <w14:schemeClr w14:val="tx1"/>
                        </w14:solidFill>
                      </w14:textFill>
                    </w:rPr>
                    <w:t>基础减振</w:t>
                  </w:r>
                  <w:r>
                    <w:rPr>
                      <w:rFonts w:hint="eastAsia" w:ascii="Times New Roman" w:hAnsi="Times New Roman" w:eastAsia="宋体" w:cs="Times New Roman"/>
                      <w:color w:val="000000" w:themeColor="text1"/>
                      <w:kern w:val="0"/>
                      <w:szCs w:val="21"/>
                      <w:lang w:eastAsia="zh-CN" w:bidi="ar"/>
                      <w14:textFill>
                        <w14:solidFill>
                          <w14:schemeClr w14:val="tx1"/>
                        </w14:solidFill>
                      </w14:textFill>
                    </w:rPr>
                    <w:t>、</w:t>
                  </w:r>
                  <w:r>
                    <w:rPr>
                      <w:rFonts w:hint="eastAsia" w:ascii="Times New Roman" w:hAnsi="Times New Roman" w:eastAsia="宋体" w:cs="Times New Roman"/>
                      <w:color w:val="000000" w:themeColor="text1"/>
                      <w:kern w:val="0"/>
                      <w:szCs w:val="21"/>
                      <w:lang w:val="en-US" w:eastAsia="zh-CN" w:bidi="ar"/>
                      <w14:textFill>
                        <w14:solidFill>
                          <w14:schemeClr w14:val="tx1"/>
                        </w14:solidFill>
                      </w14:textFill>
                    </w:rPr>
                    <w:t>厂房隔声</w:t>
                  </w:r>
                </w:p>
              </w:tc>
              <w:tc>
                <w:tcPr>
                  <w:tcW w:w="273" w:type="pct"/>
                  <w:tcBorders>
                    <w:tl2br w:val="nil"/>
                    <w:tr2bl w:val="nil"/>
                  </w:tcBorders>
                  <w:noWrap w:val="0"/>
                  <w:vAlign w:val="center"/>
                </w:tcPr>
                <w:p w14:paraId="2BC93304">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14</w:t>
                  </w:r>
                </w:p>
              </w:tc>
              <w:tc>
                <w:tcPr>
                  <w:tcW w:w="333" w:type="pct"/>
                  <w:tcBorders>
                    <w:tl2br w:val="nil"/>
                    <w:tr2bl w:val="nil"/>
                  </w:tcBorders>
                  <w:noWrap w:val="0"/>
                  <w:vAlign w:val="center"/>
                </w:tcPr>
                <w:p w14:paraId="7A6242C8">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33</w:t>
                  </w:r>
                </w:p>
              </w:tc>
              <w:tc>
                <w:tcPr>
                  <w:tcW w:w="204" w:type="pct"/>
                  <w:tcBorders>
                    <w:tl2br w:val="nil"/>
                    <w:tr2bl w:val="nil"/>
                  </w:tcBorders>
                  <w:noWrap w:val="0"/>
                  <w:vAlign w:val="center"/>
                </w:tcPr>
                <w:p w14:paraId="6A67952A">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w:t>
                  </w:r>
                </w:p>
              </w:tc>
              <w:tc>
                <w:tcPr>
                  <w:tcW w:w="237" w:type="pct"/>
                  <w:tcBorders>
                    <w:tl2br w:val="nil"/>
                    <w:tr2bl w:val="nil"/>
                  </w:tcBorders>
                  <w:noWrap w:val="0"/>
                  <w:vAlign w:val="center"/>
                </w:tcPr>
                <w:p w14:paraId="1C1D25AC">
                  <w:pPr>
                    <w:jc w:val="center"/>
                    <w:rPr>
                      <w:rFonts w:hint="default" w:ascii="Times New Roman" w:hAnsi="Times New Roman" w:eastAsia="宋体" w:cs="Times New Roman"/>
                      <w:color w:val="000000" w:themeColor="text1"/>
                      <w:kern w:val="0"/>
                      <w:szCs w:val="21"/>
                      <w:lang w:val="en-US" w:eastAsia="zh-CN" w:bidi="ar"/>
                      <w14:textFill>
                        <w14:solidFill>
                          <w14:schemeClr w14:val="tx1"/>
                        </w14:solidFill>
                      </w14:textFill>
                    </w:rPr>
                  </w:pPr>
                  <w:r>
                    <w:rPr>
                      <w:rFonts w:hint="eastAsia" w:ascii="Times New Roman" w:hAnsi="Times New Roman" w:cs="Times New Roman"/>
                      <w:color w:val="000000" w:themeColor="text1"/>
                      <w:kern w:val="0"/>
                      <w:szCs w:val="21"/>
                      <w:lang w:val="en-US" w:eastAsia="zh-CN" w:bidi="ar"/>
                      <w14:textFill>
                        <w14:solidFill>
                          <w14:schemeClr w14:val="tx1"/>
                        </w14:solidFill>
                      </w14:textFill>
                    </w:rPr>
                    <w:t>2</w:t>
                  </w:r>
                </w:p>
              </w:tc>
              <w:tc>
                <w:tcPr>
                  <w:tcW w:w="237" w:type="pct"/>
                  <w:tcBorders>
                    <w:tl2br w:val="nil"/>
                    <w:tr2bl w:val="nil"/>
                  </w:tcBorders>
                  <w:noWrap w:val="0"/>
                  <w:vAlign w:val="center"/>
                </w:tcPr>
                <w:p w14:paraId="4A5D19D1">
                  <w:pPr>
                    <w:jc w:val="center"/>
                    <w:rPr>
                      <w:rFonts w:hint="default" w:ascii="Times New Roman" w:hAnsi="Times New Roman" w:eastAsia="宋体" w:cs="Times New Roman"/>
                      <w:color w:val="000000" w:themeColor="text1"/>
                      <w:kern w:val="0"/>
                      <w:szCs w:val="21"/>
                      <w:lang w:val="en-US" w:eastAsia="zh-CN" w:bidi="ar"/>
                      <w14:textFill>
                        <w14:solidFill>
                          <w14:schemeClr w14:val="tx1"/>
                        </w14:solidFill>
                      </w14:textFill>
                    </w:rPr>
                  </w:pPr>
                  <w:r>
                    <w:rPr>
                      <w:rFonts w:hint="eastAsia" w:ascii="Times New Roman" w:hAnsi="Times New Roman" w:cs="Times New Roman"/>
                      <w:color w:val="000000" w:themeColor="text1"/>
                      <w:kern w:val="0"/>
                      <w:szCs w:val="21"/>
                      <w:lang w:val="en-US" w:eastAsia="zh-CN" w:bidi="ar"/>
                      <w14:textFill>
                        <w14:solidFill>
                          <w14:schemeClr w14:val="tx1"/>
                        </w14:solidFill>
                      </w14:textFill>
                    </w:rPr>
                    <w:t>69</w:t>
                  </w:r>
                </w:p>
              </w:tc>
              <w:tc>
                <w:tcPr>
                  <w:tcW w:w="237" w:type="pct"/>
                  <w:tcBorders>
                    <w:tl2br w:val="nil"/>
                    <w:tr2bl w:val="nil"/>
                  </w:tcBorders>
                  <w:noWrap w:val="0"/>
                  <w:vAlign w:val="center"/>
                </w:tcPr>
                <w:p w14:paraId="037658CF">
                  <w:pPr>
                    <w:jc w:val="center"/>
                    <w:rPr>
                      <w:rFonts w:hint="default" w:ascii="Times New Roman" w:hAnsi="Times New Roman" w:eastAsia="宋体" w:cs="Times New Roman"/>
                      <w:color w:val="000000" w:themeColor="text1"/>
                      <w:kern w:val="0"/>
                      <w:szCs w:val="21"/>
                      <w:lang w:bidi="ar"/>
                      <w14:textFill>
                        <w14:solidFill>
                          <w14:schemeClr w14:val="tx1"/>
                        </w14:solidFill>
                      </w14:textFill>
                    </w:rPr>
                  </w:pPr>
                  <w:r>
                    <w:rPr>
                      <w:rFonts w:hint="default" w:ascii="Times New Roman" w:hAnsi="Times New Roman" w:eastAsia="宋体" w:cs="Times New Roman"/>
                      <w:color w:val="000000" w:themeColor="text1"/>
                      <w:kern w:val="0"/>
                      <w:szCs w:val="21"/>
                      <w:lang w:bidi="ar"/>
                      <w14:textFill>
                        <w14:solidFill>
                          <w14:schemeClr w14:val="tx1"/>
                        </w14:solidFill>
                      </w14:textFill>
                    </w:rPr>
                    <w:t>昼</w:t>
                  </w:r>
                  <w:r>
                    <w:rPr>
                      <w:rFonts w:hint="default" w:ascii="Times New Roman" w:hAnsi="Times New Roman" w:eastAsia="宋体" w:cs="Times New Roman"/>
                      <w:color w:val="000000" w:themeColor="text1"/>
                      <w:szCs w:val="21"/>
                      <w14:textFill>
                        <w14:solidFill>
                          <w14:schemeClr w14:val="tx1"/>
                        </w14:solidFill>
                      </w14:textFill>
                    </w:rPr>
                    <w:t>间</w:t>
                  </w:r>
                </w:p>
              </w:tc>
              <w:tc>
                <w:tcPr>
                  <w:tcW w:w="374" w:type="pct"/>
                  <w:tcBorders>
                    <w:tl2br w:val="nil"/>
                    <w:tr2bl w:val="nil"/>
                  </w:tcBorders>
                  <w:noWrap w:val="0"/>
                  <w:vAlign w:val="center"/>
                </w:tcPr>
                <w:p w14:paraId="081D5B97">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20</w:t>
                  </w:r>
                </w:p>
              </w:tc>
              <w:tc>
                <w:tcPr>
                  <w:tcW w:w="458" w:type="pct"/>
                  <w:tcBorders>
                    <w:tl2br w:val="nil"/>
                    <w:tr2bl w:val="nil"/>
                  </w:tcBorders>
                  <w:noWrap w:val="0"/>
                  <w:vAlign w:val="center"/>
                </w:tcPr>
                <w:p w14:paraId="7633A935">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49</w:t>
                  </w:r>
                </w:p>
              </w:tc>
              <w:tc>
                <w:tcPr>
                  <w:tcW w:w="403" w:type="pct"/>
                  <w:tcBorders>
                    <w:tl2br w:val="nil"/>
                    <w:tr2bl w:val="nil"/>
                  </w:tcBorders>
                  <w:noWrap w:val="0"/>
                  <w:vAlign w:val="center"/>
                </w:tcPr>
                <w:p w14:paraId="010F2491">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w:t>
                  </w:r>
                </w:p>
              </w:tc>
            </w:tr>
            <w:tr w14:paraId="2BFEA48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48" w:hRule="atLeast"/>
              </w:trPr>
              <w:tc>
                <w:tcPr>
                  <w:tcW w:w="236" w:type="pct"/>
                  <w:tcBorders>
                    <w:tl2br w:val="nil"/>
                    <w:tr2bl w:val="nil"/>
                  </w:tcBorders>
                  <w:noWrap w:val="0"/>
                  <w:vAlign w:val="center"/>
                </w:tcPr>
                <w:p w14:paraId="2E9BF2B6">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6</w:t>
                  </w:r>
                </w:p>
              </w:tc>
              <w:tc>
                <w:tcPr>
                  <w:tcW w:w="237" w:type="pct"/>
                  <w:vMerge w:val="continue"/>
                  <w:tcBorders>
                    <w:tl2br w:val="nil"/>
                    <w:tr2bl w:val="nil"/>
                  </w:tcBorders>
                  <w:noWrap w:val="0"/>
                  <w:vAlign w:val="center"/>
                </w:tcPr>
                <w:p w14:paraId="2FDB6637">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393" w:type="pct"/>
                  <w:tcBorders>
                    <w:tl2br w:val="nil"/>
                    <w:tr2bl w:val="nil"/>
                  </w:tcBorders>
                  <w:noWrap w:val="0"/>
                  <w:vAlign w:val="center"/>
                </w:tcPr>
                <w:p w14:paraId="23165198">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砂磨机</w:t>
                  </w:r>
                  <w:r>
                    <w:rPr>
                      <w:rFonts w:hint="default" w:ascii="Times New Roman" w:hAnsi="Times New Roman" w:cs="Times New Roman"/>
                      <w:color w:val="000000" w:themeColor="text1"/>
                      <w:sz w:val="21"/>
                      <w:szCs w:val="21"/>
                      <w:lang w:val="en-US" w:eastAsia="zh-CN"/>
                      <w14:textFill>
                        <w14:solidFill>
                          <w14:schemeClr w14:val="tx1"/>
                        </w14:solidFill>
                      </w14:textFill>
                    </w:rPr>
                    <w:t>6</w:t>
                  </w:r>
                </w:p>
              </w:tc>
              <w:tc>
                <w:tcPr>
                  <w:tcW w:w="451" w:type="pct"/>
                  <w:tcBorders>
                    <w:tl2br w:val="nil"/>
                    <w:tr2bl w:val="nil"/>
                  </w:tcBorders>
                  <w:noWrap w:val="0"/>
                  <w:vAlign w:val="center"/>
                </w:tcPr>
                <w:p w14:paraId="1059EE68">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75</w:t>
                  </w:r>
                </w:p>
              </w:tc>
              <w:tc>
                <w:tcPr>
                  <w:tcW w:w="923" w:type="pct"/>
                  <w:tcBorders>
                    <w:tl2br w:val="nil"/>
                    <w:tr2bl w:val="nil"/>
                  </w:tcBorders>
                  <w:noWrap w:val="0"/>
                  <w:vAlign w:val="center"/>
                </w:tcPr>
                <w:p w14:paraId="523D7AF7">
                  <w:pPr>
                    <w:jc w:val="center"/>
                    <w:rPr>
                      <w:rFonts w:hint="default" w:ascii="Times New Roman" w:hAnsi="Times New Roman" w:eastAsia="宋体" w:cs="Times New Roman"/>
                      <w:color w:val="000000" w:themeColor="text1"/>
                      <w:kern w:val="0"/>
                      <w:szCs w:val="21"/>
                      <w:lang w:bidi="ar"/>
                      <w14:textFill>
                        <w14:solidFill>
                          <w14:schemeClr w14:val="tx1"/>
                        </w14:solidFill>
                      </w14:textFill>
                    </w:rPr>
                  </w:pPr>
                  <w:r>
                    <w:rPr>
                      <w:rFonts w:hint="default" w:ascii="Times New Roman" w:hAnsi="Times New Roman" w:eastAsia="宋体" w:cs="Times New Roman"/>
                      <w:color w:val="000000" w:themeColor="text1"/>
                      <w:kern w:val="0"/>
                      <w:szCs w:val="21"/>
                      <w:lang w:bidi="ar"/>
                      <w14:textFill>
                        <w14:solidFill>
                          <w14:schemeClr w14:val="tx1"/>
                        </w14:solidFill>
                      </w14:textFill>
                    </w:rPr>
                    <w:t>基础减振</w:t>
                  </w:r>
                  <w:r>
                    <w:rPr>
                      <w:rFonts w:hint="eastAsia" w:ascii="Times New Roman" w:hAnsi="Times New Roman" w:eastAsia="宋体" w:cs="Times New Roman"/>
                      <w:color w:val="000000" w:themeColor="text1"/>
                      <w:kern w:val="0"/>
                      <w:szCs w:val="21"/>
                      <w:lang w:eastAsia="zh-CN" w:bidi="ar"/>
                      <w14:textFill>
                        <w14:solidFill>
                          <w14:schemeClr w14:val="tx1"/>
                        </w14:solidFill>
                      </w14:textFill>
                    </w:rPr>
                    <w:t>、</w:t>
                  </w:r>
                  <w:r>
                    <w:rPr>
                      <w:rFonts w:hint="eastAsia" w:ascii="Times New Roman" w:hAnsi="Times New Roman" w:eastAsia="宋体" w:cs="Times New Roman"/>
                      <w:color w:val="000000" w:themeColor="text1"/>
                      <w:kern w:val="0"/>
                      <w:szCs w:val="21"/>
                      <w:lang w:val="en-US" w:eastAsia="zh-CN" w:bidi="ar"/>
                      <w14:textFill>
                        <w14:solidFill>
                          <w14:schemeClr w14:val="tx1"/>
                        </w14:solidFill>
                      </w14:textFill>
                    </w:rPr>
                    <w:t>厂房隔声</w:t>
                  </w:r>
                </w:p>
              </w:tc>
              <w:tc>
                <w:tcPr>
                  <w:tcW w:w="273" w:type="pct"/>
                  <w:tcBorders>
                    <w:tl2br w:val="nil"/>
                    <w:tr2bl w:val="nil"/>
                  </w:tcBorders>
                  <w:noWrap w:val="0"/>
                  <w:vAlign w:val="center"/>
                </w:tcPr>
                <w:p w14:paraId="52933BFD">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10</w:t>
                  </w:r>
                </w:p>
              </w:tc>
              <w:tc>
                <w:tcPr>
                  <w:tcW w:w="333" w:type="pct"/>
                  <w:tcBorders>
                    <w:tl2br w:val="nil"/>
                    <w:tr2bl w:val="nil"/>
                  </w:tcBorders>
                  <w:noWrap w:val="0"/>
                  <w:vAlign w:val="center"/>
                </w:tcPr>
                <w:p w14:paraId="7413E765">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33</w:t>
                  </w:r>
                </w:p>
              </w:tc>
              <w:tc>
                <w:tcPr>
                  <w:tcW w:w="204" w:type="pct"/>
                  <w:tcBorders>
                    <w:tl2br w:val="nil"/>
                    <w:tr2bl w:val="nil"/>
                  </w:tcBorders>
                  <w:noWrap w:val="0"/>
                  <w:vAlign w:val="center"/>
                </w:tcPr>
                <w:p w14:paraId="135F0CDD">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w:t>
                  </w:r>
                </w:p>
              </w:tc>
              <w:tc>
                <w:tcPr>
                  <w:tcW w:w="237" w:type="pct"/>
                  <w:tcBorders>
                    <w:tl2br w:val="nil"/>
                    <w:tr2bl w:val="nil"/>
                  </w:tcBorders>
                  <w:noWrap w:val="0"/>
                  <w:vAlign w:val="center"/>
                </w:tcPr>
                <w:p w14:paraId="2AE25BAC">
                  <w:pPr>
                    <w:jc w:val="center"/>
                    <w:rPr>
                      <w:rFonts w:hint="default" w:ascii="Times New Roman" w:hAnsi="Times New Roman" w:eastAsia="宋体" w:cs="Times New Roman"/>
                      <w:color w:val="000000" w:themeColor="text1"/>
                      <w:kern w:val="0"/>
                      <w:szCs w:val="21"/>
                      <w:lang w:val="en-US" w:eastAsia="zh-CN" w:bidi="ar"/>
                      <w14:textFill>
                        <w14:solidFill>
                          <w14:schemeClr w14:val="tx1"/>
                        </w14:solidFill>
                      </w14:textFill>
                    </w:rPr>
                  </w:pPr>
                  <w:r>
                    <w:rPr>
                      <w:rFonts w:hint="eastAsia" w:ascii="Times New Roman" w:hAnsi="Times New Roman" w:cs="Times New Roman"/>
                      <w:color w:val="000000" w:themeColor="text1"/>
                      <w:kern w:val="0"/>
                      <w:szCs w:val="21"/>
                      <w:lang w:val="en-US" w:eastAsia="zh-CN" w:bidi="ar"/>
                      <w14:textFill>
                        <w14:solidFill>
                          <w14:schemeClr w14:val="tx1"/>
                        </w14:solidFill>
                      </w14:textFill>
                    </w:rPr>
                    <w:t>3</w:t>
                  </w:r>
                </w:p>
              </w:tc>
              <w:tc>
                <w:tcPr>
                  <w:tcW w:w="237" w:type="pct"/>
                  <w:tcBorders>
                    <w:tl2br w:val="nil"/>
                    <w:tr2bl w:val="nil"/>
                  </w:tcBorders>
                  <w:noWrap w:val="0"/>
                  <w:vAlign w:val="center"/>
                </w:tcPr>
                <w:p w14:paraId="74781324">
                  <w:pPr>
                    <w:jc w:val="center"/>
                    <w:rPr>
                      <w:rFonts w:hint="default" w:ascii="Times New Roman" w:hAnsi="Times New Roman" w:eastAsia="宋体" w:cs="Times New Roman"/>
                      <w:color w:val="000000" w:themeColor="text1"/>
                      <w:kern w:val="0"/>
                      <w:szCs w:val="21"/>
                      <w:lang w:val="en-US" w:eastAsia="zh-CN" w:bidi="ar"/>
                      <w14:textFill>
                        <w14:solidFill>
                          <w14:schemeClr w14:val="tx1"/>
                        </w14:solidFill>
                      </w14:textFill>
                    </w:rPr>
                  </w:pPr>
                  <w:r>
                    <w:rPr>
                      <w:rFonts w:hint="eastAsia" w:ascii="Times New Roman" w:hAnsi="Times New Roman" w:cs="Times New Roman"/>
                      <w:color w:val="000000" w:themeColor="text1"/>
                      <w:kern w:val="0"/>
                      <w:szCs w:val="21"/>
                      <w:lang w:val="en-US" w:eastAsia="zh-CN" w:bidi="ar"/>
                      <w14:textFill>
                        <w14:solidFill>
                          <w14:schemeClr w14:val="tx1"/>
                        </w14:solidFill>
                      </w14:textFill>
                    </w:rPr>
                    <w:t>65</w:t>
                  </w:r>
                </w:p>
              </w:tc>
              <w:tc>
                <w:tcPr>
                  <w:tcW w:w="237" w:type="pct"/>
                  <w:tcBorders>
                    <w:tl2br w:val="nil"/>
                    <w:tr2bl w:val="nil"/>
                  </w:tcBorders>
                  <w:noWrap w:val="0"/>
                  <w:vAlign w:val="center"/>
                </w:tcPr>
                <w:p w14:paraId="587C5F32">
                  <w:pPr>
                    <w:jc w:val="center"/>
                    <w:rPr>
                      <w:rFonts w:hint="default" w:ascii="Times New Roman" w:hAnsi="Times New Roman" w:eastAsia="宋体" w:cs="Times New Roman"/>
                      <w:color w:val="000000" w:themeColor="text1"/>
                      <w:kern w:val="0"/>
                      <w:szCs w:val="21"/>
                      <w:lang w:bidi="ar"/>
                      <w14:textFill>
                        <w14:solidFill>
                          <w14:schemeClr w14:val="tx1"/>
                        </w14:solidFill>
                      </w14:textFill>
                    </w:rPr>
                  </w:pPr>
                  <w:r>
                    <w:rPr>
                      <w:rFonts w:hint="default" w:ascii="Times New Roman" w:hAnsi="Times New Roman" w:eastAsia="宋体" w:cs="Times New Roman"/>
                      <w:color w:val="000000" w:themeColor="text1"/>
                      <w:kern w:val="0"/>
                      <w:szCs w:val="21"/>
                      <w:lang w:bidi="ar"/>
                      <w14:textFill>
                        <w14:solidFill>
                          <w14:schemeClr w14:val="tx1"/>
                        </w14:solidFill>
                      </w14:textFill>
                    </w:rPr>
                    <w:t>昼</w:t>
                  </w:r>
                  <w:r>
                    <w:rPr>
                      <w:rFonts w:hint="default" w:ascii="Times New Roman" w:hAnsi="Times New Roman" w:eastAsia="宋体" w:cs="Times New Roman"/>
                      <w:color w:val="000000" w:themeColor="text1"/>
                      <w:szCs w:val="21"/>
                      <w14:textFill>
                        <w14:solidFill>
                          <w14:schemeClr w14:val="tx1"/>
                        </w14:solidFill>
                      </w14:textFill>
                    </w:rPr>
                    <w:t>间</w:t>
                  </w:r>
                </w:p>
              </w:tc>
              <w:tc>
                <w:tcPr>
                  <w:tcW w:w="374" w:type="pct"/>
                  <w:tcBorders>
                    <w:tl2br w:val="nil"/>
                    <w:tr2bl w:val="nil"/>
                  </w:tcBorders>
                  <w:noWrap w:val="0"/>
                  <w:vAlign w:val="center"/>
                </w:tcPr>
                <w:p w14:paraId="1CE9C7DB">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20</w:t>
                  </w:r>
                </w:p>
              </w:tc>
              <w:tc>
                <w:tcPr>
                  <w:tcW w:w="458" w:type="pct"/>
                  <w:tcBorders>
                    <w:tl2br w:val="nil"/>
                    <w:tr2bl w:val="nil"/>
                  </w:tcBorders>
                  <w:noWrap w:val="0"/>
                  <w:vAlign w:val="center"/>
                </w:tcPr>
                <w:p w14:paraId="5C26C457">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45</w:t>
                  </w:r>
                </w:p>
              </w:tc>
              <w:tc>
                <w:tcPr>
                  <w:tcW w:w="403" w:type="pct"/>
                  <w:tcBorders>
                    <w:tl2br w:val="nil"/>
                    <w:tr2bl w:val="nil"/>
                  </w:tcBorders>
                  <w:noWrap w:val="0"/>
                  <w:vAlign w:val="center"/>
                </w:tcPr>
                <w:p w14:paraId="6FF0A515">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w:t>
                  </w:r>
                </w:p>
              </w:tc>
            </w:tr>
            <w:tr w14:paraId="68C3B8A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36" w:type="pct"/>
                  <w:tcBorders>
                    <w:tl2br w:val="nil"/>
                    <w:tr2bl w:val="nil"/>
                  </w:tcBorders>
                  <w:noWrap w:val="0"/>
                  <w:vAlign w:val="center"/>
                </w:tcPr>
                <w:p w14:paraId="3DF5271D">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7</w:t>
                  </w:r>
                </w:p>
              </w:tc>
              <w:tc>
                <w:tcPr>
                  <w:tcW w:w="237" w:type="pct"/>
                  <w:vMerge w:val="continue"/>
                  <w:tcBorders>
                    <w:tl2br w:val="nil"/>
                    <w:tr2bl w:val="nil"/>
                  </w:tcBorders>
                  <w:noWrap w:val="0"/>
                  <w:vAlign w:val="center"/>
                </w:tcPr>
                <w:p w14:paraId="747BD413">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393" w:type="pct"/>
                  <w:tcBorders>
                    <w:tl2br w:val="nil"/>
                    <w:tr2bl w:val="nil"/>
                  </w:tcBorders>
                  <w:noWrap w:val="0"/>
                  <w:vAlign w:val="center"/>
                </w:tcPr>
                <w:p w14:paraId="022CDB9C">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球磨机1</w:t>
                  </w:r>
                </w:p>
              </w:tc>
              <w:tc>
                <w:tcPr>
                  <w:tcW w:w="451" w:type="pct"/>
                  <w:tcBorders>
                    <w:tl2br w:val="nil"/>
                    <w:tr2bl w:val="nil"/>
                  </w:tcBorders>
                  <w:noWrap w:val="0"/>
                  <w:vAlign w:val="center"/>
                </w:tcPr>
                <w:p w14:paraId="3CB3C5DE">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85</w:t>
                  </w:r>
                </w:p>
              </w:tc>
              <w:tc>
                <w:tcPr>
                  <w:tcW w:w="923" w:type="pct"/>
                  <w:tcBorders>
                    <w:tl2br w:val="nil"/>
                    <w:tr2bl w:val="nil"/>
                  </w:tcBorders>
                  <w:noWrap w:val="0"/>
                  <w:vAlign w:val="center"/>
                </w:tcPr>
                <w:p w14:paraId="2CD382BB">
                  <w:pPr>
                    <w:jc w:val="center"/>
                    <w:rPr>
                      <w:rFonts w:hint="default" w:ascii="Times New Roman" w:hAnsi="Times New Roman" w:eastAsia="宋体" w:cs="Times New Roman"/>
                      <w:color w:val="000000" w:themeColor="text1"/>
                      <w:kern w:val="0"/>
                      <w:szCs w:val="21"/>
                      <w:lang w:bidi="ar"/>
                      <w14:textFill>
                        <w14:solidFill>
                          <w14:schemeClr w14:val="tx1"/>
                        </w14:solidFill>
                      </w14:textFill>
                    </w:rPr>
                  </w:pPr>
                  <w:r>
                    <w:rPr>
                      <w:rFonts w:hint="default" w:ascii="Times New Roman" w:hAnsi="Times New Roman" w:eastAsia="宋体" w:cs="Times New Roman"/>
                      <w:color w:val="000000" w:themeColor="text1"/>
                      <w:kern w:val="0"/>
                      <w:szCs w:val="21"/>
                      <w:lang w:bidi="ar"/>
                      <w14:textFill>
                        <w14:solidFill>
                          <w14:schemeClr w14:val="tx1"/>
                        </w14:solidFill>
                      </w14:textFill>
                    </w:rPr>
                    <w:t>基础减振</w:t>
                  </w:r>
                  <w:r>
                    <w:rPr>
                      <w:rFonts w:hint="eastAsia" w:ascii="Times New Roman" w:hAnsi="Times New Roman" w:eastAsia="宋体" w:cs="Times New Roman"/>
                      <w:color w:val="000000" w:themeColor="text1"/>
                      <w:kern w:val="0"/>
                      <w:szCs w:val="21"/>
                      <w:lang w:eastAsia="zh-CN" w:bidi="ar"/>
                      <w14:textFill>
                        <w14:solidFill>
                          <w14:schemeClr w14:val="tx1"/>
                        </w14:solidFill>
                      </w14:textFill>
                    </w:rPr>
                    <w:t>、</w:t>
                  </w:r>
                  <w:r>
                    <w:rPr>
                      <w:rFonts w:hint="eastAsia" w:ascii="Times New Roman" w:hAnsi="Times New Roman" w:eastAsia="宋体" w:cs="Times New Roman"/>
                      <w:color w:val="000000" w:themeColor="text1"/>
                      <w:kern w:val="0"/>
                      <w:szCs w:val="21"/>
                      <w:lang w:val="en-US" w:eastAsia="zh-CN" w:bidi="ar"/>
                      <w14:textFill>
                        <w14:solidFill>
                          <w14:schemeClr w14:val="tx1"/>
                        </w14:solidFill>
                      </w14:textFill>
                    </w:rPr>
                    <w:t>厂房隔声</w:t>
                  </w:r>
                </w:p>
              </w:tc>
              <w:tc>
                <w:tcPr>
                  <w:tcW w:w="273" w:type="pct"/>
                  <w:tcBorders>
                    <w:tl2br w:val="nil"/>
                    <w:tr2bl w:val="nil"/>
                  </w:tcBorders>
                  <w:noWrap w:val="0"/>
                  <w:vAlign w:val="center"/>
                </w:tcPr>
                <w:p w14:paraId="2B011D28">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11</w:t>
                  </w:r>
                </w:p>
              </w:tc>
              <w:tc>
                <w:tcPr>
                  <w:tcW w:w="333" w:type="pct"/>
                  <w:tcBorders>
                    <w:tl2br w:val="nil"/>
                    <w:tr2bl w:val="nil"/>
                  </w:tcBorders>
                  <w:noWrap w:val="0"/>
                  <w:vAlign w:val="center"/>
                </w:tcPr>
                <w:p w14:paraId="4D53FCC8">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33</w:t>
                  </w:r>
                </w:p>
              </w:tc>
              <w:tc>
                <w:tcPr>
                  <w:tcW w:w="204" w:type="pct"/>
                  <w:tcBorders>
                    <w:tl2br w:val="nil"/>
                    <w:tr2bl w:val="nil"/>
                  </w:tcBorders>
                  <w:noWrap w:val="0"/>
                  <w:vAlign w:val="center"/>
                </w:tcPr>
                <w:p w14:paraId="79D27116">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w:t>
                  </w:r>
                </w:p>
              </w:tc>
              <w:tc>
                <w:tcPr>
                  <w:tcW w:w="237" w:type="pct"/>
                  <w:tcBorders>
                    <w:tl2br w:val="nil"/>
                    <w:tr2bl w:val="nil"/>
                  </w:tcBorders>
                  <w:noWrap w:val="0"/>
                  <w:vAlign w:val="center"/>
                </w:tcPr>
                <w:p w14:paraId="2A1BA300">
                  <w:pPr>
                    <w:jc w:val="center"/>
                    <w:rPr>
                      <w:rFonts w:hint="default" w:ascii="Times New Roman" w:hAnsi="Times New Roman" w:eastAsia="宋体" w:cs="Times New Roman"/>
                      <w:color w:val="000000" w:themeColor="text1"/>
                      <w:kern w:val="0"/>
                      <w:szCs w:val="21"/>
                      <w:lang w:val="en-US" w:eastAsia="zh-CN" w:bidi="ar"/>
                      <w14:textFill>
                        <w14:solidFill>
                          <w14:schemeClr w14:val="tx1"/>
                        </w14:solidFill>
                      </w14:textFill>
                    </w:rPr>
                  </w:pPr>
                  <w:r>
                    <w:rPr>
                      <w:rFonts w:hint="eastAsia" w:ascii="Times New Roman" w:hAnsi="Times New Roman" w:cs="Times New Roman"/>
                      <w:color w:val="000000" w:themeColor="text1"/>
                      <w:kern w:val="0"/>
                      <w:szCs w:val="21"/>
                      <w:lang w:val="en-US" w:eastAsia="zh-CN" w:bidi="ar"/>
                      <w14:textFill>
                        <w14:solidFill>
                          <w14:schemeClr w14:val="tx1"/>
                        </w14:solidFill>
                      </w14:textFill>
                    </w:rPr>
                    <w:t>3</w:t>
                  </w:r>
                </w:p>
              </w:tc>
              <w:tc>
                <w:tcPr>
                  <w:tcW w:w="237" w:type="pct"/>
                  <w:tcBorders>
                    <w:tl2br w:val="nil"/>
                    <w:tr2bl w:val="nil"/>
                  </w:tcBorders>
                  <w:noWrap w:val="0"/>
                  <w:vAlign w:val="center"/>
                </w:tcPr>
                <w:p w14:paraId="7E848B3E">
                  <w:pPr>
                    <w:jc w:val="center"/>
                    <w:rPr>
                      <w:rFonts w:hint="default" w:ascii="Times New Roman" w:hAnsi="Times New Roman" w:eastAsia="宋体" w:cs="Times New Roman"/>
                      <w:color w:val="000000" w:themeColor="text1"/>
                      <w:kern w:val="0"/>
                      <w:szCs w:val="21"/>
                      <w:lang w:val="en-US" w:eastAsia="zh-CN" w:bidi="ar"/>
                      <w14:textFill>
                        <w14:solidFill>
                          <w14:schemeClr w14:val="tx1"/>
                        </w14:solidFill>
                      </w14:textFill>
                    </w:rPr>
                  </w:pPr>
                  <w:r>
                    <w:rPr>
                      <w:rFonts w:hint="eastAsia" w:ascii="Times New Roman" w:hAnsi="Times New Roman" w:cs="Times New Roman"/>
                      <w:color w:val="000000" w:themeColor="text1"/>
                      <w:kern w:val="0"/>
                      <w:szCs w:val="21"/>
                      <w:lang w:val="en-US" w:eastAsia="zh-CN" w:bidi="ar"/>
                      <w14:textFill>
                        <w14:solidFill>
                          <w14:schemeClr w14:val="tx1"/>
                        </w14:solidFill>
                      </w14:textFill>
                    </w:rPr>
                    <w:t>75</w:t>
                  </w:r>
                </w:p>
              </w:tc>
              <w:tc>
                <w:tcPr>
                  <w:tcW w:w="237" w:type="pct"/>
                  <w:tcBorders>
                    <w:tl2br w:val="nil"/>
                    <w:tr2bl w:val="nil"/>
                  </w:tcBorders>
                  <w:noWrap w:val="0"/>
                  <w:vAlign w:val="center"/>
                </w:tcPr>
                <w:p w14:paraId="41B7EFF4">
                  <w:pPr>
                    <w:jc w:val="center"/>
                    <w:rPr>
                      <w:rFonts w:hint="default" w:ascii="Times New Roman" w:hAnsi="Times New Roman" w:eastAsia="宋体" w:cs="Times New Roman"/>
                      <w:color w:val="000000" w:themeColor="text1"/>
                      <w:kern w:val="0"/>
                      <w:szCs w:val="21"/>
                      <w:lang w:bidi="ar"/>
                      <w14:textFill>
                        <w14:solidFill>
                          <w14:schemeClr w14:val="tx1"/>
                        </w14:solidFill>
                      </w14:textFill>
                    </w:rPr>
                  </w:pPr>
                  <w:r>
                    <w:rPr>
                      <w:rFonts w:hint="default" w:ascii="Times New Roman" w:hAnsi="Times New Roman" w:eastAsia="宋体" w:cs="Times New Roman"/>
                      <w:color w:val="000000" w:themeColor="text1"/>
                      <w:kern w:val="0"/>
                      <w:szCs w:val="21"/>
                      <w:lang w:bidi="ar"/>
                      <w14:textFill>
                        <w14:solidFill>
                          <w14:schemeClr w14:val="tx1"/>
                        </w14:solidFill>
                      </w14:textFill>
                    </w:rPr>
                    <w:t>昼</w:t>
                  </w:r>
                  <w:r>
                    <w:rPr>
                      <w:rFonts w:hint="default" w:ascii="Times New Roman" w:hAnsi="Times New Roman" w:eastAsia="宋体" w:cs="Times New Roman"/>
                      <w:color w:val="000000" w:themeColor="text1"/>
                      <w:szCs w:val="21"/>
                      <w14:textFill>
                        <w14:solidFill>
                          <w14:schemeClr w14:val="tx1"/>
                        </w14:solidFill>
                      </w14:textFill>
                    </w:rPr>
                    <w:t>间</w:t>
                  </w:r>
                </w:p>
              </w:tc>
              <w:tc>
                <w:tcPr>
                  <w:tcW w:w="374" w:type="pct"/>
                  <w:tcBorders>
                    <w:tl2br w:val="nil"/>
                    <w:tr2bl w:val="nil"/>
                  </w:tcBorders>
                  <w:noWrap w:val="0"/>
                  <w:vAlign w:val="center"/>
                </w:tcPr>
                <w:p w14:paraId="3CC474D5">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20</w:t>
                  </w:r>
                </w:p>
              </w:tc>
              <w:tc>
                <w:tcPr>
                  <w:tcW w:w="458" w:type="pct"/>
                  <w:tcBorders>
                    <w:tl2br w:val="nil"/>
                    <w:tr2bl w:val="nil"/>
                  </w:tcBorders>
                  <w:noWrap w:val="0"/>
                  <w:vAlign w:val="center"/>
                </w:tcPr>
                <w:p w14:paraId="40F08DD0">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55</w:t>
                  </w:r>
                </w:p>
              </w:tc>
              <w:tc>
                <w:tcPr>
                  <w:tcW w:w="403" w:type="pct"/>
                  <w:tcBorders>
                    <w:tl2br w:val="nil"/>
                    <w:tr2bl w:val="nil"/>
                  </w:tcBorders>
                  <w:noWrap w:val="0"/>
                  <w:vAlign w:val="center"/>
                </w:tcPr>
                <w:p w14:paraId="03C1DFF6">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w:t>
                  </w:r>
                </w:p>
              </w:tc>
            </w:tr>
            <w:tr w14:paraId="484C471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36" w:type="pct"/>
                  <w:tcBorders>
                    <w:tl2br w:val="nil"/>
                    <w:tr2bl w:val="nil"/>
                  </w:tcBorders>
                  <w:noWrap w:val="0"/>
                  <w:vAlign w:val="center"/>
                </w:tcPr>
                <w:p w14:paraId="2DCB2689">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8</w:t>
                  </w:r>
                </w:p>
              </w:tc>
              <w:tc>
                <w:tcPr>
                  <w:tcW w:w="237" w:type="pct"/>
                  <w:vMerge w:val="continue"/>
                  <w:tcBorders>
                    <w:tl2br w:val="nil"/>
                    <w:tr2bl w:val="nil"/>
                  </w:tcBorders>
                  <w:noWrap w:val="0"/>
                  <w:vAlign w:val="center"/>
                </w:tcPr>
                <w:p w14:paraId="3FD04DD4">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393" w:type="pct"/>
                  <w:tcBorders>
                    <w:tl2br w:val="nil"/>
                    <w:tr2bl w:val="nil"/>
                  </w:tcBorders>
                  <w:noWrap w:val="0"/>
                  <w:vAlign w:val="center"/>
                </w:tcPr>
                <w:p w14:paraId="5B017D33">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球磨机2</w:t>
                  </w:r>
                </w:p>
              </w:tc>
              <w:tc>
                <w:tcPr>
                  <w:tcW w:w="451" w:type="pct"/>
                  <w:tcBorders>
                    <w:tl2br w:val="nil"/>
                    <w:tr2bl w:val="nil"/>
                  </w:tcBorders>
                  <w:noWrap w:val="0"/>
                  <w:vAlign w:val="center"/>
                </w:tcPr>
                <w:p w14:paraId="11F5F2BF">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85</w:t>
                  </w:r>
                </w:p>
              </w:tc>
              <w:tc>
                <w:tcPr>
                  <w:tcW w:w="923" w:type="pct"/>
                  <w:tcBorders>
                    <w:tl2br w:val="nil"/>
                    <w:tr2bl w:val="nil"/>
                  </w:tcBorders>
                  <w:noWrap w:val="0"/>
                  <w:vAlign w:val="center"/>
                </w:tcPr>
                <w:p w14:paraId="0CC98B61">
                  <w:pPr>
                    <w:jc w:val="center"/>
                    <w:rPr>
                      <w:rFonts w:hint="default" w:ascii="Times New Roman" w:hAnsi="Times New Roman" w:eastAsia="宋体" w:cs="Times New Roman"/>
                      <w:color w:val="000000" w:themeColor="text1"/>
                      <w:kern w:val="0"/>
                      <w:szCs w:val="21"/>
                      <w:lang w:bidi="ar"/>
                      <w14:textFill>
                        <w14:solidFill>
                          <w14:schemeClr w14:val="tx1"/>
                        </w14:solidFill>
                      </w14:textFill>
                    </w:rPr>
                  </w:pPr>
                  <w:r>
                    <w:rPr>
                      <w:rFonts w:hint="default" w:ascii="Times New Roman" w:hAnsi="Times New Roman" w:eastAsia="宋体" w:cs="Times New Roman"/>
                      <w:color w:val="000000" w:themeColor="text1"/>
                      <w:kern w:val="0"/>
                      <w:szCs w:val="21"/>
                      <w:lang w:bidi="ar"/>
                      <w14:textFill>
                        <w14:solidFill>
                          <w14:schemeClr w14:val="tx1"/>
                        </w14:solidFill>
                      </w14:textFill>
                    </w:rPr>
                    <w:t>基础减振</w:t>
                  </w:r>
                  <w:r>
                    <w:rPr>
                      <w:rFonts w:hint="eastAsia" w:ascii="Times New Roman" w:hAnsi="Times New Roman" w:eastAsia="宋体" w:cs="Times New Roman"/>
                      <w:color w:val="000000" w:themeColor="text1"/>
                      <w:kern w:val="0"/>
                      <w:szCs w:val="21"/>
                      <w:lang w:eastAsia="zh-CN" w:bidi="ar"/>
                      <w14:textFill>
                        <w14:solidFill>
                          <w14:schemeClr w14:val="tx1"/>
                        </w14:solidFill>
                      </w14:textFill>
                    </w:rPr>
                    <w:t>、</w:t>
                  </w:r>
                  <w:r>
                    <w:rPr>
                      <w:rFonts w:hint="eastAsia" w:ascii="Times New Roman" w:hAnsi="Times New Roman" w:eastAsia="宋体" w:cs="Times New Roman"/>
                      <w:color w:val="000000" w:themeColor="text1"/>
                      <w:kern w:val="0"/>
                      <w:szCs w:val="21"/>
                      <w:lang w:val="en-US" w:eastAsia="zh-CN" w:bidi="ar"/>
                      <w14:textFill>
                        <w14:solidFill>
                          <w14:schemeClr w14:val="tx1"/>
                        </w14:solidFill>
                      </w14:textFill>
                    </w:rPr>
                    <w:t>厂房隔声</w:t>
                  </w:r>
                </w:p>
              </w:tc>
              <w:tc>
                <w:tcPr>
                  <w:tcW w:w="273" w:type="pct"/>
                  <w:tcBorders>
                    <w:tl2br w:val="nil"/>
                    <w:tr2bl w:val="nil"/>
                  </w:tcBorders>
                  <w:noWrap w:val="0"/>
                  <w:vAlign w:val="center"/>
                </w:tcPr>
                <w:p w14:paraId="5DE7D3B2">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12</w:t>
                  </w:r>
                </w:p>
              </w:tc>
              <w:tc>
                <w:tcPr>
                  <w:tcW w:w="333" w:type="pct"/>
                  <w:tcBorders>
                    <w:tl2br w:val="nil"/>
                    <w:tr2bl w:val="nil"/>
                  </w:tcBorders>
                  <w:noWrap w:val="0"/>
                  <w:vAlign w:val="center"/>
                </w:tcPr>
                <w:p w14:paraId="2843E029">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33</w:t>
                  </w:r>
                </w:p>
              </w:tc>
              <w:tc>
                <w:tcPr>
                  <w:tcW w:w="204" w:type="pct"/>
                  <w:tcBorders>
                    <w:tl2br w:val="nil"/>
                    <w:tr2bl w:val="nil"/>
                  </w:tcBorders>
                  <w:noWrap w:val="0"/>
                  <w:vAlign w:val="center"/>
                </w:tcPr>
                <w:p w14:paraId="47B44FC0">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w:t>
                  </w:r>
                </w:p>
              </w:tc>
              <w:tc>
                <w:tcPr>
                  <w:tcW w:w="237" w:type="pct"/>
                  <w:tcBorders>
                    <w:tl2br w:val="nil"/>
                    <w:tr2bl w:val="nil"/>
                  </w:tcBorders>
                  <w:noWrap w:val="0"/>
                  <w:vAlign w:val="center"/>
                </w:tcPr>
                <w:p w14:paraId="102E0DC6">
                  <w:pPr>
                    <w:jc w:val="center"/>
                    <w:rPr>
                      <w:rFonts w:hint="default" w:ascii="Times New Roman" w:hAnsi="Times New Roman" w:eastAsia="宋体" w:cs="Times New Roman"/>
                      <w:color w:val="000000" w:themeColor="text1"/>
                      <w:kern w:val="0"/>
                      <w:szCs w:val="21"/>
                      <w:lang w:val="en-US" w:eastAsia="zh-CN" w:bidi="ar"/>
                      <w14:textFill>
                        <w14:solidFill>
                          <w14:schemeClr w14:val="tx1"/>
                        </w14:solidFill>
                      </w14:textFill>
                    </w:rPr>
                  </w:pPr>
                  <w:r>
                    <w:rPr>
                      <w:rFonts w:hint="eastAsia" w:ascii="Times New Roman" w:hAnsi="Times New Roman" w:cs="Times New Roman"/>
                      <w:color w:val="000000" w:themeColor="text1"/>
                      <w:kern w:val="0"/>
                      <w:szCs w:val="21"/>
                      <w:lang w:val="en-US" w:eastAsia="zh-CN" w:bidi="ar"/>
                      <w14:textFill>
                        <w14:solidFill>
                          <w14:schemeClr w14:val="tx1"/>
                        </w14:solidFill>
                      </w14:textFill>
                    </w:rPr>
                    <w:t>3</w:t>
                  </w:r>
                </w:p>
              </w:tc>
              <w:tc>
                <w:tcPr>
                  <w:tcW w:w="237" w:type="pct"/>
                  <w:tcBorders>
                    <w:tl2br w:val="nil"/>
                    <w:tr2bl w:val="nil"/>
                  </w:tcBorders>
                  <w:noWrap w:val="0"/>
                  <w:vAlign w:val="center"/>
                </w:tcPr>
                <w:p w14:paraId="2200F4BF">
                  <w:pPr>
                    <w:jc w:val="center"/>
                    <w:rPr>
                      <w:rFonts w:hint="default" w:ascii="Times New Roman" w:hAnsi="Times New Roman" w:eastAsia="宋体" w:cs="Times New Roman"/>
                      <w:color w:val="000000" w:themeColor="text1"/>
                      <w:kern w:val="0"/>
                      <w:szCs w:val="21"/>
                      <w:lang w:val="en-US" w:eastAsia="zh-CN" w:bidi="ar"/>
                      <w14:textFill>
                        <w14:solidFill>
                          <w14:schemeClr w14:val="tx1"/>
                        </w14:solidFill>
                      </w14:textFill>
                    </w:rPr>
                  </w:pPr>
                  <w:r>
                    <w:rPr>
                      <w:rFonts w:hint="eastAsia" w:ascii="Times New Roman" w:hAnsi="Times New Roman" w:cs="Times New Roman"/>
                      <w:color w:val="000000" w:themeColor="text1"/>
                      <w:kern w:val="0"/>
                      <w:szCs w:val="21"/>
                      <w:lang w:val="en-US" w:eastAsia="zh-CN" w:bidi="ar"/>
                      <w14:textFill>
                        <w14:solidFill>
                          <w14:schemeClr w14:val="tx1"/>
                        </w14:solidFill>
                      </w14:textFill>
                    </w:rPr>
                    <w:t>75</w:t>
                  </w:r>
                </w:p>
              </w:tc>
              <w:tc>
                <w:tcPr>
                  <w:tcW w:w="237" w:type="pct"/>
                  <w:tcBorders>
                    <w:tl2br w:val="nil"/>
                    <w:tr2bl w:val="nil"/>
                  </w:tcBorders>
                  <w:noWrap w:val="0"/>
                  <w:vAlign w:val="center"/>
                </w:tcPr>
                <w:p w14:paraId="053506B6">
                  <w:pPr>
                    <w:jc w:val="center"/>
                    <w:rPr>
                      <w:rFonts w:hint="default" w:ascii="Times New Roman" w:hAnsi="Times New Roman" w:eastAsia="宋体" w:cs="Times New Roman"/>
                      <w:color w:val="000000" w:themeColor="text1"/>
                      <w:kern w:val="0"/>
                      <w:szCs w:val="21"/>
                      <w:lang w:bidi="ar"/>
                      <w14:textFill>
                        <w14:solidFill>
                          <w14:schemeClr w14:val="tx1"/>
                        </w14:solidFill>
                      </w14:textFill>
                    </w:rPr>
                  </w:pPr>
                  <w:r>
                    <w:rPr>
                      <w:rFonts w:hint="default" w:ascii="Times New Roman" w:hAnsi="Times New Roman" w:eastAsia="宋体" w:cs="Times New Roman"/>
                      <w:color w:val="000000" w:themeColor="text1"/>
                      <w:kern w:val="0"/>
                      <w:szCs w:val="21"/>
                      <w:lang w:bidi="ar"/>
                      <w14:textFill>
                        <w14:solidFill>
                          <w14:schemeClr w14:val="tx1"/>
                        </w14:solidFill>
                      </w14:textFill>
                    </w:rPr>
                    <w:t>昼</w:t>
                  </w:r>
                  <w:r>
                    <w:rPr>
                      <w:rFonts w:hint="default" w:ascii="Times New Roman" w:hAnsi="Times New Roman" w:eastAsia="宋体" w:cs="Times New Roman"/>
                      <w:color w:val="000000" w:themeColor="text1"/>
                      <w:szCs w:val="21"/>
                      <w14:textFill>
                        <w14:solidFill>
                          <w14:schemeClr w14:val="tx1"/>
                        </w14:solidFill>
                      </w14:textFill>
                    </w:rPr>
                    <w:t>间</w:t>
                  </w:r>
                </w:p>
              </w:tc>
              <w:tc>
                <w:tcPr>
                  <w:tcW w:w="374" w:type="pct"/>
                  <w:tcBorders>
                    <w:tl2br w:val="nil"/>
                    <w:tr2bl w:val="nil"/>
                  </w:tcBorders>
                  <w:noWrap w:val="0"/>
                  <w:vAlign w:val="center"/>
                </w:tcPr>
                <w:p w14:paraId="72309329">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20</w:t>
                  </w:r>
                </w:p>
              </w:tc>
              <w:tc>
                <w:tcPr>
                  <w:tcW w:w="458" w:type="pct"/>
                  <w:tcBorders>
                    <w:tl2br w:val="nil"/>
                    <w:tr2bl w:val="nil"/>
                  </w:tcBorders>
                  <w:noWrap w:val="0"/>
                  <w:vAlign w:val="center"/>
                </w:tcPr>
                <w:p w14:paraId="6D7A45DF">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55</w:t>
                  </w:r>
                </w:p>
              </w:tc>
              <w:tc>
                <w:tcPr>
                  <w:tcW w:w="403" w:type="pct"/>
                  <w:tcBorders>
                    <w:tl2br w:val="nil"/>
                    <w:tr2bl w:val="nil"/>
                  </w:tcBorders>
                  <w:noWrap w:val="0"/>
                  <w:vAlign w:val="center"/>
                </w:tcPr>
                <w:p w14:paraId="173C0EA4">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w:t>
                  </w:r>
                </w:p>
              </w:tc>
            </w:tr>
            <w:tr w14:paraId="2E991E0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36" w:type="pct"/>
                  <w:tcBorders>
                    <w:tl2br w:val="nil"/>
                    <w:tr2bl w:val="nil"/>
                  </w:tcBorders>
                  <w:noWrap w:val="0"/>
                  <w:vAlign w:val="center"/>
                </w:tcPr>
                <w:p w14:paraId="734F37B4">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9</w:t>
                  </w:r>
                </w:p>
              </w:tc>
              <w:tc>
                <w:tcPr>
                  <w:tcW w:w="237" w:type="pct"/>
                  <w:vMerge w:val="continue"/>
                  <w:tcBorders>
                    <w:tl2br w:val="nil"/>
                    <w:tr2bl w:val="nil"/>
                  </w:tcBorders>
                  <w:noWrap w:val="0"/>
                  <w:vAlign w:val="center"/>
                </w:tcPr>
                <w:p w14:paraId="14B11A7D">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393" w:type="pct"/>
                  <w:tcBorders>
                    <w:tl2br w:val="nil"/>
                    <w:tr2bl w:val="nil"/>
                  </w:tcBorders>
                  <w:noWrap w:val="0"/>
                  <w:vAlign w:val="center"/>
                </w:tcPr>
                <w:p w14:paraId="3DCE1F95">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球磨机3</w:t>
                  </w:r>
                </w:p>
              </w:tc>
              <w:tc>
                <w:tcPr>
                  <w:tcW w:w="451" w:type="pct"/>
                  <w:tcBorders>
                    <w:tl2br w:val="nil"/>
                    <w:tr2bl w:val="nil"/>
                  </w:tcBorders>
                  <w:noWrap w:val="0"/>
                  <w:vAlign w:val="center"/>
                </w:tcPr>
                <w:p w14:paraId="607ED259">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85</w:t>
                  </w:r>
                </w:p>
              </w:tc>
              <w:tc>
                <w:tcPr>
                  <w:tcW w:w="923" w:type="pct"/>
                  <w:tcBorders>
                    <w:tl2br w:val="nil"/>
                    <w:tr2bl w:val="nil"/>
                  </w:tcBorders>
                  <w:noWrap w:val="0"/>
                  <w:vAlign w:val="center"/>
                </w:tcPr>
                <w:p w14:paraId="6A7D18DA">
                  <w:pPr>
                    <w:jc w:val="center"/>
                    <w:rPr>
                      <w:rFonts w:hint="default" w:ascii="Times New Roman" w:hAnsi="Times New Roman" w:eastAsia="宋体" w:cs="Times New Roman"/>
                      <w:color w:val="000000" w:themeColor="text1"/>
                      <w:kern w:val="0"/>
                      <w:szCs w:val="21"/>
                      <w:lang w:bidi="ar"/>
                      <w14:textFill>
                        <w14:solidFill>
                          <w14:schemeClr w14:val="tx1"/>
                        </w14:solidFill>
                      </w14:textFill>
                    </w:rPr>
                  </w:pPr>
                  <w:r>
                    <w:rPr>
                      <w:rFonts w:hint="default" w:ascii="Times New Roman" w:hAnsi="Times New Roman" w:eastAsia="宋体" w:cs="Times New Roman"/>
                      <w:color w:val="000000" w:themeColor="text1"/>
                      <w:kern w:val="0"/>
                      <w:szCs w:val="21"/>
                      <w:lang w:bidi="ar"/>
                      <w14:textFill>
                        <w14:solidFill>
                          <w14:schemeClr w14:val="tx1"/>
                        </w14:solidFill>
                      </w14:textFill>
                    </w:rPr>
                    <w:t>基础减振</w:t>
                  </w:r>
                  <w:r>
                    <w:rPr>
                      <w:rFonts w:hint="eastAsia" w:ascii="Times New Roman" w:hAnsi="Times New Roman" w:eastAsia="宋体" w:cs="Times New Roman"/>
                      <w:color w:val="000000" w:themeColor="text1"/>
                      <w:kern w:val="0"/>
                      <w:szCs w:val="21"/>
                      <w:lang w:eastAsia="zh-CN" w:bidi="ar"/>
                      <w14:textFill>
                        <w14:solidFill>
                          <w14:schemeClr w14:val="tx1"/>
                        </w14:solidFill>
                      </w14:textFill>
                    </w:rPr>
                    <w:t>、</w:t>
                  </w:r>
                  <w:r>
                    <w:rPr>
                      <w:rFonts w:hint="eastAsia" w:ascii="Times New Roman" w:hAnsi="Times New Roman" w:eastAsia="宋体" w:cs="Times New Roman"/>
                      <w:color w:val="000000" w:themeColor="text1"/>
                      <w:kern w:val="0"/>
                      <w:szCs w:val="21"/>
                      <w:lang w:val="en-US" w:eastAsia="zh-CN" w:bidi="ar"/>
                      <w14:textFill>
                        <w14:solidFill>
                          <w14:schemeClr w14:val="tx1"/>
                        </w14:solidFill>
                      </w14:textFill>
                    </w:rPr>
                    <w:t>厂房隔声</w:t>
                  </w:r>
                </w:p>
              </w:tc>
              <w:tc>
                <w:tcPr>
                  <w:tcW w:w="273" w:type="pct"/>
                  <w:tcBorders>
                    <w:tl2br w:val="nil"/>
                    <w:tr2bl w:val="nil"/>
                  </w:tcBorders>
                  <w:noWrap w:val="0"/>
                  <w:vAlign w:val="center"/>
                </w:tcPr>
                <w:p w14:paraId="33636F78">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14</w:t>
                  </w:r>
                </w:p>
              </w:tc>
              <w:tc>
                <w:tcPr>
                  <w:tcW w:w="333" w:type="pct"/>
                  <w:tcBorders>
                    <w:tl2br w:val="nil"/>
                    <w:tr2bl w:val="nil"/>
                  </w:tcBorders>
                  <w:noWrap w:val="0"/>
                  <w:vAlign w:val="center"/>
                </w:tcPr>
                <w:p w14:paraId="4A7E39FA">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33</w:t>
                  </w:r>
                </w:p>
              </w:tc>
              <w:tc>
                <w:tcPr>
                  <w:tcW w:w="204" w:type="pct"/>
                  <w:tcBorders>
                    <w:tl2br w:val="nil"/>
                    <w:tr2bl w:val="nil"/>
                  </w:tcBorders>
                  <w:noWrap w:val="0"/>
                  <w:vAlign w:val="center"/>
                </w:tcPr>
                <w:p w14:paraId="31E2F15B">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w:t>
                  </w:r>
                </w:p>
              </w:tc>
              <w:tc>
                <w:tcPr>
                  <w:tcW w:w="237" w:type="pct"/>
                  <w:tcBorders>
                    <w:tl2br w:val="nil"/>
                    <w:tr2bl w:val="nil"/>
                  </w:tcBorders>
                  <w:noWrap w:val="0"/>
                  <w:vAlign w:val="center"/>
                </w:tcPr>
                <w:p w14:paraId="4834E686">
                  <w:pPr>
                    <w:jc w:val="center"/>
                    <w:rPr>
                      <w:rFonts w:hint="default" w:ascii="Times New Roman" w:hAnsi="Times New Roman" w:eastAsia="宋体" w:cs="Times New Roman"/>
                      <w:color w:val="000000" w:themeColor="text1"/>
                      <w:kern w:val="0"/>
                      <w:szCs w:val="21"/>
                      <w:lang w:val="en-US" w:eastAsia="zh-CN" w:bidi="ar"/>
                      <w14:textFill>
                        <w14:solidFill>
                          <w14:schemeClr w14:val="tx1"/>
                        </w14:solidFill>
                      </w14:textFill>
                    </w:rPr>
                  </w:pPr>
                  <w:r>
                    <w:rPr>
                      <w:rFonts w:hint="eastAsia" w:ascii="Times New Roman" w:hAnsi="Times New Roman" w:cs="Times New Roman"/>
                      <w:color w:val="000000" w:themeColor="text1"/>
                      <w:kern w:val="0"/>
                      <w:szCs w:val="21"/>
                      <w:lang w:val="en-US" w:eastAsia="zh-CN" w:bidi="ar"/>
                      <w14:textFill>
                        <w14:solidFill>
                          <w14:schemeClr w14:val="tx1"/>
                        </w14:solidFill>
                      </w14:textFill>
                    </w:rPr>
                    <w:t>3</w:t>
                  </w:r>
                </w:p>
              </w:tc>
              <w:tc>
                <w:tcPr>
                  <w:tcW w:w="237" w:type="pct"/>
                  <w:tcBorders>
                    <w:tl2br w:val="nil"/>
                    <w:tr2bl w:val="nil"/>
                  </w:tcBorders>
                  <w:noWrap w:val="0"/>
                  <w:vAlign w:val="center"/>
                </w:tcPr>
                <w:p w14:paraId="39F90EA2">
                  <w:pPr>
                    <w:jc w:val="center"/>
                    <w:rPr>
                      <w:rFonts w:hint="default" w:ascii="Times New Roman" w:hAnsi="Times New Roman" w:eastAsia="宋体" w:cs="Times New Roman"/>
                      <w:color w:val="000000" w:themeColor="text1"/>
                      <w:kern w:val="0"/>
                      <w:szCs w:val="21"/>
                      <w:lang w:val="en-US" w:eastAsia="zh-CN" w:bidi="ar"/>
                      <w14:textFill>
                        <w14:solidFill>
                          <w14:schemeClr w14:val="tx1"/>
                        </w14:solidFill>
                      </w14:textFill>
                    </w:rPr>
                  </w:pPr>
                  <w:r>
                    <w:rPr>
                      <w:rFonts w:hint="eastAsia" w:ascii="Times New Roman" w:hAnsi="Times New Roman" w:cs="Times New Roman"/>
                      <w:color w:val="000000" w:themeColor="text1"/>
                      <w:kern w:val="0"/>
                      <w:szCs w:val="21"/>
                      <w:lang w:val="en-US" w:eastAsia="zh-CN" w:bidi="ar"/>
                      <w14:textFill>
                        <w14:solidFill>
                          <w14:schemeClr w14:val="tx1"/>
                        </w14:solidFill>
                      </w14:textFill>
                    </w:rPr>
                    <w:t>75</w:t>
                  </w:r>
                </w:p>
              </w:tc>
              <w:tc>
                <w:tcPr>
                  <w:tcW w:w="237" w:type="pct"/>
                  <w:tcBorders>
                    <w:tl2br w:val="nil"/>
                    <w:tr2bl w:val="nil"/>
                  </w:tcBorders>
                  <w:noWrap w:val="0"/>
                  <w:vAlign w:val="center"/>
                </w:tcPr>
                <w:p w14:paraId="24401AB0">
                  <w:pPr>
                    <w:jc w:val="center"/>
                    <w:rPr>
                      <w:rFonts w:hint="default" w:ascii="Times New Roman" w:hAnsi="Times New Roman" w:eastAsia="宋体" w:cs="Times New Roman"/>
                      <w:color w:val="000000" w:themeColor="text1"/>
                      <w:kern w:val="0"/>
                      <w:szCs w:val="21"/>
                      <w:lang w:bidi="ar"/>
                      <w14:textFill>
                        <w14:solidFill>
                          <w14:schemeClr w14:val="tx1"/>
                        </w14:solidFill>
                      </w14:textFill>
                    </w:rPr>
                  </w:pPr>
                  <w:r>
                    <w:rPr>
                      <w:rFonts w:hint="default" w:ascii="Times New Roman" w:hAnsi="Times New Roman" w:eastAsia="宋体" w:cs="Times New Roman"/>
                      <w:color w:val="000000" w:themeColor="text1"/>
                      <w:kern w:val="0"/>
                      <w:szCs w:val="21"/>
                      <w:lang w:bidi="ar"/>
                      <w14:textFill>
                        <w14:solidFill>
                          <w14:schemeClr w14:val="tx1"/>
                        </w14:solidFill>
                      </w14:textFill>
                    </w:rPr>
                    <w:t>昼</w:t>
                  </w:r>
                  <w:r>
                    <w:rPr>
                      <w:rFonts w:hint="default" w:ascii="Times New Roman" w:hAnsi="Times New Roman" w:eastAsia="宋体" w:cs="Times New Roman"/>
                      <w:color w:val="000000" w:themeColor="text1"/>
                      <w:szCs w:val="21"/>
                      <w14:textFill>
                        <w14:solidFill>
                          <w14:schemeClr w14:val="tx1"/>
                        </w14:solidFill>
                      </w14:textFill>
                    </w:rPr>
                    <w:t>间</w:t>
                  </w:r>
                </w:p>
              </w:tc>
              <w:tc>
                <w:tcPr>
                  <w:tcW w:w="374" w:type="pct"/>
                  <w:tcBorders>
                    <w:tl2br w:val="nil"/>
                    <w:tr2bl w:val="nil"/>
                  </w:tcBorders>
                  <w:noWrap w:val="0"/>
                  <w:vAlign w:val="center"/>
                </w:tcPr>
                <w:p w14:paraId="7CAB9FFF">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20</w:t>
                  </w:r>
                </w:p>
              </w:tc>
              <w:tc>
                <w:tcPr>
                  <w:tcW w:w="458" w:type="pct"/>
                  <w:tcBorders>
                    <w:tl2br w:val="nil"/>
                    <w:tr2bl w:val="nil"/>
                  </w:tcBorders>
                  <w:noWrap w:val="0"/>
                  <w:vAlign w:val="center"/>
                </w:tcPr>
                <w:p w14:paraId="02514F9B">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55</w:t>
                  </w:r>
                </w:p>
              </w:tc>
              <w:tc>
                <w:tcPr>
                  <w:tcW w:w="403" w:type="pct"/>
                  <w:tcBorders>
                    <w:tl2br w:val="nil"/>
                    <w:tr2bl w:val="nil"/>
                  </w:tcBorders>
                  <w:noWrap w:val="0"/>
                  <w:vAlign w:val="center"/>
                </w:tcPr>
                <w:p w14:paraId="7A8F48B8">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w:t>
                  </w:r>
                </w:p>
              </w:tc>
            </w:tr>
            <w:tr w14:paraId="4FCB11B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36" w:type="pct"/>
                  <w:tcBorders>
                    <w:tl2br w:val="nil"/>
                    <w:tr2bl w:val="nil"/>
                  </w:tcBorders>
                  <w:noWrap w:val="0"/>
                  <w:vAlign w:val="center"/>
                </w:tcPr>
                <w:p w14:paraId="4613279F">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10</w:t>
                  </w:r>
                </w:p>
              </w:tc>
              <w:tc>
                <w:tcPr>
                  <w:tcW w:w="237" w:type="pct"/>
                  <w:vMerge w:val="continue"/>
                  <w:tcBorders>
                    <w:tl2br w:val="nil"/>
                    <w:tr2bl w:val="nil"/>
                  </w:tcBorders>
                  <w:noWrap w:val="0"/>
                  <w:vAlign w:val="center"/>
                </w:tcPr>
                <w:p w14:paraId="6E6532F8">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393" w:type="pct"/>
                  <w:tcBorders>
                    <w:tl2br w:val="nil"/>
                    <w:tr2bl w:val="nil"/>
                  </w:tcBorders>
                  <w:noWrap w:val="0"/>
                  <w:vAlign w:val="center"/>
                </w:tcPr>
                <w:p w14:paraId="64E83353">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喷雾干燥塔</w:t>
                  </w:r>
                </w:p>
              </w:tc>
              <w:tc>
                <w:tcPr>
                  <w:tcW w:w="451" w:type="pct"/>
                  <w:tcBorders>
                    <w:tl2br w:val="nil"/>
                    <w:tr2bl w:val="nil"/>
                  </w:tcBorders>
                  <w:noWrap w:val="0"/>
                  <w:vAlign w:val="center"/>
                </w:tcPr>
                <w:p w14:paraId="6575D176">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90</w:t>
                  </w:r>
                </w:p>
              </w:tc>
              <w:tc>
                <w:tcPr>
                  <w:tcW w:w="923" w:type="pct"/>
                  <w:tcBorders>
                    <w:tl2br w:val="nil"/>
                    <w:tr2bl w:val="nil"/>
                  </w:tcBorders>
                  <w:noWrap w:val="0"/>
                  <w:vAlign w:val="center"/>
                </w:tcPr>
                <w:p w14:paraId="0892EF26">
                  <w:pPr>
                    <w:jc w:val="center"/>
                    <w:rPr>
                      <w:rFonts w:hint="default" w:ascii="Times New Roman" w:hAnsi="Times New Roman" w:eastAsia="宋体" w:cs="Times New Roman"/>
                      <w:color w:val="000000" w:themeColor="text1"/>
                      <w:kern w:val="0"/>
                      <w:szCs w:val="21"/>
                      <w:lang w:bidi="ar"/>
                      <w14:textFill>
                        <w14:solidFill>
                          <w14:schemeClr w14:val="tx1"/>
                        </w14:solidFill>
                      </w14:textFill>
                    </w:rPr>
                  </w:pPr>
                  <w:r>
                    <w:rPr>
                      <w:rFonts w:hint="default" w:ascii="Times New Roman" w:hAnsi="Times New Roman" w:eastAsia="宋体" w:cs="Times New Roman"/>
                      <w:color w:val="000000" w:themeColor="text1"/>
                      <w:kern w:val="0"/>
                      <w:szCs w:val="21"/>
                      <w:lang w:bidi="ar"/>
                      <w14:textFill>
                        <w14:solidFill>
                          <w14:schemeClr w14:val="tx1"/>
                        </w14:solidFill>
                      </w14:textFill>
                    </w:rPr>
                    <w:t>基础减振</w:t>
                  </w:r>
                  <w:r>
                    <w:rPr>
                      <w:rFonts w:hint="eastAsia" w:ascii="Times New Roman" w:hAnsi="Times New Roman" w:eastAsia="宋体" w:cs="Times New Roman"/>
                      <w:color w:val="000000" w:themeColor="text1"/>
                      <w:kern w:val="0"/>
                      <w:szCs w:val="21"/>
                      <w:lang w:eastAsia="zh-CN" w:bidi="ar"/>
                      <w14:textFill>
                        <w14:solidFill>
                          <w14:schemeClr w14:val="tx1"/>
                        </w14:solidFill>
                      </w14:textFill>
                    </w:rPr>
                    <w:t>、</w:t>
                  </w:r>
                  <w:r>
                    <w:rPr>
                      <w:rFonts w:hint="eastAsia" w:ascii="Times New Roman" w:hAnsi="Times New Roman" w:eastAsia="宋体" w:cs="Times New Roman"/>
                      <w:color w:val="000000" w:themeColor="text1"/>
                      <w:kern w:val="0"/>
                      <w:szCs w:val="21"/>
                      <w:lang w:val="en-US" w:eastAsia="zh-CN" w:bidi="ar"/>
                      <w14:textFill>
                        <w14:solidFill>
                          <w14:schemeClr w14:val="tx1"/>
                        </w14:solidFill>
                      </w14:textFill>
                    </w:rPr>
                    <w:t>厂房隔声</w:t>
                  </w:r>
                </w:p>
              </w:tc>
              <w:tc>
                <w:tcPr>
                  <w:tcW w:w="273" w:type="pct"/>
                  <w:tcBorders>
                    <w:tl2br w:val="nil"/>
                    <w:tr2bl w:val="nil"/>
                  </w:tcBorders>
                  <w:noWrap w:val="0"/>
                  <w:vAlign w:val="center"/>
                </w:tcPr>
                <w:p w14:paraId="13AE813F">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2</w:t>
                  </w:r>
                </w:p>
              </w:tc>
              <w:tc>
                <w:tcPr>
                  <w:tcW w:w="333" w:type="pct"/>
                  <w:tcBorders>
                    <w:tl2br w:val="nil"/>
                    <w:tr2bl w:val="nil"/>
                  </w:tcBorders>
                  <w:noWrap w:val="0"/>
                  <w:vAlign w:val="center"/>
                </w:tcPr>
                <w:p w14:paraId="09E4C0FD">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30</w:t>
                  </w:r>
                </w:p>
              </w:tc>
              <w:tc>
                <w:tcPr>
                  <w:tcW w:w="204" w:type="pct"/>
                  <w:tcBorders>
                    <w:tl2br w:val="nil"/>
                    <w:tr2bl w:val="nil"/>
                  </w:tcBorders>
                  <w:noWrap w:val="0"/>
                  <w:vAlign w:val="center"/>
                </w:tcPr>
                <w:p w14:paraId="2A4D652D">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w:t>
                  </w:r>
                </w:p>
              </w:tc>
              <w:tc>
                <w:tcPr>
                  <w:tcW w:w="237" w:type="pct"/>
                  <w:tcBorders>
                    <w:tl2br w:val="nil"/>
                    <w:tr2bl w:val="nil"/>
                  </w:tcBorders>
                  <w:noWrap w:val="0"/>
                  <w:vAlign w:val="center"/>
                </w:tcPr>
                <w:p w14:paraId="07057BCD">
                  <w:pPr>
                    <w:jc w:val="center"/>
                    <w:rPr>
                      <w:rFonts w:hint="default" w:ascii="Times New Roman" w:hAnsi="Times New Roman" w:eastAsia="宋体" w:cs="Times New Roman"/>
                      <w:color w:val="000000" w:themeColor="text1"/>
                      <w:kern w:val="0"/>
                      <w:szCs w:val="21"/>
                      <w:lang w:val="en-US" w:eastAsia="zh-CN" w:bidi="ar"/>
                      <w14:textFill>
                        <w14:solidFill>
                          <w14:schemeClr w14:val="tx1"/>
                        </w14:solidFill>
                      </w14:textFill>
                    </w:rPr>
                  </w:pPr>
                  <w:r>
                    <w:rPr>
                      <w:rFonts w:hint="eastAsia" w:ascii="Times New Roman" w:hAnsi="Times New Roman" w:cs="Times New Roman"/>
                      <w:color w:val="000000" w:themeColor="text1"/>
                      <w:kern w:val="0"/>
                      <w:szCs w:val="21"/>
                      <w:lang w:val="en-US" w:eastAsia="zh-CN" w:bidi="ar"/>
                      <w14:textFill>
                        <w14:solidFill>
                          <w14:schemeClr w14:val="tx1"/>
                        </w14:solidFill>
                      </w14:textFill>
                    </w:rPr>
                    <w:t>2</w:t>
                  </w:r>
                </w:p>
              </w:tc>
              <w:tc>
                <w:tcPr>
                  <w:tcW w:w="237" w:type="pct"/>
                  <w:tcBorders>
                    <w:tl2br w:val="nil"/>
                    <w:tr2bl w:val="nil"/>
                  </w:tcBorders>
                  <w:noWrap w:val="0"/>
                  <w:vAlign w:val="center"/>
                </w:tcPr>
                <w:p w14:paraId="66E2D3D3">
                  <w:pPr>
                    <w:jc w:val="center"/>
                    <w:rPr>
                      <w:rFonts w:hint="default" w:ascii="Times New Roman" w:hAnsi="Times New Roman" w:eastAsia="宋体" w:cs="Times New Roman"/>
                      <w:color w:val="000000" w:themeColor="text1"/>
                      <w:kern w:val="0"/>
                      <w:szCs w:val="21"/>
                      <w:lang w:val="en-US" w:eastAsia="zh-CN" w:bidi="ar"/>
                      <w14:textFill>
                        <w14:solidFill>
                          <w14:schemeClr w14:val="tx1"/>
                        </w14:solidFill>
                      </w14:textFill>
                    </w:rPr>
                  </w:pPr>
                  <w:r>
                    <w:rPr>
                      <w:rFonts w:hint="eastAsia" w:ascii="Times New Roman" w:hAnsi="Times New Roman" w:cs="Times New Roman"/>
                      <w:color w:val="000000" w:themeColor="text1"/>
                      <w:kern w:val="0"/>
                      <w:szCs w:val="21"/>
                      <w:lang w:val="en-US" w:eastAsia="zh-CN" w:bidi="ar"/>
                      <w14:textFill>
                        <w14:solidFill>
                          <w14:schemeClr w14:val="tx1"/>
                        </w14:solidFill>
                      </w14:textFill>
                    </w:rPr>
                    <w:t>84</w:t>
                  </w:r>
                </w:p>
              </w:tc>
              <w:tc>
                <w:tcPr>
                  <w:tcW w:w="237" w:type="pct"/>
                  <w:tcBorders>
                    <w:tl2br w:val="nil"/>
                    <w:tr2bl w:val="nil"/>
                  </w:tcBorders>
                  <w:noWrap w:val="0"/>
                  <w:vAlign w:val="center"/>
                </w:tcPr>
                <w:p w14:paraId="658B1DB0">
                  <w:pPr>
                    <w:jc w:val="center"/>
                    <w:rPr>
                      <w:rFonts w:hint="default" w:ascii="Times New Roman" w:hAnsi="Times New Roman" w:eastAsia="宋体" w:cs="Times New Roman"/>
                      <w:color w:val="000000" w:themeColor="text1"/>
                      <w:kern w:val="0"/>
                      <w:szCs w:val="21"/>
                      <w:lang w:bidi="ar"/>
                      <w14:textFill>
                        <w14:solidFill>
                          <w14:schemeClr w14:val="tx1"/>
                        </w14:solidFill>
                      </w14:textFill>
                    </w:rPr>
                  </w:pPr>
                  <w:r>
                    <w:rPr>
                      <w:rFonts w:hint="default" w:ascii="Times New Roman" w:hAnsi="Times New Roman" w:eastAsia="宋体" w:cs="Times New Roman"/>
                      <w:color w:val="000000" w:themeColor="text1"/>
                      <w:kern w:val="0"/>
                      <w:szCs w:val="21"/>
                      <w:lang w:bidi="ar"/>
                      <w14:textFill>
                        <w14:solidFill>
                          <w14:schemeClr w14:val="tx1"/>
                        </w14:solidFill>
                      </w14:textFill>
                    </w:rPr>
                    <w:t>昼</w:t>
                  </w:r>
                  <w:r>
                    <w:rPr>
                      <w:rFonts w:hint="default" w:ascii="Times New Roman" w:hAnsi="Times New Roman" w:eastAsia="宋体" w:cs="Times New Roman"/>
                      <w:color w:val="000000" w:themeColor="text1"/>
                      <w:szCs w:val="21"/>
                      <w14:textFill>
                        <w14:solidFill>
                          <w14:schemeClr w14:val="tx1"/>
                        </w14:solidFill>
                      </w14:textFill>
                    </w:rPr>
                    <w:t>间</w:t>
                  </w:r>
                </w:p>
              </w:tc>
              <w:tc>
                <w:tcPr>
                  <w:tcW w:w="374" w:type="pct"/>
                  <w:tcBorders>
                    <w:tl2br w:val="nil"/>
                    <w:tr2bl w:val="nil"/>
                  </w:tcBorders>
                  <w:noWrap w:val="0"/>
                  <w:vAlign w:val="center"/>
                </w:tcPr>
                <w:p w14:paraId="25DDEF68">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20</w:t>
                  </w:r>
                </w:p>
              </w:tc>
              <w:tc>
                <w:tcPr>
                  <w:tcW w:w="458" w:type="pct"/>
                  <w:tcBorders>
                    <w:tl2br w:val="nil"/>
                    <w:tr2bl w:val="nil"/>
                  </w:tcBorders>
                  <w:noWrap w:val="0"/>
                  <w:vAlign w:val="center"/>
                </w:tcPr>
                <w:p w14:paraId="53943936">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64</w:t>
                  </w:r>
                </w:p>
              </w:tc>
              <w:tc>
                <w:tcPr>
                  <w:tcW w:w="403" w:type="pct"/>
                  <w:tcBorders>
                    <w:tl2br w:val="nil"/>
                    <w:tr2bl w:val="nil"/>
                  </w:tcBorders>
                  <w:noWrap w:val="0"/>
                  <w:vAlign w:val="center"/>
                </w:tcPr>
                <w:p w14:paraId="73CB6BF6">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w:t>
                  </w:r>
                </w:p>
              </w:tc>
            </w:tr>
            <w:tr w14:paraId="44E47CC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36" w:type="pct"/>
                  <w:tcBorders>
                    <w:tl2br w:val="nil"/>
                    <w:tr2bl w:val="nil"/>
                  </w:tcBorders>
                  <w:noWrap w:val="0"/>
                  <w:vAlign w:val="center"/>
                </w:tcPr>
                <w:p w14:paraId="7E5D1AC2">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11</w:t>
                  </w:r>
                </w:p>
              </w:tc>
              <w:tc>
                <w:tcPr>
                  <w:tcW w:w="237" w:type="pct"/>
                  <w:vMerge w:val="continue"/>
                  <w:tcBorders>
                    <w:tl2br w:val="nil"/>
                    <w:tr2bl w:val="nil"/>
                  </w:tcBorders>
                  <w:noWrap w:val="0"/>
                  <w:vAlign w:val="center"/>
                </w:tcPr>
                <w:p w14:paraId="64E86C4D">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393" w:type="pct"/>
                  <w:tcBorders>
                    <w:tl2br w:val="nil"/>
                    <w:tr2bl w:val="nil"/>
                  </w:tcBorders>
                  <w:noWrap w:val="0"/>
                  <w:vAlign w:val="center"/>
                </w:tcPr>
                <w:p w14:paraId="549173A3">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混料机1</w:t>
                  </w:r>
                </w:p>
              </w:tc>
              <w:tc>
                <w:tcPr>
                  <w:tcW w:w="451" w:type="pct"/>
                  <w:tcBorders>
                    <w:tl2br w:val="nil"/>
                    <w:tr2bl w:val="nil"/>
                  </w:tcBorders>
                  <w:noWrap w:val="0"/>
                  <w:vAlign w:val="center"/>
                </w:tcPr>
                <w:p w14:paraId="1AAB7DCB">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80</w:t>
                  </w:r>
                </w:p>
              </w:tc>
              <w:tc>
                <w:tcPr>
                  <w:tcW w:w="923" w:type="pct"/>
                  <w:tcBorders>
                    <w:tl2br w:val="nil"/>
                    <w:tr2bl w:val="nil"/>
                  </w:tcBorders>
                  <w:noWrap w:val="0"/>
                  <w:vAlign w:val="center"/>
                </w:tcPr>
                <w:p w14:paraId="066842B7">
                  <w:pPr>
                    <w:jc w:val="center"/>
                    <w:rPr>
                      <w:rFonts w:hint="default" w:ascii="Times New Roman" w:hAnsi="Times New Roman" w:eastAsia="宋体" w:cs="Times New Roman"/>
                      <w:color w:val="000000" w:themeColor="text1"/>
                      <w:kern w:val="0"/>
                      <w:szCs w:val="21"/>
                      <w:lang w:bidi="ar"/>
                      <w14:textFill>
                        <w14:solidFill>
                          <w14:schemeClr w14:val="tx1"/>
                        </w14:solidFill>
                      </w14:textFill>
                    </w:rPr>
                  </w:pPr>
                  <w:r>
                    <w:rPr>
                      <w:rFonts w:hint="default" w:ascii="Times New Roman" w:hAnsi="Times New Roman" w:eastAsia="宋体" w:cs="Times New Roman"/>
                      <w:color w:val="000000" w:themeColor="text1"/>
                      <w:kern w:val="0"/>
                      <w:szCs w:val="21"/>
                      <w:lang w:bidi="ar"/>
                      <w14:textFill>
                        <w14:solidFill>
                          <w14:schemeClr w14:val="tx1"/>
                        </w14:solidFill>
                      </w14:textFill>
                    </w:rPr>
                    <w:t>基础减振</w:t>
                  </w:r>
                  <w:r>
                    <w:rPr>
                      <w:rFonts w:hint="eastAsia" w:ascii="Times New Roman" w:hAnsi="Times New Roman" w:eastAsia="宋体" w:cs="Times New Roman"/>
                      <w:color w:val="000000" w:themeColor="text1"/>
                      <w:kern w:val="0"/>
                      <w:szCs w:val="21"/>
                      <w:lang w:eastAsia="zh-CN" w:bidi="ar"/>
                      <w14:textFill>
                        <w14:solidFill>
                          <w14:schemeClr w14:val="tx1"/>
                        </w14:solidFill>
                      </w14:textFill>
                    </w:rPr>
                    <w:t>、</w:t>
                  </w:r>
                  <w:r>
                    <w:rPr>
                      <w:rFonts w:hint="eastAsia" w:ascii="Times New Roman" w:hAnsi="Times New Roman" w:eastAsia="宋体" w:cs="Times New Roman"/>
                      <w:color w:val="000000" w:themeColor="text1"/>
                      <w:kern w:val="0"/>
                      <w:szCs w:val="21"/>
                      <w:lang w:val="en-US" w:eastAsia="zh-CN" w:bidi="ar"/>
                      <w14:textFill>
                        <w14:solidFill>
                          <w14:schemeClr w14:val="tx1"/>
                        </w14:solidFill>
                      </w14:textFill>
                    </w:rPr>
                    <w:t>厂房隔声</w:t>
                  </w:r>
                </w:p>
              </w:tc>
              <w:tc>
                <w:tcPr>
                  <w:tcW w:w="273" w:type="pct"/>
                  <w:tcBorders>
                    <w:tl2br w:val="nil"/>
                    <w:tr2bl w:val="nil"/>
                  </w:tcBorders>
                  <w:noWrap w:val="0"/>
                  <w:vAlign w:val="center"/>
                </w:tcPr>
                <w:p w14:paraId="29AEC960">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2</w:t>
                  </w:r>
                </w:p>
              </w:tc>
              <w:tc>
                <w:tcPr>
                  <w:tcW w:w="333" w:type="pct"/>
                  <w:tcBorders>
                    <w:tl2br w:val="nil"/>
                    <w:tr2bl w:val="nil"/>
                  </w:tcBorders>
                  <w:noWrap w:val="0"/>
                  <w:vAlign w:val="center"/>
                </w:tcPr>
                <w:p w14:paraId="7939E576">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28</w:t>
                  </w:r>
                </w:p>
              </w:tc>
              <w:tc>
                <w:tcPr>
                  <w:tcW w:w="204" w:type="pct"/>
                  <w:tcBorders>
                    <w:tl2br w:val="nil"/>
                    <w:tr2bl w:val="nil"/>
                  </w:tcBorders>
                  <w:noWrap w:val="0"/>
                  <w:vAlign w:val="center"/>
                </w:tcPr>
                <w:p w14:paraId="5F35837C">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w:t>
                  </w:r>
                </w:p>
              </w:tc>
              <w:tc>
                <w:tcPr>
                  <w:tcW w:w="237" w:type="pct"/>
                  <w:tcBorders>
                    <w:tl2br w:val="nil"/>
                    <w:tr2bl w:val="nil"/>
                  </w:tcBorders>
                  <w:noWrap w:val="0"/>
                  <w:vAlign w:val="center"/>
                </w:tcPr>
                <w:p w14:paraId="019BA6B6">
                  <w:pPr>
                    <w:jc w:val="center"/>
                    <w:rPr>
                      <w:rFonts w:hint="default" w:ascii="Times New Roman" w:hAnsi="Times New Roman" w:eastAsia="宋体" w:cs="Times New Roman"/>
                      <w:color w:val="000000" w:themeColor="text1"/>
                      <w:kern w:val="0"/>
                      <w:szCs w:val="21"/>
                      <w:lang w:val="en-US" w:eastAsia="zh-CN" w:bidi="ar"/>
                      <w14:textFill>
                        <w14:solidFill>
                          <w14:schemeClr w14:val="tx1"/>
                        </w14:solidFill>
                      </w14:textFill>
                    </w:rPr>
                  </w:pPr>
                  <w:r>
                    <w:rPr>
                      <w:rFonts w:hint="eastAsia" w:ascii="Times New Roman" w:hAnsi="Times New Roman" w:cs="Times New Roman"/>
                      <w:color w:val="000000" w:themeColor="text1"/>
                      <w:kern w:val="0"/>
                      <w:szCs w:val="21"/>
                      <w:lang w:val="en-US" w:eastAsia="zh-CN" w:bidi="ar"/>
                      <w14:textFill>
                        <w14:solidFill>
                          <w14:schemeClr w14:val="tx1"/>
                        </w14:solidFill>
                      </w14:textFill>
                    </w:rPr>
                    <w:t>2</w:t>
                  </w:r>
                </w:p>
              </w:tc>
              <w:tc>
                <w:tcPr>
                  <w:tcW w:w="237" w:type="pct"/>
                  <w:tcBorders>
                    <w:tl2br w:val="nil"/>
                    <w:tr2bl w:val="nil"/>
                  </w:tcBorders>
                  <w:noWrap w:val="0"/>
                  <w:vAlign w:val="center"/>
                </w:tcPr>
                <w:p w14:paraId="1050B5F1">
                  <w:pPr>
                    <w:jc w:val="center"/>
                    <w:rPr>
                      <w:rFonts w:hint="default" w:ascii="Times New Roman" w:hAnsi="Times New Roman" w:eastAsia="宋体" w:cs="Times New Roman"/>
                      <w:color w:val="000000" w:themeColor="text1"/>
                      <w:kern w:val="0"/>
                      <w:szCs w:val="21"/>
                      <w:lang w:val="en-US" w:eastAsia="zh-CN" w:bidi="ar"/>
                      <w14:textFill>
                        <w14:solidFill>
                          <w14:schemeClr w14:val="tx1"/>
                        </w14:solidFill>
                      </w14:textFill>
                    </w:rPr>
                  </w:pPr>
                  <w:r>
                    <w:rPr>
                      <w:rFonts w:hint="eastAsia" w:ascii="Times New Roman" w:hAnsi="Times New Roman" w:cs="Times New Roman"/>
                      <w:color w:val="000000" w:themeColor="text1"/>
                      <w:kern w:val="0"/>
                      <w:szCs w:val="21"/>
                      <w:lang w:val="en-US" w:eastAsia="zh-CN" w:bidi="ar"/>
                      <w14:textFill>
                        <w14:solidFill>
                          <w14:schemeClr w14:val="tx1"/>
                        </w14:solidFill>
                      </w14:textFill>
                    </w:rPr>
                    <w:t>74</w:t>
                  </w:r>
                </w:p>
              </w:tc>
              <w:tc>
                <w:tcPr>
                  <w:tcW w:w="237" w:type="pct"/>
                  <w:tcBorders>
                    <w:tl2br w:val="nil"/>
                    <w:tr2bl w:val="nil"/>
                  </w:tcBorders>
                  <w:noWrap w:val="0"/>
                  <w:vAlign w:val="center"/>
                </w:tcPr>
                <w:p w14:paraId="21793C3F">
                  <w:pPr>
                    <w:jc w:val="center"/>
                    <w:rPr>
                      <w:rFonts w:hint="default" w:ascii="Times New Roman" w:hAnsi="Times New Roman" w:eastAsia="宋体" w:cs="Times New Roman"/>
                      <w:color w:val="000000" w:themeColor="text1"/>
                      <w:kern w:val="0"/>
                      <w:szCs w:val="21"/>
                      <w:lang w:bidi="ar"/>
                      <w14:textFill>
                        <w14:solidFill>
                          <w14:schemeClr w14:val="tx1"/>
                        </w14:solidFill>
                      </w14:textFill>
                    </w:rPr>
                  </w:pPr>
                  <w:r>
                    <w:rPr>
                      <w:rFonts w:hint="default" w:ascii="Times New Roman" w:hAnsi="Times New Roman" w:eastAsia="宋体" w:cs="Times New Roman"/>
                      <w:color w:val="000000" w:themeColor="text1"/>
                      <w:kern w:val="0"/>
                      <w:szCs w:val="21"/>
                      <w:lang w:bidi="ar"/>
                      <w14:textFill>
                        <w14:solidFill>
                          <w14:schemeClr w14:val="tx1"/>
                        </w14:solidFill>
                      </w14:textFill>
                    </w:rPr>
                    <w:t>昼</w:t>
                  </w:r>
                  <w:r>
                    <w:rPr>
                      <w:rFonts w:hint="default" w:ascii="Times New Roman" w:hAnsi="Times New Roman" w:eastAsia="宋体" w:cs="Times New Roman"/>
                      <w:color w:val="000000" w:themeColor="text1"/>
                      <w:szCs w:val="21"/>
                      <w14:textFill>
                        <w14:solidFill>
                          <w14:schemeClr w14:val="tx1"/>
                        </w14:solidFill>
                      </w14:textFill>
                    </w:rPr>
                    <w:t>间</w:t>
                  </w:r>
                </w:p>
              </w:tc>
              <w:tc>
                <w:tcPr>
                  <w:tcW w:w="374" w:type="pct"/>
                  <w:tcBorders>
                    <w:tl2br w:val="nil"/>
                    <w:tr2bl w:val="nil"/>
                  </w:tcBorders>
                  <w:noWrap w:val="0"/>
                  <w:vAlign w:val="center"/>
                </w:tcPr>
                <w:p w14:paraId="2B50B234">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20</w:t>
                  </w:r>
                </w:p>
              </w:tc>
              <w:tc>
                <w:tcPr>
                  <w:tcW w:w="458" w:type="pct"/>
                  <w:tcBorders>
                    <w:tl2br w:val="nil"/>
                    <w:tr2bl w:val="nil"/>
                  </w:tcBorders>
                  <w:noWrap w:val="0"/>
                  <w:vAlign w:val="center"/>
                </w:tcPr>
                <w:p w14:paraId="43D89386">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54</w:t>
                  </w:r>
                </w:p>
              </w:tc>
              <w:tc>
                <w:tcPr>
                  <w:tcW w:w="403" w:type="pct"/>
                  <w:tcBorders>
                    <w:tl2br w:val="nil"/>
                    <w:tr2bl w:val="nil"/>
                  </w:tcBorders>
                  <w:noWrap w:val="0"/>
                  <w:vAlign w:val="center"/>
                </w:tcPr>
                <w:p w14:paraId="31425786">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w:t>
                  </w:r>
                </w:p>
              </w:tc>
            </w:tr>
            <w:tr w14:paraId="62CFE4E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36" w:type="pct"/>
                  <w:tcBorders>
                    <w:tl2br w:val="nil"/>
                    <w:tr2bl w:val="nil"/>
                  </w:tcBorders>
                  <w:noWrap w:val="0"/>
                  <w:vAlign w:val="center"/>
                </w:tcPr>
                <w:p w14:paraId="5B1D6F36">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12</w:t>
                  </w:r>
                </w:p>
              </w:tc>
              <w:tc>
                <w:tcPr>
                  <w:tcW w:w="237" w:type="pct"/>
                  <w:vMerge w:val="continue"/>
                  <w:tcBorders>
                    <w:tl2br w:val="nil"/>
                    <w:tr2bl w:val="nil"/>
                  </w:tcBorders>
                  <w:noWrap w:val="0"/>
                  <w:vAlign w:val="center"/>
                </w:tcPr>
                <w:p w14:paraId="3AB4E157">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393" w:type="pct"/>
                  <w:tcBorders>
                    <w:tl2br w:val="nil"/>
                    <w:tr2bl w:val="nil"/>
                  </w:tcBorders>
                  <w:noWrap w:val="0"/>
                  <w:vAlign w:val="center"/>
                </w:tcPr>
                <w:p w14:paraId="1B54BC48">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混料机</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2</w:t>
                  </w:r>
                </w:p>
              </w:tc>
              <w:tc>
                <w:tcPr>
                  <w:tcW w:w="451" w:type="pct"/>
                  <w:tcBorders>
                    <w:tl2br w:val="nil"/>
                    <w:tr2bl w:val="nil"/>
                  </w:tcBorders>
                  <w:noWrap w:val="0"/>
                  <w:vAlign w:val="center"/>
                </w:tcPr>
                <w:p w14:paraId="323DF62B">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80</w:t>
                  </w:r>
                </w:p>
              </w:tc>
              <w:tc>
                <w:tcPr>
                  <w:tcW w:w="923" w:type="pct"/>
                  <w:tcBorders>
                    <w:tl2br w:val="nil"/>
                    <w:tr2bl w:val="nil"/>
                  </w:tcBorders>
                  <w:noWrap w:val="0"/>
                  <w:vAlign w:val="center"/>
                </w:tcPr>
                <w:p w14:paraId="02BA0F2E">
                  <w:pPr>
                    <w:jc w:val="center"/>
                    <w:rPr>
                      <w:rFonts w:hint="default" w:ascii="Times New Roman" w:hAnsi="Times New Roman" w:eastAsia="宋体" w:cs="Times New Roman"/>
                      <w:color w:val="000000" w:themeColor="text1"/>
                      <w:kern w:val="0"/>
                      <w:szCs w:val="21"/>
                      <w:lang w:bidi="ar"/>
                      <w14:textFill>
                        <w14:solidFill>
                          <w14:schemeClr w14:val="tx1"/>
                        </w14:solidFill>
                      </w14:textFill>
                    </w:rPr>
                  </w:pPr>
                  <w:r>
                    <w:rPr>
                      <w:rFonts w:hint="default" w:ascii="Times New Roman" w:hAnsi="Times New Roman" w:eastAsia="宋体" w:cs="Times New Roman"/>
                      <w:color w:val="000000" w:themeColor="text1"/>
                      <w:kern w:val="0"/>
                      <w:szCs w:val="21"/>
                      <w:lang w:bidi="ar"/>
                      <w14:textFill>
                        <w14:solidFill>
                          <w14:schemeClr w14:val="tx1"/>
                        </w14:solidFill>
                      </w14:textFill>
                    </w:rPr>
                    <w:t>基础减振</w:t>
                  </w:r>
                  <w:r>
                    <w:rPr>
                      <w:rFonts w:hint="eastAsia" w:ascii="Times New Roman" w:hAnsi="Times New Roman" w:eastAsia="宋体" w:cs="Times New Roman"/>
                      <w:color w:val="000000" w:themeColor="text1"/>
                      <w:kern w:val="0"/>
                      <w:szCs w:val="21"/>
                      <w:lang w:eastAsia="zh-CN" w:bidi="ar"/>
                      <w14:textFill>
                        <w14:solidFill>
                          <w14:schemeClr w14:val="tx1"/>
                        </w14:solidFill>
                      </w14:textFill>
                    </w:rPr>
                    <w:t>、</w:t>
                  </w:r>
                  <w:r>
                    <w:rPr>
                      <w:rFonts w:hint="eastAsia" w:ascii="Times New Roman" w:hAnsi="Times New Roman" w:eastAsia="宋体" w:cs="Times New Roman"/>
                      <w:color w:val="000000" w:themeColor="text1"/>
                      <w:kern w:val="0"/>
                      <w:szCs w:val="21"/>
                      <w:lang w:val="en-US" w:eastAsia="zh-CN" w:bidi="ar"/>
                      <w14:textFill>
                        <w14:solidFill>
                          <w14:schemeClr w14:val="tx1"/>
                        </w14:solidFill>
                      </w14:textFill>
                    </w:rPr>
                    <w:t>厂房隔声</w:t>
                  </w:r>
                </w:p>
              </w:tc>
              <w:tc>
                <w:tcPr>
                  <w:tcW w:w="273" w:type="pct"/>
                  <w:tcBorders>
                    <w:tl2br w:val="nil"/>
                    <w:tr2bl w:val="nil"/>
                  </w:tcBorders>
                  <w:shd w:val="clear" w:color="auto" w:fill="auto"/>
                  <w:noWrap w:val="0"/>
                  <w:vAlign w:val="center"/>
                </w:tcPr>
                <w:p w14:paraId="12E06A52">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4</w:t>
                  </w:r>
                </w:p>
              </w:tc>
              <w:tc>
                <w:tcPr>
                  <w:tcW w:w="333" w:type="pct"/>
                  <w:tcBorders>
                    <w:tl2br w:val="nil"/>
                    <w:tr2bl w:val="nil"/>
                  </w:tcBorders>
                  <w:shd w:val="clear" w:color="auto" w:fill="auto"/>
                  <w:noWrap w:val="0"/>
                  <w:vAlign w:val="center"/>
                </w:tcPr>
                <w:p w14:paraId="598854E9">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28</w:t>
                  </w:r>
                </w:p>
              </w:tc>
              <w:tc>
                <w:tcPr>
                  <w:tcW w:w="204" w:type="pct"/>
                  <w:tcBorders>
                    <w:tl2br w:val="nil"/>
                    <w:tr2bl w:val="nil"/>
                  </w:tcBorders>
                  <w:noWrap w:val="0"/>
                  <w:vAlign w:val="center"/>
                </w:tcPr>
                <w:p w14:paraId="16D663CA">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w:t>
                  </w:r>
                </w:p>
              </w:tc>
              <w:tc>
                <w:tcPr>
                  <w:tcW w:w="237" w:type="pct"/>
                  <w:tcBorders>
                    <w:tl2br w:val="nil"/>
                    <w:tr2bl w:val="nil"/>
                  </w:tcBorders>
                  <w:noWrap w:val="0"/>
                  <w:vAlign w:val="center"/>
                </w:tcPr>
                <w:p w14:paraId="0EFDAFBD">
                  <w:pPr>
                    <w:jc w:val="center"/>
                    <w:rPr>
                      <w:rFonts w:hint="default" w:ascii="Times New Roman" w:hAnsi="Times New Roman" w:eastAsia="宋体" w:cs="Times New Roman"/>
                      <w:color w:val="000000" w:themeColor="text1"/>
                      <w:kern w:val="0"/>
                      <w:szCs w:val="21"/>
                      <w:lang w:val="en-US" w:eastAsia="zh-CN" w:bidi="ar"/>
                      <w14:textFill>
                        <w14:solidFill>
                          <w14:schemeClr w14:val="tx1"/>
                        </w14:solidFill>
                      </w14:textFill>
                    </w:rPr>
                  </w:pPr>
                  <w:r>
                    <w:rPr>
                      <w:rFonts w:hint="eastAsia" w:ascii="Times New Roman" w:hAnsi="Times New Roman" w:cs="Times New Roman"/>
                      <w:color w:val="000000" w:themeColor="text1"/>
                      <w:kern w:val="0"/>
                      <w:szCs w:val="21"/>
                      <w:lang w:val="en-US" w:eastAsia="zh-CN" w:bidi="ar"/>
                      <w14:textFill>
                        <w14:solidFill>
                          <w14:schemeClr w14:val="tx1"/>
                        </w14:solidFill>
                      </w14:textFill>
                    </w:rPr>
                    <w:t>4</w:t>
                  </w:r>
                </w:p>
              </w:tc>
              <w:tc>
                <w:tcPr>
                  <w:tcW w:w="237" w:type="pct"/>
                  <w:tcBorders>
                    <w:tl2br w:val="nil"/>
                    <w:tr2bl w:val="nil"/>
                  </w:tcBorders>
                  <w:noWrap w:val="0"/>
                  <w:vAlign w:val="center"/>
                </w:tcPr>
                <w:p w14:paraId="679C9ED8">
                  <w:pPr>
                    <w:jc w:val="center"/>
                    <w:rPr>
                      <w:rFonts w:hint="default" w:ascii="Times New Roman" w:hAnsi="Times New Roman" w:eastAsia="宋体" w:cs="Times New Roman"/>
                      <w:color w:val="000000" w:themeColor="text1"/>
                      <w:kern w:val="0"/>
                      <w:szCs w:val="21"/>
                      <w:lang w:val="en-US" w:eastAsia="zh-CN" w:bidi="ar"/>
                      <w14:textFill>
                        <w14:solidFill>
                          <w14:schemeClr w14:val="tx1"/>
                        </w14:solidFill>
                      </w14:textFill>
                    </w:rPr>
                  </w:pPr>
                  <w:r>
                    <w:rPr>
                      <w:rFonts w:hint="eastAsia" w:ascii="Times New Roman" w:hAnsi="Times New Roman" w:cs="Times New Roman"/>
                      <w:color w:val="000000" w:themeColor="text1"/>
                      <w:kern w:val="0"/>
                      <w:szCs w:val="21"/>
                      <w:lang w:val="en-US" w:eastAsia="zh-CN" w:bidi="ar"/>
                      <w14:textFill>
                        <w14:solidFill>
                          <w14:schemeClr w14:val="tx1"/>
                        </w14:solidFill>
                      </w14:textFill>
                    </w:rPr>
                    <w:t>68</w:t>
                  </w:r>
                </w:p>
              </w:tc>
              <w:tc>
                <w:tcPr>
                  <w:tcW w:w="237" w:type="pct"/>
                  <w:tcBorders>
                    <w:tl2br w:val="nil"/>
                    <w:tr2bl w:val="nil"/>
                  </w:tcBorders>
                  <w:noWrap w:val="0"/>
                  <w:vAlign w:val="center"/>
                </w:tcPr>
                <w:p w14:paraId="29650A65">
                  <w:pPr>
                    <w:jc w:val="center"/>
                    <w:rPr>
                      <w:rFonts w:hint="default" w:ascii="Times New Roman" w:hAnsi="Times New Roman" w:eastAsia="宋体" w:cs="Times New Roman"/>
                      <w:color w:val="000000" w:themeColor="text1"/>
                      <w:kern w:val="0"/>
                      <w:szCs w:val="21"/>
                      <w:lang w:bidi="ar"/>
                      <w14:textFill>
                        <w14:solidFill>
                          <w14:schemeClr w14:val="tx1"/>
                        </w14:solidFill>
                      </w14:textFill>
                    </w:rPr>
                  </w:pPr>
                  <w:r>
                    <w:rPr>
                      <w:rFonts w:hint="default" w:ascii="Times New Roman" w:hAnsi="Times New Roman" w:eastAsia="宋体" w:cs="Times New Roman"/>
                      <w:color w:val="000000" w:themeColor="text1"/>
                      <w:kern w:val="0"/>
                      <w:szCs w:val="21"/>
                      <w:lang w:bidi="ar"/>
                      <w14:textFill>
                        <w14:solidFill>
                          <w14:schemeClr w14:val="tx1"/>
                        </w14:solidFill>
                      </w14:textFill>
                    </w:rPr>
                    <w:t>昼</w:t>
                  </w:r>
                  <w:r>
                    <w:rPr>
                      <w:rFonts w:hint="default" w:ascii="Times New Roman" w:hAnsi="Times New Roman" w:eastAsia="宋体" w:cs="Times New Roman"/>
                      <w:color w:val="000000" w:themeColor="text1"/>
                      <w:szCs w:val="21"/>
                      <w14:textFill>
                        <w14:solidFill>
                          <w14:schemeClr w14:val="tx1"/>
                        </w14:solidFill>
                      </w14:textFill>
                    </w:rPr>
                    <w:t>间</w:t>
                  </w:r>
                </w:p>
              </w:tc>
              <w:tc>
                <w:tcPr>
                  <w:tcW w:w="374" w:type="pct"/>
                  <w:tcBorders>
                    <w:tl2br w:val="nil"/>
                    <w:tr2bl w:val="nil"/>
                  </w:tcBorders>
                  <w:noWrap w:val="0"/>
                  <w:vAlign w:val="center"/>
                </w:tcPr>
                <w:p w14:paraId="7783B744">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20</w:t>
                  </w:r>
                </w:p>
              </w:tc>
              <w:tc>
                <w:tcPr>
                  <w:tcW w:w="458" w:type="pct"/>
                  <w:tcBorders>
                    <w:tl2br w:val="nil"/>
                    <w:tr2bl w:val="nil"/>
                  </w:tcBorders>
                  <w:noWrap w:val="0"/>
                  <w:vAlign w:val="center"/>
                </w:tcPr>
                <w:p w14:paraId="7233BDCC">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48</w:t>
                  </w:r>
                </w:p>
              </w:tc>
              <w:tc>
                <w:tcPr>
                  <w:tcW w:w="403" w:type="pct"/>
                  <w:tcBorders>
                    <w:tl2br w:val="nil"/>
                    <w:tr2bl w:val="nil"/>
                  </w:tcBorders>
                  <w:noWrap w:val="0"/>
                  <w:vAlign w:val="center"/>
                </w:tcPr>
                <w:p w14:paraId="5AACE146">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w:t>
                  </w:r>
                </w:p>
              </w:tc>
            </w:tr>
            <w:tr w14:paraId="41FADFA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36" w:type="pct"/>
                  <w:tcBorders>
                    <w:tl2br w:val="nil"/>
                    <w:tr2bl w:val="nil"/>
                  </w:tcBorders>
                  <w:noWrap w:val="0"/>
                  <w:vAlign w:val="center"/>
                </w:tcPr>
                <w:p w14:paraId="1B7B6541">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13</w:t>
                  </w:r>
                </w:p>
              </w:tc>
              <w:tc>
                <w:tcPr>
                  <w:tcW w:w="237" w:type="pct"/>
                  <w:vMerge w:val="continue"/>
                  <w:tcBorders>
                    <w:tl2br w:val="nil"/>
                    <w:tr2bl w:val="nil"/>
                  </w:tcBorders>
                  <w:noWrap w:val="0"/>
                  <w:vAlign w:val="center"/>
                </w:tcPr>
                <w:p w14:paraId="1E7304EB">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393" w:type="pct"/>
                  <w:tcBorders>
                    <w:tl2br w:val="nil"/>
                    <w:tr2bl w:val="nil"/>
                  </w:tcBorders>
                  <w:noWrap w:val="0"/>
                  <w:vAlign w:val="center"/>
                </w:tcPr>
                <w:p w14:paraId="624061F0">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空压机</w:t>
                  </w:r>
                </w:p>
              </w:tc>
              <w:tc>
                <w:tcPr>
                  <w:tcW w:w="451" w:type="pct"/>
                  <w:tcBorders>
                    <w:tl2br w:val="nil"/>
                    <w:tr2bl w:val="nil"/>
                  </w:tcBorders>
                  <w:noWrap w:val="0"/>
                  <w:vAlign w:val="center"/>
                </w:tcPr>
                <w:p w14:paraId="0AE37E02">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85</w:t>
                  </w:r>
                </w:p>
              </w:tc>
              <w:tc>
                <w:tcPr>
                  <w:tcW w:w="923" w:type="pct"/>
                  <w:tcBorders>
                    <w:tl2br w:val="nil"/>
                    <w:tr2bl w:val="nil"/>
                  </w:tcBorders>
                  <w:noWrap w:val="0"/>
                  <w:vAlign w:val="center"/>
                </w:tcPr>
                <w:p w14:paraId="4B70BD62">
                  <w:pPr>
                    <w:jc w:val="center"/>
                    <w:rPr>
                      <w:rFonts w:hint="default" w:ascii="Times New Roman" w:hAnsi="Times New Roman" w:eastAsia="宋体" w:cs="Times New Roman"/>
                      <w:color w:val="000000" w:themeColor="text1"/>
                      <w:kern w:val="0"/>
                      <w:szCs w:val="21"/>
                      <w:lang w:bidi="ar"/>
                      <w14:textFill>
                        <w14:solidFill>
                          <w14:schemeClr w14:val="tx1"/>
                        </w14:solidFill>
                      </w14:textFill>
                    </w:rPr>
                  </w:pPr>
                  <w:r>
                    <w:rPr>
                      <w:rFonts w:hint="default" w:ascii="Times New Roman" w:hAnsi="Times New Roman" w:eastAsia="宋体" w:cs="Times New Roman"/>
                      <w:color w:val="000000" w:themeColor="text1"/>
                      <w:kern w:val="0"/>
                      <w:szCs w:val="21"/>
                      <w:lang w:bidi="ar"/>
                      <w14:textFill>
                        <w14:solidFill>
                          <w14:schemeClr w14:val="tx1"/>
                        </w14:solidFill>
                      </w14:textFill>
                    </w:rPr>
                    <w:t>基础减振</w:t>
                  </w:r>
                  <w:r>
                    <w:rPr>
                      <w:rFonts w:hint="eastAsia" w:ascii="Times New Roman" w:hAnsi="Times New Roman" w:eastAsia="宋体" w:cs="Times New Roman"/>
                      <w:color w:val="000000" w:themeColor="text1"/>
                      <w:kern w:val="0"/>
                      <w:szCs w:val="21"/>
                      <w:lang w:eastAsia="zh-CN" w:bidi="ar"/>
                      <w14:textFill>
                        <w14:solidFill>
                          <w14:schemeClr w14:val="tx1"/>
                        </w14:solidFill>
                      </w14:textFill>
                    </w:rPr>
                    <w:t>、</w:t>
                  </w:r>
                  <w:r>
                    <w:rPr>
                      <w:rFonts w:hint="eastAsia" w:ascii="Times New Roman" w:hAnsi="Times New Roman" w:eastAsia="宋体" w:cs="Times New Roman"/>
                      <w:color w:val="000000" w:themeColor="text1"/>
                      <w:kern w:val="0"/>
                      <w:szCs w:val="21"/>
                      <w:lang w:val="en-US" w:eastAsia="zh-CN" w:bidi="ar"/>
                      <w14:textFill>
                        <w14:solidFill>
                          <w14:schemeClr w14:val="tx1"/>
                        </w14:solidFill>
                      </w14:textFill>
                    </w:rPr>
                    <w:t>厂房隔声</w:t>
                  </w:r>
                </w:p>
              </w:tc>
              <w:tc>
                <w:tcPr>
                  <w:tcW w:w="273" w:type="pct"/>
                  <w:tcBorders>
                    <w:tl2br w:val="nil"/>
                    <w:tr2bl w:val="nil"/>
                  </w:tcBorders>
                  <w:shd w:val="clear" w:color="auto" w:fill="auto"/>
                  <w:noWrap w:val="0"/>
                  <w:vAlign w:val="center"/>
                </w:tcPr>
                <w:p w14:paraId="2F429292">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7</w:t>
                  </w:r>
                </w:p>
              </w:tc>
              <w:tc>
                <w:tcPr>
                  <w:tcW w:w="333" w:type="pct"/>
                  <w:tcBorders>
                    <w:tl2br w:val="nil"/>
                    <w:tr2bl w:val="nil"/>
                  </w:tcBorders>
                  <w:shd w:val="clear" w:color="auto" w:fill="auto"/>
                  <w:noWrap w:val="0"/>
                  <w:vAlign w:val="center"/>
                </w:tcPr>
                <w:p w14:paraId="36DD39BF">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27</w:t>
                  </w:r>
                </w:p>
              </w:tc>
              <w:tc>
                <w:tcPr>
                  <w:tcW w:w="204" w:type="pct"/>
                  <w:tcBorders>
                    <w:tl2br w:val="nil"/>
                    <w:tr2bl w:val="nil"/>
                  </w:tcBorders>
                  <w:noWrap w:val="0"/>
                  <w:vAlign w:val="center"/>
                </w:tcPr>
                <w:p w14:paraId="7F29206F">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w:t>
                  </w:r>
                </w:p>
              </w:tc>
              <w:tc>
                <w:tcPr>
                  <w:tcW w:w="237" w:type="pct"/>
                  <w:tcBorders>
                    <w:tl2br w:val="nil"/>
                    <w:tr2bl w:val="nil"/>
                  </w:tcBorders>
                  <w:noWrap w:val="0"/>
                  <w:vAlign w:val="center"/>
                </w:tcPr>
                <w:p w14:paraId="776E3DA3">
                  <w:pPr>
                    <w:jc w:val="center"/>
                    <w:rPr>
                      <w:rFonts w:hint="default" w:ascii="Times New Roman" w:hAnsi="Times New Roman" w:eastAsia="宋体" w:cs="Times New Roman"/>
                      <w:color w:val="000000" w:themeColor="text1"/>
                      <w:kern w:val="0"/>
                      <w:szCs w:val="21"/>
                      <w:lang w:val="en-US" w:eastAsia="zh-CN" w:bidi="ar"/>
                      <w14:textFill>
                        <w14:solidFill>
                          <w14:schemeClr w14:val="tx1"/>
                        </w14:solidFill>
                      </w14:textFill>
                    </w:rPr>
                  </w:pPr>
                  <w:r>
                    <w:rPr>
                      <w:rFonts w:hint="eastAsia" w:ascii="Times New Roman" w:hAnsi="Times New Roman" w:cs="Times New Roman"/>
                      <w:color w:val="000000" w:themeColor="text1"/>
                      <w:kern w:val="0"/>
                      <w:szCs w:val="21"/>
                      <w:lang w:val="en-US" w:eastAsia="zh-CN" w:bidi="ar"/>
                      <w14:textFill>
                        <w14:solidFill>
                          <w14:schemeClr w14:val="tx1"/>
                        </w14:solidFill>
                      </w14:textFill>
                    </w:rPr>
                    <w:t>7</w:t>
                  </w:r>
                </w:p>
              </w:tc>
              <w:tc>
                <w:tcPr>
                  <w:tcW w:w="237" w:type="pct"/>
                  <w:tcBorders>
                    <w:tl2br w:val="nil"/>
                    <w:tr2bl w:val="nil"/>
                  </w:tcBorders>
                  <w:noWrap w:val="0"/>
                  <w:vAlign w:val="center"/>
                </w:tcPr>
                <w:p w14:paraId="37008E75">
                  <w:pPr>
                    <w:jc w:val="center"/>
                    <w:rPr>
                      <w:rFonts w:hint="default" w:ascii="Times New Roman" w:hAnsi="Times New Roman" w:eastAsia="宋体" w:cs="Times New Roman"/>
                      <w:color w:val="000000" w:themeColor="text1"/>
                      <w:kern w:val="0"/>
                      <w:szCs w:val="21"/>
                      <w:lang w:val="en-US" w:eastAsia="zh-CN" w:bidi="ar"/>
                      <w14:textFill>
                        <w14:solidFill>
                          <w14:schemeClr w14:val="tx1"/>
                        </w14:solidFill>
                      </w14:textFill>
                    </w:rPr>
                  </w:pPr>
                  <w:r>
                    <w:rPr>
                      <w:rFonts w:hint="eastAsia" w:ascii="Times New Roman" w:hAnsi="Times New Roman" w:cs="Times New Roman"/>
                      <w:color w:val="000000" w:themeColor="text1"/>
                      <w:kern w:val="0"/>
                      <w:szCs w:val="21"/>
                      <w:lang w:val="en-US" w:eastAsia="zh-CN" w:bidi="ar"/>
                      <w14:textFill>
                        <w14:solidFill>
                          <w14:schemeClr w14:val="tx1"/>
                        </w14:solidFill>
                      </w14:textFill>
                    </w:rPr>
                    <w:t>68</w:t>
                  </w:r>
                </w:p>
              </w:tc>
              <w:tc>
                <w:tcPr>
                  <w:tcW w:w="237" w:type="pct"/>
                  <w:tcBorders>
                    <w:tl2br w:val="nil"/>
                    <w:tr2bl w:val="nil"/>
                  </w:tcBorders>
                  <w:noWrap w:val="0"/>
                  <w:vAlign w:val="center"/>
                </w:tcPr>
                <w:p w14:paraId="2F6FFF82">
                  <w:pPr>
                    <w:jc w:val="center"/>
                    <w:rPr>
                      <w:rFonts w:hint="default" w:ascii="Times New Roman" w:hAnsi="Times New Roman" w:eastAsia="宋体" w:cs="Times New Roman"/>
                      <w:color w:val="000000" w:themeColor="text1"/>
                      <w:kern w:val="0"/>
                      <w:szCs w:val="21"/>
                      <w:lang w:bidi="ar"/>
                      <w14:textFill>
                        <w14:solidFill>
                          <w14:schemeClr w14:val="tx1"/>
                        </w14:solidFill>
                      </w14:textFill>
                    </w:rPr>
                  </w:pPr>
                  <w:r>
                    <w:rPr>
                      <w:rFonts w:hint="default" w:ascii="Times New Roman" w:hAnsi="Times New Roman" w:eastAsia="宋体" w:cs="Times New Roman"/>
                      <w:color w:val="000000" w:themeColor="text1"/>
                      <w:kern w:val="0"/>
                      <w:szCs w:val="21"/>
                      <w:lang w:bidi="ar"/>
                      <w14:textFill>
                        <w14:solidFill>
                          <w14:schemeClr w14:val="tx1"/>
                        </w14:solidFill>
                      </w14:textFill>
                    </w:rPr>
                    <w:t>昼</w:t>
                  </w:r>
                  <w:r>
                    <w:rPr>
                      <w:rFonts w:hint="default" w:ascii="Times New Roman" w:hAnsi="Times New Roman" w:eastAsia="宋体" w:cs="Times New Roman"/>
                      <w:color w:val="000000" w:themeColor="text1"/>
                      <w:szCs w:val="21"/>
                      <w14:textFill>
                        <w14:solidFill>
                          <w14:schemeClr w14:val="tx1"/>
                        </w14:solidFill>
                      </w14:textFill>
                    </w:rPr>
                    <w:t>间</w:t>
                  </w:r>
                </w:p>
              </w:tc>
              <w:tc>
                <w:tcPr>
                  <w:tcW w:w="374" w:type="pct"/>
                  <w:tcBorders>
                    <w:tl2br w:val="nil"/>
                    <w:tr2bl w:val="nil"/>
                  </w:tcBorders>
                  <w:noWrap w:val="0"/>
                  <w:vAlign w:val="center"/>
                </w:tcPr>
                <w:p w14:paraId="00DF336F">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20</w:t>
                  </w:r>
                </w:p>
              </w:tc>
              <w:tc>
                <w:tcPr>
                  <w:tcW w:w="458" w:type="pct"/>
                  <w:tcBorders>
                    <w:tl2br w:val="nil"/>
                    <w:tr2bl w:val="nil"/>
                  </w:tcBorders>
                  <w:noWrap w:val="0"/>
                  <w:vAlign w:val="center"/>
                </w:tcPr>
                <w:p w14:paraId="3C0232FB">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48</w:t>
                  </w:r>
                </w:p>
              </w:tc>
              <w:tc>
                <w:tcPr>
                  <w:tcW w:w="403" w:type="pct"/>
                  <w:tcBorders>
                    <w:tl2br w:val="nil"/>
                    <w:tr2bl w:val="nil"/>
                  </w:tcBorders>
                  <w:noWrap w:val="0"/>
                  <w:vAlign w:val="center"/>
                </w:tcPr>
                <w:p w14:paraId="112C1AFB">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w:t>
                  </w:r>
                </w:p>
              </w:tc>
            </w:tr>
            <w:tr w14:paraId="11346F2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36" w:type="pct"/>
                  <w:tcBorders>
                    <w:tl2br w:val="nil"/>
                    <w:tr2bl w:val="nil"/>
                  </w:tcBorders>
                  <w:noWrap w:val="0"/>
                  <w:vAlign w:val="center"/>
                </w:tcPr>
                <w:p w14:paraId="086A8D44">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14</w:t>
                  </w:r>
                </w:p>
              </w:tc>
              <w:tc>
                <w:tcPr>
                  <w:tcW w:w="237" w:type="pct"/>
                  <w:vMerge w:val="restart"/>
                  <w:tcBorders>
                    <w:tl2br w:val="nil"/>
                    <w:tr2bl w:val="nil"/>
                  </w:tcBorders>
                  <w:noWrap w:val="0"/>
                  <w:vAlign w:val="center"/>
                </w:tcPr>
                <w:p w14:paraId="59D8643E">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烧结</w:t>
                  </w:r>
                  <w:r>
                    <w:rPr>
                      <w:rFonts w:hint="eastAsia" w:cs="Times New Roman"/>
                      <w:color w:val="000000" w:themeColor="text1"/>
                      <w:szCs w:val="21"/>
                      <w:lang w:val="en-US" w:eastAsia="zh-CN"/>
                      <w14:textFill>
                        <w14:solidFill>
                          <w14:schemeClr w14:val="tx1"/>
                        </w14:solidFill>
                      </w14:textFill>
                    </w:rPr>
                    <w:t>车间</w:t>
                  </w:r>
                </w:p>
              </w:tc>
              <w:tc>
                <w:tcPr>
                  <w:tcW w:w="393" w:type="pct"/>
                  <w:tcBorders>
                    <w:tl2br w:val="nil"/>
                    <w:tr2bl w:val="nil"/>
                  </w:tcBorders>
                  <w:noWrap w:val="0"/>
                  <w:vAlign w:val="center"/>
                </w:tcPr>
                <w:p w14:paraId="76587CC8">
                  <w:pPr>
                    <w:pStyle w:val="98"/>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排胶电炉</w:t>
                  </w:r>
                  <w:r>
                    <w:rPr>
                      <w:rFonts w:hint="eastAsia" w:ascii="Times New Roman" w:hAnsi="Times New Roman" w:cs="Times New Roman"/>
                      <w:color w:val="000000" w:themeColor="text1"/>
                      <w:sz w:val="21"/>
                      <w:szCs w:val="21"/>
                      <w:lang w:val="en-US" w:eastAsia="zh-CN"/>
                      <w14:textFill>
                        <w14:solidFill>
                          <w14:schemeClr w14:val="tx1"/>
                        </w14:solidFill>
                      </w14:textFill>
                    </w:rPr>
                    <w:t>1</w:t>
                  </w:r>
                </w:p>
              </w:tc>
              <w:tc>
                <w:tcPr>
                  <w:tcW w:w="451" w:type="pct"/>
                  <w:tcBorders>
                    <w:tl2br w:val="nil"/>
                    <w:tr2bl w:val="nil"/>
                  </w:tcBorders>
                  <w:noWrap w:val="0"/>
                  <w:vAlign w:val="center"/>
                </w:tcPr>
                <w:p w14:paraId="42E19DB0">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85</w:t>
                  </w:r>
                </w:p>
              </w:tc>
              <w:tc>
                <w:tcPr>
                  <w:tcW w:w="923" w:type="pct"/>
                  <w:tcBorders>
                    <w:tl2br w:val="nil"/>
                    <w:tr2bl w:val="nil"/>
                  </w:tcBorders>
                  <w:noWrap w:val="0"/>
                  <w:vAlign w:val="center"/>
                </w:tcPr>
                <w:p w14:paraId="6466565D">
                  <w:pPr>
                    <w:jc w:val="center"/>
                    <w:rPr>
                      <w:rFonts w:hint="default" w:ascii="Times New Roman" w:hAnsi="Times New Roman" w:eastAsia="宋体" w:cs="Times New Roman"/>
                      <w:color w:val="000000" w:themeColor="text1"/>
                      <w:kern w:val="0"/>
                      <w:szCs w:val="21"/>
                      <w:lang w:bidi="ar"/>
                      <w14:textFill>
                        <w14:solidFill>
                          <w14:schemeClr w14:val="tx1"/>
                        </w14:solidFill>
                      </w14:textFill>
                    </w:rPr>
                  </w:pPr>
                  <w:r>
                    <w:rPr>
                      <w:rFonts w:hint="default" w:ascii="Times New Roman" w:hAnsi="Times New Roman" w:eastAsia="宋体" w:cs="Times New Roman"/>
                      <w:color w:val="000000" w:themeColor="text1"/>
                      <w:kern w:val="0"/>
                      <w:szCs w:val="21"/>
                      <w:lang w:bidi="ar"/>
                      <w14:textFill>
                        <w14:solidFill>
                          <w14:schemeClr w14:val="tx1"/>
                        </w14:solidFill>
                      </w14:textFill>
                    </w:rPr>
                    <w:t>基础减振</w:t>
                  </w:r>
                  <w:r>
                    <w:rPr>
                      <w:rFonts w:hint="eastAsia" w:ascii="Times New Roman" w:hAnsi="Times New Roman" w:eastAsia="宋体" w:cs="Times New Roman"/>
                      <w:color w:val="000000" w:themeColor="text1"/>
                      <w:kern w:val="0"/>
                      <w:szCs w:val="21"/>
                      <w:lang w:eastAsia="zh-CN" w:bidi="ar"/>
                      <w14:textFill>
                        <w14:solidFill>
                          <w14:schemeClr w14:val="tx1"/>
                        </w14:solidFill>
                      </w14:textFill>
                    </w:rPr>
                    <w:t>、</w:t>
                  </w:r>
                  <w:r>
                    <w:rPr>
                      <w:rFonts w:hint="eastAsia" w:ascii="Times New Roman" w:hAnsi="Times New Roman" w:eastAsia="宋体" w:cs="Times New Roman"/>
                      <w:color w:val="000000" w:themeColor="text1"/>
                      <w:kern w:val="0"/>
                      <w:szCs w:val="21"/>
                      <w:lang w:val="en-US" w:eastAsia="zh-CN" w:bidi="ar"/>
                      <w14:textFill>
                        <w14:solidFill>
                          <w14:schemeClr w14:val="tx1"/>
                        </w14:solidFill>
                      </w14:textFill>
                    </w:rPr>
                    <w:t>厂房隔声</w:t>
                  </w:r>
                </w:p>
              </w:tc>
              <w:tc>
                <w:tcPr>
                  <w:tcW w:w="273" w:type="pct"/>
                  <w:tcBorders>
                    <w:tl2br w:val="nil"/>
                    <w:tr2bl w:val="nil"/>
                  </w:tcBorders>
                  <w:shd w:val="clear" w:color="auto" w:fill="auto"/>
                  <w:noWrap w:val="0"/>
                  <w:vAlign w:val="center"/>
                </w:tcPr>
                <w:p w14:paraId="5318376A">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35</w:t>
                  </w:r>
                </w:p>
              </w:tc>
              <w:tc>
                <w:tcPr>
                  <w:tcW w:w="333" w:type="pct"/>
                  <w:tcBorders>
                    <w:tl2br w:val="nil"/>
                    <w:tr2bl w:val="nil"/>
                  </w:tcBorders>
                  <w:shd w:val="clear" w:color="auto" w:fill="auto"/>
                  <w:noWrap w:val="0"/>
                  <w:vAlign w:val="center"/>
                </w:tcPr>
                <w:p w14:paraId="41C86E80">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33</w:t>
                  </w:r>
                </w:p>
              </w:tc>
              <w:tc>
                <w:tcPr>
                  <w:tcW w:w="204" w:type="pct"/>
                  <w:tcBorders>
                    <w:tl2br w:val="nil"/>
                    <w:tr2bl w:val="nil"/>
                  </w:tcBorders>
                  <w:noWrap w:val="0"/>
                  <w:vAlign w:val="center"/>
                </w:tcPr>
                <w:p w14:paraId="5B6B6A28">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w:t>
                  </w:r>
                </w:p>
              </w:tc>
              <w:tc>
                <w:tcPr>
                  <w:tcW w:w="237" w:type="pct"/>
                  <w:tcBorders>
                    <w:tl2br w:val="nil"/>
                    <w:tr2bl w:val="nil"/>
                  </w:tcBorders>
                  <w:noWrap w:val="0"/>
                  <w:vAlign w:val="center"/>
                </w:tcPr>
                <w:p w14:paraId="6D82CEE4">
                  <w:pPr>
                    <w:jc w:val="center"/>
                    <w:rPr>
                      <w:rFonts w:hint="default" w:ascii="Times New Roman" w:hAnsi="Times New Roman" w:eastAsia="宋体" w:cs="Times New Roman"/>
                      <w:color w:val="000000" w:themeColor="text1"/>
                      <w:kern w:val="0"/>
                      <w:szCs w:val="21"/>
                      <w:lang w:val="en-US" w:eastAsia="zh-CN" w:bidi="ar"/>
                      <w14:textFill>
                        <w14:solidFill>
                          <w14:schemeClr w14:val="tx1"/>
                        </w14:solidFill>
                      </w14:textFill>
                    </w:rPr>
                  </w:pPr>
                  <w:r>
                    <w:rPr>
                      <w:rFonts w:hint="eastAsia" w:ascii="Times New Roman" w:hAnsi="Times New Roman" w:cs="Times New Roman"/>
                      <w:color w:val="000000" w:themeColor="text1"/>
                      <w:kern w:val="0"/>
                      <w:szCs w:val="21"/>
                      <w:lang w:val="en-US" w:eastAsia="zh-CN" w:bidi="ar"/>
                      <w14:textFill>
                        <w14:solidFill>
                          <w14:schemeClr w14:val="tx1"/>
                        </w14:solidFill>
                      </w14:textFill>
                    </w:rPr>
                    <w:t>3</w:t>
                  </w:r>
                </w:p>
              </w:tc>
              <w:tc>
                <w:tcPr>
                  <w:tcW w:w="237" w:type="pct"/>
                  <w:tcBorders>
                    <w:tl2br w:val="nil"/>
                    <w:tr2bl w:val="nil"/>
                  </w:tcBorders>
                  <w:noWrap w:val="0"/>
                  <w:vAlign w:val="center"/>
                </w:tcPr>
                <w:p w14:paraId="4DFC7C48">
                  <w:pPr>
                    <w:jc w:val="center"/>
                    <w:rPr>
                      <w:rFonts w:hint="default" w:ascii="Times New Roman" w:hAnsi="Times New Roman" w:eastAsia="宋体" w:cs="Times New Roman"/>
                      <w:color w:val="000000" w:themeColor="text1"/>
                      <w:kern w:val="0"/>
                      <w:szCs w:val="21"/>
                      <w:lang w:val="en-US" w:eastAsia="zh-CN" w:bidi="ar"/>
                      <w14:textFill>
                        <w14:solidFill>
                          <w14:schemeClr w14:val="tx1"/>
                        </w14:solidFill>
                      </w14:textFill>
                    </w:rPr>
                  </w:pPr>
                  <w:r>
                    <w:rPr>
                      <w:rFonts w:hint="eastAsia" w:ascii="Times New Roman" w:hAnsi="Times New Roman" w:cs="Times New Roman"/>
                      <w:color w:val="000000" w:themeColor="text1"/>
                      <w:kern w:val="0"/>
                      <w:szCs w:val="21"/>
                      <w:lang w:val="en-US" w:eastAsia="zh-CN" w:bidi="ar"/>
                      <w14:textFill>
                        <w14:solidFill>
                          <w14:schemeClr w14:val="tx1"/>
                        </w14:solidFill>
                      </w14:textFill>
                    </w:rPr>
                    <w:t>75</w:t>
                  </w:r>
                </w:p>
              </w:tc>
              <w:tc>
                <w:tcPr>
                  <w:tcW w:w="237" w:type="pct"/>
                  <w:tcBorders>
                    <w:tl2br w:val="nil"/>
                    <w:tr2bl w:val="nil"/>
                  </w:tcBorders>
                  <w:noWrap w:val="0"/>
                  <w:vAlign w:val="center"/>
                </w:tcPr>
                <w:p w14:paraId="27482B2B">
                  <w:pPr>
                    <w:jc w:val="center"/>
                    <w:rPr>
                      <w:rFonts w:hint="eastAsia" w:ascii="Times New Roman" w:hAnsi="Times New Roman" w:eastAsia="宋体" w:cs="Times New Roman"/>
                      <w:color w:val="000000" w:themeColor="text1"/>
                      <w:kern w:val="0"/>
                      <w:szCs w:val="21"/>
                      <w:lang w:val="en-US" w:eastAsia="zh-CN" w:bidi="ar"/>
                      <w14:textFill>
                        <w14:solidFill>
                          <w14:schemeClr w14:val="tx1"/>
                        </w14:solidFill>
                      </w14:textFill>
                    </w:rPr>
                  </w:pPr>
                  <w:r>
                    <w:rPr>
                      <w:rFonts w:hint="eastAsia" w:ascii="Times New Roman" w:hAnsi="Times New Roman" w:cs="Times New Roman"/>
                      <w:color w:val="000000" w:themeColor="text1"/>
                      <w:kern w:val="0"/>
                      <w:szCs w:val="21"/>
                      <w:lang w:val="en-US" w:eastAsia="zh-CN" w:bidi="ar"/>
                      <w14:textFill>
                        <w14:solidFill>
                          <w14:schemeClr w14:val="tx1"/>
                        </w14:solidFill>
                      </w14:textFill>
                    </w:rPr>
                    <w:t>昼夜</w:t>
                  </w:r>
                </w:p>
              </w:tc>
              <w:tc>
                <w:tcPr>
                  <w:tcW w:w="374" w:type="pct"/>
                  <w:tcBorders>
                    <w:tl2br w:val="nil"/>
                    <w:tr2bl w:val="nil"/>
                  </w:tcBorders>
                  <w:noWrap w:val="0"/>
                  <w:vAlign w:val="center"/>
                </w:tcPr>
                <w:p w14:paraId="76BAD21A">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15</w:t>
                  </w:r>
                </w:p>
              </w:tc>
              <w:tc>
                <w:tcPr>
                  <w:tcW w:w="458" w:type="pct"/>
                  <w:tcBorders>
                    <w:tl2br w:val="nil"/>
                    <w:tr2bl w:val="nil"/>
                  </w:tcBorders>
                  <w:noWrap w:val="0"/>
                  <w:vAlign w:val="center"/>
                </w:tcPr>
                <w:p w14:paraId="63F521C8">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60</w:t>
                  </w:r>
                </w:p>
              </w:tc>
              <w:tc>
                <w:tcPr>
                  <w:tcW w:w="403" w:type="pct"/>
                  <w:tcBorders>
                    <w:tl2br w:val="nil"/>
                    <w:tr2bl w:val="nil"/>
                  </w:tcBorders>
                  <w:noWrap w:val="0"/>
                  <w:vAlign w:val="center"/>
                </w:tcPr>
                <w:p w14:paraId="1550DB6D">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w:t>
                  </w:r>
                </w:p>
              </w:tc>
            </w:tr>
            <w:tr w14:paraId="4098C97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36" w:type="pct"/>
                  <w:tcBorders>
                    <w:tl2br w:val="nil"/>
                    <w:tr2bl w:val="nil"/>
                  </w:tcBorders>
                  <w:noWrap w:val="0"/>
                  <w:vAlign w:val="center"/>
                </w:tcPr>
                <w:p w14:paraId="707C90F2">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15</w:t>
                  </w:r>
                </w:p>
              </w:tc>
              <w:tc>
                <w:tcPr>
                  <w:tcW w:w="237" w:type="pct"/>
                  <w:vMerge w:val="continue"/>
                  <w:tcBorders>
                    <w:tl2br w:val="nil"/>
                    <w:tr2bl w:val="nil"/>
                  </w:tcBorders>
                  <w:noWrap w:val="0"/>
                  <w:vAlign w:val="center"/>
                </w:tcPr>
                <w:p w14:paraId="5EFB2228">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393" w:type="pct"/>
                  <w:tcBorders>
                    <w:tl2br w:val="nil"/>
                    <w:tr2bl w:val="nil"/>
                  </w:tcBorders>
                  <w:noWrap w:val="0"/>
                  <w:vAlign w:val="center"/>
                </w:tcPr>
                <w:p w14:paraId="39510843">
                  <w:pPr>
                    <w:pStyle w:val="98"/>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排胶电炉</w:t>
                  </w:r>
                  <w:r>
                    <w:rPr>
                      <w:rFonts w:hint="eastAsia" w:ascii="Times New Roman" w:hAnsi="Times New Roman" w:cs="Times New Roman"/>
                      <w:color w:val="000000" w:themeColor="text1"/>
                      <w:sz w:val="21"/>
                      <w:szCs w:val="21"/>
                      <w:lang w:val="en-US" w:eastAsia="zh-CN"/>
                      <w14:textFill>
                        <w14:solidFill>
                          <w14:schemeClr w14:val="tx1"/>
                        </w14:solidFill>
                      </w14:textFill>
                    </w:rPr>
                    <w:t>2</w:t>
                  </w:r>
                </w:p>
              </w:tc>
              <w:tc>
                <w:tcPr>
                  <w:tcW w:w="451" w:type="pct"/>
                  <w:tcBorders>
                    <w:tl2br w:val="nil"/>
                    <w:tr2bl w:val="nil"/>
                  </w:tcBorders>
                  <w:noWrap w:val="0"/>
                  <w:vAlign w:val="center"/>
                </w:tcPr>
                <w:p w14:paraId="7F888E54">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85</w:t>
                  </w:r>
                </w:p>
              </w:tc>
              <w:tc>
                <w:tcPr>
                  <w:tcW w:w="923" w:type="pct"/>
                  <w:tcBorders>
                    <w:tl2br w:val="nil"/>
                    <w:tr2bl w:val="nil"/>
                  </w:tcBorders>
                  <w:noWrap w:val="0"/>
                  <w:vAlign w:val="center"/>
                </w:tcPr>
                <w:p w14:paraId="5A45A936">
                  <w:pPr>
                    <w:jc w:val="center"/>
                    <w:rPr>
                      <w:rFonts w:hint="default" w:ascii="Times New Roman" w:hAnsi="Times New Roman" w:eastAsia="宋体" w:cs="Times New Roman"/>
                      <w:color w:val="000000" w:themeColor="text1"/>
                      <w:kern w:val="0"/>
                      <w:szCs w:val="21"/>
                      <w:lang w:bidi="ar"/>
                      <w14:textFill>
                        <w14:solidFill>
                          <w14:schemeClr w14:val="tx1"/>
                        </w14:solidFill>
                      </w14:textFill>
                    </w:rPr>
                  </w:pPr>
                  <w:r>
                    <w:rPr>
                      <w:rFonts w:hint="default" w:ascii="Times New Roman" w:hAnsi="Times New Roman" w:eastAsia="宋体" w:cs="Times New Roman"/>
                      <w:color w:val="000000" w:themeColor="text1"/>
                      <w:kern w:val="0"/>
                      <w:szCs w:val="21"/>
                      <w:lang w:bidi="ar"/>
                      <w14:textFill>
                        <w14:solidFill>
                          <w14:schemeClr w14:val="tx1"/>
                        </w14:solidFill>
                      </w14:textFill>
                    </w:rPr>
                    <w:t>基础减振</w:t>
                  </w:r>
                  <w:r>
                    <w:rPr>
                      <w:rFonts w:hint="eastAsia" w:ascii="Times New Roman" w:hAnsi="Times New Roman" w:eastAsia="宋体" w:cs="Times New Roman"/>
                      <w:color w:val="000000" w:themeColor="text1"/>
                      <w:kern w:val="0"/>
                      <w:szCs w:val="21"/>
                      <w:lang w:eastAsia="zh-CN" w:bidi="ar"/>
                      <w14:textFill>
                        <w14:solidFill>
                          <w14:schemeClr w14:val="tx1"/>
                        </w14:solidFill>
                      </w14:textFill>
                    </w:rPr>
                    <w:t>、</w:t>
                  </w:r>
                  <w:r>
                    <w:rPr>
                      <w:rFonts w:hint="eastAsia" w:ascii="Times New Roman" w:hAnsi="Times New Roman" w:eastAsia="宋体" w:cs="Times New Roman"/>
                      <w:color w:val="000000" w:themeColor="text1"/>
                      <w:kern w:val="0"/>
                      <w:szCs w:val="21"/>
                      <w:lang w:val="en-US" w:eastAsia="zh-CN" w:bidi="ar"/>
                      <w14:textFill>
                        <w14:solidFill>
                          <w14:schemeClr w14:val="tx1"/>
                        </w14:solidFill>
                      </w14:textFill>
                    </w:rPr>
                    <w:t>厂房隔声</w:t>
                  </w:r>
                </w:p>
              </w:tc>
              <w:tc>
                <w:tcPr>
                  <w:tcW w:w="273" w:type="pct"/>
                  <w:tcBorders>
                    <w:tl2br w:val="nil"/>
                    <w:tr2bl w:val="nil"/>
                  </w:tcBorders>
                  <w:shd w:val="clear" w:color="auto" w:fill="auto"/>
                  <w:noWrap w:val="0"/>
                  <w:vAlign w:val="center"/>
                </w:tcPr>
                <w:p w14:paraId="19F49949">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35</w:t>
                  </w:r>
                </w:p>
              </w:tc>
              <w:tc>
                <w:tcPr>
                  <w:tcW w:w="333" w:type="pct"/>
                  <w:tcBorders>
                    <w:tl2br w:val="nil"/>
                    <w:tr2bl w:val="nil"/>
                  </w:tcBorders>
                  <w:shd w:val="clear" w:color="auto" w:fill="auto"/>
                  <w:noWrap w:val="0"/>
                  <w:vAlign w:val="center"/>
                </w:tcPr>
                <w:p w14:paraId="2E2FB31B">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32</w:t>
                  </w:r>
                </w:p>
              </w:tc>
              <w:tc>
                <w:tcPr>
                  <w:tcW w:w="204" w:type="pct"/>
                  <w:tcBorders>
                    <w:tl2br w:val="nil"/>
                    <w:tr2bl w:val="nil"/>
                  </w:tcBorders>
                  <w:noWrap w:val="0"/>
                  <w:vAlign w:val="center"/>
                </w:tcPr>
                <w:p w14:paraId="0859928A">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w:t>
                  </w:r>
                </w:p>
              </w:tc>
              <w:tc>
                <w:tcPr>
                  <w:tcW w:w="237" w:type="pct"/>
                  <w:tcBorders>
                    <w:tl2br w:val="nil"/>
                    <w:tr2bl w:val="nil"/>
                  </w:tcBorders>
                  <w:noWrap w:val="0"/>
                  <w:vAlign w:val="center"/>
                </w:tcPr>
                <w:p w14:paraId="42FB4D7F">
                  <w:pPr>
                    <w:jc w:val="center"/>
                    <w:rPr>
                      <w:rFonts w:hint="default" w:ascii="Times New Roman" w:hAnsi="Times New Roman" w:eastAsia="宋体" w:cs="Times New Roman"/>
                      <w:color w:val="000000" w:themeColor="text1"/>
                      <w:kern w:val="0"/>
                      <w:szCs w:val="21"/>
                      <w:lang w:val="en-US" w:eastAsia="zh-CN" w:bidi="ar"/>
                      <w14:textFill>
                        <w14:solidFill>
                          <w14:schemeClr w14:val="tx1"/>
                        </w14:solidFill>
                      </w14:textFill>
                    </w:rPr>
                  </w:pPr>
                  <w:r>
                    <w:rPr>
                      <w:rFonts w:hint="eastAsia" w:ascii="Times New Roman" w:hAnsi="Times New Roman" w:cs="Times New Roman"/>
                      <w:color w:val="000000" w:themeColor="text1"/>
                      <w:kern w:val="0"/>
                      <w:szCs w:val="21"/>
                      <w:lang w:val="en-US" w:eastAsia="zh-CN" w:bidi="ar"/>
                      <w14:textFill>
                        <w14:solidFill>
                          <w14:schemeClr w14:val="tx1"/>
                        </w14:solidFill>
                      </w14:textFill>
                    </w:rPr>
                    <w:t>4</w:t>
                  </w:r>
                </w:p>
              </w:tc>
              <w:tc>
                <w:tcPr>
                  <w:tcW w:w="237" w:type="pct"/>
                  <w:tcBorders>
                    <w:tl2br w:val="nil"/>
                    <w:tr2bl w:val="nil"/>
                  </w:tcBorders>
                  <w:noWrap w:val="0"/>
                  <w:vAlign w:val="center"/>
                </w:tcPr>
                <w:p w14:paraId="6FE2A4AB">
                  <w:pPr>
                    <w:jc w:val="center"/>
                    <w:rPr>
                      <w:rFonts w:hint="default" w:ascii="Times New Roman" w:hAnsi="Times New Roman" w:eastAsia="宋体" w:cs="Times New Roman"/>
                      <w:color w:val="000000" w:themeColor="text1"/>
                      <w:kern w:val="0"/>
                      <w:szCs w:val="21"/>
                      <w:lang w:val="en-US" w:eastAsia="zh-CN" w:bidi="ar"/>
                      <w14:textFill>
                        <w14:solidFill>
                          <w14:schemeClr w14:val="tx1"/>
                        </w14:solidFill>
                      </w14:textFill>
                    </w:rPr>
                  </w:pPr>
                  <w:r>
                    <w:rPr>
                      <w:rFonts w:hint="eastAsia" w:ascii="Times New Roman" w:hAnsi="Times New Roman" w:cs="Times New Roman"/>
                      <w:color w:val="000000" w:themeColor="text1"/>
                      <w:kern w:val="0"/>
                      <w:szCs w:val="21"/>
                      <w:lang w:val="en-US" w:eastAsia="zh-CN" w:bidi="ar"/>
                      <w14:textFill>
                        <w14:solidFill>
                          <w14:schemeClr w14:val="tx1"/>
                        </w14:solidFill>
                      </w14:textFill>
                    </w:rPr>
                    <w:t>73</w:t>
                  </w:r>
                </w:p>
              </w:tc>
              <w:tc>
                <w:tcPr>
                  <w:tcW w:w="237" w:type="pct"/>
                  <w:tcBorders>
                    <w:tl2br w:val="nil"/>
                    <w:tr2bl w:val="nil"/>
                  </w:tcBorders>
                  <w:noWrap w:val="0"/>
                  <w:vAlign w:val="center"/>
                </w:tcPr>
                <w:p w14:paraId="18D02732">
                  <w:pPr>
                    <w:jc w:val="center"/>
                    <w:rPr>
                      <w:rFonts w:hint="default" w:ascii="Times New Roman" w:hAnsi="Times New Roman" w:eastAsia="宋体" w:cs="Times New Roman"/>
                      <w:color w:val="000000" w:themeColor="text1"/>
                      <w:kern w:val="0"/>
                      <w:szCs w:val="21"/>
                      <w:lang w:bidi="ar"/>
                      <w14:textFill>
                        <w14:solidFill>
                          <w14:schemeClr w14:val="tx1"/>
                        </w14:solidFill>
                      </w14:textFill>
                    </w:rPr>
                  </w:pPr>
                  <w:r>
                    <w:rPr>
                      <w:rFonts w:hint="eastAsia" w:ascii="Times New Roman" w:hAnsi="Times New Roman" w:cs="Times New Roman"/>
                      <w:color w:val="000000" w:themeColor="text1"/>
                      <w:kern w:val="0"/>
                      <w:szCs w:val="21"/>
                      <w:lang w:val="en-US" w:eastAsia="zh-CN" w:bidi="ar"/>
                      <w14:textFill>
                        <w14:solidFill>
                          <w14:schemeClr w14:val="tx1"/>
                        </w14:solidFill>
                      </w14:textFill>
                    </w:rPr>
                    <w:t>昼夜</w:t>
                  </w:r>
                </w:p>
              </w:tc>
              <w:tc>
                <w:tcPr>
                  <w:tcW w:w="374" w:type="pct"/>
                  <w:tcBorders>
                    <w:tl2br w:val="nil"/>
                    <w:tr2bl w:val="nil"/>
                  </w:tcBorders>
                  <w:noWrap w:val="0"/>
                  <w:vAlign w:val="center"/>
                </w:tcPr>
                <w:p w14:paraId="7A699C28">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15</w:t>
                  </w:r>
                </w:p>
              </w:tc>
              <w:tc>
                <w:tcPr>
                  <w:tcW w:w="458" w:type="pct"/>
                  <w:tcBorders>
                    <w:tl2br w:val="nil"/>
                    <w:tr2bl w:val="nil"/>
                  </w:tcBorders>
                  <w:noWrap w:val="0"/>
                  <w:vAlign w:val="center"/>
                </w:tcPr>
                <w:p w14:paraId="3984380D">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58</w:t>
                  </w:r>
                </w:p>
              </w:tc>
              <w:tc>
                <w:tcPr>
                  <w:tcW w:w="403" w:type="pct"/>
                  <w:tcBorders>
                    <w:tl2br w:val="nil"/>
                    <w:tr2bl w:val="nil"/>
                  </w:tcBorders>
                  <w:noWrap w:val="0"/>
                  <w:vAlign w:val="center"/>
                </w:tcPr>
                <w:p w14:paraId="25B31902">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w:t>
                  </w:r>
                </w:p>
              </w:tc>
            </w:tr>
            <w:tr w14:paraId="4B50B86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36" w:type="pct"/>
                  <w:tcBorders>
                    <w:tl2br w:val="nil"/>
                    <w:tr2bl w:val="nil"/>
                  </w:tcBorders>
                  <w:noWrap w:val="0"/>
                  <w:vAlign w:val="center"/>
                </w:tcPr>
                <w:p w14:paraId="664F7982">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16</w:t>
                  </w:r>
                </w:p>
              </w:tc>
              <w:tc>
                <w:tcPr>
                  <w:tcW w:w="237" w:type="pct"/>
                  <w:vMerge w:val="continue"/>
                  <w:tcBorders>
                    <w:tl2br w:val="nil"/>
                    <w:tr2bl w:val="nil"/>
                  </w:tcBorders>
                  <w:noWrap w:val="0"/>
                  <w:vAlign w:val="center"/>
                </w:tcPr>
                <w:p w14:paraId="43FC82E4">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393" w:type="pct"/>
                  <w:tcBorders>
                    <w:tl2br w:val="nil"/>
                    <w:tr2bl w:val="nil"/>
                  </w:tcBorders>
                  <w:noWrap w:val="0"/>
                  <w:vAlign w:val="center"/>
                </w:tcPr>
                <w:p w14:paraId="0553E7EE">
                  <w:pPr>
                    <w:pStyle w:val="98"/>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烧结</w:t>
                  </w:r>
                  <w:r>
                    <w:rPr>
                      <w:rFonts w:hint="eastAsia" w:ascii="Times New Roman" w:hAnsi="Times New Roman" w:cs="Times New Roman"/>
                      <w:color w:val="000000" w:themeColor="text1"/>
                      <w:sz w:val="21"/>
                      <w:szCs w:val="21"/>
                      <w:lang w:val="en-US" w:eastAsia="zh-CN"/>
                      <w14:textFill>
                        <w14:solidFill>
                          <w14:schemeClr w14:val="tx1"/>
                        </w14:solidFill>
                      </w14:textFill>
                    </w:rPr>
                    <w:t>炉</w:t>
                  </w:r>
                  <w:r>
                    <w:rPr>
                      <w:rFonts w:hint="eastAsia" w:cs="Times New Roman"/>
                      <w:color w:val="000000" w:themeColor="text1"/>
                      <w:sz w:val="21"/>
                      <w:szCs w:val="21"/>
                      <w:lang w:val="en-US" w:eastAsia="zh-CN"/>
                      <w14:textFill>
                        <w14:solidFill>
                          <w14:schemeClr w14:val="tx1"/>
                        </w14:solidFill>
                      </w14:textFill>
                    </w:rPr>
                    <w:t>1</w:t>
                  </w:r>
                </w:p>
              </w:tc>
              <w:tc>
                <w:tcPr>
                  <w:tcW w:w="451" w:type="pct"/>
                  <w:tcBorders>
                    <w:tl2br w:val="nil"/>
                    <w:tr2bl w:val="nil"/>
                  </w:tcBorders>
                  <w:noWrap w:val="0"/>
                  <w:vAlign w:val="center"/>
                </w:tcPr>
                <w:p w14:paraId="6057DB9B">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85</w:t>
                  </w:r>
                </w:p>
              </w:tc>
              <w:tc>
                <w:tcPr>
                  <w:tcW w:w="923" w:type="pct"/>
                  <w:tcBorders>
                    <w:tl2br w:val="nil"/>
                    <w:tr2bl w:val="nil"/>
                  </w:tcBorders>
                  <w:noWrap w:val="0"/>
                  <w:vAlign w:val="center"/>
                </w:tcPr>
                <w:p w14:paraId="19696E09">
                  <w:pPr>
                    <w:jc w:val="center"/>
                    <w:rPr>
                      <w:rFonts w:hint="default" w:ascii="Times New Roman" w:hAnsi="Times New Roman" w:eastAsia="宋体" w:cs="Times New Roman"/>
                      <w:color w:val="000000" w:themeColor="text1"/>
                      <w:kern w:val="0"/>
                      <w:szCs w:val="21"/>
                      <w:lang w:bidi="ar"/>
                      <w14:textFill>
                        <w14:solidFill>
                          <w14:schemeClr w14:val="tx1"/>
                        </w14:solidFill>
                      </w14:textFill>
                    </w:rPr>
                  </w:pPr>
                  <w:r>
                    <w:rPr>
                      <w:rFonts w:hint="default" w:ascii="Times New Roman" w:hAnsi="Times New Roman" w:eastAsia="宋体" w:cs="Times New Roman"/>
                      <w:color w:val="000000" w:themeColor="text1"/>
                      <w:kern w:val="0"/>
                      <w:szCs w:val="21"/>
                      <w:lang w:bidi="ar"/>
                      <w14:textFill>
                        <w14:solidFill>
                          <w14:schemeClr w14:val="tx1"/>
                        </w14:solidFill>
                      </w14:textFill>
                    </w:rPr>
                    <w:t>基础减振</w:t>
                  </w:r>
                  <w:r>
                    <w:rPr>
                      <w:rFonts w:hint="eastAsia" w:ascii="Times New Roman" w:hAnsi="Times New Roman" w:eastAsia="宋体" w:cs="Times New Roman"/>
                      <w:color w:val="000000" w:themeColor="text1"/>
                      <w:kern w:val="0"/>
                      <w:szCs w:val="21"/>
                      <w:lang w:eastAsia="zh-CN" w:bidi="ar"/>
                      <w14:textFill>
                        <w14:solidFill>
                          <w14:schemeClr w14:val="tx1"/>
                        </w14:solidFill>
                      </w14:textFill>
                    </w:rPr>
                    <w:t>、</w:t>
                  </w:r>
                  <w:r>
                    <w:rPr>
                      <w:rFonts w:hint="eastAsia" w:ascii="Times New Roman" w:hAnsi="Times New Roman" w:eastAsia="宋体" w:cs="Times New Roman"/>
                      <w:color w:val="000000" w:themeColor="text1"/>
                      <w:kern w:val="0"/>
                      <w:szCs w:val="21"/>
                      <w:lang w:val="en-US" w:eastAsia="zh-CN" w:bidi="ar"/>
                      <w14:textFill>
                        <w14:solidFill>
                          <w14:schemeClr w14:val="tx1"/>
                        </w14:solidFill>
                      </w14:textFill>
                    </w:rPr>
                    <w:t>厂房隔声</w:t>
                  </w:r>
                </w:p>
              </w:tc>
              <w:tc>
                <w:tcPr>
                  <w:tcW w:w="273" w:type="pct"/>
                  <w:tcBorders>
                    <w:tl2br w:val="nil"/>
                    <w:tr2bl w:val="nil"/>
                  </w:tcBorders>
                  <w:shd w:val="clear" w:color="auto" w:fill="auto"/>
                  <w:noWrap w:val="0"/>
                  <w:vAlign w:val="center"/>
                </w:tcPr>
                <w:p w14:paraId="6BF39270">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35</w:t>
                  </w:r>
                </w:p>
              </w:tc>
              <w:tc>
                <w:tcPr>
                  <w:tcW w:w="333" w:type="pct"/>
                  <w:tcBorders>
                    <w:tl2br w:val="nil"/>
                    <w:tr2bl w:val="nil"/>
                  </w:tcBorders>
                  <w:shd w:val="clear" w:color="auto" w:fill="auto"/>
                  <w:noWrap w:val="0"/>
                  <w:vAlign w:val="center"/>
                </w:tcPr>
                <w:p w14:paraId="246AD040">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31</w:t>
                  </w:r>
                </w:p>
              </w:tc>
              <w:tc>
                <w:tcPr>
                  <w:tcW w:w="204" w:type="pct"/>
                  <w:tcBorders>
                    <w:tl2br w:val="nil"/>
                    <w:tr2bl w:val="nil"/>
                  </w:tcBorders>
                  <w:noWrap w:val="0"/>
                  <w:vAlign w:val="center"/>
                </w:tcPr>
                <w:p w14:paraId="4A64539C">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w:t>
                  </w:r>
                </w:p>
              </w:tc>
              <w:tc>
                <w:tcPr>
                  <w:tcW w:w="237" w:type="pct"/>
                  <w:tcBorders>
                    <w:tl2br w:val="nil"/>
                    <w:tr2bl w:val="nil"/>
                  </w:tcBorders>
                  <w:noWrap w:val="0"/>
                  <w:vAlign w:val="center"/>
                </w:tcPr>
                <w:p w14:paraId="4872760E">
                  <w:pPr>
                    <w:jc w:val="center"/>
                    <w:rPr>
                      <w:rFonts w:hint="default" w:ascii="Times New Roman" w:hAnsi="Times New Roman" w:eastAsia="宋体" w:cs="Times New Roman"/>
                      <w:color w:val="000000" w:themeColor="text1"/>
                      <w:kern w:val="0"/>
                      <w:szCs w:val="21"/>
                      <w:lang w:val="en-US" w:eastAsia="zh-CN" w:bidi="ar"/>
                      <w14:textFill>
                        <w14:solidFill>
                          <w14:schemeClr w14:val="tx1"/>
                        </w14:solidFill>
                      </w14:textFill>
                    </w:rPr>
                  </w:pPr>
                  <w:r>
                    <w:rPr>
                      <w:rFonts w:hint="eastAsia" w:ascii="Times New Roman" w:hAnsi="Times New Roman" w:cs="Times New Roman"/>
                      <w:color w:val="000000" w:themeColor="text1"/>
                      <w:kern w:val="0"/>
                      <w:szCs w:val="21"/>
                      <w:lang w:val="en-US" w:eastAsia="zh-CN" w:bidi="ar"/>
                      <w14:textFill>
                        <w14:solidFill>
                          <w14:schemeClr w14:val="tx1"/>
                        </w14:solidFill>
                      </w14:textFill>
                    </w:rPr>
                    <w:t>5</w:t>
                  </w:r>
                </w:p>
              </w:tc>
              <w:tc>
                <w:tcPr>
                  <w:tcW w:w="237" w:type="pct"/>
                  <w:tcBorders>
                    <w:tl2br w:val="nil"/>
                    <w:tr2bl w:val="nil"/>
                  </w:tcBorders>
                  <w:noWrap w:val="0"/>
                  <w:vAlign w:val="center"/>
                </w:tcPr>
                <w:p w14:paraId="15088020">
                  <w:pPr>
                    <w:jc w:val="center"/>
                    <w:rPr>
                      <w:rFonts w:hint="default" w:ascii="Times New Roman" w:hAnsi="Times New Roman" w:eastAsia="宋体" w:cs="Times New Roman"/>
                      <w:color w:val="000000" w:themeColor="text1"/>
                      <w:kern w:val="0"/>
                      <w:szCs w:val="21"/>
                      <w:lang w:val="en-US" w:eastAsia="zh-CN" w:bidi="ar"/>
                      <w14:textFill>
                        <w14:solidFill>
                          <w14:schemeClr w14:val="tx1"/>
                        </w14:solidFill>
                      </w14:textFill>
                    </w:rPr>
                  </w:pPr>
                  <w:r>
                    <w:rPr>
                      <w:rFonts w:hint="eastAsia" w:ascii="Times New Roman" w:hAnsi="Times New Roman" w:cs="Times New Roman"/>
                      <w:color w:val="000000" w:themeColor="text1"/>
                      <w:kern w:val="0"/>
                      <w:szCs w:val="21"/>
                      <w:lang w:val="en-US" w:eastAsia="zh-CN" w:bidi="ar"/>
                      <w14:textFill>
                        <w14:solidFill>
                          <w14:schemeClr w14:val="tx1"/>
                        </w14:solidFill>
                      </w14:textFill>
                    </w:rPr>
                    <w:t>71</w:t>
                  </w:r>
                </w:p>
              </w:tc>
              <w:tc>
                <w:tcPr>
                  <w:tcW w:w="237" w:type="pct"/>
                  <w:tcBorders>
                    <w:tl2br w:val="nil"/>
                    <w:tr2bl w:val="nil"/>
                  </w:tcBorders>
                  <w:noWrap w:val="0"/>
                  <w:vAlign w:val="center"/>
                </w:tcPr>
                <w:p w14:paraId="6C147A64">
                  <w:pPr>
                    <w:jc w:val="center"/>
                    <w:rPr>
                      <w:rFonts w:hint="default" w:ascii="Times New Roman" w:hAnsi="Times New Roman" w:eastAsia="宋体" w:cs="Times New Roman"/>
                      <w:color w:val="000000" w:themeColor="text1"/>
                      <w:kern w:val="0"/>
                      <w:szCs w:val="21"/>
                      <w:lang w:bidi="ar"/>
                      <w14:textFill>
                        <w14:solidFill>
                          <w14:schemeClr w14:val="tx1"/>
                        </w14:solidFill>
                      </w14:textFill>
                    </w:rPr>
                  </w:pPr>
                  <w:r>
                    <w:rPr>
                      <w:rFonts w:hint="eastAsia" w:ascii="Times New Roman" w:hAnsi="Times New Roman" w:cs="Times New Roman"/>
                      <w:color w:val="000000" w:themeColor="text1"/>
                      <w:kern w:val="0"/>
                      <w:szCs w:val="21"/>
                      <w:lang w:val="en-US" w:eastAsia="zh-CN" w:bidi="ar"/>
                      <w14:textFill>
                        <w14:solidFill>
                          <w14:schemeClr w14:val="tx1"/>
                        </w14:solidFill>
                      </w14:textFill>
                    </w:rPr>
                    <w:t>昼夜</w:t>
                  </w:r>
                </w:p>
              </w:tc>
              <w:tc>
                <w:tcPr>
                  <w:tcW w:w="374" w:type="pct"/>
                  <w:tcBorders>
                    <w:tl2br w:val="nil"/>
                    <w:tr2bl w:val="nil"/>
                  </w:tcBorders>
                  <w:noWrap w:val="0"/>
                  <w:vAlign w:val="center"/>
                </w:tcPr>
                <w:p w14:paraId="64684601">
                  <w:pPr>
                    <w:jc w:val="center"/>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15</w:t>
                  </w:r>
                </w:p>
              </w:tc>
              <w:tc>
                <w:tcPr>
                  <w:tcW w:w="458" w:type="pct"/>
                  <w:tcBorders>
                    <w:tl2br w:val="nil"/>
                    <w:tr2bl w:val="nil"/>
                  </w:tcBorders>
                  <w:noWrap w:val="0"/>
                  <w:vAlign w:val="center"/>
                </w:tcPr>
                <w:p w14:paraId="686FAD7B">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56</w:t>
                  </w:r>
                </w:p>
              </w:tc>
              <w:tc>
                <w:tcPr>
                  <w:tcW w:w="403" w:type="pct"/>
                  <w:tcBorders>
                    <w:tl2br w:val="nil"/>
                    <w:tr2bl w:val="nil"/>
                  </w:tcBorders>
                  <w:noWrap w:val="0"/>
                  <w:vAlign w:val="center"/>
                </w:tcPr>
                <w:p w14:paraId="705C6FF0">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w:t>
                  </w:r>
                </w:p>
              </w:tc>
            </w:tr>
            <w:tr w14:paraId="313F586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36" w:type="pct"/>
                  <w:tcBorders>
                    <w:tl2br w:val="nil"/>
                    <w:tr2bl w:val="nil"/>
                  </w:tcBorders>
                  <w:noWrap w:val="0"/>
                  <w:vAlign w:val="center"/>
                </w:tcPr>
                <w:p w14:paraId="2BE948AD">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17</w:t>
                  </w:r>
                </w:p>
              </w:tc>
              <w:tc>
                <w:tcPr>
                  <w:tcW w:w="237" w:type="pct"/>
                  <w:vMerge w:val="continue"/>
                  <w:tcBorders>
                    <w:tl2br w:val="nil"/>
                    <w:tr2bl w:val="nil"/>
                  </w:tcBorders>
                  <w:noWrap w:val="0"/>
                  <w:vAlign w:val="center"/>
                </w:tcPr>
                <w:p w14:paraId="1E6D9A6C">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393" w:type="pct"/>
                  <w:tcBorders>
                    <w:tl2br w:val="nil"/>
                    <w:tr2bl w:val="nil"/>
                  </w:tcBorders>
                  <w:noWrap w:val="0"/>
                  <w:vAlign w:val="center"/>
                </w:tcPr>
                <w:p w14:paraId="6BD9634B">
                  <w:pPr>
                    <w:pStyle w:val="98"/>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烧结</w:t>
                  </w:r>
                  <w:r>
                    <w:rPr>
                      <w:rFonts w:hint="eastAsia" w:ascii="Times New Roman" w:hAnsi="Times New Roman" w:cs="Times New Roman"/>
                      <w:color w:val="000000" w:themeColor="text1"/>
                      <w:sz w:val="21"/>
                      <w:szCs w:val="21"/>
                      <w:lang w:val="en-US" w:eastAsia="zh-CN"/>
                      <w14:textFill>
                        <w14:solidFill>
                          <w14:schemeClr w14:val="tx1"/>
                        </w14:solidFill>
                      </w14:textFill>
                    </w:rPr>
                    <w:t>炉</w:t>
                  </w:r>
                  <w:r>
                    <w:rPr>
                      <w:rFonts w:hint="eastAsia" w:cs="Times New Roman"/>
                      <w:color w:val="000000" w:themeColor="text1"/>
                      <w:sz w:val="21"/>
                      <w:szCs w:val="21"/>
                      <w:lang w:val="en-US" w:eastAsia="zh-CN"/>
                      <w14:textFill>
                        <w14:solidFill>
                          <w14:schemeClr w14:val="tx1"/>
                        </w14:solidFill>
                      </w14:textFill>
                    </w:rPr>
                    <w:t>2</w:t>
                  </w:r>
                </w:p>
              </w:tc>
              <w:tc>
                <w:tcPr>
                  <w:tcW w:w="451" w:type="pct"/>
                  <w:tcBorders>
                    <w:tl2br w:val="nil"/>
                    <w:tr2bl w:val="nil"/>
                  </w:tcBorders>
                  <w:noWrap w:val="0"/>
                  <w:vAlign w:val="center"/>
                </w:tcPr>
                <w:p w14:paraId="09C6B127">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85</w:t>
                  </w:r>
                </w:p>
              </w:tc>
              <w:tc>
                <w:tcPr>
                  <w:tcW w:w="923" w:type="pct"/>
                  <w:tcBorders>
                    <w:tl2br w:val="nil"/>
                    <w:tr2bl w:val="nil"/>
                  </w:tcBorders>
                  <w:noWrap w:val="0"/>
                  <w:vAlign w:val="center"/>
                </w:tcPr>
                <w:p w14:paraId="41926636">
                  <w:pPr>
                    <w:jc w:val="center"/>
                    <w:rPr>
                      <w:rFonts w:hint="default" w:ascii="Times New Roman" w:hAnsi="Times New Roman" w:eastAsia="宋体" w:cs="Times New Roman"/>
                      <w:color w:val="000000" w:themeColor="text1"/>
                      <w:kern w:val="0"/>
                      <w:szCs w:val="21"/>
                      <w:lang w:bidi="ar"/>
                      <w14:textFill>
                        <w14:solidFill>
                          <w14:schemeClr w14:val="tx1"/>
                        </w14:solidFill>
                      </w14:textFill>
                    </w:rPr>
                  </w:pPr>
                  <w:r>
                    <w:rPr>
                      <w:rFonts w:hint="default" w:ascii="Times New Roman" w:hAnsi="Times New Roman" w:eastAsia="宋体" w:cs="Times New Roman"/>
                      <w:color w:val="000000" w:themeColor="text1"/>
                      <w:kern w:val="0"/>
                      <w:szCs w:val="21"/>
                      <w:lang w:bidi="ar"/>
                      <w14:textFill>
                        <w14:solidFill>
                          <w14:schemeClr w14:val="tx1"/>
                        </w14:solidFill>
                      </w14:textFill>
                    </w:rPr>
                    <w:t>基础减振</w:t>
                  </w:r>
                  <w:r>
                    <w:rPr>
                      <w:rFonts w:hint="eastAsia" w:ascii="Times New Roman" w:hAnsi="Times New Roman" w:eastAsia="宋体" w:cs="Times New Roman"/>
                      <w:color w:val="000000" w:themeColor="text1"/>
                      <w:kern w:val="0"/>
                      <w:szCs w:val="21"/>
                      <w:lang w:eastAsia="zh-CN" w:bidi="ar"/>
                      <w14:textFill>
                        <w14:solidFill>
                          <w14:schemeClr w14:val="tx1"/>
                        </w14:solidFill>
                      </w14:textFill>
                    </w:rPr>
                    <w:t>、</w:t>
                  </w:r>
                  <w:r>
                    <w:rPr>
                      <w:rFonts w:hint="eastAsia" w:ascii="Times New Roman" w:hAnsi="Times New Roman" w:eastAsia="宋体" w:cs="Times New Roman"/>
                      <w:color w:val="000000" w:themeColor="text1"/>
                      <w:kern w:val="0"/>
                      <w:szCs w:val="21"/>
                      <w:lang w:val="en-US" w:eastAsia="zh-CN" w:bidi="ar"/>
                      <w14:textFill>
                        <w14:solidFill>
                          <w14:schemeClr w14:val="tx1"/>
                        </w14:solidFill>
                      </w14:textFill>
                    </w:rPr>
                    <w:t>厂房隔声</w:t>
                  </w:r>
                </w:p>
              </w:tc>
              <w:tc>
                <w:tcPr>
                  <w:tcW w:w="273" w:type="pct"/>
                  <w:tcBorders>
                    <w:tl2br w:val="nil"/>
                    <w:tr2bl w:val="nil"/>
                  </w:tcBorders>
                  <w:shd w:val="clear" w:color="auto" w:fill="auto"/>
                  <w:noWrap w:val="0"/>
                  <w:vAlign w:val="center"/>
                </w:tcPr>
                <w:p w14:paraId="512E514B">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35</w:t>
                  </w:r>
                </w:p>
              </w:tc>
              <w:tc>
                <w:tcPr>
                  <w:tcW w:w="333" w:type="pct"/>
                  <w:tcBorders>
                    <w:tl2br w:val="nil"/>
                    <w:tr2bl w:val="nil"/>
                  </w:tcBorders>
                  <w:shd w:val="clear" w:color="auto" w:fill="auto"/>
                  <w:noWrap w:val="0"/>
                  <w:vAlign w:val="center"/>
                </w:tcPr>
                <w:p w14:paraId="2A08038B">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30</w:t>
                  </w:r>
                </w:p>
              </w:tc>
              <w:tc>
                <w:tcPr>
                  <w:tcW w:w="204" w:type="pct"/>
                  <w:tcBorders>
                    <w:tl2br w:val="nil"/>
                    <w:tr2bl w:val="nil"/>
                  </w:tcBorders>
                  <w:noWrap w:val="0"/>
                  <w:vAlign w:val="center"/>
                </w:tcPr>
                <w:p w14:paraId="7B8886E4">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w:t>
                  </w:r>
                </w:p>
              </w:tc>
              <w:tc>
                <w:tcPr>
                  <w:tcW w:w="237" w:type="pct"/>
                  <w:tcBorders>
                    <w:tl2br w:val="nil"/>
                    <w:tr2bl w:val="nil"/>
                  </w:tcBorders>
                  <w:noWrap w:val="0"/>
                  <w:vAlign w:val="center"/>
                </w:tcPr>
                <w:p w14:paraId="6C4A60A6">
                  <w:pPr>
                    <w:jc w:val="center"/>
                    <w:rPr>
                      <w:rFonts w:hint="default" w:ascii="Times New Roman" w:hAnsi="Times New Roman" w:eastAsia="宋体" w:cs="Times New Roman"/>
                      <w:color w:val="000000" w:themeColor="text1"/>
                      <w:kern w:val="0"/>
                      <w:szCs w:val="21"/>
                      <w:lang w:val="en-US" w:eastAsia="zh-CN" w:bidi="ar"/>
                      <w14:textFill>
                        <w14:solidFill>
                          <w14:schemeClr w14:val="tx1"/>
                        </w14:solidFill>
                      </w14:textFill>
                    </w:rPr>
                  </w:pPr>
                  <w:r>
                    <w:rPr>
                      <w:rFonts w:hint="eastAsia" w:ascii="Times New Roman" w:hAnsi="Times New Roman" w:cs="Times New Roman"/>
                      <w:color w:val="000000" w:themeColor="text1"/>
                      <w:kern w:val="0"/>
                      <w:szCs w:val="21"/>
                      <w:lang w:val="en-US" w:eastAsia="zh-CN" w:bidi="ar"/>
                      <w14:textFill>
                        <w14:solidFill>
                          <w14:schemeClr w14:val="tx1"/>
                        </w14:solidFill>
                      </w14:textFill>
                    </w:rPr>
                    <w:t>6</w:t>
                  </w:r>
                </w:p>
              </w:tc>
              <w:tc>
                <w:tcPr>
                  <w:tcW w:w="237" w:type="pct"/>
                  <w:tcBorders>
                    <w:tl2br w:val="nil"/>
                    <w:tr2bl w:val="nil"/>
                  </w:tcBorders>
                  <w:noWrap w:val="0"/>
                  <w:vAlign w:val="center"/>
                </w:tcPr>
                <w:p w14:paraId="1E359A6A">
                  <w:pPr>
                    <w:jc w:val="center"/>
                    <w:rPr>
                      <w:rFonts w:hint="default" w:ascii="Times New Roman" w:hAnsi="Times New Roman" w:eastAsia="宋体" w:cs="Times New Roman"/>
                      <w:color w:val="000000" w:themeColor="text1"/>
                      <w:kern w:val="0"/>
                      <w:szCs w:val="21"/>
                      <w:lang w:val="en-US" w:eastAsia="zh-CN" w:bidi="ar"/>
                      <w14:textFill>
                        <w14:solidFill>
                          <w14:schemeClr w14:val="tx1"/>
                        </w14:solidFill>
                      </w14:textFill>
                    </w:rPr>
                  </w:pPr>
                  <w:r>
                    <w:rPr>
                      <w:rFonts w:hint="eastAsia" w:ascii="Times New Roman" w:hAnsi="Times New Roman" w:cs="Times New Roman"/>
                      <w:color w:val="000000" w:themeColor="text1"/>
                      <w:kern w:val="0"/>
                      <w:szCs w:val="21"/>
                      <w:lang w:val="en-US" w:eastAsia="zh-CN" w:bidi="ar"/>
                      <w14:textFill>
                        <w14:solidFill>
                          <w14:schemeClr w14:val="tx1"/>
                        </w14:solidFill>
                      </w14:textFill>
                    </w:rPr>
                    <w:t>69</w:t>
                  </w:r>
                </w:p>
              </w:tc>
              <w:tc>
                <w:tcPr>
                  <w:tcW w:w="237" w:type="pct"/>
                  <w:tcBorders>
                    <w:tl2br w:val="nil"/>
                    <w:tr2bl w:val="nil"/>
                  </w:tcBorders>
                  <w:noWrap w:val="0"/>
                  <w:vAlign w:val="center"/>
                </w:tcPr>
                <w:p w14:paraId="1A509073">
                  <w:pPr>
                    <w:jc w:val="center"/>
                    <w:rPr>
                      <w:rFonts w:hint="default" w:ascii="Times New Roman" w:hAnsi="Times New Roman" w:eastAsia="宋体" w:cs="Times New Roman"/>
                      <w:color w:val="000000" w:themeColor="text1"/>
                      <w:kern w:val="0"/>
                      <w:szCs w:val="21"/>
                      <w:lang w:bidi="ar"/>
                      <w14:textFill>
                        <w14:solidFill>
                          <w14:schemeClr w14:val="tx1"/>
                        </w14:solidFill>
                      </w14:textFill>
                    </w:rPr>
                  </w:pPr>
                  <w:r>
                    <w:rPr>
                      <w:rFonts w:hint="eastAsia" w:ascii="Times New Roman" w:hAnsi="Times New Roman" w:cs="Times New Roman"/>
                      <w:color w:val="000000" w:themeColor="text1"/>
                      <w:kern w:val="0"/>
                      <w:szCs w:val="21"/>
                      <w:lang w:val="en-US" w:eastAsia="zh-CN" w:bidi="ar"/>
                      <w14:textFill>
                        <w14:solidFill>
                          <w14:schemeClr w14:val="tx1"/>
                        </w14:solidFill>
                      </w14:textFill>
                    </w:rPr>
                    <w:t>昼夜</w:t>
                  </w:r>
                </w:p>
              </w:tc>
              <w:tc>
                <w:tcPr>
                  <w:tcW w:w="374" w:type="pct"/>
                  <w:tcBorders>
                    <w:tl2br w:val="nil"/>
                    <w:tr2bl w:val="nil"/>
                  </w:tcBorders>
                  <w:noWrap w:val="0"/>
                  <w:vAlign w:val="center"/>
                </w:tcPr>
                <w:p w14:paraId="72CD4E33">
                  <w:pPr>
                    <w:jc w:val="center"/>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15</w:t>
                  </w:r>
                </w:p>
              </w:tc>
              <w:tc>
                <w:tcPr>
                  <w:tcW w:w="458" w:type="pct"/>
                  <w:tcBorders>
                    <w:tl2br w:val="nil"/>
                    <w:tr2bl w:val="nil"/>
                  </w:tcBorders>
                  <w:noWrap w:val="0"/>
                  <w:vAlign w:val="center"/>
                </w:tcPr>
                <w:p w14:paraId="7BCE1D2C">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54</w:t>
                  </w:r>
                </w:p>
              </w:tc>
              <w:tc>
                <w:tcPr>
                  <w:tcW w:w="403" w:type="pct"/>
                  <w:tcBorders>
                    <w:tl2br w:val="nil"/>
                    <w:tr2bl w:val="nil"/>
                  </w:tcBorders>
                  <w:noWrap w:val="0"/>
                  <w:vAlign w:val="center"/>
                </w:tcPr>
                <w:p w14:paraId="011410DD">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w:t>
                  </w:r>
                </w:p>
              </w:tc>
            </w:tr>
            <w:tr w14:paraId="067766C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36" w:type="pct"/>
                  <w:tcBorders>
                    <w:tl2br w:val="nil"/>
                    <w:tr2bl w:val="nil"/>
                  </w:tcBorders>
                  <w:noWrap w:val="0"/>
                  <w:vAlign w:val="center"/>
                </w:tcPr>
                <w:p w14:paraId="7BCB4D76">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18</w:t>
                  </w:r>
                </w:p>
              </w:tc>
              <w:tc>
                <w:tcPr>
                  <w:tcW w:w="237" w:type="pct"/>
                  <w:vMerge w:val="continue"/>
                  <w:tcBorders>
                    <w:tl2br w:val="nil"/>
                    <w:tr2bl w:val="nil"/>
                  </w:tcBorders>
                  <w:noWrap w:val="0"/>
                  <w:vAlign w:val="center"/>
                </w:tcPr>
                <w:p w14:paraId="7F3D0CFD">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393" w:type="pct"/>
                  <w:tcBorders>
                    <w:tl2br w:val="nil"/>
                    <w:tr2bl w:val="nil"/>
                  </w:tcBorders>
                  <w:noWrap w:val="0"/>
                  <w:vAlign w:val="center"/>
                </w:tcPr>
                <w:p w14:paraId="57959AE0">
                  <w:pPr>
                    <w:pStyle w:val="98"/>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烧结</w:t>
                  </w:r>
                  <w:r>
                    <w:rPr>
                      <w:rFonts w:hint="eastAsia" w:ascii="Times New Roman" w:hAnsi="Times New Roman" w:cs="Times New Roman"/>
                      <w:color w:val="000000" w:themeColor="text1"/>
                      <w:sz w:val="21"/>
                      <w:szCs w:val="21"/>
                      <w:lang w:val="en-US" w:eastAsia="zh-CN"/>
                      <w14:textFill>
                        <w14:solidFill>
                          <w14:schemeClr w14:val="tx1"/>
                        </w14:solidFill>
                      </w14:textFill>
                    </w:rPr>
                    <w:t>炉</w:t>
                  </w:r>
                  <w:r>
                    <w:rPr>
                      <w:rFonts w:hint="eastAsia" w:cs="Times New Roman"/>
                      <w:color w:val="000000" w:themeColor="text1"/>
                      <w:sz w:val="21"/>
                      <w:szCs w:val="21"/>
                      <w:lang w:val="en-US" w:eastAsia="zh-CN"/>
                      <w14:textFill>
                        <w14:solidFill>
                          <w14:schemeClr w14:val="tx1"/>
                        </w14:solidFill>
                      </w14:textFill>
                    </w:rPr>
                    <w:t>3</w:t>
                  </w:r>
                </w:p>
              </w:tc>
              <w:tc>
                <w:tcPr>
                  <w:tcW w:w="451" w:type="pct"/>
                  <w:tcBorders>
                    <w:tl2br w:val="nil"/>
                    <w:tr2bl w:val="nil"/>
                  </w:tcBorders>
                  <w:noWrap w:val="0"/>
                  <w:vAlign w:val="center"/>
                </w:tcPr>
                <w:p w14:paraId="7D1C62B3">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85</w:t>
                  </w:r>
                </w:p>
              </w:tc>
              <w:tc>
                <w:tcPr>
                  <w:tcW w:w="923" w:type="pct"/>
                  <w:tcBorders>
                    <w:tl2br w:val="nil"/>
                    <w:tr2bl w:val="nil"/>
                  </w:tcBorders>
                  <w:noWrap w:val="0"/>
                  <w:vAlign w:val="center"/>
                </w:tcPr>
                <w:p w14:paraId="11B66C0C">
                  <w:pPr>
                    <w:jc w:val="center"/>
                    <w:rPr>
                      <w:rFonts w:hint="default" w:ascii="Times New Roman" w:hAnsi="Times New Roman" w:eastAsia="宋体" w:cs="Times New Roman"/>
                      <w:color w:val="000000" w:themeColor="text1"/>
                      <w:kern w:val="0"/>
                      <w:szCs w:val="21"/>
                      <w:lang w:bidi="ar"/>
                      <w14:textFill>
                        <w14:solidFill>
                          <w14:schemeClr w14:val="tx1"/>
                        </w14:solidFill>
                      </w14:textFill>
                    </w:rPr>
                  </w:pPr>
                  <w:r>
                    <w:rPr>
                      <w:rFonts w:hint="default" w:ascii="Times New Roman" w:hAnsi="Times New Roman" w:eastAsia="宋体" w:cs="Times New Roman"/>
                      <w:color w:val="000000" w:themeColor="text1"/>
                      <w:kern w:val="0"/>
                      <w:szCs w:val="21"/>
                      <w:lang w:bidi="ar"/>
                      <w14:textFill>
                        <w14:solidFill>
                          <w14:schemeClr w14:val="tx1"/>
                        </w14:solidFill>
                      </w14:textFill>
                    </w:rPr>
                    <w:t>基础减振</w:t>
                  </w:r>
                  <w:r>
                    <w:rPr>
                      <w:rFonts w:hint="eastAsia" w:ascii="Times New Roman" w:hAnsi="Times New Roman" w:eastAsia="宋体" w:cs="Times New Roman"/>
                      <w:color w:val="000000" w:themeColor="text1"/>
                      <w:kern w:val="0"/>
                      <w:szCs w:val="21"/>
                      <w:lang w:eastAsia="zh-CN" w:bidi="ar"/>
                      <w14:textFill>
                        <w14:solidFill>
                          <w14:schemeClr w14:val="tx1"/>
                        </w14:solidFill>
                      </w14:textFill>
                    </w:rPr>
                    <w:t>、</w:t>
                  </w:r>
                  <w:r>
                    <w:rPr>
                      <w:rFonts w:hint="eastAsia" w:ascii="Times New Roman" w:hAnsi="Times New Roman" w:eastAsia="宋体" w:cs="Times New Roman"/>
                      <w:color w:val="000000" w:themeColor="text1"/>
                      <w:kern w:val="0"/>
                      <w:szCs w:val="21"/>
                      <w:lang w:val="en-US" w:eastAsia="zh-CN" w:bidi="ar"/>
                      <w14:textFill>
                        <w14:solidFill>
                          <w14:schemeClr w14:val="tx1"/>
                        </w14:solidFill>
                      </w14:textFill>
                    </w:rPr>
                    <w:t>厂房隔声</w:t>
                  </w:r>
                </w:p>
              </w:tc>
              <w:tc>
                <w:tcPr>
                  <w:tcW w:w="273" w:type="pct"/>
                  <w:tcBorders>
                    <w:tl2br w:val="nil"/>
                    <w:tr2bl w:val="nil"/>
                  </w:tcBorders>
                  <w:shd w:val="clear" w:color="auto" w:fill="auto"/>
                  <w:noWrap w:val="0"/>
                  <w:vAlign w:val="center"/>
                </w:tcPr>
                <w:p w14:paraId="1B2C2895">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35</w:t>
                  </w:r>
                </w:p>
              </w:tc>
              <w:tc>
                <w:tcPr>
                  <w:tcW w:w="333" w:type="pct"/>
                  <w:tcBorders>
                    <w:tl2br w:val="nil"/>
                    <w:tr2bl w:val="nil"/>
                  </w:tcBorders>
                  <w:shd w:val="clear" w:color="auto" w:fill="auto"/>
                  <w:noWrap w:val="0"/>
                  <w:vAlign w:val="center"/>
                </w:tcPr>
                <w:p w14:paraId="29A55A08">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29</w:t>
                  </w:r>
                </w:p>
              </w:tc>
              <w:tc>
                <w:tcPr>
                  <w:tcW w:w="204" w:type="pct"/>
                  <w:tcBorders>
                    <w:tl2br w:val="nil"/>
                    <w:tr2bl w:val="nil"/>
                  </w:tcBorders>
                  <w:noWrap w:val="0"/>
                  <w:vAlign w:val="center"/>
                </w:tcPr>
                <w:p w14:paraId="797DA328">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w:t>
                  </w:r>
                </w:p>
              </w:tc>
              <w:tc>
                <w:tcPr>
                  <w:tcW w:w="237" w:type="pct"/>
                  <w:tcBorders>
                    <w:tl2br w:val="nil"/>
                    <w:tr2bl w:val="nil"/>
                  </w:tcBorders>
                  <w:noWrap w:val="0"/>
                  <w:vAlign w:val="center"/>
                </w:tcPr>
                <w:p w14:paraId="4222E44A">
                  <w:pPr>
                    <w:jc w:val="center"/>
                    <w:rPr>
                      <w:rFonts w:hint="default" w:ascii="Times New Roman" w:hAnsi="Times New Roman" w:eastAsia="宋体" w:cs="Times New Roman"/>
                      <w:color w:val="000000" w:themeColor="text1"/>
                      <w:kern w:val="0"/>
                      <w:szCs w:val="21"/>
                      <w:lang w:val="en-US" w:eastAsia="zh-CN" w:bidi="ar"/>
                      <w14:textFill>
                        <w14:solidFill>
                          <w14:schemeClr w14:val="tx1"/>
                        </w14:solidFill>
                      </w14:textFill>
                    </w:rPr>
                  </w:pPr>
                  <w:r>
                    <w:rPr>
                      <w:rFonts w:hint="eastAsia" w:ascii="Times New Roman" w:hAnsi="Times New Roman" w:cs="Times New Roman"/>
                      <w:color w:val="000000" w:themeColor="text1"/>
                      <w:kern w:val="0"/>
                      <w:szCs w:val="21"/>
                      <w:lang w:val="en-US" w:eastAsia="zh-CN" w:bidi="ar"/>
                      <w14:textFill>
                        <w14:solidFill>
                          <w14:schemeClr w14:val="tx1"/>
                        </w14:solidFill>
                      </w14:textFill>
                    </w:rPr>
                    <w:t>7</w:t>
                  </w:r>
                </w:p>
              </w:tc>
              <w:tc>
                <w:tcPr>
                  <w:tcW w:w="237" w:type="pct"/>
                  <w:tcBorders>
                    <w:tl2br w:val="nil"/>
                    <w:tr2bl w:val="nil"/>
                  </w:tcBorders>
                  <w:noWrap w:val="0"/>
                  <w:vAlign w:val="center"/>
                </w:tcPr>
                <w:p w14:paraId="4A1CD6D3">
                  <w:pPr>
                    <w:jc w:val="center"/>
                    <w:rPr>
                      <w:rFonts w:hint="default" w:ascii="Times New Roman" w:hAnsi="Times New Roman" w:eastAsia="宋体" w:cs="Times New Roman"/>
                      <w:color w:val="000000" w:themeColor="text1"/>
                      <w:kern w:val="0"/>
                      <w:szCs w:val="21"/>
                      <w:lang w:val="en-US" w:eastAsia="zh-CN" w:bidi="ar"/>
                      <w14:textFill>
                        <w14:solidFill>
                          <w14:schemeClr w14:val="tx1"/>
                        </w14:solidFill>
                      </w14:textFill>
                    </w:rPr>
                  </w:pPr>
                  <w:r>
                    <w:rPr>
                      <w:rFonts w:hint="eastAsia" w:ascii="Times New Roman" w:hAnsi="Times New Roman" w:cs="Times New Roman"/>
                      <w:color w:val="000000" w:themeColor="text1"/>
                      <w:kern w:val="0"/>
                      <w:szCs w:val="21"/>
                      <w:lang w:val="en-US" w:eastAsia="zh-CN" w:bidi="ar"/>
                      <w14:textFill>
                        <w14:solidFill>
                          <w14:schemeClr w14:val="tx1"/>
                        </w14:solidFill>
                      </w14:textFill>
                    </w:rPr>
                    <w:t>68</w:t>
                  </w:r>
                </w:p>
              </w:tc>
              <w:tc>
                <w:tcPr>
                  <w:tcW w:w="237" w:type="pct"/>
                  <w:tcBorders>
                    <w:tl2br w:val="nil"/>
                    <w:tr2bl w:val="nil"/>
                  </w:tcBorders>
                  <w:noWrap w:val="0"/>
                  <w:vAlign w:val="center"/>
                </w:tcPr>
                <w:p w14:paraId="5F8C2F8F">
                  <w:pPr>
                    <w:jc w:val="center"/>
                    <w:rPr>
                      <w:rFonts w:hint="default" w:ascii="Times New Roman" w:hAnsi="Times New Roman" w:eastAsia="宋体" w:cs="Times New Roman"/>
                      <w:color w:val="000000" w:themeColor="text1"/>
                      <w:kern w:val="0"/>
                      <w:szCs w:val="21"/>
                      <w:lang w:bidi="ar"/>
                      <w14:textFill>
                        <w14:solidFill>
                          <w14:schemeClr w14:val="tx1"/>
                        </w14:solidFill>
                      </w14:textFill>
                    </w:rPr>
                  </w:pPr>
                  <w:r>
                    <w:rPr>
                      <w:rFonts w:hint="eastAsia" w:ascii="Times New Roman" w:hAnsi="Times New Roman" w:cs="Times New Roman"/>
                      <w:color w:val="000000" w:themeColor="text1"/>
                      <w:kern w:val="0"/>
                      <w:szCs w:val="21"/>
                      <w:lang w:val="en-US" w:eastAsia="zh-CN" w:bidi="ar"/>
                      <w14:textFill>
                        <w14:solidFill>
                          <w14:schemeClr w14:val="tx1"/>
                        </w14:solidFill>
                      </w14:textFill>
                    </w:rPr>
                    <w:t>昼夜</w:t>
                  </w:r>
                </w:p>
              </w:tc>
              <w:tc>
                <w:tcPr>
                  <w:tcW w:w="374" w:type="pct"/>
                  <w:tcBorders>
                    <w:tl2br w:val="nil"/>
                    <w:tr2bl w:val="nil"/>
                  </w:tcBorders>
                  <w:noWrap w:val="0"/>
                  <w:vAlign w:val="center"/>
                </w:tcPr>
                <w:p w14:paraId="4C5FF7D2">
                  <w:pPr>
                    <w:jc w:val="center"/>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15</w:t>
                  </w:r>
                </w:p>
              </w:tc>
              <w:tc>
                <w:tcPr>
                  <w:tcW w:w="458" w:type="pct"/>
                  <w:tcBorders>
                    <w:tl2br w:val="nil"/>
                    <w:tr2bl w:val="nil"/>
                  </w:tcBorders>
                  <w:noWrap w:val="0"/>
                  <w:vAlign w:val="center"/>
                </w:tcPr>
                <w:p w14:paraId="1B50E8BE">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53</w:t>
                  </w:r>
                </w:p>
              </w:tc>
              <w:tc>
                <w:tcPr>
                  <w:tcW w:w="403" w:type="pct"/>
                  <w:tcBorders>
                    <w:tl2br w:val="nil"/>
                    <w:tr2bl w:val="nil"/>
                  </w:tcBorders>
                  <w:noWrap w:val="0"/>
                  <w:vAlign w:val="center"/>
                </w:tcPr>
                <w:p w14:paraId="358623AA">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w:t>
                  </w:r>
                </w:p>
              </w:tc>
            </w:tr>
            <w:tr w14:paraId="4439024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36" w:type="pct"/>
                  <w:tcBorders>
                    <w:tl2br w:val="nil"/>
                    <w:tr2bl w:val="nil"/>
                  </w:tcBorders>
                  <w:noWrap w:val="0"/>
                  <w:vAlign w:val="center"/>
                </w:tcPr>
                <w:p w14:paraId="46DEF47B">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19</w:t>
                  </w:r>
                </w:p>
              </w:tc>
              <w:tc>
                <w:tcPr>
                  <w:tcW w:w="237" w:type="pct"/>
                  <w:vMerge w:val="continue"/>
                  <w:tcBorders>
                    <w:tl2br w:val="nil"/>
                    <w:tr2bl w:val="nil"/>
                  </w:tcBorders>
                  <w:noWrap w:val="0"/>
                  <w:vAlign w:val="center"/>
                </w:tcPr>
                <w:p w14:paraId="6DF4225C">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393" w:type="pct"/>
                  <w:tcBorders>
                    <w:tl2br w:val="nil"/>
                    <w:tr2bl w:val="nil"/>
                  </w:tcBorders>
                  <w:noWrap w:val="0"/>
                  <w:vAlign w:val="center"/>
                </w:tcPr>
                <w:p w14:paraId="453BD249">
                  <w:pPr>
                    <w:pStyle w:val="98"/>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烘干</w:t>
                  </w:r>
                  <w:r>
                    <w:rPr>
                      <w:rFonts w:hint="eastAsia" w:ascii="Times New Roman" w:hAnsi="Times New Roman" w:cs="Times New Roman"/>
                      <w:color w:val="000000" w:themeColor="text1"/>
                      <w:sz w:val="21"/>
                      <w:szCs w:val="21"/>
                      <w:lang w:val="en-US" w:eastAsia="zh-CN"/>
                      <w14:textFill>
                        <w14:solidFill>
                          <w14:schemeClr w14:val="tx1"/>
                        </w14:solidFill>
                      </w14:textFill>
                    </w:rPr>
                    <w:t>炉</w:t>
                  </w:r>
                  <w:r>
                    <w:rPr>
                      <w:rFonts w:hint="eastAsia" w:cs="Times New Roman"/>
                      <w:color w:val="000000" w:themeColor="text1"/>
                      <w:sz w:val="21"/>
                      <w:szCs w:val="21"/>
                      <w:lang w:val="en-US" w:eastAsia="zh-CN"/>
                      <w14:textFill>
                        <w14:solidFill>
                          <w14:schemeClr w14:val="tx1"/>
                        </w14:solidFill>
                      </w14:textFill>
                    </w:rPr>
                    <w:t>1</w:t>
                  </w:r>
                </w:p>
              </w:tc>
              <w:tc>
                <w:tcPr>
                  <w:tcW w:w="451" w:type="pct"/>
                  <w:tcBorders>
                    <w:tl2br w:val="nil"/>
                    <w:tr2bl w:val="nil"/>
                  </w:tcBorders>
                  <w:noWrap w:val="0"/>
                  <w:vAlign w:val="center"/>
                </w:tcPr>
                <w:p w14:paraId="656415B2">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85</w:t>
                  </w:r>
                </w:p>
              </w:tc>
              <w:tc>
                <w:tcPr>
                  <w:tcW w:w="923" w:type="pct"/>
                  <w:tcBorders>
                    <w:tl2br w:val="nil"/>
                    <w:tr2bl w:val="nil"/>
                  </w:tcBorders>
                  <w:noWrap w:val="0"/>
                  <w:vAlign w:val="center"/>
                </w:tcPr>
                <w:p w14:paraId="7EC23E40">
                  <w:pPr>
                    <w:jc w:val="center"/>
                    <w:rPr>
                      <w:rFonts w:hint="default" w:ascii="Times New Roman" w:hAnsi="Times New Roman" w:eastAsia="宋体" w:cs="Times New Roman"/>
                      <w:color w:val="000000" w:themeColor="text1"/>
                      <w:kern w:val="0"/>
                      <w:szCs w:val="21"/>
                      <w:lang w:bidi="ar"/>
                      <w14:textFill>
                        <w14:solidFill>
                          <w14:schemeClr w14:val="tx1"/>
                        </w14:solidFill>
                      </w14:textFill>
                    </w:rPr>
                  </w:pPr>
                  <w:r>
                    <w:rPr>
                      <w:rFonts w:hint="default" w:ascii="Times New Roman" w:hAnsi="Times New Roman" w:eastAsia="宋体" w:cs="Times New Roman"/>
                      <w:color w:val="000000" w:themeColor="text1"/>
                      <w:kern w:val="0"/>
                      <w:szCs w:val="21"/>
                      <w:lang w:bidi="ar"/>
                      <w14:textFill>
                        <w14:solidFill>
                          <w14:schemeClr w14:val="tx1"/>
                        </w14:solidFill>
                      </w14:textFill>
                    </w:rPr>
                    <w:t>基础减振</w:t>
                  </w:r>
                  <w:r>
                    <w:rPr>
                      <w:rFonts w:hint="eastAsia" w:ascii="Times New Roman" w:hAnsi="Times New Roman" w:eastAsia="宋体" w:cs="Times New Roman"/>
                      <w:color w:val="000000" w:themeColor="text1"/>
                      <w:kern w:val="0"/>
                      <w:szCs w:val="21"/>
                      <w:lang w:eastAsia="zh-CN" w:bidi="ar"/>
                      <w14:textFill>
                        <w14:solidFill>
                          <w14:schemeClr w14:val="tx1"/>
                        </w14:solidFill>
                      </w14:textFill>
                    </w:rPr>
                    <w:t>、</w:t>
                  </w:r>
                  <w:r>
                    <w:rPr>
                      <w:rFonts w:hint="eastAsia" w:ascii="Times New Roman" w:hAnsi="Times New Roman" w:eastAsia="宋体" w:cs="Times New Roman"/>
                      <w:color w:val="000000" w:themeColor="text1"/>
                      <w:kern w:val="0"/>
                      <w:szCs w:val="21"/>
                      <w:lang w:val="en-US" w:eastAsia="zh-CN" w:bidi="ar"/>
                      <w14:textFill>
                        <w14:solidFill>
                          <w14:schemeClr w14:val="tx1"/>
                        </w14:solidFill>
                      </w14:textFill>
                    </w:rPr>
                    <w:t>厂房隔声</w:t>
                  </w:r>
                </w:p>
              </w:tc>
              <w:tc>
                <w:tcPr>
                  <w:tcW w:w="273" w:type="pct"/>
                  <w:tcBorders>
                    <w:tl2br w:val="nil"/>
                    <w:tr2bl w:val="nil"/>
                  </w:tcBorders>
                  <w:shd w:val="clear" w:color="auto" w:fill="auto"/>
                  <w:noWrap w:val="0"/>
                  <w:vAlign w:val="center"/>
                </w:tcPr>
                <w:p w14:paraId="445F54D5">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35</w:t>
                  </w:r>
                </w:p>
              </w:tc>
              <w:tc>
                <w:tcPr>
                  <w:tcW w:w="333" w:type="pct"/>
                  <w:tcBorders>
                    <w:tl2br w:val="nil"/>
                    <w:tr2bl w:val="nil"/>
                  </w:tcBorders>
                  <w:shd w:val="clear" w:color="auto" w:fill="auto"/>
                  <w:noWrap w:val="0"/>
                  <w:vAlign w:val="center"/>
                </w:tcPr>
                <w:p w14:paraId="6B1D426F">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25</w:t>
                  </w:r>
                </w:p>
              </w:tc>
              <w:tc>
                <w:tcPr>
                  <w:tcW w:w="204" w:type="pct"/>
                  <w:tcBorders>
                    <w:tl2br w:val="nil"/>
                    <w:tr2bl w:val="nil"/>
                  </w:tcBorders>
                  <w:noWrap w:val="0"/>
                  <w:vAlign w:val="center"/>
                </w:tcPr>
                <w:p w14:paraId="719F8122">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w:t>
                  </w:r>
                </w:p>
              </w:tc>
              <w:tc>
                <w:tcPr>
                  <w:tcW w:w="237" w:type="pct"/>
                  <w:tcBorders>
                    <w:tl2br w:val="nil"/>
                    <w:tr2bl w:val="nil"/>
                  </w:tcBorders>
                  <w:noWrap w:val="0"/>
                  <w:vAlign w:val="center"/>
                </w:tcPr>
                <w:p w14:paraId="477922E7">
                  <w:pPr>
                    <w:jc w:val="center"/>
                    <w:rPr>
                      <w:rFonts w:hint="default" w:ascii="Times New Roman" w:hAnsi="Times New Roman" w:eastAsia="宋体" w:cs="Times New Roman"/>
                      <w:color w:val="000000" w:themeColor="text1"/>
                      <w:kern w:val="0"/>
                      <w:szCs w:val="21"/>
                      <w:lang w:val="en-US" w:eastAsia="zh-CN" w:bidi="ar"/>
                      <w14:textFill>
                        <w14:solidFill>
                          <w14:schemeClr w14:val="tx1"/>
                        </w14:solidFill>
                      </w14:textFill>
                    </w:rPr>
                  </w:pPr>
                  <w:r>
                    <w:rPr>
                      <w:rFonts w:hint="eastAsia" w:ascii="Times New Roman" w:hAnsi="Times New Roman" w:cs="Times New Roman"/>
                      <w:color w:val="000000" w:themeColor="text1"/>
                      <w:kern w:val="0"/>
                      <w:szCs w:val="21"/>
                      <w:lang w:val="en-US" w:eastAsia="zh-CN" w:bidi="ar"/>
                      <w14:textFill>
                        <w14:solidFill>
                          <w14:schemeClr w14:val="tx1"/>
                        </w14:solidFill>
                      </w14:textFill>
                    </w:rPr>
                    <w:t>11</w:t>
                  </w:r>
                </w:p>
              </w:tc>
              <w:tc>
                <w:tcPr>
                  <w:tcW w:w="237" w:type="pct"/>
                  <w:tcBorders>
                    <w:tl2br w:val="nil"/>
                    <w:tr2bl w:val="nil"/>
                  </w:tcBorders>
                  <w:noWrap w:val="0"/>
                  <w:vAlign w:val="center"/>
                </w:tcPr>
                <w:p w14:paraId="0ACB8656">
                  <w:pPr>
                    <w:jc w:val="center"/>
                    <w:rPr>
                      <w:rFonts w:hint="default" w:ascii="Times New Roman" w:hAnsi="Times New Roman" w:eastAsia="宋体" w:cs="Times New Roman"/>
                      <w:color w:val="000000" w:themeColor="text1"/>
                      <w:kern w:val="0"/>
                      <w:szCs w:val="21"/>
                      <w:lang w:val="en-US" w:eastAsia="zh-CN" w:bidi="ar"/>
                      <w14:textFill>
                        <w14:solidFill>
                          <w14:schemeClr w14:val="tx1"/>
                        </w14:solidFill>
                      </w14:textFill>
                    </w:rPr>
                  </w:pPr>
                  <w:r>
                    <w:rPr>
                      <w:rFonts w:hint="eastAsia" w:ascii="Times New Roman" w:hAnsi="Times New Roman" w:cs="Times New Roman"/>
                      <w:color w:val="000000" w:themeColor="text1"/>
                      <w:kern w:val="0"/>
                      <w:szCs w:val="21"/>
                      <w:lang w:val="en-US" w:eastAsia="zh-CN" w:bidi="ar"/>
                      <w14:textFill>
                        <w14:solidFill>
                          <w14:schemeClr w14:val="tx1"/>
                        </w14:solidFill>
                      </w14:textFill>
                    </w:rPr>
                    <w:t>64</w:t>
                  </w:r>
                </w:p>
              </w:tc>
              <w:tc>
                <w:tcPr>
                  <w:tcW w:w="237" w:type="pct"/>
                  <w:tcBorders>
                    <w:tl2br w:val="nil"/>
                    <w:tr2bl w:val="nil"/>
                  </w:tcBorders>
                  <w:noWrap w:val="0"/>
                  <w:vAlign w:val="center"/>
                </w:tcPr>
                <w:p w14:paraId="774D268F">
                  <w:pPr>
                    <w:jc w:val="center"/>
                    <w:rPr>
                      <w:rFonts w:hint="default" w:ascii="Times New Roman" w:hAnsi="Times New Roman" w:eastAsia="宋体" w:cs="Times New Roman"/>
                      <w:color w:val="000000" w:themeColor="text1"/>
                      <w:kern w:val="0"/>
                      <w:szCs w:val="21"/>
                      <w:lang w:bidi="ar"/>
                      <w14:textFill>
                        <w14:solidFill>
                          <w14:schemeClr w14:val="tx1"/>
                        </w14:solidFill>
                      </w14:textFill>
                    </w:rPr>
                  </w:pPr>
                  <w:r>
                    <w:rPr>
                      <w:rFonts w:hint="eastAsia" w:ascii="Times New Roman" w:hAnsi="Times New Roman" w:cs="Times New Roman"/>
                      <w:color w:val="000000" w:themeColor="text1"/>
                      <w:kern w:val="0"/>
                      <w:szCs w:val="21"/>
                      <w:lang w:val="en-US" w:eastAsia="zh-CN" w:bidi="ar"/>
                      <w14:textFill>
                        <w14:solidFill>
                          <w14:schemeClr w14:val="tx1"/>
                        </w14:solidFill>
                      </w14:textFill>
                    </w:rPr>
                    <w:t>昼夜</w:t>
                  </w:r>
                </w:p>
              </w:tc>
              <w:tc>
                <w:tcPr>
                  <w:tcW w:w="374" w:type="pct"/>
                  <w:tcBorders>
                    <w:tl2br w:val="nil"/>
                    <w:tr2bl w:val="nil"/>
                  </w:tcBorders>
                  <w:noWrap w:val="0"/>
                  <w:vAlign w:val="center"/>
                </w:tcPr>
                <w:p w14:paraId="39885A50">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15</w:t>
                  </w:r>
                </w:p>
              </w:tc>
              <w:tc>
                <w:tcPr>
                  <w:tcW w:w="458" w:type="pct"/>
                  <w:tcBorders>
                    <w:tl2br w:val="nil"/>
                    <w:tr2bl w:val="nil"/>
                  </w:tcBorders>
                  <w:noWrap w:val="0"/>
                  <w:vAlign w:val="center"/>
                </w:tcPr>
                <w:p w14:paraId="320E8EE9">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49</w:t>
                  </w:r>
                </w:p>
              </w:tc>
              <w:tc>
                <w:tcPr>
                  <w:tcW w:w="403" w:type="pct"/>
                  <w:tcBorders>
                    <w:tl2br w:val="nil"/>
                    <w:tr2bl w:val="nil"/>
                  </w:tcBorders>
                  <w:noWrap w:val="0"/>
                  <w:vAlign w:val="center"/>
                </w:tcPr>
                <w:p w14:paraId="2C4F6C3C">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w:t>
                  </w:r>
                </w:p>
              </w:tc>
            </w:tr>
            <w:tr w14:paraId="15FE3B5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36" w:type="pct"/>
                  <w:tcBorders>
                    <w:tl2br w:val="nil"/>
                    <w:tr2bl w:val="nil"/>
                  </w:tcBorders>
                  <w:noWrap w:val="0"/>
                  <w:vAlign w:val="center"/>
                </w:tcPr>
                <w:p w14:paraId="0B47688C">
                  <w:pPr>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20</w:t>
                  </w:r>
                </w:p>
              </w:tc>
              <w:tc>
                <w:tcPr>
                  <w:tcW w:w="237" w:type="pct"/>
                  <w:vMerge w:val="continue"/>
                  <w:tcBorders>
                    <w:tl2br w:val="nil"/>
                    <w:tr2bl w:val="nil"/>
                  </w:tcBorders>
                  <w:noWrap w:val="0"/>
                  <w:vAlign w:val="center"/>
                </w:tcPr>
                <w:p w14:paraId="23C1F502">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393" w:type="pct"/>
                  <w:tcBorders>
                    <w:tl2br w:val="nil"/>
                    <w:tr2bl w:val="nil"/>
                  </w:tcBorders>
                  <w:noWrap w:val="0"/>
                  <w:vAlign w:val="center"/>
                </w:tcPr>
                <w:p w14:paraId="6A4B7762">
                  <w:pPr>
                    <w:pStyle w:val="98"/>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烘干</w:t>
                  </w:r>
                  <w:r>
                    <w:rPr>
                      <w:rFonts w:hint="eastAsia" w:ascii="Times New Roman" w:hAnsi="Times New Roman" w:cs="Times New Roman"/>
                      <w:color w:val="000000" w:themeColor="text1"/>
                      <w:sz w:val="21"/>
                      <w:szCs w:val="21"/>
                      <w:lang w:val="en-US" w:eastAsia="zh-CN"/>
                      <w14:textFill>
                        <w14:solidFill>
                          <w14:schemeClr w14:val="tx1"/>
                        </w14:solidFill>
                      </w14:textFill>
                    </w:rPr>
                    <w:t>炉</w:t>
                  </w:r>
                  <w:r>
                    <w:rPr>
                      <w:rFonts w:hint="eastAsia" w:cs="Times New Roman"/>
                      <w:color w:val="000000" w:themeColor="text1"/>
                      <w:sz w:val="21"/>
                      <w:szCs w:val="21"/>
                      <w:lang w:val="en-US" w:eastAsia="zh-CN"/>
                      <w14:textFill>
                        <w14:solidFill>
                          <w14:schemeClr w14:val="tx1"/>
                        </w14:solidFill>
                      </w14:textFill>
                    </w:rPr>
                    <w:t>2</w:t>
                  </w:r>
                </w:p>
              </w:tc>
              <w:tc>
                <w:tcPr>
                  <w:tcW w:w="451" w:type="pct"/>
                  <w:tcBorders>
                    <w:tl2br w:val="nil"/>
                    <w:tr2bl w:val="nil"/>
                  </w:tcBorders>
                  <w:noWrap w:val="0"/>
                  <w:vAlign w:val="center"/>
                </w:tcPr>
                <w:p w14:paraId="0C0F21D8">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85</w:t>
                  </w:r>
                </w:p>
              </w:tc>
              <w:tc>
                <w:tcPr>
                  <w:tcW w:w="923" w:type="pct"/>
                  <w:tcBorders>
                    <w:tl2br w:val="nil"/>
                    <w:tr2bl w:val="nil"/>
                  </w:tcBorders>
                  <w:noWrap w:val="0"/>
                  <w:vAlign w:val="center"/>
                </w:tcPr>
                <w:p w14:paraId="5B7F5054">
                  <w:pPr>
                    <w:jc w:val="center"/>
                    <w:rPr>
                      <w:rFonts w:hint="default" w:ascii="Times New Roman" w:hAnsi="Times New Roman" w:eastAsia="宋体" w:cs="Times New Roman"/>
                      <w:color w:val="000000" w:themeColor="text1"/>
                      <w:kern w:val="0"/>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Cs w:val="21"/>
                      <w:lang w:bidi="ar"/>
                      <w14:textFill>
                        <w14:solidFill>
                          <w14:schemeClr w14:val="tx1"/>
                        </w14:solidFill>
                      </w14:textFill>
                    </w:rPr>
                    <w:t>基础减振</w:t>
                  </w:r>
                  <w:r>
                    <w:rPr>
                      <w:rFonts w:hint="eastAsia" w:ascii="Times New Roman" w:hAnsi="Times New Roman" w:eastAsia="宋体" w:cs="Times New Roman"/>
                      <w:color w:val="000000" w:themeColor="text1"/>
                      <w:kern w:val="0"/>
                      <w:szCs w:val="21"/>
                      <w:lang w:eastAsia="zh-CN" w:bidi="ar"/>
                      <w14:textFill>
                        <w14:solidFill>
                          <w14:schemeClr w14:val="tx1"/>
                        </w14:solidFill>
                      </w14:textFill>
                    </w:rPr>
                    <w:t>、</w:t>
                  </w:r>
                  <w:r>
                    <w:rPr>
                      <w:rFonts w:hint="eastAsia" w:ascii="Times New Roman" w:hAnsi="Times New Roman" w:eastAsia="宋体" w:cs="Times New Roman"/>
                      <w:color w:val="000000" w:themeColor="text1"/>
                      <w:kern w:val="0"/>
                      <w:szCs w:val="21"/>
                      <w:lang w:val="en-US" w:eastAsia="zh-CN" w:bidi="ar"/>
                      <w14:textFill>
                        <w14:solidFill>
                          <w14:schemeClr w14:val="tx1"/>
                        </w14:solidFill>
                      </w14:textFill>
                    </w:rPr>
                    <w:t>厂房隔声</w:t>
                  </w:r>
                </w:p>
              </w:tc>
              <w:tc>
                <w:tcPr>
                  <w:tcW w:w="273" w:type="pct"/>
                  <w:tcBorders>
                    <w:tl2br w:val="nil"/>
                    <w:tr2bl w:val="nil"/>
                  </w:tcBorders>
                  <w:shd w:val="clear" w:color="auto" w:fill="auto"/>
                  <w:noWrap w:val="0"/>
                  <w:vAlign w:val="center"/>
                </w:tcPr>
                <w:p w14:paraId="02968624">
                  <w:pPr>
                    <w:jc w:val="cente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35</w:t>
                  </w:r>
                </w:p>
              </w:tc>
              <w:tc>
                <w:tcPr>
                  <w:tcW w:w="333" w:type="pct"/>
                  <w:tcBorders>
                    <w:tl2br w:val="nil"/>
                    <w:tr2bl w:val="nil"/>
                  </w:tcBorders>
                  <w:shd w:val="clear" w:color="auto" w:fill="auto"/>
                  <w:noWrap w:val="0"/>
                  <w:vAlign w:val="center"/>
                </w:tcPr>
                <w:p w14:paraId="023EFBED">
                  <w:pPr>
                    <w:jc w:val="cente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23</w:t>
                  </w:r>
                </w:p>
              </w:tc>
              <w:tc>
                <w:tcPr>
                  <w:tcW w:w="204" w:type="pct"/>
                  <w:tcBorders>
                    <w:tl2br w:val="nil"/>
                    <w:tr2bl w:val="nil"/>
                  </w:tcBorders>
                  <w:noWrap w:val="0"/>
                  <w:vAlign w:val="center"/>
                </w:tcPr>
                <w:p w14:paraId="2BD74804">
                  <w:pPr>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1</w:t>
                  </w:r>
                </w:p>
              </w:tc>
              <w:tc>
                <w:tcPr>
                  <w:tcW w:w="237" w:type="pct"/>
                  <w:tcBorders>
                    <w:tl2br w:val="nil"/>
                    <w:tr2bl w:val="nil"/>
                  </w:tcBorders>
                  <w:noWrap w:val="0"/>
                  <w:vAlign w:val="center"/>
                </w:tcPr>
                <w:p w14:paraId="435DEA56">
                  <w:pPr>
                    <w:jc w:val="center"/>
                    <w:rPr>
                      <w:rFonts w:hint="default" w:ascii="Times New Roman" w:hAnsi="Times New Roman" w:eastAsia="宋体" w:cs="Times New Roman"/>
                      <w:color w:val="000000" w:themeColor="text1"/>
                      <w:kern w:val="0"/>
                      <w:szCs w:val="21"/>
                      <w:lang w:val="en-US" w:eastAsia="zh-CN" w:bidi="ar"/>
                      <w14:textFill>
                        <w14:solidFill>
                          <w14:schemeClr w14:val="tx1"/>
                        </w14:solidFill>
                      </w14:textFill>
                    </w:rPr>
                  </w:pPr>
                  <w:r>
                    <w:rPr>
                      <w:rFonts w:hint="eastAsia" w:ascii="Times New Roman" w:hAnsi="Times New Roman" w:cs="Times New Roman"/>
                      <w:color w:val="000000" w:themeColor="text1"/>
                      <w:kern w:val="0"/>
                      <w:szCs w:val="21"/>
                      <w:lang w:val="en-US" w:eastAsia="zh-CN" w:bidi="ar"/>
                      <w14:textFill>
                        <w14:solidFill>
                          <w14:schemeClr w14:val="tx1"/>
                        </w14:solidFill>
                      </w14:textFill>
                    </w:rPr>
                    <w:t>13</w:t>
                  </w:r>
                </w:p>
              </w:tc>
              <w:tc>
                <w:tcPr>
                  <w:tcW w:w="237" w:type="pct"/>
                  <w:tcBorders>
                    <w:tl2br w:val="nil"/>
                    <w:tr2bl w:val="nil"/>
                  </w:tcBorders>
                  <w:noWrap w:val="0"/>
                  <w:vAlign w:val="center"/>
                </w:tcPr>
                <w:p w14:paraId="79B79DBC">
                  <w:pPr>
                    <w:jc w:val="center"/>
                    <w:rPr>
                      <w:rFonts w:hint="default" w:ascii="Times New Roman" w:hAnsi="Times New Roman" w:eastAsia="宋体" w:cs="Times New Roman"/>
                      <w:color w:val="000000" w:themeColor="text1"/>
                      <w:kern w:val="0"/>
                      <w:szCs w:val="21"/>
                      <w:lang w:val="en-US" w:eastAsia="zh-CN" w:bidi="ar"/>
                      <w14:textFill>
                        <w14:solidFill>
                          <w14:schemeClr w14:val="tx1"/>
                        </w14:solidFill>
                      </w14:textFill>
                    </w:rPr>
                  </w:pPr>
                  <w:r>
                    <w:rPr>
                      <w:rFonts w:hint="eastAsia" w:ascii="Times New Roman" w:hAnsi="Times New Roman" w:cs="Times New Roman"/>
                      <w:color w:val="000000" w:themeColor="text1"/>
                      <w:kern w:val="0"/>
                      <w:szCs w:val="21"/>
                      <w:lang w:val="en-US" w:eastAsia="zh-CN" w:bidi="ar"/>
                      <w14:textFill>
                        <w14:solidFill>
                          <w14:schemeClr w14:val="tx1"/>
                        </w14:solidFill>
                      </w14:textFill>
                    </w:rPr>
                    <w:t>63</w:t>
                  </w:r>
                </w:p>
              </w:tc>
              <w:tc>
                <w:tcPr>
                  <w:tcW w:w="237" w:type="pct"/>
                  <w:tcBorders>
                    <w:tl2br w:val="nil"/>
                    <w:tr2bl w:val="nil"/>
                  </w:tcBorders>
                  <w:noWrap w:val="0"/>
                  <w:vAlign w:val="center"/>
                </w:tcPr>
                <w:p w14:paraId="77B9888B">
                  <w:pPr>
                    <w:jc w:val="center"/>
                    <w:rPr>
                      <w:rFonts w:hint="default" w:ascii="Times New Roman" w:hAnsi="Times New Roman" w:eastAsia="宋体" w:cs="Times New Roman"/>
                      <w:color w:val="000000" w:themeColor="text1"/>
                      <w:kern w:val="0"/>
                      <w:szCs w:val="21"/>
                      <w:lang w:bidi="ar"/>
                      <w14:textFill>
                        <w14:solidFill>
                          <w14:schemeClr w14:val="tx1"/>
                        </w14:solidFill>
                      </w14:textFill>
                    </w:rPr>
                  </w:pPr>
                  <w:r>
                    <w:rPr>
                      <w:rFonts w:hint="eastAsia" w:ascii="Times New Roman" w:hAnsi="Times New Roman" w:cs="Times New Roman"/>
                      <w:color w:val="000000" w:themeColor="text1"/>
                      <w:kern w:val="0"/>
                      <w:szCs w:val="21"/>
                      <w:lang w:val="en-US" w:eastAsia="zh-CN" w:bidi="ar"/>
                      <w14:textFill>
                        <w14:solidFill>
                          <w14:schemeClr w14:val="tx1"/>
                        </w14:solidFill>
                      </w14:textFill>
                    </w:rPr>
                    <w:t>昼夜</w:t>
                  </w:r>
                </w:p>
              </w:tc>
              <w:tc>
                <w:tcPr>
                  <w:tcW w:w="374" w:type="pct"/>
                  <w:tcBorders>
                    <w:tl2br w:val="nil"/>
                    <w:tr2bl w:val="nil"/>
                  </w:tcBorders>
                  <w:noWrap w:val="0"/>
                  <w:vAlign w:val="center"/>
                </w:tcPr>
                <w:p w14:paraId="2F4C6060">
                  <w:pPr>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15</w:t>
                  </w:r>
                </w:p>
              </w:tc>
              <w:tc>
                <w:tcPr>
                  <w:tcW w:w="458" w:type="pct"/>
                  <w:tcBorders>
                    <w:tl2br w:val="nil"/>
                    <w:tr2bl w:val="nil"/>
                  </w:tcBorders>
                  <w:noWrap w:val="0"/>
                  <w:vAlign w:val="center"/>
                </w:tcPr>
                <w:p w14:paraId="38F565EB">
                  <w:pPr>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48</w:t>
                  </w:r>
                </w:p>
              </w:tc>
              <w:tc>
                <w:tcPr>
                  <w:tcW w:w="403" w:type="pct"/>
                  <w:tcBorders>
                    <w:tl2br w:val="nil"/>
                    <w:tr2bl w:val="nil"/>
                  </w:tcBorders>
                  <w:noWrap w:val="0"/>
                  <w:vAlign w:val="center"/>
                </w:tcPr>
                <w:p w14:paraId="2933C709">
                  <w:pPr>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1</w:t>
                  </w:r>
                </w:p>
              </w:tc>
            </w:tr>
            <w:tr w14:paraId="4695CBE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36" w:type="pct"/>
                  <w:tcBorders>
                    <w:tl2br w:val="nil"/>
                    <w:tr2bl w:val="nil"/>
                  </w:tcBorders>
                  <w:noWrap w:val="0"/>
                  <w:vAlign w:val="center"/>
                </w:tcPr>
                <w:p w14:paraId="40EA5452">
                  <w:pPr>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21</w:t>
                  </w:r>
                </w:p>
              </w:tc>
              <w:tc>
                <w:tcPr>
                  <w:tcW w:w="237" w:type="pct"/>
                  <w:vMerge w:val="continue"/>
                  <w:tcBorders>
                    <w:tl2br w:val="nil"/>
                    <w:tr2bl w:val="nil"/>
                  </w:tcBorders>
                  <w:noWrap w:val="0"/>
                  <w:vAlign w:val="center"/>
                </w:tcPr>
                <w:p w14:paraId="63B3C30B">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393" w:type="pct"/>
                  <w:tcBorders>
                    <w:tl2br w:val="nil"/>
                    <w:tr2bl w:val="nil"/>
                  </w:tcBorders>
                  <w:noWrap w:val="0"/>
                  <w:vAlign w:val="center"/>
                </w:tcPr>
                <w:p w14:paraId="38296CCF">
                  <w:pPr>
                    <w:pStyle w:val="98"/>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还原炉</w:t>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2</w:t>
                  </w:r>
                </w:p>
              </w:tc>
              <w:tc>
                <w:tcPr>
                  <w:tcW w:w="451" w:type="pct"/>
                  <w:tcBorders>
                    <w:tl2br w:val="nil"/>
                    <w:tr2bl w:val="nil"/>
                  </w:tcBorders>
                  <w:noWrap w:val="0"/>
                  <w:vAlign w:val="center"/>
                </w:tcPr>
                <w:p w14:paraId="5E276395">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85</w:t>
                  </w:r>
                </w:p>
              </w:tc>
              <w:tc>
                <w:tcPr>
                  <w:tcW w:w="923" w:type="pct"/>
                  <w:tcBorders>
                    <w:tl2br w:val="nil"/>
                    <w:tr2bl w:val="nil"/>
                  </w:tcBorders>
                  <w:noWrap w:val="0"/>
                  <w:vAlign w:val="center"/>
                </w:tcPr>
                <w:p w14:paraId="410D24A6">
                  <w:pPr>
                    <w:jc w:val="center"/>
                    <w:rPr>
                      <w:rFonts w:hint="default" w:ascii="Times New Roman" w:hAnsi="Times New Roman" w:eastAsia="宋体" w:cs="Times New Roman"/>
                      <w:color w:val="000000" w:themeColor="text1"/>
                      <w:kern w:val="0"/>
                      <w:szCs w:val="21"/>
                      <w:lang w:bidi="ar"/>
                      <w14:textFill>
                        <w14:solidFill>
                          <w14:schemeClr w14:val="tx1"/>
                        </w14:solidFill>
                      </w14:textFill>
                    </w:rPr>
                  </w:pPr>
                  <w:r>
                    <w:rPr>
                      <w:rFonts w:hint="default" w:ascii="Times New Roman" w:hAnsi="Times New Roman" w:eastAsia="宋体" w:cs="Times New Roman"/>
                      <w:color w:val="000000" w:themeColor="text1"/>
                      <w:kern w:val="0"/>
                      <w:szCs w:val="21"/>
                      <w:lang w:bidi="ar"/>
                      <w14:textFill>
                        <w14:solidFill>
                          <w14:schemeClr w14:val="tx1"/>
                        </w14:solidFill>
                      </w14:textFill>
                    </w:rPr>
                    <w:t>基础减振</w:t>
                  </w:r>
                  <w:r>
                    <w:rPr>
                      <w:rFonts w:hint="eastAsia" w:ascii="Times New Roman" w:hAnsi="Times New Roman" w:eastAsia="宋体" w:cs="Times New Roman"/>
                      <w:color w:val="000000" w:themeColor="text1"/>
                      <w:kern w:val="0"/>
                      <w:szCs w:val="21"/>
                      <w:lang w:eastAsia="zh-CN" w:bidi="ar"/>
                      <w14:textFill>
                        <w14:solidFill>
                          <w14:schemeClr w14:val="tx1"/>
                        </w14:solidFill>
                      </w14:textFill>
                    </w:rPr>
                    <w:t>、</w:t>
                  </w:r>
                  <w:r>
                    <w:rPr>
                      <w:rFonts w:hint="eastAsia" w:ascii="Times New Roman" w:hAnsi="Times New Roman" w:eastAsia="宋体" w:cs="Times New Roman"/>
                      <w:color w:val="000000" w:themeColor="text1"/>
                      <w:kern w:val="0"/>
                      <w:szCs w:val="21"/>
                      <w:lang w:val="en-US" w:eastAsia="zh-CN" w:bidi="ar"/>
                      <w14:textFill>
                        <w14:solidFill>
                          <w14:schemeClr w14:val="tx1"/>
                        </w14:solidFill>
                      </w14:textFill>
                    </w:rPr>
                    <w:t>厂房隔声</w:t>
                  </w:r>
                </w:p>
              </w:tc>
              <w:tc>
                <w:tcPr>
                  <w:tcW w:w="273" w:type="pct"/>
                  <w:tcBorders>
                    <w:tl2br w:val="nil"/>
                    <w:tr2bl w:val="nil"/>
                  </w:tcBorders>
                  <w:shd w:val="clear" w:color="auto" w:fill="auto"/>
                  <w:noWrap w:val="0"/>
                  <w:vAlign w:val="center"/>
                </w:tcPr>
                <w:p w14:paraId="480FCEB1">
                  <w:pPr>
                    <w:jc w:val="cente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35</w:t>
                  </w:r>
                </w:p>
              </w:tc>
              <w:tc>
                <w:tcPr>
                  <w:tcW w:w="333" w:type="pct"/>
                  <w:tcBorders>
                    <w:tl2br w:val="nil"/>
                    <w:tr2bl w:val="nil"/>
                  </w:tcBorders>
                  <w:shd w:val="clear" w:color="auto" w:fill="auto"/>
                  <w:noWrap w:val="0"/>
                  <w:vAlign w:val="center"/>
                </w:tcPr>
                <w:p w14:paraId="7CA34E65">
                  <w:pPr>
                    <w:jc w:val="cente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21</w:t>
                  </w:r>
                </w:p>
              </w:tc>
              <w:tc>
                <w:tcPr>
                  <w:tcW w:w="204" w:type="pct"/>
                  <w:tcBorders>
                    <w:tl2br w:val="nil"/>
                    <w:tr2bl w:val="nil"/>
                  </w:tcBorders>
                  <w:noWrap w:val="0"/>
                  <w:vAlign w:val="center"/>
                </w:tcPr>
                <w:p w14:paraId="01429643">
                  <w:pPr>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1</w:t>
                  </w:r>
                </w:p>
              </w:tc>
              <w:tc>
                <w:tcPr>
                  <w:tcW w:w="237" w:type="pct"/>
                  <w:tcBorders>
                    <w:tl2br w:val="nil"/>
                    <w:tr2bl w:val="nil"/>
                  </w:tcBorders>
                  <w:noWrap w:val="0"/>
                  <w:vAlign w:val="center"/>
                </w:tcPr>
                <w:p w14:paraId="75A68161">
                  <w:pPr>
                    <w:jc w:val="center"/>
                    <w:rPr>
                      <w:rFonts w:hint="default" w:ascii="Times New Roman" w:hAnsi="Times New Roman" w:eastAsia="宋体" w:cs="Times New Roman"/>
                      <w:color w:val="000000" w:themeColor="text1"/>
                      <w:kern w:val="0"/>
                      <w:szCs w:val="21"/>
                      <w:lang w:val="en-US" w:eastAsia="zh-CN" w:bidi="ar"/>
                      <w14:textFill>
                        <w14:solidFill>
                          <w14:schemeClr w14:val="tx1"/>
                        </w14:solidFill>
                      </w14:textFill>
                    </w:rPr>
                  </w:pPr>
                  <w:r>
                    <w:rPr>
                      <w:rFonts w:hint="eastAsia" w:ascii="Times New Roman" w:hAnsi="Times New Roman" w:cs="Times New Roman"/>
                      <w:color w:val="000000" w:themeColor="text1"/>
                      <w:kern w:val="0"/>
                      <w:szCs w:val="21"/>
                      <w:lang w:val="en-US" w:eastAsia="zh-CN" w:bidi="ar"/>
                      <w14:textFill>
                        <w14:solidFill>
                          <w14:schemeClr w14:val="tx1"/>
                        </w14:solidFill>
                      </w14:textFill>
                    </w:rPr>
                    <w:t>15</w:t>
                  </w:r>
                </w:p>
              </w:tc>
              <w:tc>
                <w:tcPr>
                  <w:tcW w:w="237" w:type="pct"/>
                  <w:tcBorders>
                    <w:tl2br w:val="nil"/>
                    <w:tr2bl w:val="nil"/>
                  </w:tcBorders>
                  <w:noWrap w:val="0"/>
                  <w:vAlign w:val="center"/>
                </w:tcPr>
                <w:p w14:paraId="522FB538">
                  <w:pPr>
                    <w:jc w:val="center"/>
                    <w:rPr>
                      <w:rFonts w:hint="default" w:ascii="Times New Roman" w:hAnsi="Times New Roman" w:eastAsia="宋体" w:cs="Times New Roman"/>
                      <w:color w:val="000000" w:themeColor="text1"/>
                      <w:kern w:val="0"/>
                      <w:szCs w:val="21"/>
                      <w:lang w:val="en-US" w:eastAsia="zh-CN" w:bidi="ar"/>
                      <w14:textFill>
                        <w14:solidFill>
                          <w14:schemeClr w14:val="tx1"/>
                        </w14:solidFill>
                      </w14:textFill>
                    </w:rPr>
                  </w:pPr>
                  <w:r>
                    <w:rPr>
                      <w:rFonts w:hint="eastAsia" w:ascii="Times New Roman" w:hAnsi="Times New Roman" w:cs="Times New Roman"/>
                      <w:color w:val="000000" w:themeColor="text1"/>
                      <w:kern w:val="0"/>
                      <w:szCs w:val="21"/>
                      <w:lang w:val="en-US" w:eastAsia="zh-CN" w:bidi="ar"/>
                      <w14:textFill>
                        <w14:solidFill>
                          <w14:schemeClr w14:val="tx1"/>
                        </w14:solidFill>
                      </w14:textFill>
                    </w:rPr>
                    <w:t>61</w:t>
                  </w:r>
                </w:p>
              </w:tc>
              <w:tc>
                <w:tcPr>
                  <w:tcW w:w="237" w:type="pct"/>
                  <w:tcBorders>
                    <w:tl2br w:val="nil"/>
                    <w:tr2bl w:val="nil"/>
                  </w:tcBorders>
                  <w:noWrap w:val="0"/>
                  <w:vAlign w:val="center"/>
                </w:tcPr>
                <w:p w14:paraId="1D6F833C">
                  <w:pPr>
                    <w:jc w:val="center"/>
                    <w:rPr>
                      <w:rFonts w:hint="default" w:ascii="Times New Roman" w:hAnsi="Times New Roman" w:eastAsia="宋体" w:cs="Times New Roman"/>
                      <w:color w:val="000000" w:themeColor="text1"/>
                      <w:kern w:val="0"/>
                      <w:szCs w:val="21"/>
                      <w:lang w:bidi="ar"/>
                      <w14:textFill>
                        <w14:solidFill>
                          <w14:schemeClr w14:val="tx1"/>
                        </w14:solidFill>
                      </w14:textFill>
                    </w:rPr>
                  </w:pPr>
                  <w:r>
                    <w:rPr>
                      <w:rFonts w:hint="eastAsia" w:ascii="Times New Roman" w:hAnsi="Times New Roman" w:cs="Times New Roman"/>
                      <w:color w:val="000000" w:themeColor="text1"/>
                      <w:kern w:val="0"/>
                      <w:szCs w:val="21"/>
                      <w:lang w:val="en-US" w:eastAsia="zh-CN" w:bidi="ar"/>
                      <w14:textFill>
                        <w14:solidFill>
                          <w14:schemeClr w14:val="tx1"/>
                        </w14:solidFill>
                      </w14:textFill>
                    </w:rPr>
                    <w:t>昼夜</w:t>
                  </w:r>
                </w:p>
              </w:tc>
              <w:tc>
                <w:tcPr>
                  <w:tcW w:w="374" w:type="pct"/>
                  <w:tcBorders>
                    <w:tl2br w:val="nil"/>
                    <w:tr2bl w:val="nil"/>
                  </w:tcBorders>
                  <w:noWrap w:val="0"/>
                  <w:vAlign w:val="center"/>
                </w:tcPr>
                <w:p w14:paraId="35DD8FEB">
                  <w:pPr>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15</w:t>
                  </w:r>
                </w:p>
              </w:tc>
              <w:tc>
                <w:tcPr>
                  <w:tcW w:w="458" w:type="pct"/>
                  <w:tcBorders>
                    <w:tl2br w:val="nil"/>
                    <w:tr2bl w:val="nil"/>
                  </w:tcBorders>
                  <w:noWrap w:val="0"/>
                  <w:vAlign w:val="center"/>
                </w:tcPr>
                <w:p w14:paraId="000769A5">
                  <w:pPr>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46</w:t>
                  </w:r>
                </w:p>
              </w:tc>
              <w:tc>
                <w:tcPr>
                  <w:tcW w:w="403" w:type="pct"/>
                  <w:tcBorders>
                    <w:tl2br w:val="nil"/>
                    <w:tr2bl w:val="nil"/>
                  </w:tcBorders>
                  <w:noWrap w:val="0"/>
                  <w:vAlign w:val="center"/>
                </w:tcPr>
                <w:p w14:paraId="4362F397">
                  <w:pPr>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1</w:t>
                  </w:r>
                </w:p>
              </w:tc>
            </w:tr>
            <w:tr w14:paraId="6AD4211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36" w:type="pct"/>
                  <w:tcBorders>
                    <w:tl2br w:val="nil"/>
                    <w:tr2bl w:val="nil"/>
                  </w:tcBorders>
                  <w:noWrap w:val="0"/>
                  <w:vAlign w:val="center"/>
                </w:tcPr>
                <w:p w14:paraId="04D8BC7E">
                  <w:pPr>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22</w:t>
                  </w:r>
                </w:p>
              </w:tc>
              <w:tc>
                <w:tcPr>
                  <w:tcW w:w="237" w:type="pct"/>
                  <w:vMerge w:val="continue"/>
                  <w:tcBorders>
                    <w:tl2br w:val="nil"/>
                    <w:tr2bl w:val="nil"/>
                  </w:tcBorders>
                  <w:noWrap w:val="0"/>
                  <w:vAlign w:val="center"/>
                </w:tcPr>
                <w:p w14:paraId="37A2BD31">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393" w:type="pct"/>
                  <w:tcBorders>
                    <w:tl2br w:val="nil"/>
                    <w:tr2bl w:val="nil"/>
                  </w:tcBorders>
                  <w:noWrap w:val="0"/>
                  <w:vAlign w:val="center"/>
                </w:tcPr>
                <w:p w14:paraId="7C7F6230">
                  <w:pPr>
                    <w:pStyle w:val="98"/>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空气烧渗炉</w:t>
                  </w:r>
                </w:p>
              </w:tc>
              <w:tc>
                <w:tcPr>
                  <w:tcW w:w="451" w:type="pct"/>
                  <w:tcBorders>
                    <w:tl2br w:val="nil"/>
                    <w:tr2bl w:val="nil"/>
                  </w:tcBorders>
                  <w:noWrap w:val="0"/>
                  <w:vAlign w:val="center"/>
                </w:tcPr>
                <w:p w14:paraId="3546C0A8">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85</w:t>
                  </w:r>
                </w:p>
              </w:tc>
              <w:tc>
                <w:tcPr>
                  <w:tcW w:w="923" w:type="pct"/>
                  <w:tcBorders>
                    <w:tl2br w:val="nil"/>
                    <w:tr2bl w:val="nil"/>
                  </w:tcBorders>
                  <w:noWrap w:val="0"/>
                  <w:vAlign w:val="center"/>
                </w:tcPr>
                <w:p w14:paraId="205CA5E3">
                  <w:pPr>
                    <w:jc w:val="center"/>
                    <w:rPr>
                      <w:rFonts w:hint="default" w:ascii="Times New Roman" w:hAnsi="Times New Roman" w:eastAsia="宋体" w:cs="Times New Roman"/>
                      <w:color w:val="000000" w:themeColor="text1"/>
                      <w:kern w:val="0"/>
                      <w:szCs w:val="21"/>
                      <w:lang w:bidi="ar"/>
                      <w14:textFill>
                        <w14:solidFill>
                          <w14:schemeClr w14:val="tx1"/>
                        </w14:solidFill>
                      </w14:textFill>
                    </w:rPr>
                  </w:pPr>
                  <w:r>
                    <w:rPr>
                      <w:rFonts w:hint="default" w:ascii="Times New Roman" w:hAnsi="Times New Roman" w:eastAsia="宋体" w:cs="Times New Roman"/>
                      <w:color w:val="000000" w:themeColor="text1"/>
                      <w:kern w:val="0"/>
                      <w:szCs w:val="21"/>
                      <w:lang w:bidi="ar"/>
                      <w14:textFill>
                        <w14:solidFill>
                          <w14:schemeClr w14:val="tx1"/>
                        </w14:solidFill>
                      </w14:textFill>
                    </w:rPr>
                    <w:t>基础减振</w:t>
                  </w:r>
                  <w:r>
                    <w:rPr>
                      <w:rFonts w:hint="eastAsia" w:ascii="Times New Roman" w:hAnsi="Times New Roman" w:eastAsia="宋体" w:cs="Times New Roman"/>
                      <w:color w:val="000000" w:themeColor="text1"/>
                      <w:kern w:val="0"/>
                      <w:szCs w:val="21"/>
                      <w:lang w:eastAsia="zh-CN" w:bidi="ar"/>
                      <w14:textFill>
                        <w14:solidFill>
                          <w14:schemeClr w14:val="tx1"/>
                        </w14:solidFill>
                      </w14:textFill>
                    </w:rPr>
                    <w:t>、</w:t>
                  </w:r>
                  <w:r>
                    <w:rPr>
                      <w:rFonts w:hint="eastAsia" w:ascii="Times New Roman" w:hAnsi="Times New Roman" w:eastAsia="宋体" w:cs="Times New Roman"/>
                      <w:color w:val="000000" w:themeColor="text1"/>
                      <w:kern w:val="0"/>
                      <w:szCs w:val="21"/>
                      <w:lang w:val="en-US" w:eastAsia="zh-CN" w:bidi="ar"/>
                      <w14:textFill>
                        <w14:solidFill>
                          <w14:schemeClr w14:val="tx1"/>
                        </w14:solidFill>
                      </w14:textFill>
                    </w:rPr>
                    <w:t>厂房隔声</w:t>
                  </w:r>
                </w:p>
              </w:tc>
              <w:tc>
                <w:tcPr>
                  <w:tcW w:w="273" w:type="pct"/>
                  <w:tcBorders>
                    <w:tl2br w:val="nil"/>
                    <w:tr2bl w:val="nil"/>
                  </w:tcBorders>
                  <w:shd w:val="clear" w:color="auto" w:fill="auto"/>
                  <w:noWrap w:val="0"/>
                  <w:vAlign w:val="center"/>
                </w:tcPr>
                <w:p w14:paraId="2115153A">
                  <w:pPr>
                    <w:jc w:val="cente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35</w:t>
                  </w:r>
                </w:p>
              </w:tc>
              <w:tc>
                <w:tcPr>
                  <w:tcW w:w="333" w:type="pct"/>
                  <w:tcBorders>
                    <w:tl2br w:val="nil"/>
                    <w:tr2bl w:val="nil"/>
                  </w:tcBorders>
                  <w:shd w:val="clear" w:color="auto" w:fill="auto"/>
                  <w:noWrap w:val="0"/>
                  <w:vAlign w:val="center"/>
                </w:tcPr>
                <w:p w14:paraId="793A8082">
                  <w:pPr>
                    <w:jc w:val="cente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19</w:t>
                  </w:r>
                </w:p>
              </w:tc>
              <w:tc>
                <w:tcPr>
                  <w:tcW w:w="204" w:type="pct"/>
                  <w:tcBorders>
                    <w:tl2br w:val="nil"/>
                    <w:tr2bl w:val="nil"/>
                  </w:tcBorders>
                  <w:noWrap w:val="0"/>
                  <w:vAlign w:val="center"/>
                </w:tcPr>
                <w:p w14:paraId="72F99301">
                  <w:pPr>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1</w:t>
                  </w:r>
                </w:p>
              </w:tc>
              <w:tc>
                <w:tcPr>
                  <w:tcW w:w="237" w:type="pct"/>
                  <w:tcBorders>
                    <w:tl2br w:val="nil"/>
                    <w:tr2bl w:val="nil"/>
                  </w:tcBorders>
                  <w:noWrap w:val="0"/>
                  <w:vAlign w:val="center"/>
                </w:tcPr>
                <w:p w14:paraId="2588B709">
                  <w:pPr>
                    <w:jc w:val="center"/>
                    <w:rPr>
                      <w:rFonts w:hint="default" w:ascii="Times New Roman" w:hAnsi="Times New Roman" w:eastAsia="宋体" w:cs="Times New Roman"/>
                      <w:color w:val="000000" w:themeColor="text1"/>
                      <w:kern w:val="0"/>
                      <w:szCs w:val="21"/>
                      <w:lang w:val="en-US" w:eastAsia="zh-CN" w:bidi="ar"/>
                      <w14:textFill>
                        <w14:solidFill>
                          <w14:schemeClr w14:val="tx1"/>
                        </w14:solidFill>
                      </w14:textFill>
                    </w:rPr>
                  </w:pPr>
                  <w:r>
                    <w:rPr>
                      <w:rFonts w:hint="eastAsia" w:ascii="Times New Roman" w:hAnsi="Times New Roman" w:cs="Times New Roman"/>
                      <w:color w:val="000000" w:themeColor="text1"/>
                      <w:kern w:val="0"/>
                      <w:szCs w:val="21"/>
                      <w:lang w:val="en-US" w:eastAsia="zh-CN" w:bidi="ar"/>
                      <w14:textFill>
                        <w14:solidFill>
                          <w14:schemeClr w14:val="tx1"/>
                        </w14:solidFill>
                      </w14:textFill>
                    </w:rPr>
                    <w:t>17</w:t>
                  </w:r>
                </w:p>
              </w:tc>
              <w:tc>
                <w:tcPr>
                  <w:tcW w:w="237" w:type="pct"/>
                  <w:tcBorders>
                    <w:tl2br w:val="nil"/>
                    <w:tr2bl w:val="nil"/>
                  </w:tcBorders>
                  <w:noWrap w:val="0"/>
                  <w:vAlign w:val="center"/>
                </w:tcPr>
                <w:p w14:paraId="1DE1FB0B">
                  <w:pPr>
                    <w:jc w:val="center"/>
                    <w:rPr>
                      <w:rFonts w:hint="default" w:ascii="Times New Roman" w:hAnsi="Times New Roman" w:eastAsia="宋体" w:cs="Times New Roman"/>
                      <w:color w:val="000000" w:themeColor="text1"/>
                      <w:kern w:val="0"/>
                      <w:szCs w:val="21"/>
                      <w:lang w:val="en-US" w:eastAsia="zh-CN" w:bidi="ar"/>
                      <w14:textFill>
                        <w14:solidFill>
                          <w14:schemeClr w14:val="tx1"/>
                        </w14:solidFill>
                      </w14:textFill>
                    </w:rPr>
                  </w:pPr>
                  <w:r>
                    <w:rPr>
                      <w:rFonts w:hint="eastAsia" w:ascii="Times New Roman" w:hAnsi="Times New Roman" w:cs="Times New Roman"/>
                      <w:color w:val="000000" w:themeColor="text1"/>
                      <w:kern w:val="0"/>
                      <w:szCs w:val="21"/>
                      <w:lang w:val="en-US" w:eastAsia="zh-CN" w:bidi="ar"/>
                      <w14:textFill>
                        <w14:solidFill>
                          <w14:schemeClr w14:val="tx1"/>
                        </w14:solidFill>
                      </w14:textFill>
                    </w:rPr>
                    <w:t>60</w:t>
                  </w:r>
                </w:p>
              </w:tc>
              <w:tc>
                <w:tcPr>
                  <w:tcW w:w="237" w:type="pct"/>
                  <w:tcBorders>
                    <w:tl2br w:val="nil"/>
                    <w:tr2bl w:val="nil"/>
                  </w:tcBorders>
                  <w:noWrap w:val="0"/>
                  <w:vAlign w:val="center"/>
                </w:tcPr>
                <w:p w14:paraId="43B3D502">
                  <w:pPr>
                    <w:jc w:val="center"/>
                    <w:rPr>
                      <w:rFonts w:hint="default" w:ascii="Times New Roman" w:hAnsi="Times New Roman" w:eastAsia="宋体" w:cs="Times New Roman"/>
                      <w:color w:val="000000" w:themeColor="text1"/>
                      <w:kern w:val="0"/>
                      <w:szCs w:val="21"/>
                      <w:lang w:bidi="ar"/>
                      <w14:textFill>
                        <w14:solidFill>
                          <w14:schemeClr w14:val="tx1"/>
                        </w14:solidFill>
                      </w14:textFill>
                    </w:rPr>
                  </w:pPr>
                  <w:r>
                    <w:rPr>
                      <w:rFonts w:hint="eastAsia" w:ascii="Times New Roman" w:hAnsi="Times New Roman" w:cs="Times New Roman"/>
                      <w:color w:val="000000" w:themeColor="text1"/>
                      <w:kern w:val="0"/>
                      <w:szCs w:val="21"/>
                      <w:lang w:val="en-US" w:eastAsia="zh-CN" w:bidi="ar"/>
                      <w14:textFill>
                        <w14:solidFill>
                          <w14:schemeClr w14:val="tx1"/>
                        </w14:solidFill>
                      </w14:textFill>
                    </w:rPr>
                    <w:t>昼夜</w:t>
                  </w:r>
                </w:p>
              </w:tc>
              <w:tc>
                <w:tcPr>
                  <w:tcW w:w="374" w:type="pct"/>
                  <w:tcBorders>
                    <w:tl2br w:val="nil"/>
                    <w:tr2bl w:val="nil"/>
                  </w:tcBorders>
                  <w:noWrap w:val="0"/>
                  <w:vAlign w:val="center"/>
                </w:tcPr>
                <w:p w14:paraId="4BA358A2">
                  <w:pPr>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15</w:t>
                  </w:r>
                </w:p>
              </w:tc>
              <w:tc>
                <w:tcPr>
                  <w:tcW w:w="458" w:type="pct"/>
                  <w:tcBorders>
                    <w:tl2br w:val="nil"/>
                    <w:tr2bl w:val="nil"/>
                  </w:tcBorders>
                  <w:noWrap w:val="0"/>
                  <w:vAlign w:val="center"/>
                </w:tcPr>
                <w:p w14:paraId="136DD035">
                  <w:pPr>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45</w:t>
                  </w:r>
                </w:p>
              </w:tc>
              <w:tc>
                <w:tcPr>
                  <w:tcW w:w="403" w:type="pct"/>
                  <w:tcBorders>
                    <w:tl2br w:val="nil"/>
                    <w:tr2bl w:val="nil"/>
                  </w:tcBorders>
                  <w:noWrap w:val="0"/>
                  <w:vAlign w:val="center"/>
                </w:tcPr>
                <w:p w14:paraId="2DCF45CC">
                  <w:pPr>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1</w:t>
                  </w:r>
                </w:p>
              </w:tc>
            </w:tr>
            <w:tr w14:paraId="66B1FEF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36" w:type="pct"/>
                  <w:tcBorders>
                    <w:tl2br w:val="nil"/>
                    <w:tr2bl w:val="nil"/>
                  </w:tcBorders>
                  <w:noWrap w:val="0"/>
                  <w:vAlign w:val="center"/>
                </w:tcPr>
                <w:p w14:paraId="288B737D">
                  <w:pPr>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23</w:t>
                  </w:r>
                </w:p>
              </w:tc>
              <w:tc>
                <w:tcPr>
                  <w:tcW w:w="237" w:type="pct"/>
                  <w:vMerge w:val="continue"/>
                  <w:tcBorders>
                    <w:tl2br w:val="nil"/>
                    <w:tr2bl w:val="nil"/>
                  </w:tcBorders>
                  <w:noWrap w:val="0"/>
                  <w:vAlign w:val="center"/>
                </w:tcPr>
                <w:p w14:paraId="0928066E">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393" w:type="pct"/>
                  <w:tcBorders>
                    <w:tl2br w:val="nil"/>
                    <w:tr2bl w:val="nil"/>
                  </w:tcBorders>
                  <w:noWrap w:val="0"/>
                  <w:vAlign w:val="center"/>
                </w:tcPr>
                <w:p w14:paraId="29686092">
                  <w:pPr>
                    <w:pStyle w:val="98"/>
                    <w:rPr>
                      <w:rFonts w:hint="eastAsia"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气氛烧渗炉</w:t>
                  </w:r>
                </w:p>
              </w:tc>
              <w:tc>
                <w:tcPr>
                  <w:tcW w:w="451" w:type="pct"/>
                  <w:tcBorders>
                    <w:tl2br w:val="nil"/>
                    <w:tr2bl w:val="nil"/>
                  </w:tcBorders>
                  <w:noWrap w:val="0"/>
                  <w:vAlign w:val="center"/>
                </w:tcPr>
                <w:p w14:paraId="47907243">
                  <w:pPr>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85</w:t>
                  </w:r>
                </w:p>
              </w:tc>
              <w:tc>
                <w:tcPr>
                  <w:tcW w:w="923" w:type="pct"/>
                  <w:tcBorders>
                    <w:tl2br w:val="nil"/>
                    <w:tr2bl w:val="nil"/>
                  </w:tcBorders>
                  <w:noWrap w:val="0"/>
                  <w:vAlign w:val="center"/>
                </w:tcPr>
                <w:p w14:paraId="0ACD8C68">
                  <w:pPr>
                    <w:jc w:val="center"/>
                    <w:rPr>
                      <w:rFonts w:hint="default" w:ascii="Times New Roman" w:hAnsi="Times New Roman" w:eastAsia="宋体" w:cs="Times New Roman"/>
                      <w:color w:val="000000" w:themeColor="text1"/>
                      <w:kern w:val="0"/>
                      <w:szCs w:val="21"/>
                      <w:lang w:bidi="ar"/>
                      <w14:textFill>
                        <w14:solidFill>
                          <w14:schemeClr w14:val="tx1"/>
                        </w14:solidFill>
                      </w14:textFill>
                    </w:rPr>
                  </w:pPr>
                  <w:r>
                    <w:rPr>
                      <w:rFonts w:hint="default" w:ascii="Times New Roman" w:hAnsi="Times New Roman" w:eastAsia="宋体" w:cs="Times New Roman"/>
                      <w:color w:val="000000" w:themeColor="text1"/>
                      <w:kern w:val="0"/>
                      <w:szCs w:val="21"/>
                      <w:lang w:bidi="ar"/>
                      <w14:textFill>
                        <w14:solidFill>
                          <w14:schemeClr w14:val="tx1"/>
                        </w14:solidFill>
                      </w14:textFill>
                    </w:rPr>
                    <w:t>基础减振</w:t>
                  </w:r>
                  <w:r>
                    <w:rPr>
                      <w:rFonts w:hint="eastAsia" w:ascii="Times New Roman" w:hAnsi="Times New Roman" w:eastAsia="宋体" w:cs="Times New Roman"/>
                      <w:color w:val="000000" w:themeColor="text1"/>
                      <w:kern w:val="0"/>
                      <w:szCs w:val="21"/>
                      <w:lang w:eastAsia="zh-CN" w:bidi="ar"/>
                      <w14:textFill>
                        <w14:solidFill>
                          <w14:schemeClr w14:val="tx1"/>
                        </w14:solidFill>
                      </w14:textFill>
                    </w:rPr>
                    <w:t>、</w:t>
                  </w:r>
                  <w:r>
                    <w:rPr>
                      <w:rFonts w:hint="eastAsia" w:ascii="Times New Roman" w:hAnsi="Times New Roman" w:eastAsia="宋体" w:cs="Times New Roman"/>
                      <w:color w:val="000000" w:themeColor="text1"/>
                      <w:kern w:val="0"/>
                      <w:szCs w:val="21"/>
                      <w:lang w:val="en-US" w:eastAsia="zh-CN" w:bidi="ar"/>
                      <w14:textFill>
                        <w14:solidFill>
                          <w14:schemeClr w14:val="tx1"/>
                        </w14:solidFill>
                      </w14:textFill>
                    </w:rPr>
                    <w:t>厂房隔声</w:t>
                  </w:r>
                </w:p>
              </w:tc>
              <w:tc>
                <w:tcPr>
                  <w:tcW w:w="273" w:type="pct"/>
                  <w:tcBorders>
                    <w:tl2br w:val="nil"/>
                    <w:tr2bl w:val="nil"/>
                  </w:tcBorders>
                  <w:shd w:val="clear" w:color="auto" w:fill="auto"/>
                  <w:noWrap w:val="0"/>
                  <w:vAlign w:val="center"/>
                </w:tcPr>
                <w:p w14:paraId="63D932DD">
                  <w:pPr>
                    <w:jc w:val="cente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35</w:t>
                  </w:r>
                </w:p>
              </w:tc>
              <w:tc>
                <w:tcPr>
                  <w:tcW w:w="333" w:type="pct"/>
                  <w:tcBorders>
                    <w:tl2br w:val="nil"/>
                    <w:tr2bl w:val="nil"/>
                  </w:tcBorders>
                  <w:shd w:val="clear" w:color="auto" w:fill="auto"/>
                  <w:noWrap w:val="0"/>
                  <w:vAlign w:val="center"/>
                </w:tcPr>
                <w:p w14:paraId="2D9BEFD8">
                  <w:pPr>
                    <w:jc w:val="cente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17</w:t>
                  </w:r>
                </w:p>
              </w:tc>
              <w:tc>
                <w:tcPr>
                  <w:tcW w:w="204" w:type="pct"/>
                  <w:tcBorders>
                    <w:tl2br w:val="nil"/>
                    <w:tr2bl w:val="nil"/>
                  </w:tcBorders>
                  <w:noWrap w:val="0"/>
                  <w:vAlign w:val="center"/>
                </w:tcPr>
                <w:p w14:paraId="049DDB90">
                  <w:pPr>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w:t>
                  </w:r>
                </w:p>
              </w:tc>
              <w:tc>
                <w:tcPr>
                  <w:tcW w:w="237" w:type="pct"/>
                  <w:tcBorders>
                    <w:tl2br w:val="nil"/>
                    <w:tr2bl w:val="nil"/>
                  </w:tcBorders>
                  <w:noWrap w:val="0"/>
                  <w:vAlign w:val="center"/>
                </w:tcPr>
                <w:p w14:paraId="639BEC48">
                  <w:pPr>
                    <w:jc w:val="center"/>
                    <w:rPr>
                      <w:rFonts w:hint="default" w:ascii="Times New Roman" w:hAnsi="Times New Roman" w:cs="Times New Roman"/>
                      <w:color w:val="000000" w:themeColor="text1"/>
                      <w:kern w:val="0"/>
                      <w:szCs w:val="21"/>
                      <w:lang w:val="en-US" w:eastAsia="zh-CN" w:bidi="ar"/>
                      <w14:textFill>
                        <w14:solidFill>
                          <w14:schemeClr w14:val="tx1"/>
                        </w14:solidFill>
                      </w14:textFill>
                    </w:rPr>
                  </w:pPr>
                  <w:r>
                    <w:rPr>
                      <w:rFonts w:hint="eastAsia" w:cs="Times New Roman"/>
                      <w:color w:val="000000" w:themeColor="text1"/>
                      <w:kern w:val="0"/>
                      <w:szCs w:val="21"/>
                      <w:lang w:val="en-US" w:eastAsia="zh-CN" w:bidi="ar"/>
                      <w14:textFill>
                        <w14:solidFill>
                          <w14:schemeClr w14:val="tx1"/>
                        </w14:solidFill>
                      </w14:textFill>
                    </w:rPr>
                    <w:t>19</w:t>
                  </w:r>
                </w:p>
              </w:tc>
              <w:tc>
                <w:tcPr>
                  <w:tcW w:w="237" w:type="pct"/>
                  <w:tcBorders>
                    <w:tl2br w:val="nil"/>
                    <w:tr2bl w:val="nil"/>
                  </w:tcBorders>
                  <w:noWrap w:val="0"/>
                  <w:vAlign w:val="center"/>
                </w:tcPr>
                <w:p w14:paraId="3A2CC85E">
                  <w:pPr>
                    <w:jc w:val="center"/>
                    <w:rPr>
                      <w:rFonts w:hint="default" w:ascii="Times New Roman" w:hAnsi="Times New Roman" w:cs="Times New Roman"/>
                      <w:color w:val="000000" w:themeColor="text1"/>
                      <w:kern w:val="0"/>
                      <w:szCs w:val="21"/>
                      <w:lang w:val="en-US" w:eastAsia="zh-CN" w:bidi="ar"/>
                      <w14:textFill>
                        <w14:solidFill>
                          <w14:schemeClr w14:val="tx1"/>
                        </w14:solidFill>
                      </w14:textFill>
                    </w:rPr>
                  </w:pPr>
                  <w:r>
                    <w:rPr>
                      <w:rFonts w:hint="eastAsia" w:cs="Times New Roman"/>
                      <w:color w:val="000000" w:themeColor="text1"/>
                      <w:kern w:val="0"/>
                      <w:szCs w:val="21"/>
                      <w:lang w:val="en-US" w:eastAsia="zh-CN" w:bidi="ar"/>
                      <w14:textFill>
                        <w14:solidFill>
                          <w14:schemeClr w14:val="tx1"/>
                        </w14:solidFill>
                      </w14:textFill>
                    </w:rPr>
                    <w:t>59</w:t>
                  </w:r>
                </w:p>
              </w:tc>
              <w:tc>
                <w:tcPr>
                  <w:tcW w:w="237" w:type="pct"/>
                  <w:tcBorders>
                    <w:tl2br w:val="nil"/>
                    <w:tr2bl w:val="nil"/>
                  </w:tcBorders>
                  <w:noWrap w:val="0"/>
                  <w:vAlign w:val="center"/>
                </w:tcPr>
                <w:p w14:paraId="7CC1D518">
                  <w:pPr>
                    <w:jc w:val="center"/>
                    <w:rPr>
                      <w:rFonts w:hint="eastAsia" w:ascii="Times New Roman" w:hAnsi="Times New Roman" w:cs="Times New Roman"/>
                      <w:color w:val="000000" w:themeColor="text1"/>
                      <w:kern w:val="0"/>
                      <w:szCs w:val="21"/>
                      <w:lang w:val="en-US" w:eastAsia="zh-CN" w:bidi="ar"/>
                      <w14:textFill>
                        <w14:solidFill>
                          <w14:schemeClr w14:val="tx1"/>
                        </w14:solidFill>
                      </w14:textFill>
                    </w:rPr>
                  </w:pPr>
                  <w:r>
                    <w:rPr>
                      <w:rFonts w:hint="eastAsia" w:ascii="Times New Roman" w:hAnsi="Times New Roman" w:cs="Times New Roman"/>
                      <w:color w:val="000000" w:themeColor="text1"/>
                      <w:kern w:val="0"/>
                      <w:szCs w:val="21"/>
                      <w:lang w:val="en-US" w:eastAsia="zh-CN" w:bidi="ar"/>
                      <w14:textFill>
                        <w14:solidFill>
                          <w14:schemeClr w14:val="tx1"/>
                        </w14:solidFill>
                      </w14:textFill>
                    </w:rPr>
                    <w:t>昼夜</w:t>
                  </w:r>
                </w:p>
              </w:tc>
              <w:tc>
                <w:tcPr>
                  <w:tcW w:w="374" w:type="pct"/>
                  <w:tcBorders>
                    <w:tl2br w:val="nil"/>
                    <w:tr2bl w:val="nil"/>
                  </w:tcBorders>
                  <w:noWrap w:val="0"/>
                  <w:vAlign w:val="center"/>
                </w:tcPr>
                <w:p w14:paraId="161D4C28">
                  <w:pPr>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15</w:t>
                  </w:r>
                </w:p>
              </w:tc>
              <w:tc>
                <w:tcPr>
                  <w:tcW w:w="458" w:type="pct"/>
                  <w:tcBorders>
                    <w:tl2br w:val="nil"/>
                    <w:tr2bl w:val="nil"/>
                  </w:tcBorders>
                  <w:noWrap w:val="0"/>
                  <w:vAlign w:val="center"/>
                </w:tcPr>
                <w:p w14:paraId="47FE3345">
                  <w:pPr>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44</w:t>
                  </w:r>
                </w:p>
              </w:tc>
              <w:tc>
                <w:tcPr>
                  <w:tcW w:w="403" w:type="pct"/>
                  <w:tcBorders>
                    <w:tl2br w:val="nil"/>
                    <w:tr2bl w:val="nil"/>
                  </w:tcBorders>
                  <w:noWrap w:val="0"/>
                  <w:vAlign w:val="center"/>
                </w:tcPr>
                <w:p w14:paraId="1EDE1936">
                  <w:pPr>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w:t>
                  </w:r>
                </w:p>
              </w:tc>
            </w:tr>
            <w:tr w14:paraId="37BB7F5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36" w:type="pct"/>
                  <w:tcBorders>
                    <w:tl2br w:val="nil"/>
                    <w:tr2bl w:val="nil"/>
                  </w:tcBorders>
                  <w:noWrap w:val="0"/>
                  <w:vAlign w:val="center"/>
                </w:tcPr>
                <w:p w14:paraId="0CC224EF">
                  <w:pPr>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2</w:t>
                  </w:r>
                  <w:r>
                    <w:rPr>
                      <w:rFonts w:hint="eastAsia" w:cs="Times New Roman"/>
                      <w:color w:val="000000" w:themeColor="text1"/>
                      <w:szCs w:val="21"/>
                      <w:lang w:val="en-US" w:eastAsia="zh-CN"/>
                      <w14:textFill>
                        <w14:solidFill>
                          <w14:schemeClr w14:val="tx1"/>
                        </w14:solidFill>
                      </w14:textFill>
                    </w:rPr>
                    <w:t>4</w:t>
                  </w:r>
                </w:p>
              </w:tc>
              <w:tc>
                <w:tcPr>
                  <w:tcW w:w="237" w:type="pct"/>
                  <w:vMerge w:val="restart"/>
                  <w:tcBorders>
                    <w:tl2br w:val="nil"/>
                    <w:tr2bl w:val="nil"/>
                  </w:tcBorders>
                  <w:noWrap w:val="0"/>
                  <w:vAlign w:val="center"/>
                </w:tcPr>
                <w:p w14:paraId="05CACFB2">
                  <w:pPr>
                    <w:jc w:val="center"/>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废气治理设施</w:t>
                  </w:r>
                </w:p>
              </w:tc>
              <w:tc>
                <w:tcPr>
                  <w:tcW w:w="393" w:type="pct"/>
                  <w:tcBorders>
                    <w:tl2br w:val="nil"/>
                    <w:tr2bl w:val="nil"/>
                  </w:tcBorders>
                  <w:noWrap w:val="0"/>
                  <w:vAlign w:val="center"/>
                </w:tcPr>
                <w:p w14:paraId="624D6A82">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布袋除尘风机</w:t>
                  </w:r>
                </w:p>
              </w:tc>
              <w:tc>
                <w:tcPr>
                  <w:tcW w:w="451" w:type="pct"/>
                  <w:tcBorders>
                    <w:tl2br w:val="nil"/>
                    <w:tr2bl w:val="nil"/>
                  </w:tcBorders>
                  <w:noWrap w:val="0"/>
                  <w:vAlign w:val="center"/>
                </w:tcPr>
                <w:p w14:paraId="1F356E09">
                  <w:pPr>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75</w:t>
                  </w:r>
                </w:p>
              </w:tc>
              <w:tc>
                <w:tcPr>
                  <w:tcW w:w="923" w:type="pct"/>
                  <w:tcBorders>
                    <w:tl2br w:val="nil"/>
                    <w:tr2bl w:val="nil"/>
                  </w:tcBorders>
                  <w:noWrap w:val="0"/>
                  <w:vAlign w:val="center"/>
                </w:tcPr>
                <w:p w14:paraId="0327B880">
                  <w:pPr>
                    <w:jc w:val="center"/>
                    <w:rPr>
                      <w:rFonts w:hint="default" w:ascii="Times New Roman" w:hAnsi="Times New Roman" w:eastAsia="宋体" w:cs="Times New Roman"/>
                      <w:color w:val="000000" w:themeColor="text1"/>
                      <w:kern w:val="0"/>
                      <w:szCs w:val="21"/>
                      <w:lang w:bidi="ar"/>
                      <w14:textFill>
                        <w14:solidFill>
                          <w14:schemeClr w14:val="tx1"/>
                        </w14:solidFill>
                      </w14:textFill>
                    </w:rPr>
                  </w:pPr>
                  <w:r>
                    <w:rPr>
                      <w:rFonts w:hint="default" w:ascii="Times New Roman" w:hAnsi="Times New Roman" w:eastAsia="宋体" w:cs="Times New Roman"/>
                      <w:color w:val="000000" w:themeColor="text1"/>
                      <w:kern w:val="0"/>
                      <w:szCs w:val="21"/>
                      <w:lang w:bidi="ar"/>
                      <w14:textFill>
                        <w14:solidFill>
                          <w14:schemeClr w14:val="tx1"/>
                        </w14:solidFill>
                      </w14:textFill>
                    </w:rPr>
                    <w:t>基础减振</w:t>
                  </w:r>
                  <w:r>
                    <w:rPr>
                      <w:rFonts w:hint="eastAsia" w:ascii="Times New Roman" w:hAnsi="Times New Roman" w:eastAsia="宋体" w:cs="Times New Roman"/>
                      <w:color w:val="000000" w:themeColor="text1"/>
                      <w:kern w:val="0"/>
                      <w:szCs w:val="21"/>
                      <w:lang w:eastAsia="zh-CN" w:bidi="ar"/>
                      <w14:textFill>
                        <w14:solidFill>
                          <w14:schemeClr w14:val="tx1"/>
                        </w14:solidFill>
                      </w14:textFill>
                    </w:rPr>
                    <w:t>、</w:t>
                  </w:r>
                  <w:r>
                    <w:rPr>
                      <w:rFonts w:hint="eastAsia" w:ascii="Times New Roman" w:hAnsi="Times New Roman" w:eastAsia="宋体" w:cs="Times New Roman"/>
                      <w:color w:val="000000" w:themeColor="text1"/>
                      <w:kern w:val="0"/>
                      <w:szCs w:val="21"/>
                      <w:lang w:val="en-US" w:eastAsia="zh-CN" w:bidi="ar"/>
                      <w14:textFill>
                        <w14:solidFill>
                          <w14:schemeClr w14:val="tx1"/>
                        </w14:solidFill>
                      </w14:textFill>
                    </w:rPr>
                    <w:t>厂房隔声</w:t>
                  </w:r>
                </w:p>
              </w:tc>
              <w:tc>
                <w:tcPr>
                  <w:tcW w:w="273" w:type="pct"/>
                  <w:tcBorders>
                    <w:tl2br w:val="nil"/>
                    <w:tr2bl w:val="nil"/>
                  </w:tcBorders>
                  <w:shd w:val="clear" w:color="auto" w:fill="auto"/>
                  <w:noWrap w:val="0"/>
                  <w:vAlign w:val="center"/>
                </w:tcPr>
                <w:p w14:paraId="63C6A9E8">
                  <w:pPr>
                    <w:jc w:val="cente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2</w:t>
                  </w:r>
                </w:p>
              </w:tc>
              <w:tc>
                <w:tcPr>
                  <w:tcW w:w="333" w:type="pct"/>
                  <w:tcBorders>
                    <w:tl2br w:val="nil"/>
                    <w:tr2bl w:val="nil"/>
                  </w:tcBorders>
                  <w:shd w:val="clear" w:color="auto" w:fill="auto"/>
                  <w:noWrap w:val="0"/>
                  <w:vAlign w:val="center"/>
                </w:tcPr>
                <w:p w14:paraId="2FE015A1">
                  <w:pPr>
                    <w:jc w:val="cente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34</w:t>
                  </w:r>
                </w:p>
              </w:tc>
              <w:tc>
                <w:tcPr>
                  <w:tcW w:w="204" w:type="pct"/>
                  <w:tcBorders>
                    <w:tl2br w:val="nil"/>
                    <w:tr2bl w:val="nil"/>
                  </w:tcBorders>
                  <w:noWrap w:val="0"/>
                  <w:vAlign w:val="center"/>
                </w:tcPr>
                <w:p w14:paraId="6E978789">
                  <w:pPr>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1</w:t>
                  </w:r>
                </w:p>
              </w:tc>
              <w:tc>
                <w:tcPr>
                  <w:tcW w:w="237" w:type="pct"/>
                  <w:tcBorders>
                    <w:tl2br w:val="nil"/>
                    <w:tr2bl w:val="nil"/>
                  </w:tcBorders>
                  <w:noWrap w:val="0"/>
                  <w:vAlign w:val="center"/>
                </w:tcPr>
                <w:p w14:paraId="1AA3D003">
                  <w:pPr>
                    <w:jc w:val="center"/>
                    <w:rPr>
                      <w:rFonts w:hint="default" w:ascii="Times New Roman" w:hAnsi="Times New Roman" w:cs="Times New Roman"/>
                      <w:color w:val="000000" w:themeColor="text1"/>
                      <w:kern w:val="0"/>
                      <w:szCs w:val="21"/>
                      <w:lang w:val="en-US" w:eastAsia="zh-CN" w:bidi="ar"/>
                      <w14:textFill>
                        <w14:solidFill>
                          <w14:schemeClr w14:val="tx1"/>
                        </w14:solidFill>
                      </w14:textFill>
                    </w:rPr>
                  </w:pPr>
                  <w:r>
                    <w:rPr>
                      <w:rFonts w:hint="eastAsia" w:ascii="Times New Roman" w:hAnsi="Times New Roman" w:cs="Times New Roman"/>
                      <w:color w:val="000000" w:themeColor="text1"/>
                      <w:kern w:val="0"/>
                      <w:szCs w:val="21"/>
                      <w:lang w:val="en-US" w:eastAsia="zh-CN" w:bidi="ar"/>
                      <w14:textFill>
                        <w14:solidFill>
                          <w14:schemeClr w14:val="tx1"/>
                        </w14:solidFill>
                      </w14:textFill>
                    </w:rPr>
                    <w:t>2</w:t>
                  </w:r>
                </w:p>
              </w:tc>
              <w:tc>
                <w:tcPr>
                  <w:tcW w:w="237" w:type="pct"/>
                  <w:tcBorders>
                    <w:tl2br w:val="nil"/>
                    <w:tr2bl w:val="nil"/>
                  </w:tcBorders>
                  <w:noWrap w:val="0"/>
                  <w:vAlign w:val="center"/>
                </w:tcPr>
                <w:p w14:paraId="64824E82">
                  <w:pPr>
                    <w:jc w:val="center"/>
                    <w:rPr>
                      <w:rFonts w:hint="default" w:ascii="Times New Roman" w:hAnsi="Times New Roman" w:cs="Times New Roman"/>
                      <w:color w:val="000000" w:themeColor="text1"/>
                      <w:kern w:val="0"/>
                      <w:szCs w:val="21"/>
                      <w:lang w:val="en-US" w:eastAsia="zh-CN" w:bidi="ar"/>
                      <w14:textFill>
                        <w14:solidFill>
                          <w14:schemeClr w14:val="tx1"/>
                        </w14:solidFill>
                      </w14:textFill>
                    </w:rPr>
                  </w:pPr>
                  <w:r>
                    <w:rPr>
                      <w:rFonts w:hint="eastAsia" w:ascii="Times New Roman" w:hAnsi="Times New Roman" w:cs="Times New Roman"/>
                      <w:color w:val="000000" w:themeColor="text1"/>
                      <w:kern w:val="0"/>
                      <w:szCs w:val="21"/>
                      <w:lang w:val="en-US" w:eastAsia="zh-CN" w:bidi="ar"/>
                      <w14:textFill>
                        <w14:solidFill>
                          <w14:schemeClr w14:val="tx1"/>
                        </w14:solidFill>
                      </w14:textFill>
                    </w:rPr>
                    <w:t>69</w:t>
                  </w:r>
                </w:p>
              </w:tc>
              <w:tc>
                <w:tcPr>
                  <w:tcW w:w="237" w:type="pct"/>
                  <w:tcBorders>
                    <w:tl2br w:val="nil"/>
                    <w:tr2bl w:val="nil"/>
                  </w:tcBorders>
                  <w:noWrap w:val="0"/>
                  <w:vAlign w:val="center"/>
                </w:tcPr>
                <w:p w14:paraId="75D113C3">
                  <w:pPr>
                    <w:jc w:val="center"/>
                    <w:rPr>
                      <w:rFonts w:hint="default" w:ascii="Times New Roman" w:hAnsi="Times New Roman" w:cs="Times New Roman"/>
                      <w:color w:val="000000" w:themeColor="text1"/>
                      <w:kern w:val="0"/>
                      <w:szCs w:val="21"/>
                      <w:lang w:val="en-US" w:eastAsia="zh-CN" w:bidi="ar"/>
                      <w14:textFill>
                        <w14:solidFill>
                          <w14:schemeClr w14:val="tx1"/>
                        </w14:solidFill>
                      </w14:textFill>
                    </w:rPr>
                  </w:pPr>
                  <w:r>
                    <w:rPr>
                      <w:rFonts w:hint="eastAsia" w:ascii="Times New Roman" w:hAnsi="Times New Roman" w:cs="Times New Roman"/>
                      <w:color w:val="000000" w:themeColor="text1"/>
                      <w:kern w:val="0"/>
                      <w:szCs w:val="21"/>
                      <w:lang w:val="en-US" w:eastAsia="zh-CN" w:bidi="ar"/>
                      <w14:textFill>
                        <w14:solidFill>
                          <w14:schemeClr w14:val="tx1"/>
                        </w14:solidFill>
                      </w14:textFill>
                    </w:rPr>
                    <w:t>昼间</w:t>
                  </w:r>
                </w:p>
              </w:tc>
              <w:tc>
                <w:tcPr>
                  <w:tcW w:w="374" w:type="pct"/>
                  <w:tcBorders>
                    <w:tl2br w:val="nil"/>
                    <w:tr2bl w:val="nil"/>
                  </w:tcBorders>
                  <w:noWrap w:val="0"/>
                  <w:vAlign w:val="center"/>
                </w:tcPr>
                <w:p w14:paraId="3C808EEC">
                  <w:pPr>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20</w:t>
                  </w:r>
                </w:p>
              </w:tc>
              <w:tc>
                <w:tcPr>
                  <w:tcW w:w="458" w:type="pct"/>
                  <w:tcBorders>
                    <w:tl2br w:val="nil"/>
                    <w:tr2bl w:val="nil"/>
                  </w:tcBorders>
                  <w:noWrap w:val="0"/>
                  <w:vAlign w:val="center"/>
                </w:tcPr>
                <w:p w14:paraId="1EBBDE99">
                  <w:pPr>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49</w:t>
                  </w:r>
                </w:p>
              </w:tc>
              <w:tc>
                <w:tcPr>
                  <w:tcW w:w="403" w:type="pct"/>
                  <w:tcBorders>
                    <w:tl2br w:val="nil"/>
                    <w:tr2bl w:val="nil"/>
                  </w:tcBorders>
                  <w:noWrap w:val="0"/>
                  <w:vAlign w:val="center"/>
                </w:tcPr>
                <w:p w14:paraId="59525D3B">
                  <w:pPr>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1</w:t>
                  </w:r>
                </w:p>
              </w:tc>
            </w:tr>
            <w:tr w14:paraId="42E3D6D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36" w:type="pct"/>
                  <w:tcBorders>
                    <w:tl2br w:val="nil"/>
                    <w:tr2bl w:val="nil"/>
                  </w:tcBorders>
                  <w:noWrap w:val="0"/>
                  <w:vAlign w:val="center"/>
                </w:tcPr>
                <w:p w14:paraId="33416474">
                  <w:pPr>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2</w:t>
                  </w:r>
                  <w:r>
                    <w:rPr>
                      <w:rFonts w:hint="eastAsia" w:cs="Times New Roman"/>
                      <w:color w:val="000000" w:themeColor="text1"/>
                      <w:szCs w:val="21"/>
                      <w:lang w:val="en-US" w:eastAsia="zh-CN"/>
                      <w14:textFill>
                        <w14:solidFill>
                          <w14:schemeClr w14:val="tx1"/>
                        </w14:solidFill>
                      </w14:textFill>
                    </w:rPr>
                    <w:t>5</w:t>
                  </w:r>
                </w:p>
              </w:tc>
              <w:tc>
                <w:tcPr>
                  <w:tcW w:w="237" w:type="pct"/>
                  <w:vMerge w:val="continue"/>
                  <w:tcBorders>
                    <w:tl2br w:val="nil"/>
                    <w:tr2bl w:val="nil"/>
                  </w:tcBorders>
                  <w:noWrap w:val="0"/>
                  <w:vAlign w:val="center"/>
                </w:tcPr>
                <w:p w14:paraId="7A912896">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393" w:type="pct"/>
                  <w:tcBorders>
                    <w:tl2br w:val="nil"/>
                    <w:tr2bl w:val="nil"/>
                  </w:tcBorders>
                  <w:noWrap w:val="0"/>
                  <w:vAlign w:val="center"/>
                </w:tcPr>
                <w:p w14:paraId="4AC5365F">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二级活性炭风机</w:t>
                  </w:r>
                </w:p>
              </w:tc>
              <w:tc>
                <w:tcPr>
                  <w:tcW w:w="451" w:type="pct"/>
                  <w:tcBorders>
                    <w:tl2br w:val="nil"/>
                    <w:tr2bl w:val="nil"/>
                  </w:tcBorders>
                  <w:noWrap w:val="0"/>
                  <w:vAlign w:val="center"/>
                </w:tcPr>
                <w:p w14:paraId="09491FE1">
                  <w:pPr>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80</w:t>
                  </w:r>
                </w:p>
              </w:tc>
              <w:tc>
                <w:tcPr>
                  <w:tcW w:w="923" w:type="pct"/>
                  <w:tcBorders>
                    <w:tl2br w:val="nil"/>
                    <w:tr2bl w:val="nil"/>
                  </w:tcBorders>
                  <w:noWrap w:val="0"/>
                  <w:vAlign w:val="center"/>
                </w:tcPr>
                <w:p w14:paraId="15AA995F">
                  <w:pPr>
                    <w:jc w:val="center"/>
                    <w:rPr>
                      <w:rFonts w:hint="default" w:ascii="Times New Roman" w:hAnsi="Times New Roman" w:eastAsia="宋体" w:cs="Times New Roman"/>
                      <w:color w:val="000000" w:themeColor="text1"/>
                      <w:kern w:val="0"/>
                      <w:szCs w:val="21"/>
                      <w:lang w:bidi="ar"/>
                      <w14:textFill>
                        <w14:solidFill>
                          <w14:schemeClr w14:val="tx1"/>
                        </w14:solidFill>
                      </w14:textFill>
                    </w:rPr>
                  </w:pPr>
                  <w:r>
                    <w:rPr>
                      <w:rFonts w:hint="default" w:ascii="Times New Roman" w:hAnsi="Times New Roman" w:eastAsia="宋体" w:cs="Times New Roman"/>
                      <w:color w:val="000000" w:themeColor="text1"/>
                      <w:kern w:val="0"/>
                      <w:szCs w:val="21"/>
                      <w:lang w:bidi="ar"/>
                      <w14:textFill>
                        <w14:solidFill>
                          <w14:schemeClr w14:val="tx1"/>
                        </w14:solidFill>
                      </w14:textFill>
                    </w:rPr>
                    <w:t>基础减振</w:t>
                  </w:r>
                  <w:r>
                    <w:rPr>
                      <w:rFonts w:hint="eastAsia" w:ascii="Times New Roman" w:hAnsi="Times New Roman" w:eastAsia="宋体" w:cs="Times New Roman"/>
                      <w:color w:val="000000" w:themeColor="text1"/>
                      <w:kern w:val="0"/>
                      <w:szCs w:val="21"/>
                      <w:lang w:eastAsia="zh-CN" w:bidi="ar"/>
                      <w14:textFill>
                        <w14:solidFill>
                          <w14:schemeClr w14:val="tx1"/>
                        </w14:solidFill>
                      </w14:textFill>
                    </w:rPr>
                    <w:t>、</w:t>
                  </w:r>
                  <w:r>
                    <w:rPr>
                      <w:rFonts w:hint="eastAsia" w:ascii="Times New Roman" w:hAnsi="Times New Roman" w:eastAsia="宋体" w:cs="Times New Roman"/>
                      <w:color w:val="000000" w:themeColor="text1"/>
                      <w:kern w:val="0"/>
                      <w:szCs w:val="21"/>
                      <w:lang w:val="en-US" w:eastAsia="zh-CN" w:bidi="ar"/>
                      <w14:textFill>
                        <w14:solidFill>
                          <w14:schemeClr w14:val="tx1"/>
                        </w14:solidFill>
                      </w14:textFill>
                    </w:rPr>
                    <w:t>厂房隔声</w:t>
                  </w:r>
                </w:p>
              </w:tc>
              <w:tc>
                <w:tcPr>
                  <w:tcW w:w="273" w:type="pct"/>
                  <w:tcBorders>
                    <w:tl2br w:val="nil"/>
                    <w:tr2bl w:val="nil"/>
                  </w:tcBorders>
                  <w:shd w:val="clear" w:color="auto" w:fill="auto"/>
                  <w:noWrap w:val="0"/>
                  <w:vAlign w:val="center"/>
                </w:tcPr>
                <w:p w14:paraId="1622472A">
                  <w:pPr>
                    <w:jc w:val="cente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19</w:t>
                  </w:r>
                </w:p>
              </w:tc>
              <w:tc>
                <w:tcPr>
                  <w:tcW w:w="333" w:type="pct"/>
                  <w:tcBorders>
                    <w:tl2br w:val="nil"/>
                    <w:tr2bl w:val="nil"/>
                  </w:tcBorders>
                  <w:shd w:val="clear" w:color="auto" w:fill="auto"/>
                  <w:noWrap w:val="0"/>
                  <w:vAlign w:val="center"/>
                </w:tcPr>
                <w:p w14:paraId="2A570750">
                  <w:pPr>
                    <w:jc w:val="cente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20</w:t>
                  </w:r>
                </w:p>
              </w:tc>
              <w:tc>
                <w:tcPr>
                  <w:tcW w:w="204" w:type="pct"/>
                  <w:tcBorders>
                    <w:tl2br w:val="nil"/>
                    <w:tr2bl w:val="nil"/>
                  </w:tcBorders>
                  <w:noWrap w:val="0"/>
                  <w:vAlign w:val="center"/>
                </w:tcPr>
                <w:p w14:paraId="5645CEEB">
                  <w:pPr>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1</w:t>
                  </w:r>
                </w:p>
              </w:tc>
              <w:tc>
                <w:tcPr>
                  <w:tcW w:w="237" w:type="pct"/>
                  <w:tcBorders>
                    <w:tl2br w:val="nil"/>
                    <w:tr2bl w:val="nil"/>
                  </w:tcBorders>
                  <w:noWrap w:val="0"/>
                  <w:vAlign w:val="center"/>
                </w:tcPr>
                <w:p w14:paraId="0DCA2FAB">
                  <w:pPr>
                    <w:jc w:val="center"/>
                    <w:rPr>
                      <w:rFonts w:hint="default" w:ascii="Times New Roman" w:hAnsi="Times New Roman" w:cs="Times New Roman"/>
                      <w:color w:val="000000" w:themeColor="text1"/>
                      <w:kern w:val="0"/>
                      <w:szCs w:val="21"/>
                      <w:lang w:val="en-US" w:eastAsia="zh-CN" w:bidi="ar"/>
                      <w14:textFill>
                        <w14:solidFill>
                          <w14:schemeClr w14:val="tx1"/>
                        </w14:solidFill>
                      </w14:textFill>
                    </w:rPr>
                  </w:pPr>
                  <w:r>
                    <w:rPr>
                      <w:rFonts w:hint="eastAsia" w:ascii="Times New Roman" w:hAnsi="Times New Roman" w:cs="Times New Roman"/>
                      <w:color w:val="000000" w:themeColor="text1"/>
                      <w:kern w:val="0"/>
                      <w:szCs w:val="21"/>
                      <w:lang w:val="en-US" w:eastAsia="zh-CN" w:bidi="ar"/>
                      <w14:textFill>
                        <w14:solidFill>
                          <w14:schemeClr w14:val="tx1"/>
                        </w14:solidFill>
                      </w14:textFill>
                    </w:rPr>
                    <w:t>16</w:t>
                  </w:r>
                </w:p>
              </w:tc>
              <w:tc>
                <w:tcPr>
                  <w:tcW w:w="237" w:type="pct"/>
                  <w:tcBorders>
                    <w:tl2br w:val="nil"/>
                    <w:tr2bl w:val="nil"/>
                  </w:tcBorders>
                  <w:noWrap w:val="0"/>
                  <w:vAlign w:val="center"/>
                </w:tcPr>
                <w:p w14:paraId="77EE9F63">
                  <w:pPr>
                    <w:jc w:val="center"/>
                    <w:rPr>
                      <w:rFonts w:hint="default" w:ascii="Times New Roman" w:hAnsi="Times New Roman" w:cs="Times New Roman"/>
                      <w:color w:val="000000" w:themeColor="text1"/>
                      <w:kern w:val="0"/>
                      <w:szCs w:val="21"/>
                      <w:lang w:val="en-US" w:eastAsia="zh-CN" w:bidi="ar"/>
                      <w14:textFill>
                        <w14:solidFill>
                          <w14:schemeClr w14:val="tx1"/>
                        </w14:solidFill>
                      </w14:textFill>
                    </w:rPr>
                  </w:pPr>
                  <w:r>
                    <w:rPr>
                      <w:rFonts w:hint="eastAsia" w:ascii="Times New Roman" w:hAnsi="Times New Roman" w:cs="Times New Roman"/>
                      <w:color w:val="000000" w:themeColor="text1"/>
                      <w:kern w:val="0"/>
                      <w:szCs w:val="21"/>
                      <w:lang w:val="en-US" w:eastAsia="zh-CN" w:bidi="ar"/>
                      <w14:textFill>
                        <w14:solidFill>
                          <w14:schemeClr w14:val="tx1"/>
                        </w14:solidFill>
                      </w14:textFill>
                    </w:rPr>
                    <w:t>56</w:t>
                  </w:r>
                </w:p>
              </w:tc>
              <w:tc>
                <w:tcPr>
                  <w:tcW w:w="237" w:type="pct"/>
                  <w:tcBorders>
                    <w:tl2br w:val="nil"/>
                    <w:tr2bl w:val="nil"/>
                  </w:tcBorders>
                  <w:noWrap w:val="0"/>
                  <w:vAlign w:val="center"/>
                </w:tcPr>
                <w:p w14:paraId="1DBE77C9">
                  <w:pPr>
                    <w:jc w:val="center"/>
                    <w:rPr>
                      <w:rFonts w:hint="eastAsia" w:ascii="Times New Roman" w:hAnsi="Times New Roman" w:cs="Times New Roman"/>
                      <w:color w:val="000000" w:themeColor="text1"/>
                      <w:kern w:val="0"/>
                      <w:szCs w:val="21"/>
                      <w:lang w:val="en-US" w:eastAsia="zh-CN" w:bidi="ar"/>
                      <w14:textFill>
                        <w14:solidFill>
                          <w14:schemeClr w14:val="tx1"/>
                        </w14:solidFill>
                      </w14:textFill>
                    </w:rPr>
                  </w:pPr>
                  <w:r>
                    <w:rPr>
                      <w:rFonts w:hint="eastAsia" w:ascii="Times New Roman" w:hAnsi="Times New Roman" w:cs="Times New Roman"/>
                      <w:color w:val="000000" w:themeColor="text1"/>
                      <w:kern w:val="0"/>
                      <w:szCs w:val="21"/>
                      <w:lang w:val="en-US" w:eastAsia="zh-CN" w:bidi="ar"/>
                      <w14:textFill>
                        <w14:solidFill>
                          <w14:schemeClr w14:val="tx1"/>
                        </w14:solidFill>
                      </w14:textFill>
                    </w:rPr>
                    <w:t>昼夜</w:t>
                  </w:r>
                </w:p>
              </w:tc>
              <w:tc>
                <w:tcPr>
                  <w:tcW w:w="374" w:type="pct"/>
                  <w:tcBorders>
                    <w:tl2br w:val="nil"/>
                    <w:tr2bl w:val="nil"/>
                  </w:tcBorders>
                  <w:noWrap w:val="0"/>
                  <w:vAlign w:val="center"/>
                </w:tcPr>
                <w:p w14:paraId="206C7A9A">
                  <w:pPr>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15</w:t>
                  </w:r>
                </w:p>
              </w:tc>
              <w:tc>
                <w:tcPr>
                  <w:tcW w:w="458" w:type="pct"/>
                  <w:tcBorders>
                    <w:tl2br w:val="nil"/>
                    <w:tr2bl w:val="nil"/>
                  </w:tcBorders>
                  <w:noWrap w:val="0"/>
                  <w:vAlign w:val="center"/>
                </w:tcPr>
                <w:p w14:paraId="0488A890">
                  <w:pPr>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41</w:t>
                  </w:r>
                </w:p>
              </w:tc>
              <w:tc>
                <w:tcPr>
                  <w:tcW w:w="403" w:type="pct"/>
                  <w:tcBorders>
                    <w:tl2br w:val="nil"/>
                    <w:tr2bl w:val="nil"/>
                  </w:tcBorders>
                  <w:noWrap w:val="0"/>
                  <w:vAlign w:val="center"/>
                </w:tcPr>
                <w:p w14:paraId="1DC0F146">
                  <w:pPr>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1</w:t>
                  </w:r>
                </w:p>
              </w:tc>
            </w:tr>
          </w:tbl>
          <w:p w14:paraId="212B60C7">
            <w:pPr>
              <w:pStyle w:val="31"/>
              <w:jc w:val="center"/>
              <w:outlineLvl w:val="0"/>
              <w:rPr>
                <w:rFonts w:hint="default" w:ascii="Times New Roman" w:hAnsi="Times New Roman" w:eastAsia="黑体" w:cs="Times New Roman"/>
                <w:snapToGrid w:val="0"/>
                <w:color w:val="000000" w:themeColor="text1"/>
                <w:sz w:val="30"/>
                <w:szCs w:val="30"/>
                <w:vertAlign w:val="baseline"/>
                <w14:textFill>
                  <w14:solidFill>
                    <w14:schemeClr w14:val="tx1"/>
                  </w14:solidFill>
                </w14:textFill>
              </w:rPr>
            </w:pPr>
          </w:p>
        </w:tc>
      </w:tr>
    </w:tbl>
    <w:p w14:paraId="159BBE23">
      <w:pPr>
        <w:pStyle w:val="31"/>
        <w:jc w:val="center"/>
        <w:outlineLvl w:val="0"/>
        <w:rPr>
          <w:rFonts w:hint="default" w:ascii="Times New Roman" w:hAnsi="Times New Roman" w:eastAsia="黑体" w:cs="Times New Roman"/>
          <w:snapToGrid w:val="0"/>
          <w:color w:val="000000" w:themeColor="text1"/>
          <w:sz w:val="30"/>
          <w:szCs w:val="30"/>
          <w14:textFill>
            <w14:solidFill>
              <w14:schemeClr w14:val="tx1"/>
            </w14:solidFill>
          </w14:textFill>
        </w:rPr>
        <w:sectPr>
          <w:pgSz w:w="16838" w:h="11906" w:orient="landscape"/>
          <w:pgMar w:top="1531" w:right="1701" w:bottom="1531" w:left="1701" w:header="851" w:footer="851" w:gutter="0"/>
          <w:pgBorders>
            <w:top w:val="none" w:sz="0" w:space="0"/>
            <w:left w:val="none" w:sz="0" w:space="0"/>
            <w:bottom w:val="none" w:sz="0" w:space="0"/>
            <w:right w:val="none" w:sz="0" w:space="0"/>
          </w:pgBorders>
          <w:cols w:space="720" w:num="1"/>
          <w:docGrid w:linePitch="312" w:charSpace="0"/>
        </w:sectPr>
      </w:pP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5"/>
        <w:gridCol w:w="8215"/>
      </w:tblGrid>
      <w:tr w14:paraId="7302F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60" w:hRule="atLeast"/>
        </w:trPr>
        <w:tc>
          <w:tcPr>
            <w:tcW w:w="930" w:type="dxa"/>
          </w:tcPr>
          <w:p w14:paraId="65A5C1B6">
            <w:pPr>
              <w:pStyle w:val="31"/>
              <w:jc w:val="center"/>
              <w:outlineLvl w:val="0"/>
              <w:rPr>
                <w:rFonts w:hint="default" w:ascii="Times New Roman" w:hAnsi="Times New Roman" w:eastAsia="黑体" w:cs="Times New Roman"/>
                <w:snapToGrid w:val="0"/>
                <w:color w:val="000000" w:themeColor="text1"/>
                <w:sz w:val="30"/>
                <w:szCs w:val="30"/>
                <w:vertAlign w:val="baseline"/>
                <w14:textFill>
                  <w14:solidFill>
                    <w14:schemeClr w14:val="tx1"/>
                  </w14:solidFill>
                </w14:textFill>
              </w:rPr>
            </w:pPr>
          </w:p>
        </w:tc>
        <w:tc>
          <w:tcPr>
            <w:tcW w:w="8130" w:type="dxa"/>
          </w:tcPr>
          <w:p w14:paraId="0C222A39">
            <w:pPr>
              <w:keepNext/>
              <w:keepLines/>
              <w:widowControl/>
              <w:adjustRightInd w:val="0"/>
              <w:snapToGrid w:val="0"/>
              <w:spacing w:line="360" w:lineRule="auto"/>
              <w:jc w:val="left"/>
              <w:outlineLvl w:val="1"/>
              <w:rPr>
                <w:rFonts w:hint="default" w:ascii="Times New Roman" w:hAnsi="Times New Roman" w:eastAsia="黑体" w:cs="Times New Roman"/>
                <w:bCs/>
                <w:color w:val="000000" w:themeColor="text1"/>
                <w:sz w:val="24"/>
                <w:szCs w:val="28"/>
                <w14:textFill>
                  <w14:solidFill>
                    <w14:schemeClr w14:val="tx1"/>
                  </w14:solidFill>
                </w14:textFill>
              </w:rPr>
            </w:pPr>
            <w:r>
              <w:rPr>
                <w:rFonts w:hint="default" w:ascii="Times New Roman" w:hAnsi="Times New Roman" w:eastAsia="黑体" w:cs="Times New Roman"/>
                <w:bCs/>
                <w:color w:val="000000" w:themeColor="text1"/>
                <w:sz w:val="24"/>
                <w:szCs w:val="28"/>
                <w:lang w:eastAsia="zh-CN"/>
                <w14:textFill>
                  <w14:solidFill>
                    <w14:schemeClr w14:val="tx1"/>
                  </w14:solidFill>
                </w14:textFill>
              </w:rPr>
              <w:t>2.</w:t>
            </w:r>
            <w:r>
              <w:rPr>
                <w:rFonts w:hint="default" w:ascii="Times New Roman" w:hAnsi="Times New Roman" w:eastAsia="黑体" w:cs="Times New Roman"/>
                <w:bCs/>
                <w:color w:val="000000" w:themeColor="text1"/>
                <w:sz w:val="24"/>
                <w:szCs w:val="28"/>
                <w14:textFill>
                  <w14:solidFill>
                    <w14:schemeClr w14:val="tx1"/>
                  </w14:solidFill>
                </w14:textFill>
              </w:rPr>
              <w:t>噪声环境影响分析</w:t>
            </w:r>
          </w:p>
          <w:p w14:paraId="786AE026">
            <w:pPr>
              <w:widowControl/>
              <w:adjustRightInd w:val="0"/>
              <w:snapToGrid w:val="0"/>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（1）预测方法</w:t>
            </w:r>
          </w:p>
          <w:p w14:paraId="2475EB27">
            <w:pPr>
              <w:widowControl/>
              <w:spacing w:line="360" w:lineRule="auto"/>
              <w:ind w:firstLine="480" w:firstLineChars="200"/>
              <w:rPr>
                <w:rFonts w:hint="default" w:ascii="Times New Roman" w:hAnsi="Times New Roman" w:cs="Times New Roman"/>
                <w:bCs/>
                <w:color w:val="000000" w:themeColor="text1"/>
                <w:sz w:val="24"/>
                <w14:textFill>
                  <w14:solidFill>
                    <w14:schemeClr w14:val="tx1"/>
                  </w14:solidFill>
                </w14:textFill>
              </w:rPr>
            </w:pPr>
            <w:r>
              <w:rPr>
                <w:rFonts w:hint="default" w:ascii="Times New Roman" w:hAnsi="Times New Roman" w:cs="Times New Roman"/>
                <w:bCs/>
                <w:color w:val="000000" w:themeColor="text1"/>
                <w:sz w:val="24"/>
                <w14:textFill>
                  <w14:solidFill>
                    <w14:schemeClr w14:val="tx1"/>
                  </w14:solidFill>
                </w14:textFill>
              </w:rPr>
              <w:t>1）预测方案</w:t>
            </w:r>
          </w:p>
          <w:p w14:paraId="2ECD688F">
            <w:pPr>
              <w:widowControl/>
              <w:spacing w:line="360" w:lineRule="auto"/>
              <w:ind w:firstLine="480" w:firstLineChars="200"/>
              <w:rPr>
                <w:rFonts w:hint="default" w:ascii="Times New Roman" w:hAnsi="Times New Roman" w:cs="Times New Roman"/>
                <w:bCs/>
                <w:color w:val="000000" w:themeColor="text1"/>
                <w:sz w:val="24"/>
                <w14:textFill>
                  <w14:solidFill>
                    <w14:schemeClr w14:val="tx1"/>
                  </w14:solidFill>
                </w14:textFill>
              </w:rPr>
            </w:pPr>
            <w:r>
              <w:rPr>
                <w:rFonts w:hint="default" w:ascii="Times New Roman" w:hAnsi="Times New Roman" w:cs="Times New Roman"/>
                <w:bCs/>
                <w:color w:val="000000" w:themeColor="text1"/>
                <w:sz w:val="24"/>
                <w14:textFill>
                  <w14:solidFill>
                    <w14:schemeClr w14:val="tx1"/>
                  </w14:solidFill>
                </w14:textFill>
              </w:rPr>
              <w:t>①本次评价对厂界昼间噪声达标性进行预测分析。</w:t>
            </w:r>
          </w:p>
          <w:p w14:paraId="15403962">
            <w:pPr>
              <w:widowControl/>
              <w:spacing w:line="360" w:lineRule="auto"/>
              <w:ind w:firstLine="480" w:firstLineChars="200"/>
              <w:rPr>
                <w:rFonts w:hint="default" w:ascii="Times New Roman" w:hAnsi="Times New Roman" w:cs="Times New Roman"/>
                <w:bCs/>
                <w:color w:val="000000" w:themeColor="text1"/>
                <w:sz w:val="24"/>
                <w14:textFill>
                  <w14:solidFill>
                    <w14:schemeClr w14:val="tx1"/>
                  </w14:solidFill>
                </w14:textFill>
              </w:rPr>
            </w:pPr>
            <w:r>
              <w:rPr>
                <w:rFonts w:hint="default" w:ascii="Times New Roman" w:hAnsi="Times New Roman" w:cs="Times New Roman"/>
                <w:bCs/>
                <w:color w:val="000000" w:themeColor="text1"/>
                <w:sz w:val="24"/>
                <w14:textFill>
                  <w14:solidFill>
                    <w14:schemeClr w14:val="tx1"/>
                  </w14:solidFill>
                </w14:textFill>
              </w:rPr>
              <w:t>②厂界以工程噪声贡献值作为评价量。</w:t>
            </w:r>
          </w:p>
          <w:p w14:paraId="6396460E">
            <w:pPr>
              <w:widowControl/>
              <w:spacing w:line="360" w:lineRule="auto"/>
              <w:ind w:firstLine="480" w:firstLineChars="200"/>
              <w:rPr>
                <w:rFonts w:hint="default" w:ascii="Times New Roman" w:hAnsi="Times New Roman" w:cs="Times New Roman"/>
                <w:bCs/>
                <w:color w:val="000000" w:themeColor="text1"/>
                <w:sz w:val="24"/>
                <w14:textFill>
                  <w14:solidFill>
                    <w14:schemeClr w14:val="tx1"/>
                  </w14:solidFill>
                </w14:textFill>
              </w:rPr>
            </w:pPr>
            <w:r>
              <w:rPr>
                <w:rFonts w:hint="default" w:ascii="Times New Roman" w:hAnsi="Times New Roman" w:cs="Times New Roman"/>
                <w:bCs/>
                <w:color w:val="000000" w:themeColor="text1"/>
                <w:sz w:val="24"/>
                <w14:textFill>
                  <w14:solidFill>
                    <w14:schemeClr w14:val="tx1"/>
                  </w14:solidFill>
                </w14:textFill>
              </w:rPr>
              <w:t>2）预测模式</w:t>
            </w:r>
          </w:p>
          <w:p w14:paraId="5F67E19D">
            <w:pPr>
              <w:widowControl/>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bCs/>
                <w:color w:val="000000" w:themeColor="text1"/>
                <w:sz w:val="24"/>
                <w14:textFill>
                  <w14:solidFill>
                    <w14:schemeClr w14:val="tx1"/>
                  </w14:solidFill>
                </w14:textFill>
              </w:rPr>
              <w:t>按照《环境影响评价技术导则 声环境》（HJ</w:t>
            </w:r>
            <w:r>
              <w:rPr>
                <w:rFonts w:hint="default" w:ascii="Times New Roman" w:hAnsi="Times New Roman" w:cs="Times New Roman"/>
                <w:bCs/>
                <w:color w:val="000000" w:themeColor="text1"/>
                <w:sz w:val="24"/>
                <w:lang w:val="en-US" w:eastAsia="zh-CN"/>
                <w14:textFill>
                  <w14:solidFill>
                    <w14:schemeClr w14:val="tx1"/>
                  </w14:solidFill>
                </w14:textFill>
              </w:rPr>
              <w:t xml:space="preserve"> </w:t>
            </w:r>
            <w:r>
              <w:rPr>
                <w:rFonts w:hint="default" w:ascii="Times New Roman" w:hAnsi="Times New Roman" w:cs="Times New Roman"/>
                <w:bCs/>
                <w:color w:val="000000" w:themeColor="text1"/>
                <w:sz w:val="24"/>
                <w14:textFill>
                  <w14:solidFill>
                    <w14:schemeClr w14:val="tx1"/>
                  </w14:solidFill>
                </w14:textFill>
              </w:rPr>
              <w:t>2.4—2021）中推荐的模式进行预测计算。</w:t>
            </w:r>
          </w:p>
          <w:p w14:paraId="76C6181A">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color w:val="000000" w:themeColor="text1"/>
                <w:sz w:val="24"/>
                <w:lang w:eastAsia="zh-CN"/>
                <w14:textFill>
                  <w14:solidFill>
                    <w14:schemeClr w14:val="tx1"/>
                  </w14:solidFill>
                </w14:textFill>
              </w:rPr>
            </w:pPr>
            <w:r>
              <w:rPr>
                <w:rFonts w:hint="eastAsia" w:ascii="Times New Roman" w:hAnsi="Times New Roman" w:cs="Times New Roman"/>
                <w:color w:val="000000" w:themeColor="text1"/>
                <w:kern w:val="0"/>
                <w:sz w:val="24"/>
                <w:lang w:val="en-US" w:eastAsia="zh-CN"/>
                <w14:textFill>
                  <w14:solidFill>
                    <w14:schemeClr w14:val="tx1"/>
                  </w14:solidFill>
                </w14:textFill>
              </w:rPr>
              <w:t>A.</w:t>
            </w:r>
            <w:r>
              <w:rPr>
                <w:rFonts w:hint="default" w:ascii="Times New Roman" w:hAnsi="Times New Roman" w:cs="Times New Roman"/>
                <w:color w:val="000000" w:themeColor="text1"/>
                <w:kern w:val="0"/>
                <w:sz w:val="24"/>
                <w14:textFill>
                  <w14:solidFill>
                    <w14:schemeClr w14:val="tx1"/>
                  </w14:solidFill>
                </w14:textFill>
              </w:rPr>
              <w:t>室内声源等效室外声源噪声级的计算</w:t>
            </w:r>
            <w:r>
              <w:rPr>
                <w:rFonts w:hint="eastAsia" w:ascii="Times New Roman" w:hAnsi="Times New Roman" w:cs="Times New Roman"/>
                <w:color w:val="000000" w:themeColor="text1"/>
                <w:kern w:val="0"/>
                <w:sz w:val="24"/>
                <w:lang w:eastAsia="zh-CN"/>
                <w14:textFill>
                  <w14:solidFill>
                    <w14:schemeClr w14:val="tx1"/>
                  </w14:solidFill>
                </w14:textFill>
              </w:rPr>
              <w:t>：</w:t>
            </w:r>
          </w:p>
          <w:p w14:paraId="665781C4">
            <w:pPr>
              <w:widowControl/>
              <w:spacing w:line="360" w:lineRule="auto"/>
              <w:jc w:val="center"/>
              <w:rPr>
                <w:rFonts w:hint="default" w:ascii="Times New Roman" w:hAnsi="Times New Roman" w:cs="Times New Roman"/>
                <w:i/>
                <w:iCs/>
                <w:color w:val="000000" w:themeColor="text1"/>
                <w:kern w:val="0"/>
                <w:sz w:val="24"/>
                <w14:textFill>
                  <w14:solidFill>
                    <w14:schemeClr w14:val="tx1"/>
                  </w14:solidFill>
                </w14:textFill>
              </w:rPr>
            </w:pPr>
            <w:r>
              <w:rPr>
                <w:rFonts w:hint="default" w:ascii="Times New Roman" w:hAnsi="Times New Roman" w:cs="Times New Roman"/>
                <w:i/>
                <w:iCs/>
                <w:color w:val="000000" w:themeColor="text1"/>
                <w:kern w:val="0"/>
                <w:sz w:val="24"/>
                <w14:textFill>
                  <w14:solidFill>
                    <w14:schemeClr w14:val="tx1"/>
                  </w14:solidFill>
                </w14:textFill>
              </w:rPr>
              <w:t>L</w:t>
            </w:r>
            <w:r>
              <w:rPr>
                <w:rFonts w:hint="default" w:ascii="Times New Roman" w:hAnsi="Times New Roman" w:cs="Times New Roman"/>
                <w:i/>
                <w:iCs/>
                <w:color w:val="000000" w:themeColor="text1"/>
                <w:kern w:val="0"/>
                <w:sz w:val="24"/>
                <w:vertAlign w:val="subscript"/>
                <w14:textFill>
                  <w14:solidFill>
                    <w14:schemeClr w14:val="tx1"/>
                  </w14:solidFill>
                </w14:textFill>
              </w:rPr>
              <w:t>w</w:t>
            </w:r>
            <w:r>
              <w:rPr>
                <w:rFonts w:hint="default" w:ascii="Times New Roman" w:hAnsi="Times New Roman" w:cs="Times New Roman"/>
                <w:i/>
                <w:iCs/>
                <w:color w:val="000000" w:themeColor="text1"/>
                <w:kern w:val="0"/>
                <w:sz w:val="24"/>
                <w14:textFill>
                  <w14:solidFill>
                    <w14:schemeClr w14:val="tx1"/>
                  </w14:solidFill>
                </w14:textFill>
              </w:rPr>
              <w:t>=L</w:t>
            </w:r>
            <w:r>
              <w:rPr>
                <w:rFonts w:hint="default" w:ascii="Times New Roman" w:hAnsi="Times New Roman" w:cs="Times New Roman"/>
                <w:i/>
                <w:iCs/>
                <w:color w:val="000000" w:themeColor="text1"/>
                <w:kern w:val="0"/>
                <w:sz w:val="24"/>
                <w:vertAlign w:val="subscript"/>
                <w14:textFill>
                  <w14:solidFill>
                    <w14:schemeClr w14:val="tx1"/>
                  </w14:solidFill>
                </w14:textFill>
              </w:rPr>
              <w:t>p2</w:t>
            </w:r>
            <w:r>
              <w:rPr>
                <w:rFonts w:hint="default" w:ascii="Times New Roman" w:hAnsi="Times New Roman" w:cs="Times New Roman"/>
                <w:i/>
                <w:iCs/>
                <w:color w:val="000000" w:themeColor="text1"/>
                <w:kern w:val="0"/>
                <w:sz w:val="24"/>
                <w14:textFill>
                  <w14:solidFill>
                    <w14:schemeClr w14:val="tx1"/>
                  </w14:solidFill>
                </w14:textFill>
              </w:rPr>
              <w:t xml:space="preserve">（T）+10lgS         </w:t>
            </w:r>
          </w:p>
          <w:p w14:paraId="6BE8943C">
            <w:pPr>
              <w:pStyle w:val="28"/>
              <w:keepNext w:val="0"/>
              <w:keepLines w:val="0"/>
              <w:pageBreakBefore w:val="0"/>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i/>
                <w:iCs/>
                <w:color w:val="000000" w:themeColor="text1"/>
                <w:kern w:val="0"/>
                <w:sz w:val="24"/>
                <w:szCs w:val="24"/>
                <w14:textFill>
                  <w14:solidFill>
                    <w14:schemeClr w14:val="tx1"/>
                  </w14:solidFill>
                </w14:textFill>
              </w:rPr>
            </w:pPr>
            <w:r>
              <w:rPr>
                <w:rFonts w:hint="default" w:ascii="Times New Roman" w:hAnsi="Times New Roman" w:cs="Times New Roman"/>
                <w:i/>
                <w:iCs/>
                <w:color w:val="000000" w:themeColor="text1"/>
                <w:kern w:val="0"/>
                <w:sz w:val="24"/>
                <w:szCs w:val="24"/>
                <w14:textFill>
                  <w14:solidFill>
                    <w14:schemeClr w14:val="tx1"/>
                  </w14:solidFill>
                </w14:textFill>
              </w:rPr>
              <w:t>式中：</w:t>
            </w:r>
          </w:p>
          <w:p w14:paraId="71BF1F5B">
            <w:pPr>
              <w:pStyle w:val="28"/>
              <w:keepNext w:val="0"/>
              <w:keepLines w:val="0"/>
              <w:pageBreakBefore w:val="0"/>
              <w:kinsoku/>
              <w:wordWrap/>
              <w:overflowPunct/>
              <w:topLinePunct w:val="0"/>
              <w:autoSpaceDE/>
              <w:autoSpaceDN/>
              <w:bidi w:val="0"/>
              <w:adjustRightInd/>
              <w:snapToGrid/>
              <w:spacing w:line="360" w:lineRule="auto"/>
              <w:ind w:left="0" w:leftChars="0" w:firstLine="720" w:firstLineChars="300"/>
              <w:jc w:val="both"/>
              <w:textAlignment w:val="auto"/>
              <w:rPr>
                <w:rFonts w:hint="default" w:ascii="Times New Roman" w:hAnsi="Times New Roman" w:cs="Times New Roman"/>
                <w:bCs/>
                <w:color w:val="000000" w:themeColor="text1"/>
                <w:sz w:val="24"/>
                <w:szCs w:val="24"/>
                <w14:textFill>
                  <w14:solidFill>
                    <w14:schemeClr w14:val="tx1"/>
                  </w14:solidFill>
                </w14:textFill>
              </w:rPr>
            </w:pPr>
            <w:r>
              <w:rPr>
                <w:rFonts w:hint="default" w:ascii="Times New Roman" w:hAnsi="Times New Roman" w:cs="Times New Roman"/>
                <w:i/>
                <w:iCs/>
                <w:color w:val="000000" w:themeColor="text1"/>
                <w:kern w:val="0"/>
                <w:sz w:val="24"/>
                <w:szCs w:val="24"/>
                <w14:textFill>
                  <w14:solidFill>
                    <w14:schemeClr w14:val="tx1"/>
                  </w14:solidFill>
                </w14:textFill>
              </w:rPr>
              <w:t>L</w:t>
            </w:r>
            <w:r>
              <w:rPr>
                <w:rFonts w:hint="default" w:ascii="Times New Roman" w:hAnsi="Times New Roman" w:cs="Times New Roman"/>
                <w:i/>
                <w:iCs/>
                <w:color w:val="000000" w:themeColor="text1"/>
                <w:kern w:val="0"/>
                <w:sz w:val="24"/>
                <w:szCs w:val="24"/>
                <w:vertAlign w:val="subscript"/>
                <w14:textFill>
                  <w14:solidFill>
                    <w14:schemeClr w14:val="tx1"/>
                  </w14:solidFill>
                </w14:textFill>
              </w:rPr>
              <w:t>w</w:t>
            </w:r>
            <w:r>
              <w:rPr>
                <w:rFonts w:hint="default" w:ascii="Times New Roman" w:hAnsi="Times New Roman" w:cs="Times New Roman"/>
                <w:bCs/>
                <w:color w:val="000000" w:themeColor="text1"/>
                <w:sz w:val="24"/>
                <w:szCs w:val="24"/>
                <w14:textFill>
                  <w14:solidFill>
                    <w14:schemeClr w14:val="tx1"/>
                  </w14:solidFill>
                </w14:textFill>
              </w:rPr>
              <w:t>—中心位置位于透声面积（S）处的等效声源的倍频带声功率级</w:t>
            </w:r>
            <w:r>
              <w:rPr>
                <w:rFonts w:hint="default" w:ascii="Times New Roman" w:hAnsi="Times New Roman" w:cs="Times New Roman"/>
                <w:bCs/>
                <w:color w:val="000000" w:themeColor="text1"/>
                <w:sz w:val="24"/>
                <w:szCs w:val="24"/>
                <w:lang w:eastAsia="zh-CN"/>
                <w14:textFill>
                  <w14:solidFill>
                    <w14:schemeClr w14:val="tx1"/>
                  </w14:solidFill>
                </w14:textFill>
              </w:rPr>
              <w:t>：</w:t>
            </w:r>
            <w:r>
              <w:rPr>
                <w:rFonts w:hint="default" w:ascii="Times New Roman" w:hAnsi="Times New Roman" w:cs="Times New Roman"/>
                <w:bCs/>
                <w:color w:val="000000" w:themeColor="text1"/>
                <w:sz w:val="24"/>
                <w:szCs w:val="24"/>
                <w14:textFill>
                  <w14:solidFill>
                    <w14:schemeClr w14:val="tx1"/>
                  </w14:solidFill>
                </w14:textFill>
              </w:rPr>
              <w:t>dB；</w:t>
            </w:r>
          </w:p>
          <w:p w14:paraId="36157EB9">
            <w:pPr>
              <w:pStyle w:val="28"/>
              <w:keepNext w:val="0"/>
              <w:keepLines w:val="0"/>
              <w:pageBreakBefore w:val="0"/>
              <w:kinsoku/>
              <w:wordWrap/>
              <w:overflowPunct/>
              <w:topLinePunct w:val="0"/>
              <w:autoSpaceDE/>
              <w:autoSpaceDN/>
              <w:bidi w:val="0"/>
              <w:adjustRightInd/>
              <w:snapToGrid/>
              <w:spacing w:line="360" w:lineRule="auto"/>
              <w:ind w:left="899" w:leftChars="314" w:hanging="240" w:hangingChars="100"/>
              <w:jc w:val="both"/>
              <w:textAlignment w:val="auto"/>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i/>
                <w:iCs/>
                <w:color w:val="000000" w:themeColor="text1"/>
                <w:kern w:val="0"/>
                <w:sz w:val="24"/>
                <w:szCs w:val="24"/>
                <w14:textFill>
                  <w14:solidFill>
                    <w14:schemeClr w14:val="tx1"/>
                  </w14:solidFill>
                </w14:textFill>
              </w:rPr>
              <w:t>L</w:t>
            </w:r>
            <w:r>
              <w:rPr>
                <w:rFonts w:hint="default" w:ascii="Times New Roman" w:hAnsi="Times New Roman" w:cs="Times New Roman"/>
                <w:i/>
                <w:iCs/>
                <w:color w:val="000000" w:themeColor="text1"/>
                <w:kern w:val="0"/>
                <w:sz w:val="24"/>
                <w:szCs w:val="24"/>
                <w:vertAlign w:val="subscript"/>
                <w14:textFill>
                  <w14:solidFill>
                    <w14:schemeClr w14:val="tx1"/>
                  </w14:solidFill>
                </w14:textFill>
              </w:rPr>
              <w:t>p2</w:t>
            </w:r>
            <w:r>
              <w:rPr>
                <w:rFonts w:hint="default" w:ascii="Times New Roman" w:hAnsi="Times New Roman" w:cs="Times New Roman"/>
                <w:i/>
                <w:iCs/>
                <w:color w:val="000000" w:themeColor="text1"/>
                <w:kern w:val="0"/>
                <w:sz w:val="24"/>
                <w:szCs w:val="24"/>
                <w14:textFill>
                  <w14:solidFill>
                    <w14:schemeClr w14:val="tx1"/>
                  </w14:solidFill>
                </w14:textFill>
              </w:rPr>
              <w:t>（T）</w:t>
            </w:r>
            <w:r>
              <w:rPr>
                <w:rFonts w:hint="default" w:ascii="Times New Roman" w:hAnsi="Times New Roman" w:cs="Times New Roman"/>
                <w:bCs/>
                <w:color w:val="000000" w:themeColor="text1"/>
                <w:sz w:val="24"/>
                <w:szCs w:val="24"/>
                <w14:textFill>
                  <w14:solidFill>
                    <w14:schemeClr w14:val="tx1"/>
                  </w14:solidFill>
                </w14:textFill>
              </w:rPr>
              <w:t>—</w:t>
            </w:r>
            <w:r>
              <w:rPr>
                <w:rFonts w:hint="default" w:ascii="Times New Roman" w:hAnsi="Times New Roman" w:cs="Times New Roman"/>
                <w:color w:val="000000" w:themeColor="text1"/>
                <w:kern w:val="0"/>
                <w:sz w:val="24"/>
                <w:szCs w:val="24"/>
                <w14:textFill>
                  <w14:solidFill>
                    <w14:schemeClr w14:val="tx1"/>
                  </w14:solidFill>
                </w14:textFill>
              </w:rPr>
              <w:t>靠近围护结构处室外声源的声压级</w:t>
            </w:r>
            <w:r>
              <w:rPr>
                <w:rFonts w:hint="default" w:ascii="Times New Roman" w:hAnsi="Times New Roman" w:cs="Times New Roman"/>
                <w:color w:val="000000" w:themeColor="text1"/>
                <w:kern w:val="0"/>
                <w:sz w:val="24"/>
                <w:szCs w:val="24"/>
                <w:lang w:eastAsia="zh-CN"/>
                <w14:textFill>
                  <w14:solidFill>
                    <w14:schemeClr w14:val="tx1"/>
                  </w14:solidFill>
                </w14:textFill>
              </w:rPr>
              <w:t>：</w:t>
            </w:r>
            <w:r>
              <w:rPr>
                <w:rFonts w:hint="default" w:ascii="Times New Roman" w:hAnsi="Times New Roman" w:cs="Times New Roman"/>
                <w:color w:val="000000" w:themeColor="text1"/>
                <w:kern w:val="0"/>
                <w:sz w:val="24"/>
                <w:szCs w:val="24"/>
                <w14:textFill>
                  <w14:solidFill>
                    <w14:schemeClr w14:val="tx1"/>
                  </w14:solidFill>
                </w14:textFill>
              </w:rPr>
              <w:t>dB；</w:t>
            </w:r>
          </w:p>
          <w:p w14:paraId="6FD65794">
            <w:pPr>
              <w:keepNext w:val="0"/>
              <w:keepLines w:val="0"/>
              <w:pageBreakBefore w:val="0"/>
              <w:widowControl/>
              <w:kinsoku/>
              <w:wordWrap/>
              <w:overflowPunct/>
              <w:topLinePunct w:val="0"/>
              <w:autoSpaceDE/>
              <w:autoSpaceDN/>
              <w:bidi w:val="0"/>
              <w:adjustRightInd/>
              <w:snapToGrid/>
              <w:spacing w:line="360" w:lineRule="auto"/>
              <w:ind w:firstLine="720" w:firstLineChars="300"/>
              <w:jc w:val="both"/>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kern w:val="0"/>
                <w:sz w:val="24"/>
                <w:szCs w:val="24"/>
                <w14:textFill>
                  <w14:solidFill>
                    <w14:schemeClr w14:val="tx1"/>
                  </w14:solidFill>
                </w14:textFill>
              </w:rPr>
              <w:t>S-透声面积</w:t>
            </w:r>
            <w:r>
              <w:rPr>
                <w:rFonts w:hint="default" w:ascii="Times New Roman" w:hAnsi="Times New Roman" w:cs="Times New Roman"/>
                <w:color w:val="000000" w:themeColor="text1"/>
                <w:kern w:val="0"/>
                <w:sz w:val="24"/>
                <w:szCs w:val="24"/>
                <w:lang w:eastAsia="zh-CN"/>
                <w14:textFill>
                  <w14:solidFill>
                    <w14:schemeClr w14:val="tx1"/>
                  </w14:solidFill>
                </w14:textFill>
              </w:rPr>
              <w:t>：</w:t>
            </w:r>
            <w:r>
              <w:rPr>
                <w:rFonts w:hint="default" w:ascii="Times New Roman" w:hAnsi="Times New Roman" w:cs="Times New Roman"/>
                <w:color w:val="000000" w:themeColor="text1"/>
                <w:kern w:val="0"/>
                <w:sz w:val="24"/>
                <w:szCs w:val="24"/>
                <w14:textFill>
                  <w14:solidFill>
                    <w14:schemeClr w14:val="tx1"/>
                  </w14:solidFill>
                </w14:textFill>
              </w:rPr>
              <w:t>m</w:t>
            </w:r>
            <w:r>
              <w:rPr>
                <w:rFonts w:hint="default" w:ascii="Times New Roman" w:hAnsi="Times New Roman" w:cs="Times New Roman"/>
                <w:color w:val="000000" w:themeColor="text1"/>
                <w:kern w:val="0"/>
                <w:sz w:val="24"/>
                <w:szCs w:val="24"/>
                <w:vertAlign w:val="superscript"/>
                <w14:textFill>
                  <w14:solidFill>
                    <w14:schemeClr w14:val="tx1"/>
                  </w14:solidFill>
                </w14:textFill>
              </w:rPr>
              <w:t>2</w:t>
            </w:r>
            <w:r>
              <w:rPr>
                <w:rFonts w:hint="default" w:ascii="Times New Roman" w:hAnsi="Times New Roman" w:cs="Times New Roman"/>
                <w:color w:val="000000" w:themeColor="text1"/>
                <w:kern w:val="0"/>
                <w:sz w:val="24"/>
                <w:szCs w:val="24"/>
                <w14:textFill>
                  <w14:solidFill>
                    <w14:schemeClr w14:val="tx1"/>
                  </w14:solidFill>
                </w14:textFill>
              </w:rPr>
              <w:t>。</w:t>
            </w:r>
          </w:p>
          <w:p w14:paraId="35AFD20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B</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室外点声源在预测点产生的噪声级</w:t>
            </w:r>
          </w:p>
          <w:p w14:paraId="3AB3C61B">
            <w:pPr>
              <w:widowControl/>
              <w:spacing w:line="360" w:lineRule="auto"/>
              <w:ind w:firstLine="960" w:firstLineChars="400"/>
              <w:rPr>
                <w:rFonts w:hint="default" w:ascii="Times New Roman" w:hAnsi="Times New Roman" w:cs="Times New Roman"/>
                <w:color w:val="000000" w:themeColor="text1"/>
                <w:kern w:val="0"/>
                <w:sz w:val="24"/>
                <w14:textFill>
                  <w14:solidFill>
                    <w14:schemeClr w14:val="tx1"/>
                  </w14:solidFill>
                </w14:textFill>
              </w:rPr>
            </w:pPr>
            <w:r>
              <w:rPr>
                <w:rFonts w:hint="default" w:ascii="Times New Roman" w:hAnsi="Times New Roman" w:cs="Times New Roman"/>
                <w:color w:val="000000" w:themeColor="text1"/>
                <w:kern w:val="0"/>
                <w:sz w:val="24"/>
                <w14:textFill>
                  <w14:solidFill>
                    <w14:schemeClr w14:val="tx1"/>
                  </w14:solidFill>
                </w14:textFill>
              </w:rPr>
              <w:drawing>
                <wp:inline distT="0" distB="0" distL="114300" distR="114300">
                  <wp:extent cx="4028440" cy="270510"/>
                  <wp:effectExtent l="0" t="0" r="10160" b="15240"/>
                  <wp:docPr id="6" name="图片 33" descr="微信图片_20220809162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3" descr="微信图片_20220809162056"/>
                          <pic:cNvPicPr>
                            <a:picLocks noChangeAspect="1"/>
                          </pic:cNvPicPr>
                        </pic:nvPicPr>
                        <pic:blipFill>
                          <a:blip r:embed="rId18"/>
                          <a:stretch>
                            <a:fillRect/>
                          </a:stretch>
                        </pic:blipFill>
                        <pic:spPr>
                          <a:xfrm>
                            <a:off x="0" y="0"/>
                            <a:ext cx="4028440" cy="270510"/>
                          </a:xfrm>
                          <a:prstGeom prst="rect">
                            <a:avLst/>
                          </a:prstGeom>
                          <a:noFill/>
                          <a:ln>
                            <a:noFill/>
                          </a:ln>
                        </pic:spPr>
                      </pic:pic>
                    </a:graphicData>
                  </a:graphic>
                </wp:inline>
              </w:drawing>
            </w:r>
          </w:p>
          <w:p w14:paraId="3EBA3D3D">
            <w:pPr>
              <w:widowControl/>
              <w:spacing w:line="360" w:lineRule="auto"/>
              <w:ind w:firstLine="960" w:firstLineChars="400"/>
              <w:rPr>
                <w:rFonts w:hint="default" w:ascii="Times New Roman" w:hAnsi="Times New Roman" w:cs="Times New Roman"/>
                <w:color w:val="000000" w:themeColor="text1"/>
                <w:kern w:val="0"/>
                <w:sz w:val="24"/>
                <w14:textFill>
                  <w14:solidFill>
                    <w14:schemeClr w14:val="tx1"/>
                  </w14:solidFill>
                </w14:textFill>
              </w:rPr>
            </w:pPr>
            <w:r>
              <w:rPr>
                <w:rFonts w:hint="default" w:ascii="Times New Roman" w:hAnsi="Times New Roman" w:cs="Times New Roman"/>
                <w:color w:val="000000" w:themeColor="text1"/>
                <w:kern w:val="0"/>
                <w:sz w:val="24"/>
                <w14:textFill>
                  <w14:solidFill>
                    <w14:schemeClr w14:val="tx1"/>
                  </w14:solidFill>
                </w14:textFill>
              </w:rPr>
              <w:t>式中：</w:t>
            </w:r>
          </w:p>
          <w:p w14:paraId="7B7271C6">
            <w:pPr>
              <w:widowControl/>
              <w:spacing w:line="360" w:lineRule="auto"/>
              <w:ind w:firstLine="960" w:firstLineChars="400"/>
              <w:rPr>
                <w:rFonts w:hint="default" w:ascii="Times New Roman" w:hAnsi="Times New Roman" w:cs="Times New Roman"/>
                <w:color w:val="000000" w:themeColor="text1"/>
                <w:kern w:val="0"/>
                <w:sz w:val="24"/>
                <w14:textFill>
                  <w14:solidFill>
                    <w14:schemeClr w14:val="tx1"/>
                  </w14:solidFill>
                </w14:textFill>
              </w:rPr>
            </w:pPr>
            <w:r>
              <w:rPr>
                <w:rFonts w:hint="default" w:ascii="Times New Roman" w:hAnsi="Times New Roman" w:cs="Times New Roman"/>
                <w:color w:val="000000" w:themeColor="text1"/>
                <w:kern w:val="0"/>
                <w:sz w:val="24"/>
                <w14:textFill>
                  <w14:solidFill>
                    <w14:schemeClr w14:val="tx1"/>
                  </w14:solidFill>
                </w14:textFill>
              </w:rPr>
              <w:t>L</w:t>
            </w:r>
            <w:r>
              <w:rPr>
                <w:rFonts w:hint="default" w:ascii="Times New Roman" w:hAnsi="Times New Roman" w:cs="Times New Roman"/>
                <w:color w:val="000000" w:themeColor="text1"/>
                <w:kern w:val="0"/>
                <w:sz w:val="24"/>
                <w:vertAlign w:val="subscript"/>
                <w14:textFill>
                  <w14:solidFill>
                    <w14:schemeClr w14:val="tx1"/>
                  </w14:solidFill>
                </w14:textFill>
              </w:rPr>
              <w:t>p</w:t>
            </w:r>
            <w:r>
              <w:rPr>
                <w:rFonts w:hint="default" w:ascii="Times New Roman" w:hAnsi="Times New Roman" w:cs="Times New Roman"/>
                <w:color w:val="000000" w:themeColor="text1"/>
                <w:kern w:val="0"/>
                <w:sz w:val="24"/>
                <w14:textFill>
                  <w14:solidFill>
                    <w14:schemeClr w14:val="tx1"/>
                  </w14:solidFill>
                </w14:textFill>
              </w:rPr>
              <w:t>（r）—预测点处声压级</w:t>
            </w:r>
            <w:r>
              <w:rPr>
                <w:rFonts w:hint="default" w:ascii="Times New Roman" w:hAnsi="Times New Roman" w:cs="Times New Roman"/>
                <w:color w:val="000000" w:themeColor="text1"/>
                <w:kern w:val="0"/>
                <w:sz w:val="24"/>
                <w:lang w:eastAsia="zh-CN"/>
                <w14:textFill>
                  <w14:solidFill>
                    <w14:schemeClr w14:val="tx1"/>
                  </w14:solidFill>
                </w14:textFill>
              </w:rPr>
              <w:t>：</w:t>
            </w:r>
            <w:r>
              <w:rPr>
                <w:rFonts w:hint="default" w:ascii="Times New Roman" w:hAnsi="Times New Roman" w:cs="Times New Roman"/>
                <w:color w:val="000000" w:themeColor="text1"/>
                <w:kern w:val="0"/>
                <w:sz w:val="24"/>
                <w14:textFill>
                  <w14:solidFill>
                    <w14:schemeClr w14:val="tx1"/>
                  </w14:solidFill>
                </w14:textFill>
              </w:rPr>
              <w:t>dB；</w:t>
            </w:r>
          </w:p>
          <w:p w14:paraId="23578793">
            <w:pPr>
              <w:widowControl/>
              <w:spacing w:line="360" w:lineRule="auto"/>
              <w:ind w:firstLine="960" w:firstLineChars="400"/>
              <w:rPr>
                <w:rFonts w:hint="default" w:ascii="Times New Roman" w:hAnsi="Times New Roman" w:cs="Times New Roman"/>
                <w:color w:val="000000" w:themeColor="text1"/>
                <w:kern w:val="0"/>
                <w:sz w:val="24"/>
                <w14:textFill>
                  <w14:solidFill>
                    <w14:schemeClr w14:val="tx1"/>
                  </w14:solidFill>
                </w14:textFill>
              </w:rPr>
            </w:pPr>
            <w:r>
              <w:rPr>
                <w:rFonts w:hint="default" w:ascii="Times New Roman" w:hAnsi="Times New Roman" w:cs="Times New Roman"/>
                <w:color w:val="000000" w:themeColor="text1"/>
                <w:kern w:val="0"/>
                <w:sz w:val="24"/>
                <w14:textFill>
                  <w14:solidFill>
                    <w14:schemeClr w14:val="tx1"/>
                  </w14:solidFill>
                </w14:textFill>
              </w:rPr>
              <w:t>L</w:t>
            </w:r>
            <w:r>
              <w:rPr>
                <w:rFonts w:hint="default" w:ascii="Times New Roman" w:hAnsi="Times New Roman" w:cs="Times New Roman"/>
                <w:color w:val="000000" w:themeColor="text1"/>
                <w:kern w:val="0"/>
                <w:sz w:val="24"/>
                <w:vertAlign w:val="subscript"/>
                <w14:textFill>
                  <w14:solidFill>
                    <w14:schemeClr w14:val="tx1"/>
                  </w14:solidFill>
                </w14:textFill>
              </w:rPr>
              <w:t>w</w:t>
            </w:r>
            <w:r>
              <w:rPr>
                <w:rFonts w:hint="default" w:ascii="Times New Roman" w:hAnsi="Times New Roman" w:cs="Times New Roman"/>
                <w:color w:val="000000" w:themeColor="text1"/>
                <w:kern w:val="0"/>
                <w:sz w:val="24"/>
                <w14:textFill>
                  <w14:solidFill>
                    <w14:schemeClr w14:val="tx1"/>
                  </w14:solidFill>
                </w14:textFill>
              </w:rPr>
              <w:t>—由点声源产生的声功率级（A计权或倍频带）</w:t>
            </w:r>
            <w:r>
              <w:rPr>
                <w:rFonts w:hint="default" w:ascii="Times New Roman" w:hAnsi="Times New Roman" w:cs="Times New Roman"/>
                <w:color w:val="000000" w:themeColor="text1"/>
                <w:kern w:val="0"/>
                <w:sz w:val="24"/>
                <w:lang w:eastAsia="zh-CN"/>
                <w14:textFill>
                  <w14:solidFill>
                    <w14:schemeClr w14:val="tx1"/>
                  </w14:solidFill>
                </w14:textFill>
              </w:rPr>
              <w:t>：</w:t>
            </w:r>
            <w:r>
              <w:rPr>
                <w:rFonts w:hint="default" w:ascii="Times New Roman" w:hAnsi="Times New Roman" w:cs="Times New Roman"/>
                <w:color w:val="000000" w:themeColor="text1"/>
                <w:kern w:val="0"/>
                <w:sz w:val="24"/>
                <w14:textFill>
                  <w14:solidFill>
                    <w14:schemeClr w14:val="tx1"/>
                  </w14:solidFill>
                </w14:textFill>
              </w:rPr>
              <w:t>dB；</w:t>
            </w:r>
          </w:p>
          <w:p w14:paraId="18C3F5D1">
            <w:pPr>
              <w:pStyle w:val="28"/>
              <w:spacing w:before="0" w:beforeAutospacing="0" w:after="0" w:afterAutospacing="0"/>
              <w:ind w:left="1678" w:leftChars="456" w:hanging="720" w:hangingChars="300"/>
              <w:rPr>
                <w:rFonts w:hint="default" w:ascii="Times New Roman" w:hAnsi="Times New Roman" w:cs="Times New Roman"/>
                <w:color w:val="000000" w:themeColor="text1"/>
                <w:kern w:val="0"/>
                <w14:textFill>
                  <w14:solidFill>
                    <w14:schemeClr w14:val="tx1"/>
                  </w14:solidFill>
                </w14:textFill>
              </w:rPr>
            </w:pPr>
            <w:r>
              <w:rPr>
                <w:rFonts w:hint="default" w:ascii="Times New Roman" w:hAnsi="Times New Roman" w:cs="Times New Roman"/>
                <w:color w:val="000000" w:themeColor="text1"/>
                <w:kern w:val="0"/>
                <w14:textFill>
                  <w14:solidFill>
                    <w14:schemeClr w14:val="tx1"/>
                  </w14:solidFill>
                </w14:textFill>
              </w:rPr>
              <w:t>Dc—指向性校正，它描述点声源的等效连续声压级与产生声功率级L</w:t>
            </w:r>
            <w:r>
              <w:rPr>
                <w:rFonts w:hint="default" w:ascii="Times New Roman" w:hAnsi="Times New Roman" w:cs="Times New Roman"/>
                <w:color w:val="000000" w:themeColor="text1"/>
                <w:kern w:val="0"/>
                <w:vertAlign w:val="subscript"/>
                <w14:textFill>
                  <w14:solidFill>
                    <w14:schemeClr w14:val="tx1"/>
                  </w14:solidFill>
                </w14:textFill>
              </w:rPr>
              <w:t>w</w:t>
            </w:r>
            <w:r>
              <w:rPr>
                <w:rFonts w:hint="default" w:ascii="Times New Roman" w:hAnsi="Times New Roman" w:cs="Times New Roman"/>
                <w:color w:val="000000" w:themeColor="text1"/>
                <w:kern w:val="0"/>
                <w14:textFill>
                  <w14:solidFill>
                    <w14:schemeClr w14:val="tx1"/>
                  </w14:solidFill>
                </w14:textFill>
              </w:rPr>
              <w:t>的全向点声源在规定方向的声级的偏差程度</w:t>
            </w:r>
            <w:r>
              <w:rPr>
                <w:rFonts w:hint="default" w:ascii="Times New Roman" w:hAnsi="Times New Roman" w:cs="Times New Roman"/>
                <w:color w:val="000000" w:themeColor="text1"/>
                <w:kern w:val="0"/>
                <w:lang w:eastAsia="zh-CN"/>
                <w14:textFill>
                  <w14:solidFill>
                    <w14:schemeClr w14:val="tx1"/>
                  </w14:solidFill>
                </w14:textFill>
              </w:rPr>
              <w:t>：</w:t>
            </w:r>
            <w:r>
              <w:rPr>
                <w:rFonts w:hint="default" w:ascii="Times New Roman" w:hAnsi="Times New Roman" w:cs="Times New Roman"/>
                <w:color w:val="000000" w:themeColor="text1"/>
                <w:kern w:val="0"/>
                <w14:textFill>
                  <w14:solidFill>
                    <w14:schemeClr w14:val="tx1"/>
                  </w14:solidFill>
                </w14:textFill>
              </w:rPr>
              <w:t>dB；</w:t>
            </w:r>
          </w:p>
          <w:p w14:paraId="0D8AAEB9">
            <w:pPr>
              <w:widowControl/>
              <w:spacing w:line="360" w:lineRule="auto"/>
              <w:ind w:firstLine="960" w:firstLineChars="400"/>
              <w:rPr>
                <w:rFonts w:hint="default" w:ascii="Times New Roman" w:hAnsi="Times New Roman" w:cs="Times New Roman"/>
                <w:color w:val="000000" w:themeColor="text1"/>
                <w:kern w:val="0"/>
                <w:sz w:val="24"/>
                <w14:textFill>
                  <w14:solidFill>
                    <w14:schemeClr w14:val="tx1"/>
                  </w14:solidFill>
                </w14:textFill>
              </w:rPr>
            </w:pPr>
            <w:r>
              <w:rPr>
                <w:rFonts w:hint="default" w:ascii="Times New Roman" w:hAnsi="Times New Roman" w:cs="Times New Roman"/>
                <w:color w:val="000000" w:themeColor="text1"/>
                <w:kern w:val="0"/>
                <w:sz w:val="24"/>
                <w14:textFill>
                  <w14:solidFill>
                    <w14:schemeClr w14:val="tx1"/>
                  </w14:solidFill>
                </w14:textFill>
              </w:rPr>
              <w:t>A</w:t>
            </w:r>
            <w:r>
              <w:rPr>
                <w:rFonts w:hint="default" w:ascii="Times New Roman" w:hAnsi="Times New Roman" w:cs="Times New Roman"/>
                <w:color w:val="000000" w:themeColor="text1"/>
                <w:kern w:val="0"/>
                <w:sz w:val="24"/>
                <w:vertAlign w:val="subscript"/>
                <w14:textFill>
                  <w14:solidFill>
                    <w14:schemeClr w14:val="tx1"/>
                  </w14:solidFill>
                </w14:textFill>
              </w:rPr>
              <w:t>div</w:t>
            </w:r>
            <w:r>
              <w:rPr>
                <w:rFonts w:hint="default" w:ascii="Times New Roman" w:hAnsi="Times New Roman" w:cs="Times New Roman"/>
                <w:color w:val="000000" w:themeColor="text1"/>
                <w:kern w:val="0"/>
                <w:sz w:val="24"/>
                <w14:textFill>
                  <w14:solidFill>
                    <w14:schemeClr w14:val="tx1"/>
                  </w14:solidFill>
                </w14:textFill>
              </w:rPr>
              <w:t>—几何发散引起的衰减</w:t>
            </w:r>
            <w:r>
              <w:rPr>
                <w:rFonts w:hint="default" w:ascii="Times New Roman" w:hAnsi="Times New Roman" w:cs="Times New Roman"/>
                <w:color w:val="000000" w:themeColor="text1"/>
                <w:kern w:val="0"/>
                <w:sz w:val="24"/>
                <w:lang w:eastAsia="zh-CN"/>
                <w14:textFill>
                  <w14:solidFill>
                    <w14:schemeClr w14:val="tx1"/>
                  </w14:solidFill>
                </w14:textFill>
              </w:rPr>
              <w:t>：</w:t>
            </w:r>
            <w:r>
              <w:rPr>
                <w:rFonts w:hint="default" w:ascii="Times New Roman" w:hAnsi="Times New Roman" w:cs="Times New Roman"/>
                <w:color w:val="000000" w:themeColor="text1"/>
                <w:kern w:val="0"/>
                <w:sz w:val="24"/>
                <w14:textFill>
                  <w14:solidFill>
                    <w14:schemeClr w14:val="tx1"/>
                  </w14:solidFill>
                </w14:textFill>
              </w:rPr>
              <w:t>dB；</w:t>
            </w:r>
          </w:p>
          <w:p w14:paraId="699F02C2">
            <w:pPr>
              <w:widowControl/>
              <w:spacing w:line="360" w:lineRule="auto"/>
              <w:ind w:firstLine="960" w:firstLineChars="400"/>
              <w:rPr>
                <w:rFonts w:hint="default" w:ascii="Times New Roman" w:hAnsi="Times New Roman" w:cs="Times New Roman"/>
                <w:color w:val="000000" w:themeColor="text1"/>
                <w:kern w:val="0"/>
                <w:sz w:val="24"/>
                <w14:textFill>
                  <w14:solidFill>
                    <w14:schemeClr w14:val="tx1"/>
                  </w14:solidFill>
                </w14:textFill>
              </w:rPr>
            </w:pPr>
            <w:r>
              <w:rPr>
                <w:rFonts w:hint="default" w:ascii="Times New Roman" w:hAnsi="Times New Roman" w:cs="Times New Roman"/>
                <w:color w:val="000000" w:themeColor="text1"/>
                <w:kern w:val="0"/>
                <w:sz w:val="24"/>
                <w14:textFill>
                  <w14:solidFill>
                    <w14:schemeClr w14:val="tx1"/>
                  </w14:solidFill>
                </w14:textFill>
              </w:rPr>
              <w:t>A</w:t>
            </w:r>
            <w:r>
              <w:rPr>
                <w:rFonts w:hint="default" w:ascii="Times New Roman" w:hAnsi="Times New Roman" w:cs="Times New Roman"/>
                <w:color w:val="000000" w:themeColor="text1"/>
                <w:kern w:val="0"/>
                <w:sz w:val="24"/>
                <w:vertAlign w:val="subscript"/>
                <w14:textFill>
                  <w14:solidFill>
                    <w14:schemeClr w14:val="tx1"/>
                  </w14:solidFill>
                </w14:textFill>
              </w:rPr>
              <w:t>atm</w:t>
            </w:r>
            <w:r>
              <w:rPr>
                <w:rFonts w:hint="default" w:ascii="Times New Roman" w:hAnsi="Times New Roman" w:cs="Times New Roman"/>
                <w:color w:val="000000" w:themeColor="text1"/>
                <w:kern w:val="0"/>
                <w:sz w:val="24"/>
                <w14:textFill>
                  <w14:solidFill>
                    <w14:schemeClr w14:val="tx1"/>
                  </w14:solidFill>
                </w14:textFill>
              </w:rPr>
              <w:t>—大气吸收引起的衰减</w:t>
            </w:r>
            <w:r>
              <w:rPr>
                <w:rFonts w:hint="default" w:ascii="Times New Roman" w:hAnsi="Times New Roman" w:cs="Times New Roman"/>
                <w:color w:val="000000" w:themeColor="text1"/>
                <w:kern w:val="0"/>
                <w:sz w:val="24"/>
                <w:lang w:eastAsia="zh-CN"/>
                <w14:textFill>
                  <w14:solidFill>
                    <w14:schemeClr w14:val="tx1"/>
                  </w14:solidFill>
                </w14:textFill>
              </w:rPr>
              <w:t>：</w:t>
            </w:r>
            <w:r>
              <w:rPr>
                <w:rFonts w:hint="default" w:ascii="Times New Roman" w:hAnsi="Times New Roman" w:cs="Times New Roman"/>
                <w:color w:val="000000" w:themeColor="text1"/>
                <w:kern w:val="0"/>
                <w:sz w:val="24"/>
                <w14:textFill>
                  <w14:solidFill>
                    <w14:schemeClr w14:val="tx1"/>
                  </w14:solidFill>
                </w14:textFill>
              </w:rPr>
              <w:t>dB；</w:t>
            </w:r>
          </w:p>
          <w:p w14:paraId="0F311CB7">
            <w:pPr>
              <w:widowControl/>
              <w:spacing w:line="360" w:lineRule="auto"/>
              <w:ind w:firstLine="960" w:firstLineChars="400"/>
              <w:rPr>
                <w:rFonts w:hint="default" w:ascii="Times New Roman" w:hAnsi="Times New Roman" w:cs="Times New Roman"/>
                <w:color w:val="000000" w:themeColor="text1"/>
                <w:kern w:val="0"/>
                <w:sz w:val="24"/>
                <w14:textFill>
                  <w14:solidFill>
                    <w14:schemeClr w14:val="tx1"/>
                  </w14:solidFill>
                </w14:textFill>
              </w:rPr>
            </w:pPr>
            <w:r>
              <w:rPr>
                <w:rFonts w:hint="default" w:ascii="Times New Roman" w:hAnsi="Times New Roman" w:cs="Times New Roman"/>
                <w:color w:val="000000" w:themeColor="text1"/>
                <w:kern w:val="0"/>
                <w:sz w:val="24"/>
                <w14:textFill>
                  <w14:solidFill>
                    <w14:schemeClr w14:val="tx1"/>
                  </w14:solidFill>
                </w14:textFill>
              </w:rPr>
              <w:t>A</w:t>
            </w:r>
            <w:r>
              <w:rPr>
                <w:rFonts w:hint="default" w:ascii="Times New Roman" w:hAnsi="Times New Roman" w:cs="Times New Roman"/>
                <w:color w:val="000000" w:themeColor="text1"/>
                <w:kern w:val="0"/>
                <w:sz w:val="24"/>
                <w:vertAlign w:val="subscript"/>
                <w14:textFill>
                  <w14:solidFill>
                    <w14:schemeClr w14:val="tx1"/>
                  </w14:solidFill>
                </w14:textFill>
              </w:rPr>
              <w:t>gr</w:t>
            </w:r>
            <w:r>
              <w:rPr>
                <w:rFonts w:hint="default" w:ascii="Times New Roman" w:hAnsi="Times New Roman" w:cs="Times New Roman"/>
                <w:color w:val="000000" w:themeColor="text1"/>
                <w:kern w:val="0"/>
                <w:sz w:val="24"/>
                <w14:textFill>
                  <w14:solidFill>
                    <w14:schemeClr w14:val="tx1"/>
                  </w14:solidFill>
                </w14:textFill>
              </w:rPr>
              <w:t>—地面效应引起的衰减</w:t>
            </w:r>
            <w:r>
              <w:rPr>
                <w:rFonts w:hint="default" w:ascii="Times New Roman" w:hAnsi="Times New Roman" w:cs="Times New Roman"/>
                <w:color w:val="000000" w:themeColor="text1"/>
                <w:kern w:val="0"/>
                <w:sz w:val="24"/>
                <w:lang w:eastAsia="zh-CN"/>
                <w14:textFill>
                  <w14:solidFill>
                    <w14:schemeClr w14:val="tx1"/>
                  </w14:solidFill>
                </w14:textFill>
              </w:rPr>
              <w:t>：</w:t>
            </w:r>
            <w:r>
              <w:rPr>
                <w:rFonts w:hint="default" w:ascii="Times New Roman" w:hAnsi="Times New Roman" w:cs="Times New Roman"/>
                <w:color w:val="000000" w:themeColor="text1"/>
                <w:kern w:val="0"/>
                <w:sz w:val="24"/>
                <w14:textFill>
                  <w14:solidFill>
                    <w14:schemeClr w14:val="tx1"/>
                  </w14:solidFill>
                </w14:textFill>
              </w:rPr>
              <w:t>dB；</w:t>
            </w:r>
          </w:p>
          <w:p w14:paraId="655C2E64">
            <w:pPr>
              <w:widowControl/>
              <w:spacing w:line="360" w:lineRule="auto"/>
              <w:ind w:firstLine="960" w:firstLineChars="400"/>
              <w:rPr>
                <w:rFonts w:hint="default" w:ascii="Times New Roman" w:hAnsi="Times New Roman" w:cs="Times New Roman"/>
                <w:color w:val="000000" w:themeColor="text1"/>
                <w:kern w:val="0"/>
                <w:sz w:val="24"/>
                <w14:textFill>
                  <w14:solidFill>
                    <w14:schemeClr w14:val="tx1"/>
                  </w14:solidFill>
                </w14:textFill>
              </w:rPr>
            </w:pPr>
            <w:r>
              <w:rPr>
                <w:rFonts w:hint="default" w:ascii="Times New Roman" w:hAnsi="Times New Roman" w:cs="Times New Roman"/>
                <w:color w:val="000000" w:themeColor="text1"/>
                <w:kern w:val="0"/>
                <w:sz w:val="24"/>
                <w14:textFill>
                  <w14:solidFill>
                    <w14:schemeClr w14:val="tx1"/>
                  </w14:solidFill>
                </w14:textFill>
              </w:rPr>
              <w:t>A</w:t>
            </w:r>
            <w:r>
              <w:rPr>
                <w:rFonts w:hint="default" w:ascii="Times New Roman" w:hAnsi="Times New Roman" w:cs="Times New Roman"/>
                <w:color w:val="000000" w:themeColor="text1"/>
                <w:kern w:val="0"/>
                <w:sz w:val="24"/>
                <w:vertAlign w:val="subscript"/>
                <w14:textFill>
                  <w14:solidFill>
                    <w14:schemeClr w14:val="tx1"/>
                  </w14:solidFill>
                </w14:textFill>
              </w:rPr>
              <w:t>bar</w:t>
            </w:r>
            <w:r>
              <w:rPr>
                <w:rFonts w:hint="default" w:ascii="Times New Roman" w:hAnsi="Times New Roman" w:cs="Times New Roman"/>
                <w:color w:val="000000" w:themeColor="text1"/>
                <w:kern w:val="0"/>
                <w:sz w:val="24"/>
                <w14:textFill>
                  <w14:solidFill>
                    <w14:schemeClr w14:val="tx1"/>
                  </w14:solidFill>
                </w14:textFill>
              </w:rPr>
              <w:t>—障碍物屏蔽引起的衰减</w:t>
            </w:r>
            <w:r>
              <w:rPr>
                <w:rFonts w:hint="default" w:ascii="Times New Roman" w:hAnsi="Times New Roman" w:cs="Times New Roman"/>
                <w:color w:val="000000" w:themeColor="text1"/>
                <w:kern w:val="0"/>
                <w:sz w:val="24"/>
                <w:lang w:eastAsia="zh-CN"/>
                <w14:textFill>
                  <w14:solidFill>
                    <w14:schemeClr w14:val="tx1"/>
                  </w14:solidFill>
                </w14:textFill>
              </w:rPr>
              <w:t>：</w:t>
            </w:r>
            <w:r>
              <w:rPr>
                <w:rFonts w:hint="default" w:ascii="Times New Roman" w:hAnsi="Times New Roman" w:cs="Times New Roman"/>
                <w:color w:val="000000" w:themeColor="text1"/>
                <w:kern w:val="0"/>
                <w:sz w:val="24"/>
                <w14:textFill>
                  <w14:solidFill>
                    <w14:schemeClr w14:val="tx1"/>
                  </w14:solidFill>
                </w14:textFill>
              </w:rPr>
              <w:t>dB；</w:t>
            </w:r>
          </w:p>
          <w:p w14:paraId="47570901">
            <w:pPr>
              <w:widowControl/>
              <w:spacing w:line="360" w:lineRule="auto"/>
              <w:ind w:firstLine="960" w:firstLineChars="400"/>
              <w:rPr>
                <w:rFonts w:hint="default" w:ascii="Times New Roman" w:hAnsi="Times New Roman" w:cs="Times New Roman"/>
                <w:color w:val="000000" w:themeColor="text1"/>
                <w:kern w:val="0"/>
                <w:sz w:val="24"/>
                <w14:textFill>
                  <w14:solidFill>
                    <w14:schemeClr w14:val="tx1"/>
                  </w14:solidFill>
                </w14:textFill>
              </w:rPr>
            </w:pPr>
            <w:r>
              <w:rPr>
                <w:rFonts w:hint="default" w:ascii="Times New Roman" w:hAnsi="Times New Roman" w:cs="Times New Roman"/>
                <w:color w:val="000000" w:themeColor="text1"/>
                <w:kern w:val="0"/>
                <w:sz w:val="24"/>
                <w14:textFill>
                  <w14:solidFill>
                    <w14:schemeClr w14:val="tx1"/>
                  </w14:solidFill>
                </w14:textFill>
              </w:rPr>
              <w:t>A</w:t>
            </w:r>
            <w:r>
              <w:rPr>
                <w:rFonts w:hint="default" w:ascii="Times New Roman" w:hAnsi="Times New Roman" w:cs="Times New Roman"/>
                <w:color w:val="000000" w:themeColor="text1"/>
                <w:kern w:val="0"/>
                <w:sz w:val="24"/>
                <w:vertAlign w:val="subscript"/>
                <w14:textFill>
                  <w14:solidFill>
                    <w14:schemeClr w14:val="tx1"/>
                  </w14:solidFill>
                </w14:textFill>
              </w:rPr>
              <w:t>misc</w:t>
            </w:r>
            <w:r>
              <w:rPr>
                <w:rFonts w:hint="default" w:ascii="Times New Roman" w:hAnsi="Times New Roman" w:cs="Times New Roman"/>
                <w:color w:val="000000" w:themeColor="text1"/>
                <w:kern w:val="0"/>
                <w:sz w:val="24"/>
                <w14:textFill>
                  <w14:solidFill>
                    <w14:schemeClr w14:val="tx1"/>
                  </w14:solidFill>
                </w14:textFill>
              </w:rPr>
              <w:t>—其他多方面效应引起的衰减</w:t>
            </w:r>
            <w:r>
              <w:rPr>
                <w:rFonts w:hint="default" w:ascii="Times New Roman" w:hAnsi="Times New Roman" w:cs="Times New Roman"/>
                <w:color w:val="000000" w:themeColor="text1"/>
                <w:kern w:val="0"/>
                <w:sz w:val="24"/>
                <w:lang w:eastAsia="zh-CN"/>
                <w14:textFill>
                  <w14:solidFill>
                    <w14:schemeClr w14:val="tx1"/>
                  </w14:solidFill>
                </w14:textFill>
              </w:rPr>
              <w:t>：</w:t>
            </w:r>
            <w:r>
              <w:rPr>
                <w:rFonts w:hint="default" w:ascii="Times New Roman" w:hAnsi="Times New Roman" w:cs="Times New Roman"/>
                <w:color w:val="000000" w:themeColor="text1"/>
                <w:kern w:val="0"/>
                <w:sz w:val="24"/>
                <w14:textFill>
                  <w14:solidFill>
                    <w14:schemeClr w14:val="tx1"/>
                  </w14:solidFill>
                </w14:textFill>
              </w:rPr>
              <w:t>dB；</w:t>
            </w:r>
          </w:p>
          <w:p w14:paraId="380414F0">
            <w:pPr>
              <w:widowControl/>
              <w:spacing w:line="440" w:lineRule="exact"/>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为避免计算中增大衰减量而造成预测值偏小，计算</w:t>
            </w:r>
            <w:r>
              <w:rPr>
                <w:rFonts w:hint="default" w:ascii="Times New Roman" w:hAnsi="Times New Roman" w:cs="Times New Roman"/>
                <w:color w:val="000000" w:themeColor="text1"/>
                <w:sz w:val="24"/>
                <w:lang w:eastAsia="zh-CN"/>
                <w14:textFill>
                  <w14:solidFill>
                    <w14:schemeClr w14:val="tx1"/>
                  </w14:solidFill>
                </w14:textFill>
              </w:rPr>
              <w:t>时</w:t>
            </w:r>
            <w:r>
              <w:rPr>
                <w:rFonts w:hint="default" w:ascii="Times New Roman" w:hAnsi="Times New Roman" w:cs="Times New Roman"/>
                <w:color w:val="000000" w:themeColor="text1"/>
                <w:sz w:val="24"/>
                <w14:textFill>
                  <w14:solidFill>
                    <w14:schemeClr w14:val="tx1"/>
                  </w14:solidFill>
                </w14:textFill>
              </w:rPr>
              <w:t>忽略</w:t>
            </w:r>
            <w:r>
              <w:rPr>
                <w:rFonts w:hint="default" w:ascii="Times New Roman" w:hAnsi="Times New Roman" w:cs="Times New Roman"/>
                <w:color w:val="000000" w:themeColor="text1"/>
                <w:kern w:val="0"/>
                <w:sz w:val="24"/>
                <w14:textFill>
                  <w14:solidFill>
                    <w14:schemeClr w14:val="tx1"/>
                  </w14:solidFill>
                </w14:textFill>
              </w:rPr>
              <w:t>A</w:t>
            </w:r>
            <w:r>
              <w:rPr>
                <w:rFonts w:hint="default" w:ascii="Times New Roman" w:hAnsi="Times New Roman" w:cs="Times New Roman"/>
                <w:color w:val="000000" w:themeColor="text1"/>
                <w:kern w:val="0"/>
                <w:sz w:val="24"/>
                <w:vertAlign w:val="subscript"/>
                <w14:textFill>
                  <w14:solidFill>
                    <w14:schemeClr w14:val="tx1"/>
                  </w14:solidFill>
                </w14:textFill>
              </w:rPr>
              <w:t>atm</w:t>
            </w:r>
            <w:r>
              <w:rPr>
                <w:rFonts w:hint="default" w:ascii="Times New Roman" w:hAnsi="Times New Roman" w:cs="Times New Roman"/>
                <w:color w:val="000000" w:themeColor="text1"/>
                <w:sz w:val="24"/>
                <w14:textFill>
                  <w14:solidFill>
                    <w14:schemeClr w14:val="tx1"/>
                  </w14:solidFill>
                </w14:textFill>
              </w:rPr>
              <w:t>和</w:t>
            </w:r>
            <w:r>
              <w:rPr>
                <w:rFonts w:hint="default" w:ascii="Times New Roman" w:hAnsi="Times New Roman" w:cs="Times New Roman"/>
                <w:color w:val="000000" w:themeColor="text1"/>
                <w:kern w:val="0"/>
                <w:sz w:val="24"/>
                <w14:textFill>
                  <w14:solidFill>
                    <w14:schemeClr w14:val="tx1"/>
                  </w14:solidFill>
                </w14:textFill>
              </w:rPr>
              <w:t>A</w:t>
            </w:r>
            <w:r>
              <w:rPr>
                <w:rFonts w:hint="default" w:ascii="Times New Roman" w:hAnsi="Times New Roman" w:cs="Times New Roman"/>
                <w:color w:val="000000" w:themeColor="text1"/>
                <w:kern w:val="0"/>
                <w:sz w:val="24"/>
                <w:vertAlign w:val="subscript"/>
                <w14:textFill>
                  <w14:solidFill>
                    <w14:schemeClr w14:val="tx1"/>
                  </w14:solidFill>
                </w14:textFill>
              </w:rPr>
              <w:t>misc</w:t>
            </w:r>
            <w:r>
              <w:rPr>
                <w:rFonts w:hint="default" w:ascii="Times New Roman" w:hAnsi="Times New Roman" w:cs="Times New Roman"/>
                <w:color w:val="000000" w:themeColor="text1"/>
                <w:kern w:val="0"/>
                <w:sz w:val="24"/>
                <w14:textFill>
                  <w14:solidFill>
                    <w14:schemeClr w14:val="tx1"/>
                  </w14:solidFill>
                </w14:textFill>
              </w:rPr>
              <w:t>。</w:t>
            </w:r>
          </w:p>
          <w:p w14:paraId="78A7CA94">
            <w:pPr>
              <w:keepNext w:val="0"/>
              <w:keepLines w:val="0"/>
              <w:suppressLineNumbers w:val="0"/>
              <w:spacing w:before="0" w:beforeAutospacing="0" w:after="0" w:afterAutospacing="0"/>
              <w:ind w:left="0" w:right="0" w:firstLine="422" w:firstLineChars="200"/>
              <w:jc w:val="center"/>
              <w:rPr>
                <w:rFonts w:hint="default" w:ascii="Times New Roman" w:hAnsi="Times New Roman" w:eastAsia="宋体" w:cs="Times New Roman"/>
                <w:b/>
                <w:bCs/>
                <w:color w:val="000000" w:themeColor="text1"/>
                <w:sz w:val="21"/>
                <w:szCs w:val="21"/>
                <w:lang w:val="en-GB"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GB" w:eastAsia="zh-CN"/>
                <w14:textFill>
                  <w14:solidFill>
                    <w14:schemeClr w14:val="tx1"/>
                  </w14:solidFill>
                </w14:textFill>
              </w:rPr>
              <w:t>表4-</w:t>
            </w: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7</w:t>
            </w:r>
            <w:r>
              <w:rPr>
                <w:rFonts w:hint="default" w:ascii="Times New Roman" w:hAnsi="Times New Roman" w:eastAsia="宋体" w:cs="Times New Roman"/>
                <w:b/>
                <w:bCs/>
                <w:color w:val="000000" w:themeColor="text1"/>
                <w:sz w:val="21"/>
                <w:szCs w:val="21"/>
                <w:lang w:val="en-GB" w:eastAsia="zh-CN"/>
                <w14:textFill>
                  <w14:solidFill>
                    <w14:schemeClr w14:val="tx1"/>
                  </w14:solidFill>
                </w14:textFill>
              </w:rPr>
              <w:t xml:space="preserve">   隔墙等遮挡物引起的A声级衰减一览表</w:t>
            </w:r>
          </w:p>
          <w:tbl>
            <w:tblPr>
              <w:tblStyle w:val="36"/>
              <w:tblW w:w="7989"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3993"/>
              <w:gridCol w:w="3996"/>
            </w:tblGrid>
            <w:tr w14:paraId="61038F7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37" w:hRule="atLeast"/>
                <w:jc w:val="center"/>
              </w:trPr>
              <w:tc>
                <w:tcPr>
                  <w:tcW w:w="2499" w:type="pct"/>
                  <w:noWrap w:val="0"/>
                  <w:vAlign w:val="center"/>
                </w:tcPr>
                <w:p w14:paraId="3420CEE3">
                  <w:pPr>
                    <w:adjustRightInd w:val="0"/>
                    <w:snapToGrid w:val="0"/>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条件</w:t>
                  </w:r>
                </w:p>
              </w:tc>
              <w:tc>
                <w:tcPr>
                  <w:tcW w:w="2501" w:type="pct"/>
                  <w:noWrap w:val="0"/>
                  <w:vAlign w:val="center"/>
                </w:tcPr>
                <w:p w14:paraId="0F4DCBAE">
                  <w:pPr>
                    <w:adjustRightInd w:val="0"/>
                    <w:snapToGrid w:val="0"/>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kern w:val="0"/>
                      <w:szCs w:val="21"/>
                      <w14:textFill>
                        <w14:solidFill>
                          <w14:schemeClr w14:val="tx1"/>
                        </w14:solidFill>
                      </w14:textFill>
                    </w:rPr>
                    <w:t>A</w:t>
                  </w:r>
                  <w:r>
                    <w:rPr>
                      <w:rFonts w:hint="default" w:ascii="Times New Roman" w:hAnsi="Times New Roman" w:cs="Times New Roman"/>
                      <w:b/>
                      <w:bCs/>
                      <w:color w:val="000000" w:themeColor="text1"/>
                      <w:kern w:val="0"/>
                      <w:szCs w:val="21"/>
                      <w:vertAlign w:val="subscript"/>
                      <w14:textFill>
                        <w14:solidFill>
                          <w14:schemeClr w14:val="tx1"/>
                        </w14:solidFill>
                      </w14:textFill>
                    </w:rPr>
                    <w:t>bar</w:t>
                  </w:r>
                  <w:r>
                    <w:rPr>
                      <w:rFonts w:hint="default" w:ascii="Times New Roman" w:hAnsi="Times New Roman" w:cs="Times New Roman"/>
                      <w:b/>
                      <w:bCs/>
                      <w:color w:val="000000" w:themeColor="text1"/>
                      <w:kern w:val="0"/>
                      <w:szCs w:val="21"/>
                      <w14:textFill>
                        <w14:solidFill>
                          <w14:schemeClr w14:val="tx1"/>
                        </w14:solidFill>
                      </w14:textFill>
                    </w:rPr>
                    <w:t xml:space="preserve"> dB（A）</w:t>
                  </w:r>
                </w:p>
              </w:tc>
            </w:tr>
            <w:tr w14:paraId="6D86781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37" w:hRule="atLeast"/>
                <w:jc w:val="center"/>
              </w:trPr>
              <w:tc>
                <w:tcPr>
                  <w:tcW w:w="2499" w:type="pct"/>
                  <w:noWrap w:val="0"/>
                  <w:vAlign w:val="center"/>
                </w:tcPr>
                <w:p w14:paraId="2189055B">
                  <w:pPr>
                    <w:adjustRightInd w:val="0"/>
                    <w:snapToGrid w:val="0"/>
                    <w:jc w:val="center"/>
                    <w:rPr>
                      <w:rFonts w:hint="default" w:ascii="Times New Roman" w:hAnsi="Times New Roman" w:eastAsia="宋体" w:cs="Times New Roman"/>
                      <w:color w:val="000000" w:themeColor="text1"/>
                      <w:szCs w:val="21"/>
                      <w:lang w:eastAsia="zh-CN"/>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开小窗，密闭，门经隔声处理</w:t>
                  </w:r>
                  <w:r>
                    <w:rPr>
                      <w:rFonts w:hint="default" w:ascii="Times New Roman" w:hAnsi="Times New Roman" w:cs="Times New Roman"/>
                      <w:color w:val="000000" w:themeColor="text1"/>
                      <w:szCs w:val="21"/>
                      <w:lang w:eastAsia="zh-CN"/>
                      <w14:textFill>
                        <w14:solidFill>
                          <w14:schemeClr w14:val="tx1"/>
                        </w14:solidFill>
                      </w14:textFill>
                    </w:rPr>
                    <w:t>。</w:t>
                  </w:r>
                </w:p>
              </w:tc>
              <w:tc>
                <w:tcPr>
                  <w:tcW w:w="2501" w:type="pct"/>
                  <w:noWrap w:val="0"/>
                  <w:vAlign w:val="center"/>
                </w:tcPr>
                <w:p w14:paraId="2369680D">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25</w:t>
                  </w:r>
                </w:p>
              </w:tc>
            </w:tr>
            <w:tr w14:paraId="754100B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37" w:hRule="atLeast"/>
                <w:jc w:val="center"/>
              </w:trPr>
              <w:tc>
                <w:tcPr>
                  <w:tcW w:w="2499" w:type="pct"/>
                  <w:noWrap w:val="0"/>
                  <w:vAlign w:val="center"/>
                </w:tcPr>
                <w:p w14:paraId="28DB26C9">
                  <w:pPr>
                    <w:adjustRightInd w:val="0"/>
                    <w:snapToGrid w:val="0"/>
                    <w:jc w:val="center"/>
                    <w:rPr>
                      <w:rFonts w:hint="default" w:ascii="Times New Roman" w:hAnsi="Times New Roman" w:eastAsia="宋体" w:cs="Times New Roman"/>
                      <w:color w:val="000000" w:themeColor="text1"/>
                      <w:szCs w:val="21"/>
                      <w:lang w:eastAsia="zh-CN"/>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开大窗且不密闭，门较密闭</w:t>
                  </w:r>
                  <w:r>
                    <w:rPr>
                      <w:rFonts w:hint="default" w:ascii="Times New Roman" w:hAnsi="Times New Roman" w:cs="Times New Roman"/>
                      <w:color w:val="000000" w:themeColor="text1"/>
                      <w:szCs w:val="21"/>
                      <w:lang w:eastAsia="zh-CN"/>
                      <w14:textFill>
                        <w14:solidFill>
                          <w14:schemeClr w14:val="tx1"/>
                        </w14:solidFill>
                      </w14:textFill>
                    </w:rPr>
                    <w:t>。</w:t>
                  </w:r>
                </w:p>
              </w:tc>
              <w:tc>
                <w:tcPr>
                  <w:tcW w:w="2501" w:type="pct"/>
                  <w:noWrap w:val="0"/>
                  <w:vAlign w:val="center"/>
                </w:tcPr>
                <w:p w14:paraId="12408882">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20</w:t>
                  </w:r>
                </w:p>
              </w:tc>
            </w:tr>
            <w:tr w14:paraId="6CF32DE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37" w:hRule="atLeast"/>
                <w:jc w:val="center"/>
              </w:trPr>
              <w:tc>
                <w:tcPr>
                  <w:tcW w:w="2499" w:type="pct"/>
                  <w:noWrap w:val="0"/>
                  <w:vAlign w:val="center"/>
                </w:tcPr>
                <w:p w14:paraId="7F691630">
                  <w:pPr>
                    <w:adjustRightInd w:val="0"/>
                    <w:snapToGrid w:val="0"/>
                    <w:jc w:val="center"/>
                    <w:rPr>
                      <w:rFonts w:hint="default" w:ascii="Times New Roman" w:hAnsi="Times New Roman" w:eastAsia="宋体" w:cs="Times New Roman"/>
                      <w:color w:val="000000" w:themeColor="text1"/>
                      <w:szCs w:val="21"/>
                      <w:lang w:eastAsia="zh-CN"/>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开大窗且不密闭，门不密闭</w:t>
                  </w:r>
                  <w:r>
                    <w:rPr>
                      <w:rFonts w:hint="default" w:ascii="Times New Roman" w:hAnsi="Times New Roman" w:cs="Times New Roman"/>
                      <w:color w:val="000000" w:themeColor="text1"/>
                      <w:szCs w:val="21"/>
                      <w:lang w:eastAsia="zh-CN"/>
                      <w14:textFill>
                        <w14:solidFill>
                          <w14:schemeClr w14:val="tx1"/>
                        </w14:solidFill>
                      </w14:textFill>
                    </w:rPr>
                    <w:t>。</w:t>
                  </w:r>
                </w:p>
              </w:tc>
              <w:tc>
                <w:tcPr>
                  <w:tcW w:w="2501" w:type="pct"/>
                  <w:noWrap w:val="0"/>
                  <w:vAlign w:val="center"/>
                </w:tcPr>
                <w:p w14:paraId="54DE9FD8">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13</w:t>
                  </w:r>
                </w:p>
              </w:tc>
            </w:tr>
            <w:tr w14:paraId="411FD38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37" w:hRule="atLeast"/>
                <w:jc w:val="center"/>
              </w:trPr>
              <w:tc>
                <w:tcPr>
                  <w:tcW w:w="2499" w:type="pct"/>
                  <w:noWrap w:val="0"/>
                  <w:vAlign w:val="center"/>
                </w:tcPr>
                <w:p w14:paraId="3A41A071">
                  <w:pPr>
                    <w:adjustRightInd w:val="0"/>
                    <w:snapToGrid w:val="0"/>
                    <w:jc w:val="center"/>
                    <w:rPr>
                      <w:rFonts w:hint="default" w:ascii="Times New Roman" w:hAnsi="Times New Roman" w:eastAsia="宋体" w:cs="Times New Roman"/>
                      <w:color w:val="000000" w:themeColor="text1"/>
                      <w:szCs w:val="21"/>
                      <w:lang w:eastAsia="zh-CN"/>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门与窗全部敞开</w:t>
                  </w:r>
                  <w:r>
                    <w:rPr>
                      <w:rFonts w:hint="default" w:ascii="Times New Roman" w:hAnsi="Times New Roman" w:cs="Times New Roman"/>
                      <w:color w:val="000000" w:themeColor="text1"/>
                      <w:szCs w:val="21"/>
                      <w:lang w:eastAsia="zh-CN"/>
                      <w14:textFill>
                        <w14:solidFill>
                          <w14:schemeClr w14:val="tx1"/>
                        </w14:solidFill>
                      </w14:textFill>
                    </w:rPr>
                    <w:t>。</w:t>
                  </w:r>
                </w:p>
              </w:tc>
              <w:tc>
                <w:tcPr>
                  <w:tcW w:w="2501" w:type="pct"/>
                  <w:noWrap w:val="0"/>
                  <w:vAlign w:val="center"/>
                </w:tcPr>
                <w:p w14:paraId="53A00600">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8</w:t>
                  </w:r>
                </w:p>
              </w:tc>
            </w:tr>
          </w:tbl>
          <w:p w14:paraId="5670B5DD">
            <w:pPr>
              <w:widowControl/>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（2）预测结果：</w:t>
            </w:r>
          </w:p>
          <w:p w14:paraId="6B917424">
            <w:pPr>
              <w:widowControl/>
              <w:spacing w:line="360" w:lineRule="auto"/>
              <w:ind w:firstLine="480" w:firstLineChars="200"/>
              <w:rPr>
                <w:rFonts w:hint="default" w:ascii="Times New Roman" w:hAnsi="Times New Roman" w:cs="Times New Roman"/>
                <w:b/>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由于</w:t>
            </w:r>
            <w:r>
              <w:rPr>
                <w:rFonts w:hint="eastAsia" w:ascii="Times New Roman" w:hAnsi="Times New Roman" w:cs="Times New Roman"/>
                <w:color w:val="000000" w:themeColor="text1"/>
                <w:sz w:val="24"/>
                <w:lang w:val="en-US" w:eastAsia="zh-CN"/>
                <w14:textFill>
                  <w14:solidFill>
                    <w14:schemeClr w14:val="tx1"/>
                  </w14:solidFill>
                </w14:textFill>
              </w:rPr>
              <w:t>本项目</w:t>
            </w:r>
            <w:r>
              <w:rPr>
                <w:rFonts w:hint="default" w:ascii="Times New Roman" w:hAnsi="Times New Roman" w:cs="Times New Roman"/>
                <w:color w:val="000000" w:themeColor="text1"/>
                <w:sz w:val="24"/>
                <w14:textFill>
                  <w14:solidFill>
                    <w14:schemeClr w14:val="tx1"/>
                  </w14:solidFill>
                </w14:textFill>
              </w:rPr>
              <w:t>生产设备及工艺集中在生产车间，故只对项目生产车间的昼间噪声进行预测，</w:t>
            </w:r>
            <w:r>
              <w:rPr>
                <w:rFonts w:hint="default" w:ascii="Times New Roman" w:hAnsi="Times New Roman" w:cs="Times New Roman"/>
                <w:color w:val="000000" w:themeColor="text1"/>
                <w:kern w:val="0"/>
                <w:sz w:val="24"/>
                <w:lang w:bidi="ar"/>
                <w14:textFill>
                  <w14:solidFill>
                    <w14:schemeClr w14:val="tx1"/>
                  </w14:solidFill>
                </w14:textFill>
              </w:rPr>
              <w:t>按照最不利情况预测厂界受到的影响，</w:t>
            </w:r>
            <w:r>
              <w:rPr>
                <w:rFonts w:hint="default" w:ascii="Times New Roman" w:hAnsi="Times New Roman" w:cs="Times New Roman"/>
                <w:color w:val="000000" w:themeColor="text1"/>
                <w:kern w:val="0"/>
                <w:sz w:val="24"/>
                <w:lang w:val="en-US" w:eastAsia="zh-CN" w:bidi="ar"/>
                <w14:textFill>
                  <w14:solidFill>
                    <w14:schemeClr w14:val="tx1"/>
                  </w14:solidFill>
                </w14:textFill>
              </w:rPr>
              <w:t>本次预测以大厂界为项目厂界，</w:t>
            </w:r>
            <w:r>
              <w:rPr>
                <w:rFonts w:hint="default" w:ascii="Times New Roman" w:hAnsi="Times New Roman" w:cs="Times New Roman"/>
                <w:color w:val="000000" w:themeColor="text1"/>
                <w:kern w:val="0"/>
                <w:sz w:val="24"/>
                <w:lang w:bidi="ar"/>
                <w14:textFill>
                  <w14:solidFill>
                    <w14:schemeClr w14:val="tx1"/>
                  </w14:solidFill>
                </w14:textFill>
              </w:rPr>
              <w:t>预测结果见</w:t>
            </w:r>
            <w:r>
              <w:rPr>
                <w:rFonts w:hint="default" w:ascii="Times New Roman" w:hAnsi="Times New Roman" w:cs="Times New Roman"/>
                <w:color w:val="000000" w:themeColor="text1"/>
                <w:sz w:val="24"/>
                <w14:textFill>
                  <w14:solidFill>
                    <w14:schemeClr w14:val="tx1"/>
                  </w14:solidFill>
                </w14:textFill>
              </w:rPr>
              <w:t>表4-</w:t>
            </w:r>
            <w:r>
              <w:rPr>
                <w:rFonts w:hint="default" w:ascii="Times New Roman" w:hAnsi="Times New Roman" w:cs="Times New Roman"/>
                <w:color w:val="000000" w:themeColor="text1"/>
                <w:sz w:val="24"/>
                <w:lang w:val="en-US" w:eastAsia="zh-CN"/>
                <w14:textFill>
                  <w14:solidFill>
                    <w14:schemeClr w14:val="tx1"/>
                  </w14:solidFill>
                </w14:textFill>
              </w:rPr>
              <w:t>8</w:t>
            </w:r>
            <w:r>
              <w:rPr>
                <w:rFonts w:hint="default" w:ascii="Times New Roman" w:hAnsi="Times New Roman" w:cs="Times New Roman"/>
                <w:color w:val="000000" w:themeColor="text1"/>
                <w:sz w:val="24"/>
                <w14:textFill>
                  <w14:solidFill>
                    <w14:schemeClr w14:val="tx1"/>
                  </w14:solidFill>
                </w14:textFill>
              </w:rPr>
              <w:t>。</w:t>
            </w:r>
          </w:p>
          <w:p w14:paraId="18D4EF61">
            <w:pPr>
              <w:widowControl/>
              <w:spacing w:line="440" w:lineRule="exact"/>
              <w:jc w:val="center"/>
              <w:rPr>
                <w:rFonts w:hint="default" w:ascii="Times New Roman" w:hAnsi="Times New Roman" w:cs="Times New Roman"/>
                <w:b/>
                <w:color w:val="000000" w:themeColor="text1"/>
                <w:sz w:val="24"/>
                <w14:textFill>
                  <w14:solidFill>
                    <w14:schemeClr w14:val="tx1"/>
                  </w14:solidFill>
                </w14:textFill>
              </w:rPr>
            </w:pPr>
            <w:r>
              <w:rPr>
                <w:rFonts w:hint="default" w:ascii="Times New Roman" w:hAnsi="Times New Roman" w:cs="Times New Roman"/>
                <w:b/>
                <w:color w:val="000000" w:themeColor="text1"/>
                <w:sz w:val="24"/>
                <w14:textFill>
                  <w14:solidFill>
                    <w14:schemeClr w14:val="tx1"/>
                  </w14:solidFill>
                </w14:textFill>
              </w:rPr>
              <w:t>表4-</w:t>
            </w:r>
            <w:r>
              <w:rPr>
                <w:rFonts w:hint="default" w:ascii="Times New Roman" w:hAnsi="Times New Roman" w:cs="Times New Roman"/>
                <w:b/>
                <w:color w:val="000000" w:themeColor="text1"/>
                <w:sz w:val="24"/>
                <w:lang w:val="en-US" w:eastAsia="zh-CN"/>
                <w14:textFill>
                  <w14:solidFill>
                    <w14:schemeClr w14:val="tx1"/>
                  </w14:solidFill>
                </w14:textFill>
              </w:rPr>
              <w:t>8</w:t>
            </w:r>
            <w:r>
              <w:rPr>
                <w:rFonts w:hint="default" w:ascii="Times New Roman" w:hAnsi="Times New Roman" w:cs="Times New Roman"/>
                <w:b/>
                <w:color w:val="000000" w:themeColor="text1"/>
                <w:sz w:val="24"/>
                <w14:textFill>
                  <w14:solidFill>
                    <w14:schemeClr w14:val="tx1"/>
                  </w14:solidFill>
                </w14:textFill>
              </w:rPr>
              <w:t xml:space="preserve">   噪声预测结果一览表  单位：dB（A）</w:t>
            </w:r>
          </w:p>
          <w:tbl>
            <w:tblPr>
              <w:tblStyle w:val="3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89"/>
              <w:gridCol w:w="1287"/>
              <w:gridCol w:w="1009"/>
              <w:gridCol w:w="1121"/>
              <w:gridCol w:w="1121"/>
              <w:gridCol w:w="1121"/>
              <w:gridCol w:w="1121"/>
            </w:tblGrid>
            <w:tr w14:paraId="624DCF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6" w:type="pct"/>
                  <w:noWrap w:val="0"/>
                  <w:vAlign w:val="center"/>
                </w:tcPr>
                <w:p w14:paraId="06C54765">
                  <w:pPr>
                    <w:pStyle w:val="98"/>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位置</w:t>
                  </w:r>
                </w:p>
              </w:tc>
              <w:tc>
                <w:tcPr>
                  <w:tcW w:w="807" w:type="pct"/>
                  <w:noWrap w:val="0"/>
                  <w:vAlign w:val="center"/>
                </w:tcPr>
                <w:p w14:paraId="496DF401">
                  <w:pPr>
                    <w:pStyle w:val="98"/>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设备</w:t>
                  </w:r>
                </w:p>
              </w:tc>
              <w:tc>
                <w:tcPr>
                  <w:tcW w:w="633" w:type="pct"/>
                  <w:noWrap w:val="0"/>
                  <w:vAlign w:val="center"/>
                </w:tcPr>
                <w:p w14:paraId="72034D85">
                  <w:pPr>
                    <w:pStyle w:val="98"/>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噪声值dB（A）</w:t>
                  </w:r>
                </w:p>
              </w:tc>
              <w:tc>
                <w:tcPr>
                  <w:tcW w:w="703" w:type="pct"/>
                  <w:noWrap w:val="0"/>
                  <w:vAlign w:val="center"/>
                </w:tcPr>
                <w:p w14:paraId="0B6280EB">
                  <w:pPr>
                    <w:pStyle w:val="98"/>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厂界东侧</w:t>
                  </w:r>
                </w:p>
              </w:tc>
              <w:tc>
                <w:tcPr>
                  <w:tcW w:w="703" w:type="pct"/>
                  <w:noWrap w:val="0"/>
                  <w:vAlign w:val="center"/>
                </w:tcPr>
                <w:p w14:paraId="44CB5E16">
                  <w:pPr>
                    <w:pStyle w:val="98"/>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厂界南侧</w:t>
                  </w:r>
                </w:p>
              </w:tc>
              <w:tc>
                <w:tcPr>
                  <w:tcW w:w="703" w:type="pct"/>
                  <w:noWrap w:val="0"/>
                  <w:vAlign w:val="center"/>
                </w:tcPr>
                <w:p w14:paraId="11337103">
                  <w:pPr>
                    <w:pStyle w:val="98"/>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厂界西侧</w:t>
                  </w:r>
                </w:p>
              </w:tc>
              <w:tc>
                <w:tcPr>
                  <w:tcW w:w="703" w:type="pct"/>
                  <w:noWrap w:val="0"/>
                  <w:vAlign w:val="center"/>
                </w:tcPr>
                <w:p w14:paraId="6A125ACA">
                  <w:pPr>
                    <w:pStyle w:val="98"/>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厂界北侧</w:t>
                  </w:r>
                </w:p>
              </w:tc>
            </w:tr>
            <w:tr w14:paraId="39E6EA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6" w:type="pct"/>
                  <w:noWrap w:val="0"/>
                  <w:vAlign w:val="center"/>
                </w:tcPr>
                <w:p w14:paraId="30D3969D">
                  <w:pPr>
                    <w:pStyle w:val="98"/>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距离（m）</w:t>
                  </w:r>
                </w:p>
              </w:tc>
              <w:tc>
                <w:tcPr>
                  <w:tcW w:w="807" w:type="pct"/>
                  <w:vMerge w:val="restart"/>
                  <w:noWrap w:val="0"/>
                  <w:vAlign w:val="center"/>
                </w:tcPr>
                <w:p w14:paraId="7320FDC9">
                  <w:pPr>
                    <w:pStyle w:val="98"/>
                    <w:rPr>
                      <w:rFonts w:hint="default" w:ascii="Times New Roman" w:hAnsi="Times New Roman" w:cs="Times New Roman"/>
                      <w:color w:val="000000" w:themeColor="text1"/>
                      <w:szCs w:val="21"/>
                      <w:lang w:val="en-US"/>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砂磨机</w:t>
                  </w:r>
                  <w:r>
                    <w:rPr>
                      <w:rFonts w:hint="default" w:ascii="Times New Roman" w:hAnsi="Times New Roman" w:cs="Times New Roman"/>
                      <w:color w:val="000000" w:themeColor="text1"/>
                      <w:sz w:val="21"/>
                      <w:szCs w:val="21"/>
                      <w:lang w:val="en-US" w:eastAsia="zh-CN"/>
                      <w14:textFill>
                        <w14:solidFill>
                          <w14:schemeClr w14:val="tx1"/>
                        </w14:solidFill>
                      </w14:textFill>
                    </w:rPr>
                    <w:t>1</w:t>
                  </w:r>
                </w:p>
              </w:tc>
              <w:tc>
                <w:tcPr>
                  <w:tcW w:w="633" w:type="pct"/>
                  <w:vMerge w:val="restart"/>
                  <w:noWrap w:val="0"/>
                  <w:vAlign w:val="center"/>
                </w:tcPr>
                <w:p w14:paraId="7D3FBC89">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49</w:t>
                  </w:r>
                </w:p>
              </w:tc>
              <w:tc>
                <w:tcPr>
                  <w:tcW w:w="703" w:type="pct"/>
                  <w:noWrap w:val="0"/>
                  <w:vAlign w:val="center"/>
                </w:tcPr>
                <w:p w14:paraId="022F97B7">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49</w:t>
                  </w:r>
                </w:p>
              </w:tc>
              <w:tc>
                <w:tcPr>
                  <w:tcW w:w="703" w:type="pct"/>
                  <w:noWrap w:val="0"/>
                  <w:vAlign w:val="center"/>
                </w:tcPr>
                <w:p w14:paraId="70CB1A32">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41</w:t>
                  </w:r>
                </w:p>
              </w:tc>
              <w:tc>
                <w:tcPr>
                  <w:tcW w:w="703" w:type="pct"/>
                  <w:noWrap w:val="0"/>
                  <w:vAlign w:val="center"/>
                </w:tcPr>
                <w:p w14:paraId="6CB69B4B">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15</w:t>
                  </w:r>
                </w:p>
              </w:tc>
              <w:tc>
                <w:tcPr>
                  <w:tcW w:w="703" w:type="pct"/>
                  <w:noWrap w:val="0"/>
                  <w:vAlign w:val="center"/>
                </w:tcPr>
                <w:p w14:paraId="60D1AF8B">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5</w:t>
                  </w:r>
                </w:p>
              </w:tc>
            </w:tr>
            <w:tr w14:paraId="04B5F1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6" w:type="pct"/>
                  <w:noWrap w:val="0"/>
                  <w:vAlign w:val="center"/>
                </w:tcPr>
                <w:p w14:paraId="59B36EAD">
                  <w:pPr>
                    <w:pStyle w:val="98"/>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贡献值dB（A）</w:t>
                  </w:r>
                </w:p>
              </w:tc>
              <w:tc>
                <w:tcPr>
                  <w:tcW w:w="807" w:type="pct"/>
                  <w:vMerge w:val="continue"/>
                  <w:noWrap w:val="0"/>
                  <w:vAlign w:val="center"/>
                </w:tcPr>
                <w:p w14:paraId="38D39BB7">
                  <w:pPr>
                    <w:pStyle w:val="98"/>
                    <w:rPr>
                      <w:rFonts w:hint="default" w:ascii="Times New Roman" w:hAnsi="Times New Roman" w:cs="Times New Roman"/>
                      <w:color w:val="000000" w:themeColor="text1"/>
                      <w:szCs w:val="21"/>
                      <w14:textFill>
                        <w14:solidFill>
                          <w14:schemeClr w14:val="tx1"/>
                        </w14:solidFill>
                      </w14:textFill>
                    </w:rPr>
                  </w:pPr>
                </w:p>
              </w:tc>
              <w:tc>
                <w:tcPr>
                  <w:tcW w:w="633" w:type="pct"/>
                  <w:vMerge w:val="continue"/>
                  <w:noWrap w:val="0"/>
                  <w:vAlign w:val="center"/>
                </w:tcPr>
                <w:p w14:paraId="0B41338C">
                  <w:pPr>
                    <w:pStyle w:val="98"/>
                    <w:rPr>
                      <w:rFonts w:hint="default" w:ascii="Times New Roman" w:hAnsi="Times New Roman" w:cs="Times New Roman"/>
                      <w:color w:val="000000" w:themeColor="text1"/>
                      <w:szCs w:val="21"/>
                      <w14:textFill>
                        <w14:solidFill>
                          <w14:schemeClr w14:val="tx1"/>
                        </w14:solidFill>
                      </w14:textFill>
                    </w:rPr>
                  </w:pPr>
                </w:p>
              </w:tc>
              <w:tc>
                <w:tcPr>
                  <w:tcW w:w="703" w:type="pct"/>
                  <w:noWrap w:val="0"/>
                  <w:vAlign w:val="center"/>
                </w:tcPr>
                <w:p w14:paraId="718C0DEC">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15</w:t>
                  </w:r>
                </w:p>
              </w:tc>
              <w:tc>
                <w:tcPr>
                  <w:tcW w:w="703" w:type="pct"/>
                  <w:noWrap w:val="0"/>
                  <w:vAlign w:val="center"/>
                </w:tcPr>
                <w:p w14:paraId="2EA9DAE6">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17</w:t>
                  </w:r>
                </w:p>
              </w:tc>
              <w:tc>
                <w:tcPr>
                  <w:tcW w:w="703" w:type="pct"/>
                  <w:noWrap w:val="0"/>
                  <w:vAlign w:val="center"/>
                </w:tcPr>
                <w:p w14:paraId="075D46E5">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25</w:t>
                  </w:r>
                </w:p>
              </w:tc>
              <w:tc>
                <w:tcPr>
                  <w:tcW w:w="703" w:type="pct"/>
                  <w:noWrap w:val="0"/>
                  <w:vAlign w:val="center"/>
                </w:tcPr>
                <w:p w14:paraId="23BA2F13">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35</w:t>
                  </w:r>
                </w:p>
              </w:tc>
            </w:tr>
            <w:tr w14:paraId="456327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6" w:type="pct"/>
                  <w:noWrap w:val="0"/>
                  <w:vAlign w:val="center"/>
                </w:tcPr>
                <w:p w14:paraId="4678BB2F">
                  <w:pPr>
                    <w:pStyle w:val="98"/>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距离（m）</w:t>
                  </w:r>
                </w:p>
              </w:tc>
              <w:tc>
                <w:tcPr>
                  <w:tcW w:w="807" w:type="pct"/>
                  <w:vMerge w:val="restart"/>
                  <w:noWrap w:val="0"/>
                  <w:vAlign w:val="center"/>
                </w:tcPr>
                <w:p w14:paraId="1A1B1F2F">
                  <w:pPr>
                    <w:pStyle w:val="98"/>
                    <w:rPr>
                      <w:rFonts w:hint="default" w:ascii="Times New Roman" w:hAnsi="Times New Roman" w:cs="Times New Roman"/>
                      <w:color w:val="000000" w:themeColor="text1"/>
                      <w:szCs w:val="21"/>
                      <w:lang w:val="en-US"/>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砂磨机</w:t>
                  </w:r>
                  <w:r>
                    <w:rPr>
                      <w:rFonts w:hint="default" w:ascii="Times New Roman" w:hAnsi="Times New Roman" w:cs="Times New Roman"/>
                      <w:color w:val="000000" w:themeColor="text1"/>
                      <w:sz w:val="21"/>
                      <w:szCs w:val="21"/>
                      <w:lang w:val="en-US" w:eastAsia="zh-CN"/>
                      <w14:textFill>
                        <w14:solidFill>
                          <w14:schemeClr w14:val="tx1"/>
                        </w14:solidFill>
                      </w14:textFill>
                    </w:rPr>
                    <w:t>2</w:t>
                  </w:r>
                </w:p>
              </w:tc>
              <w:tc>
                <w:tcPr>
                  <w:tcW w:w="633" w:type="pct"/>
                  <w:vMerge w:val="restart"/>
                  <w:noWrap w:val="0"/>
                  <w:vAlign w:val="center"/>
                </w:tcPr>
                <w:p w14:paraId="17346AB6">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49</w:t>
                  </w:r>
                </w:p>
              </w:tc>
              <w:tc>
                <w:tcPr>
                  <w:tcW w:w="703" w:type="pct"/>
                  <w:noWrap w:val="0"/>
                  <w:vAlign w:val="center"/>
                </w:tcPr>
                <w:p w14:paraId="3A19158F">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48</w:t>
                  </w:r>
                </w:p>
              </w:tc>
              <w:tc>
                <w:tcPr>
                  <w:tcW w:w="703" w:type="pct"/>
                  <w:noWrap w:val="0"/>
                  <w:vAlign w:val="center"/>
                </w:tcPr>
                <w:p w14:paraId="716AD036">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41</w:t>
                  </w:r>
                </w:p>
              </w:tc>
              <w:tc>
                <w:tcPr>
                  <w:tcW w:w="703" w:type="pct"/>
                  <w:noWrap w:val="0"/>
                  <w:vAlign w:val="center"/>
                </w:tcPr>
                <w:p w14:paraId="1CF73FB3">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16</w:t>
                  </w:r>
                </w:p>
              </w:tc>
              <w:tc>
                <w:tcPr>
                  <w:tcW w:w="703" w:type="pct"/>
                  <w:noWrap w:val="0"/>
                  <w:vAlign w:val="center"/>
                </w:tcPr>
                <w:p w14:paraId="4ABF4118">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5</w:t>
                  </w:r>
                </w:p>
              </w:tc>
            </w:tr>
            <w:tr w14:paraId="20C4FD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6" w:type="pct"/>
                  <w:noWrap w:val="0"/>
                  <w:vAlign w:val="center"/>
                </w:tcPr>
                <w:p w14:paraId="582C10CE">
                  <w:pPr>
                    <w:pStyle w:val="98"/>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贡献值dB（A）</w:t>
                  </w:r>
                </w:p>
              </w:tc>
              <w:tc>
                <w:tcPr>
                  <w:tcW w:w="807" w:type="pct"/>
                  <w:vMerge w:val="continue"/>
                  <w:noWrap w:val="0"/>
                  <w:vAlign w:val="center"/>
                </w:tcPr>
                <w:p w14:paraId="0B6F27ED">
                  <w:pPr>
                    <w:pStyle w:val="98"/>
                    <w:rPr>
                      <w:rFonts w:hint="default" w:ascii="Times New Roman" w:hAnsi="Times New Roman" w:cs="Times New Roman"/>
                      <w:color w:val="000000" w:themeColor="text1"/>
                      <w:szCs w:val="21"/>
                      <w14:textFill>
                        <w14:solidFill>
                          <w14:schemeClr w14:val="tx1"/>
                        </w14:solidFill>
                      </w14:textFill>
                    </w:rPr>
                  </w:pPr>
                </w:p>
              </w:tc>
              <w:tc>
                <w:tcPr>
                  <w:tcW w:w="633" w:type="pct"/>
                  <w:vMerge w:val="continue"/>
                  <w:noWrap w:val="0"/>
                  <w:vAlign w:val="center"/>
                </w:tcPr>
                <w:p w14:paraId="52B33E1E">
                  <w:pPr>
                    <w:pStyle w:val="98"/>
                    <w:rPr>
                      <w:rFonts w:hint="default" w:ascii="Times New Roman" w:hAnsi="Times New Roman" w:cs="Times New Roman"/>
                      <w:color w:val="000000" w:themeColor="text1"/>
                      <w:szCs w:val="21"/>
                      <w14:textFill>
                        <w14:solidFill>
                          <w14:schemeClr w14:val="tx1"/>
                        </w14:solidFill>
                      </w14:textFill>
                    </w:rPr>
                  </w:pPr>
                </w:p>
              </w:tc>
              <w:tc>
                <w:tcPr>
                  <w:tcW w:w="703" w:type="pct"/>
                  <w:noWrap w:val="0"/>
                  <w:vAlign w:val="center"/>
                </w:tcPr>
                <w:p w14:paraId="754A24F1">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15</w:t>
                  </w:r>
                </w:p>
              </w:tc>
              <w:tc>
                <w:tcPr>
                  <w:tcW w:w="703" w:type="pct"/>
                  <w:noWrap w:val="0"/>
                  <w:vAlign w:val="center"/>
                </w:tcPr>
                <w:p w14:paraId="4CDA43BA">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17</w:t>
                  </w:r>
                </w:p>
              </w:tc>
              <w:tc>
                <w:tcPr>
                  <w:tcW w:w="703" w:type="pct"/>
                  <w:noWrap w:val="0"/>
                  <w:vAlign w:val="center"/>
                </w:tcPr>
                <w:p w14:paraId="0CFC3FA6">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25</w:t>
                  </w:r>
                </w:p>
              </w:tc>
              <w:tc>
                <w:tcPr>
                  <w:tcW w:w="703" w:type="pct"/>
                  <w:noWrap w:val="0"/>
                  <w:vAlign w:val="center"/>
                </w:tcPr>
                <w:p w14:paraId="2CE0E29B">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35</w:t>
                  </w:r>
                </w:p>
              </w:tc>
            </w:tr>
            <w:tr w14:paraId="63BC84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6" w:type="pct"/>
                  <w:noWrap w:val="0"/>
                  <w:vAlign w:val="center"/>
                </w:tcPr>
                <w:p w14:paraId="1DCBD794">
                  <w:pPr>
                    <w:pStyle w:val="98"/>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距离（m）</w:t>
                  </w:r>
                </w:p>
              </w:tc>
              <w:tc>
                <w:tcPr>
                  <w:tcW w:w="807" w:type="pct"/>
                  <w:vMerge w:val="restart"/>
                  <w:noWrap w:val="0"/>
                  <w:vAlign w:val="center"/>
                </w:tcPr>
                <w:p w14:paraId="5A12C32E">
                  <w:pPr>
                    <w:pStyle w:val="98"/>
                    <w:rPr>
                      <w:rFonts w:hint="default" w:ascii="Times New Roman" w:hAnsi="Times New Roman" w:cs="Times New Roman"/>
                      <w:color w:val="000000" w:themeColor="text1"/>
                      <w:szCs w:val="21"/>
                      <w:lang w:val="en-US"/>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砂磨机</w:t>
                  </w:r>
                  <w:r>
                    <w:rPr>
                      <w:rFonts w:hint="default" w:ascii="Times New Roman" w:hAnsi="Times New Roman" w:cs="Times New Roman"/>
                      <w:color w:val="000000" w:themeColor="text1"/>
                      <w:sz w:val="21"/>
                      <w:szCs w:val="21"/>
                      <w:lang w:val="en-US" w:eastAsia="zh-CN"/>
                      <w14:textFill>
                        <w14:solidFill>
                          <w14:schemeClr w14:val="tx1"/>
                        </w14:solidFill>
                      </w14:textFill>
                    </w:rPr>
                    <w:t>3</w:t>
                  </w:r>
                </w:p>
              </w:tc>
              <w:tc>
                <w:tcPr>
                  <w:tcW w:w="633" w:type="pct"/>
                  <w:vMerge w:val="restart"/>
                  <w:noWrap w:val="0"/>
                  <w:vAlign w:val="center"/>
                </w:tcPr>
                <w:p w14:paraId="1422BE7F">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49</w:t>
                  </w:r>
                </w:p>
              </w:tc>
              <w:tc>
                <w:tcPr>
                  <w:tcW w:w="703" w:type="pct"/>
                  <w:noWrap w:val="0"/>
                  <w:vAlign w:val="center"/>
                </w:tcPr>
                <w:p w14:paraId="46DB1DC0">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47</w:t>
                  </w:r>
                </w:p>
              </w:tc>
              <w:tc>
                <w:tcPr>
                  <w:tcW w:w="703" w:type="pct"/>
                  <w:noWrap w:val="0"/>
                  <w:vAlign w:val="center"/>
                </w:tcPr>
                <w:p w14:paraId="6095E8BE">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41</w:t>
                  </w:r>
                </w:p>
              </w:tc>
              <w:tc>
                <w:tcPr>
                  <w:tcW w:w="703" w:type="pct"/>
                  <w:noWrap w:val="0"/>
                  <w:vAlign w:val="center"/>
                </w:tcPr>
                <w:p w14:paraId="4632CB25">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17</w:t>
                  </w:r>
                </w:p>
              </w:tc>
              <w:tc>
                <w:tcPr>
                  <w:tcW w:w="703" w:type="pct"/>
                  <w:noWrap w:val="0"/>
                  <w:vAlign w:val="center"/>
                </w:tcPr>
                <w:p w14:paraId="147A1290">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5</w:t>
                  </w:r>
                </w:p>
              </w:tc>
            </w:tr>
            <w:tr w14:paraId="3C883F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6" w:type="pct"/>
                  <w:noWrap w:val="0"/>
                  <w:vAlign w:val="center"/>
                </w:tcPr>
                <w:p w14:paraId="42D002A7">
                  <w:pPr>
                    <w:pStyle w:val="98"/>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贡献值dB（A）</w:t>
                  </w:r>
                </w:p>
              </w:tc>
              <w:tc>
                <w:tcPr>
                  <w:tcW w:w="807" w:type="pct"/>
                  <w:vMerge w:val="continue"/>
                  <w:noWrap w:val="0"/>
                  <w:vAlign w:val="center"/>
                </w:tcPr>
                <w:p w14:paraId="22A4A488">
                  <w:pPr>
                    <w:pStyle w:val="98"/>
                    <w:rPr>
                      <w:rFonts w:hint="default" w:ascii="Times New Roman" w:hAnsi="Times New Roman" w:cs="Times New Roman"/>
                      <w:color w:val="000000" w:themeColor="text1"/>
                      <w:szCs w:val="21"/>
                      <w14:textFill>
                        <w14:solidFill>
                          <w14:schemeClr w14:val="tx1"/>
                        </w14:solidFill>
                      </w14:textFill>
                    </w:rPr>
                  </w:pPr>
                </w:p>
              </w:tc>
              <w:tc>
                <w:tcPr>
                  <w:tcW w:w="633" w:type="pct"/>
                  <w:vMerge w:val="continue"/>
                  <w:noWrap w:val="0"/>
                  <w:vAlign w:val="center"/>
                </w:tcPr>
                <w:p w14:paraId="345D94DF">
                  <w:pPr>
                    <w:pStyle w:val="98"/>
                    <w:rPr>
                      <w:rFonts w:hint="default" w:ascii="Times New Roman" w:hAnsi="Times New Roman" w:cs="Times New Roman"/>
                      <w:color w:val="000000" w:themeColor="text1"/>
                      <w:szCs w:val="21"/>
                      <w14:textFill>
                        <w14:solidFill>
                          <w14:schemeClr w14:val="tx1"/>
                        </w14:solidFill>
                      </w14:textFill>
                    </w:rPr>
                  </w:pPr>
                </w:p>
              </w:tc>
              <w:tc>
                <w:tcPr>
                  <w:tcW w:w="703" w:type="pct"/>
                  <w:noWrap w:val="0"/>
                  <w:vAlign w:val="center"/>
                </w:tcPr>
                <w:p w14:paraId="1B91D098">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16</w:t>
                  </w:r>
                </w:p>
              </w:tc>
              <w:tc>
                <w:tcPr>
                  <w:tcW w:w="703" w:type="pct"/>
                  <w:noWrap w:val="0"/>
                  <w:vAlign w:val="center"/>
                </w:tcPr>
                <w:p w14:paraId="705F2649">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17</w:t>
                  </w:r>
                </w:p>
              </w:tc>
              <w:tc>
                <w:tcPr>
                  <w:tcW w:w="703" w:type="pct"/>
                  <w:noWrap w:val="0"/>
                  <w:vAlign w:val="center"/>
                </w:tcPr>
                <w:p w14:paraId="108F2CE5">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24</w:t>
                  </w:r>
                </w:p>
              </w:tc>
              <w:tc>
                <w:tcPr>
                  <w:tcW w:w="703" w:type="pct"/>
                  <w:noWrap w:val="0"/>
                  <w:vAlign w:val="center"/>
                </w:tcPr>
                <w:p w14:paraId="6312E922">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35</w:t>
                  </w:r>
                </w:p>
              </w:tc>
            </w:tr>
            <w:tr w14:paraId="557B10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6" w:type="pct"/>
                  <w:noWrap w:val="0"/>
                  <w:vAlign w:val="center"/>
                </w:tcPr>
                <w:p w14:paraId="624757F7">
                  <w:pPr>
                    <w:pStyle w:val="98"/>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距离（m）</w:t>
                  </w:r>
                </w:p>
              </w:tc>
              <w:tc>
                <w:tcPr>
                  <w:tcW w:w="807" w:type="pct"/>
                  <w:vMerge w:val="restart"/>
                  <w:noWrap w:val="0"/>
                  <w:vAlign w:val="center"/>
                </w:tcPr>
                <w:p w14:paraId="357EDD94">
                  <w:pPr>
                    <w:pStyle w:val="98"/>
                    <w:rPr>
                      <w:rFonts w:hint="default" w:ascii="Times New Roman" w:hAnsi="Times New Roman" w:cs="Times New Roman"/>
                      <w:color w:val="000000" w:themeColor="text1"/>
                      <w:szCs w:val="21"/>
                      <w:lang w:val="en-US"/>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砂磨机</w:t>
                  </w:r>
                  <w:r>
                    <w:rPr>
                      <w:rFonts w:hint="default" w:ascii="Times New Roman" w:hAnsi="Times New Roman" w:cs="Times New Roman"/>
                      <w:color w:val="000000" w:themeColor="text1"/>
                      <w:sz w:val="21"/>
                      <w:szCs w:val="21"/>
                      <w:lang w:val="en-US" w:eastAsia="zh-CN"/>
                      <w14:textFill>
                        <w14:solidFill>
                          <w14:schemeClr w14:val="tx1"/>
                        </w14:solidFill>
                      </w14:textFill>
                    </w:rPr>
                    <w:t>4</w:t>
                  </w:r>
                </w:p>
              </w:tc>
              <w:tc>
                <w:tcPr>
                  <w:tcW w:w="633" w:type="pct"/>
                  <w:vMerge w:val="restart"/>
                  <w:noWrap w:val="0"/>
                  <w:vAlign w:val="center"/>
                </w:tcPr>
                <w:p w14:paraId="7B4EE4BC">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49</w:t>
                  </w:r>
                </w:p>
              </w:tc>
              <w:tc>
                <w:tcPr>
                  <w:tcW w:w="703" w:type="pct"/>
                  <w:noWrap w:val="0"/>
                  <w:vAlign w:val="center"/>
                </w:tcPr>
                <w:p w14:paraId="683B5F94">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46</w:t>
                  </w:r>
                </w:p>
              </w:tc>
              <w:tc>
                <w:tcPr>
                  <w:tcW w:w="703" w:type="pct"/>
                  <w:noWrap w:val="0"/>
                  <w:vAlign w:val="center"/>
                </w:tcPr>
                <w:p w14:paraId="624FF927">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41</w:t>
                  </w:r>
                </w:p>
              </w:tc>
              <w:tc>
                <w:tcPr>
                  <w:tcW w:w="703" w:type="pct"/>
                  <w:noWrap w:val="0"/>
                  <w:vAlign w:val="center"/>
                </w:tcPr>
                <w:p w14:paraId="1A5E944B">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18</w:t>
                  </w:r>
                </w:p>
              </w:tc>
              <w:tc>
                <w:tcPr>
                  <w:tcW w:w="703" w:type="pct"/>
                  <w:noWrap w:val="0"/>
                  <w:vAlign w:val="center"/>
                </w:tcPr>
                <w:p w14:paraId="305B587B">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5</w:t>
                  </w:r>
                </w:p>
              </w:tc>
            </w:tr>
            <w:tr w14:paraId="60B623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6" w:type="pct"/>
                  <w:noWrap w:val="0"/>
                  <w:vAlign w:val="center"/>
                </w:tcPr>
                <w:p w14:paraId="1457B814">
                  <w:pPr>
                    <w:pStyle w:val="98"/>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贡献值dB（A）</w:t>
                  </w:r>
                </w:p>
              </w:tc>
              <w:tc>
                <w:tcPr>
                  <w:tcW w:w="807" w:type="pct"/>
                  <w:vMerge w:val="continue"/>
                  <w:noWrap w:val="0"/>
                  <w:vAlign w:val="center"/>
                </w:tcPr>
                <w:p w14:paraId="0C419FC8">
                  <w:pPr>
                    <w:pStyle w:val="98"/>
                    <w:rPr>
                      <w:rFonts w:hint="default" w:ascii="Times New Roman" w:hAnsi="Times New Roman" w:cs="Times New Roman"/>
                      <w:color w:val="000000" w:themeColor="text1"/>
                      <w:szCs w:val="21"/>
                      <w14:textFill>
                        <w14:solidFill>
                          <w14:schemeClr w14:val="tx1"/>
                        </w14:solidFill>
                      </w14:textFill>
                    </w:rPr>
                  </w:pPr>
                </w:p>
              </w:tc>
              <w:tc>
                <w:tcPr>
                  <w:tcW w:w="633" w:type="pct"/>
                  <w:vMerge w:val="continue"/>
                  <w:noWrap w:val="0"/>
                  <w:vAlign w:val="center"/>
                </w:tcPr>
                <w:p w14:paraId="280FF0EA">
                  <w:pPr>
                    <w:pStyle w:val="98"/>
                    <w:rPr>
                      <w:rFonts w:hint="default" w:ascii="Times New Roman" w:hAnsi="Times New Roman" w:cs="Times New Roman"/>
                      <w:color w:val="000000" w:themeColor="text1"/>
                      <w:szCs w:val="21"/>
                      <w14:textFill>
                        <w14:solidFill>
                          <w14:schemeClr w14:val="tx1"/>
                        </w14:solidFill>
                      </w14:textFill>
                    </w:rPr>
                  </w:pPr>
                </w:p>
              </w:tc>
              <w:tc>
                <w:tcPr>
                  <w:tcW w:w="703" w:type="pct"/>
                  <w:noWrap w:val="0"/>
                  <w:vAlign w:val="center"/>
                </w:tcPr>
                <w:p w14:paraId="6F060B51">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16</w:t>
                  </w:r>
                </w:p>
              </w:tc>
              <w:tc>
                <w:tcPr>
                  <w:tcW w:w="703" w:type="pct"/>
                  <w:noWrap w:val="0"/>
                  <w:vAlign w:val="center"/>
                </w:tcPr>
                <w:p w14:paraId="4FAE1D43">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17</w:t>
                  </w:r>
                </w:p>
              </w:tc>
              <w:tc>
                <w:tcPr>
                  <w:tcW w:w="703" w:type="pct"/>
                  <w:noWrap w:val="0"/>
                  <w:vAlign w:val="center"/>
                </w:tcPr>
                <w:p w14:paraId="7B0F6F23">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24</w:t>
                  </w:r>
                </w:p>
              </w:tc>
              <w:tc>
                <w:tcPr>
                  <w:tcW w:w="703" w:type="pct"/>
                  <w:noWrap w:val="0"/>
                  <w:vAlign w:val="center"/>
                </w:tcPr>
                <w:p w14:paraId="5D900D11">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35</w:t>
                  </w:r>
                </w:p>
              </w:tc>
            </w:tr>
            <w:tr w14:paraId="3B2C6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6" w:type="pct"/>
                  <w:noWrap w:val="0"/>
                  <w:vAlign w:val="center"/>
                </w:tcPr>
                <w:p w14:paraId="64ADD54D">
                  <w:pPr>
                    <w:pStyle w:val="98"/>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距离（m）</w:t>
                  </w:r>
                </w:p>
              </w:tc>
              <w:tc>
                <w:tcPr>
                  <w:tcW w:w="807" w:type="pct"/>
                  <w:vMerge w:val="restart"/>
                  <w:noWrap w:val="0"/>
                  <w:vAlign w:val="center"/>
                </w:tcPr>
                <w:p w14:paraId="4B9246E4">
                  <w:pPr>
                    <w:pStyle w:val="98"/>
                    <w:rPr>
                      <w:rFonts w:hint="default" w:ascii="Times New Roman" w:hAnsi="Times New Roman" w:cs="Times New Roman"/>
                      <w:color w:val="000000" w:themeColor="text1"/>
                      <w:szCs w:val="21"/>
                      <w:lang w:val="en-US"/>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砂磨机</w:t>
                  </w:r>
                  <w:r>
                    <w:rPr>
                      <w:rFonts w:hint="default" w:ascii="Times New Roman" w:hAnsi="Times New Roman" w:cs="Times New Roman"/>
                      <w:color w:val="000000" w:themeColor="text1"/>
                      <w:sz w:val="21"/>
                      <w:szCs w:val="21"/>
                      <w:lang w:val="en-US" w:eastAsia="zh-CN"/>
                      <w14:textFill>
                        <w14:solidFill>
                          <w14:schemeClr w14:val="tx1"/>
                        </w14:solidFill>
                      </w14:textFill>
                    </w:rPr>
                    <w:t>5</w:t>
                  </w:r>
                </w:p>
              </w:tc>
              <w:tc>
                <w:tcPr>
                  <w:tcW w:w="633" w:type="pct"/>
                  <w:vMerge w:val="restart"/>
                  <w:noWrap w:val="0"/>
                  <w:vAlign w:val="center"/>
                </w:tcPr>
                <w:p w14:paraId="1DE683EF">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49</w:t>
                  </w:r>
                </w:p>
              </w:tc>
              <w:tc>
                <w:tcPr>
                  <w:tcW w:w="703" w:type="pct"/>
                  <w:noWrap w:val="0"/>
                  <w:vAlign w:val="center"/>
                </w:tcPr>
                <w:p w14:paraId="46BC8E3D">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45</w:t>
                  </w:r>
                </w:p>
              </w:tc>
              <w:tc>
                <w:tcPr>
                  <w:tcW w:w="703" w:type="pct"/>
                  <w:noWrap w:val="0"/>
                  <w:vAlign w:val="center"/>
                </w:tcPr>
                <w:p w14:paraId="7E101616">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41</w:t>
                  </w:r>
                </w:p>
              </w:tc>
              <w:tc>
                <w:tcPr>
                  <w:tcW w:w="703" w:type="pct"/>
                  <w:noWrap w:val="0"/>
                  <w:vAlign w:val="center"/>
                </w:tcPr>
                <w:p w14:paraId="24C3F4C0">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19</w:t>
                  </w:r>
                </w:p>
              </w:tc>
              <w:tc>
                <w:tcPr>
                  <w:tcW w:w="703" w:type="pct"/>
                  <w:noWrap w:val="0"/>
                  <w:vAlign w:val="center"/>
                </w:tcPr>
                <w:p w14:paraId="0C42DECA">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5</w:t>
                  </w:r>
                </w:p>
              </w:tc>
            </w:tr>
            <w:tr w14:paraId="2CF316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6" w:type="pct"/>
                  <w:noWrap w:val="0"/>
                  <w:vAlign w:val="center"/>
                </w:tcPr>
                <w:p w14:paraId="3DAFCB61">
                  <w:pPr>
                    <w:pStyle w:val="98"/>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贡献值dB（A）</w:t>
                  </w:r>
                </w:p>
              </w:tc>
              <w:tc>
                <w:tcPr>
                  <w:tcW w:w="807" w:type="pct"/>
                  <w:vMerge w:val="continue"/>
                  <w:noWrap w:val="0"/>
                  <w:vAlign w:val="center"/>
                </w:tcPr>
                <w:p w14:paraId="212FD23A">
                  <w:pPr>
                    <w:pStyle w:val="98"/>
                    <w:rPr>
                      <w:rFonts w:hint="default" w:ascii="Times New Roman" w:hAnsi="Times New Roman" w:cs="Times New Roman"/>
                      <w:color w:val="000000" w:themeColor="text1"/>
                      <w:szCs w:val="21"/>
                      <w14:textFill>
                        <w14:solidFill>
                          <w14:schemeClr w14:val="tx1"/>
                        </w14:solidFill>
                      </w14:textFill>
                    </w:rPr>
                  </w:pPr>
                </w:p>
              </w:tc>
              <w:tc>
                <w:tcPr>
                  <w:tcW w:w="633" w:type="pct"/>
                  <w:vMerge w:val="continue"/>
                  <w:noWrap w:val="0"/>
                  <w:vAlign w:val="center"/>
                </w:tcPr>
                <w:p w14:paraId="1DAEACB8">
                  <w:pPr>
                    <w:pStyle w:val="98"/>
                    <w:rPr>
                      <w:rFonts w:hint="default" w:ascii="Times New Roman" w:hAnsi="Times New Roman" w:cs="Times New Roman"/>
                      <w:color w:val="000000" w:themeColor="text1"/>
                      <w:szCs w:val="21"/>
                      <w14:textFill>
                        <w14:solidFill>
                          <w14:schemeClr w14:val="tx1"/>
                        </w14:solidFill>
                      </w14:textFill>
                    </w:rPr>
                  </w:pPr>
                </w:p>
              </w:tc>
              <w:tc>
                <w:tcPr>
                  <w:tcW w:w="703" w:type="pct"/>
                  <w:noWrap w:val="0"/>
                  <w:vAlign w:val="center"/>
                </w:tcPr>
                <w:p w14:paraId="7350BE24">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16</w:t>
                  </w:r>
                </w:p>
              </w:tc>
              <w:tc>
                <w:tcPr>
                  <w:tcW w:w="703" w:type="pct"/>
                  <w:noWrap w:val="0"/>
                  <w:vAlign w:val="center"/>
                </w:tcPr>
                <w:p w14:paraId="1B15A8DD">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17</w:t>
                  </w:r>
                </w:p>
              </w:tc>
              <w:tc>
                <w:tcPr>
                  <w:tcW w:w="703" w:type="pct"/>
                  <w:noWrap w:val="0"/>
                  <w:vAlign w:val="center"/>
                </w:tcPr>
                <w:p w14:paraId="426B30A0">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23</w:t>
                  </w:r>
                </w:p>
              </w:tc>
              <w:tc>
                <w:tcPr>
                  <w:tcW w:w="703" w:type="pct"/>
                  <w:noWrap w:val="0"/>
                  <w:vAlign w:val="center"/>
                </w:tcPr>
                <w:p w14:paraId="439526E2">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35</w:t>
                  </w:r>
                </w:p>
              </w:tc>
            </w:tr>
            <w:tr w14:paraId="3CA38A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6" w:type="pct"/>
                  <w:noWrap w:val="0"/>
                  <w:vAlign w:val="center"/>
                </w:tcPr>
                <w:p w14:paraId="55F62494">
                  <w:pPr>
                    <w:pStyle w:val="98"/>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距离（m）</w:t>
                  </w:r>
                </w:p>
              </w:tc>
              <w:tc>
                <w:tcPr>
                  <w:tcW w:w="807" w:type="pct"/>
                  <w:vMerge w:val="restart"/>
                  <w:noWrap w:val="0"/>
                  <w:vAlign w:val="center"/>
                </w:tcPr>
                <w:p w14:paraId="76B722DE">
                  <w:pPr>
                    <w:pStyle w:val="98"/>
                    <w:rPr>
                      <w:rFonts w:hint="default" w:ascii="Times New Roman" w:hAnsi="Times New Roman" w:cs="Times New Roman"/>
                      <w:color w:val="000000" w:themeColor="text1"/>
                      <w:szCs w:val="21"/>
                      <w:lang w:val="en-US"/>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砂磨机</w:t>
                  </w:r>
                  <w:r>
                    <w:rPr>
                      <w:rFonts w:hint="default" w:ascii="Times New Roman" w:hAnsi="Times New Roman" w:cs="Times New Roman"/>
                      <w:color w:val="000000" w:themeColor="text1"/>
                      <w:sz w:val="21"/>
                      <w:szCs w:val="21"/>
                      <w:lang w:val="en-US" w:eastAsia="zh-CN"/>
                      <w14:textFill>
                        <w14:solidFill>
                          <w14:schemeClr w14:val="tx1"/>
                        </w14:solidFill>
                      </w14:textFill>
                    </w:rPr>
                    <w:t>6</w:t>
                  </w:r>
                </w:p>
              </w:tc>
              <w:tc>
                <w:tcPr>
                  <w:tcW w:w="633" w:type="pct"/>
                  <w:vMerge w:val="restart"/>
                  <w:noWrap w:val="0"/>
                  <w:vAlign w:val="center"/>
                </w:tcPr>
                <w:p w14:paraId="51FD3013">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45</w:t>
                  </w:r>
                </w:p>
              </w:tc>
              <w:tc>
                <w:tcPr>
                  <w:tcW w:w="703" w:type="pct"/>
                  <w:noWrap w:val="0"/>
                  <w:vAlign w:val="center"/>
                </w:tcPr>
                <w:p w14:paraId="69D2A92B">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49</w:t>
                  </w:r>
                </w:p>
              </w:tc>
              <w:tc>
                <w:tcPr>
                  <w:tcW w:w="703" w:type="pct"/>
                  <w:noWrap w:val="0"/>
                  <w:vAlign w:val="center"/>
                </w:tcPr>
                <w:p w14:paraId="58257C45">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41</w:t>
                  </w:r>
                </w:p>
              </w:tc>
              <w:tc>
                <w:tcPr>
                  <w:tcW w:w="703" w:type="pct"/>
                  <w:noWrap w:val="0"/>
                  <w:vAlign w:val="center"/>
                </w:tcPr>
                <w:p w14:paraId="2D6CD0A6">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15</w:t>
                  </w:r>
                </w:p>
              </w:tc>
              <w:tc>
                <w:tcPr>
                  <w:tcW w:w="703" w:type="pct"/>
                  <w:noWrap w:val="0"/>
                  <w:vAlign w:val="center"/>
                </w:tcPr>
                <w:p w14:paraId="623C7536">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5</w:t>
                  </w:r>
                </w:p>
              </w:tc>
            </w:tr>
            <w:tr w14:paraId="23E3B9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6" w:type="pct"/>
                  <w:noWrap w:val="0"/>
                  <w:vAlign w:val="center"/>
                </w:tcPr>
                <w:p w14:paraId="24D99008">
                  <w:pPr>
                    <w:pStyle w:val="98"/>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贡献值dB（A）</w:t>
                  </w:r>
                </w:p>
              </w:tc>
              <w:tc>
                <w:tcPr>
                  <w:tcW w:w="807" w:type="pct"/>
                  <w:vMerge w:val="continue"/>
                  <w:noWrap w:val="0"/>
                  <w:vAlign w:val="center"/>
                </w:tcPr>
                <w:p w14:paraId="390DDA3E">
                  <w:pPr>
                    <w:pStyle w:val="98"/>
                    <w:rPr>
                      <w:rFonts w:hint="default" w:ascii="Times New Roman" w:hAnsi="Times New Roman" w:cs="Times New Roman"/>
                      <w:color w:val="000000" w:themeColor="text1"/>
                      <w:szCs w:val="21"/>
                      <w14:textFill>
                        <w14:solidFill>
                          <w14:schemeClr w14:val="tx1"/>
                        </w14:solidFill>
                      </w14:textFill>
                    </w:rPr>
                  </w:pPr>
                </w:p>
              </w:tc>
              <w:tc>
                <w:tcPr>
                  <w:tcW w:w="633" w:type="pct"/>
                  <w:vMerge w:val="continue"/>
                  <w:noWrap w:val="0"/>
                  <w:vAlign w:val="center"/>
                </w:tcPr>
                <w:p w14:paraId="6072292C">
                  <w:pPr>
                    <w:pStyle w:val="98"/>
                    <w:rPr>
                      <w:rFonts w:hint="default" w:ascii="Times New Roman" w:hAnsi="Times New Roman" w:cs="Times New Roman"/>
                      <w:color w:val="000000" w:themeColor="text1"/>
                      <w:szCs w:val="21"/>
                      <w14:textFill>
                        <w14:solidFill>
                          <w14:schemeClr w14:val="tx1"/>
                        </w14:solidFill>
                      </w14:textFill>
                    </w:rPr>
                  </w:pPr>
                </w:p>
              </w:tc>
              <w:tc>
                <w:tcPr>
                  <w:tcW w:w="703" w:type="pct"/>
                  <w:noWrap w:val="0"/>
                  <w:vAlign w:val="center"/>
                </w:tcPr>
                <w:p w14:paraId="5BB75C36">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11</w:t>
                  </w:r>
                </w:p>
              </w:tc>
              <w:tc>
                <w:tcPr>
                  <w:tcW w:w="703" w:type="pct"/>
                  <w:noWrap w:val="0"/>
                  <w:vAlign w:val="center"/>
                </w:tcPr>
                <w:p w14:paraId="6ED23C33">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13</w:t>
                  </w:r>
                </w:p>
              </w:tc>
              <w:tc>
                <w:tcPr>
                  <w:tcW w:w="703" w:type="pct"/>
                  <w:noWrap w:val="0"/>
                  <w:vAlign w:val="center"/>
                </w:tcPr>
                <w:p w14:paraId="542C5CFF">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21</w:t>
                  </w:r>
                </w:p>
              </w:tc>
              <w:tc>
                <w:tcPr>
                  <w:tcW w:w="703" w:type="pct"/>
                  <w:noWrap w:val="0"/>
                  <w:vAlign w:val="center"/>
                </w:tcPr>
                <w:p w14:paraId="485E8633">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31</w:t>
                  </w:r>
                </w:p>
              </w:tc>
            </w:tr>
            <w:tr w14:paraId="726CFA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6" w:type="pct"/>
                  <w:noWrap w:val="0"/>
                  <w:vAlign w:val="center"/>
                </w:tcPr>
                <w:p w14:paraId="511C969A">
                  <w:pPr>
                    <w:pStyle w:val="98"/>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距离（m）</w:t>
                  </w:r>
                </w:p>
              </w:tc>
              <w:tc>
                <w:tcPr>
                  <w:tcW w:w="807" w:type="pct"/>
                  <w:vMerge w:val="restart"/>
                  <w:noWrap w:val="0"/>
                  <w:vAlign w:val="center"/>
                </w:tcPr>
                <w:p w14:paraId="61EA3E54">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球磨机1</w:t>
                  </w:r>
                </w:p>
              </w:tc>
              <w:tc>
                <w:tcPr>
                  <w:tcW w:w="633" w:type="pct"/>
                  <w:vMerge w:val="restart"/>
                  <w:noWrap w:val="0"/>
                  <w:vAlign w:val="center"/>
                </w:tcPr>
                <w:p w14:paraId="2F2BA457">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55</w:t>
                  </w:r>
                </w:p>
              </w:tc>
              <w:tc>
                <w:tcPr>
                  <w:tcW w:w="703" w:type="pct"/>
                  <w:noWrap w:val="0"/>
                  <w:vAlign w:val="center"/>
                </w:tcPr>
                <w:p w14:paraId="16EAE72F">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48</w:t>
                  </w:r>
                </w:p>
              </w:tc>
              <w:tc>
                <w:tcPr>
                  <w:tcW w:w="703" w:type="pct"/>
                  <w:noWrap w:val="0"/>
                  <w:vAlign w:val="center"/>
                </w:tcPr>
                <w:p w14:paraId="0AC482F6">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41</w:t>
                  </w:r>
                </w:p>
              </w:tc>
              <w:tc>
                <w:tcPr>
                  <w:tcW w:w="703" w:type="pct"/>
                  <w:noWrap w:val="0"/>
                  <w:vAlign w:val="center"/>
                </w:tcPr>
                <w:p w14:paraId="63A82B44">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16</w:t>
                  </w:r>
                </w:p>
              </w:tc>
              <w:tc>
                <w:tcPr>
                  <w:tcW w:w="703" w:type="pct"/>
                  <w:noWrap w:val="0"/>
                  <w:vAlign w:val="center"/>
                </w:tcPr>
                <w:p w14:paraId="3A6DB175">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5</w:t>
                  </w:r>
                </w:p>
              </w:tc>
            </w:tr>
            <w:tr w14:paraId="62CCA5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6" w:type="pct"/>
                  <w:noWrap w:val="0"/>
                  <w:vAlign w:val="center"/>
                </w:tcPr>
                <w:p w14:paraId="463FAA71">
                  <w:pPr>
                    <w:pStyle w:val="98"/>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贡献值dB（A）</w:t>
                  </w:r>
                </w:p>
              </w:tc>
              <w:tc>
                <w:tcPr>
                  <w:tcW w:w="807" w:type="pct"/>
                  <w:vMerge w:val="continue"/>
                  <w:noWrap w:val="0"/>
                  <w:vAlign w:val="center"/>
                </w:tcPr>
                <w:p w14:paraId="6B9D4CA5">
                  <w:pPr>
                    <w:pStyle w:val="98"/>
                    <w:rPr>
                      <w:rFonts w:hint="default" w:ascii="Times New Roman" w:hAnsi="Times New Roman" w:cs="Times New Roman"/>
                      <w:color w:val="000000" w:themeColor="text1"/>
                      <w:szCs w:val="21"/>
                      <w14:textFill>
                        <w14:solidFill>
                          <w14:schemeClr w14:val="tx1"/>
                        </w14:solidFill>
                      </w14:textFill>
                    </w:rPr>
                  </w:pPr>
                </w:p>
              </w:tc>
              <w:tc>
                <w:tcPr>
                  <w:tcW w:w="633" w:type="pct"/>
                  <w:vMerge w:val="continue"/>
                  <w:noWrap w:val="0"/>
                  <w:vAlign w:val="center"/>
                </w:tcPr>
                <w:p w14:paraId="143B375D">
                  <w:pPr>
                    <w:pStyle w:val="98"/>
                    <w:rPr>
                      <w:rFonts w:hint="default" w:ascii="Times New Roman" w:hAnsi="Times New Roman" w:cs="Times New Roman"/>
                      <w:color w:val="000000" w:themeColor="text1"/>
                      <w:szCs w:val="21"/>
                      <w14:textFill>
                        <w14:solidFill>
                          <w14:schemeClr w14:val="tx1"/>
                        </w14:solidFill>
                      </w14:textFill>
                    </w:rPr>
                  </w:pPr>
                </w:p>
              </w:tc>
              <w:tc>
                <w:tcPr>
                  <w:tcW w:w="703" w:type="pct"/>
                  <w:noWrap w:val="0"/>
                  <w:vAlign w:val="center"/>
                </w:tcPr>
                <w:p w14:paraId="6F63423E">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21</w:t>
                  </w:r>
                </w:p>
              </w:tc>
              <w:tc>
                <w:tcPr>
                  <w:tcW w:w="703" w:type="pct"/>
                  <w:noWrap w:val="0"/>
                  <w:vAlign w:val="center"/>
                </w:tcPr>
                <w:p w14:paraId="4B4D0735">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23</w:t>
                  </w:r>
                </w:p>
              </w:tc>
              <w:tc>
                <w:tcPr>
                  <w:tcW w:w="703" w:type="pct"/>
                  <w:noWrap w:val="0"/>
                  <w:vAlign w:val="center"/>
                </w:tcPr>
                <w:p w14:paraId="4A551B6D">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31</w:t>
                  </w:r>
                </w:p>
              </w:tc>
              <w:tc>
                <w:tcPr>
                  <w:tcW w:w="703" w:type="pct"/>
                  <w:noWrap w:val="0"/>
                  <w:vAlign w:val="center"/>
                </w:tcPr>
                <w:p w14:paraId="366D2D7F">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41</w:t>
                  </w:r>
                </w:p>
              </w:tc>
            </w:tr>
            <w:tr w14:paraId="6ACCA0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6" w:type="pct"/>
                  <w:noWrap w:val="0"/>
                  <w:vAlign w:val="center"/>
                </w:tcPr>
                <w:p w14:paraId="106384AB">
                  <w:pPr>
                    <w:pStyle w:val="98"/>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距离（m）</w:t>
                  </w:r>
                </w:p>
              </w:tc>
              <w:tc>
                <w:tcPr>
                  <w:tcW w:w="807" w:type="pct"/>
                  <w:vMerge w:val="restart"/>
                  <w:noWrap w:val="0"/>
                  <w:vAlign w:val="center"/>
                </w:tcPr>
                <w:p w14:paraId="42E1260C">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球磨机2</w:t>
                  </w:r>
                </w:p>
              </w:tc>
              <w:tc>
                <w:tcPr>
                  <w:tcW w:w="633" w:type="pct"/>
                  <w:vMerge w:val="restart"/>
                  <w:noWrap w:val="0"/>
                  <w:vAlign w:val="center"/>
                </w:tcPr>
                <w:p w14:paraId="3E62DE5B">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55</w:t>
                  </w:r>
                </w:p>
              </w:tc>
              <w:tc>
                <w:tcPr>
                  <w:tcW w:w="703" w:type="pct"/>
                  <w:noWrap w:val="0"/>
                  <w:vAlign w:val="center"/>
                </w:tcPr>
                <w:p w14:paraId="6577A028">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47</w:t>
                  </w:r>
                </w:p>
              </w:tc>
              <w:tc>
                <w:tcPr>
                  <w:tcW w:w="703" w:type="pct"/>
                  <w:noWrap w:val="0"/>
                  <w:vAlign w:val="center"/>
                </w:tcPr>
                <w:p w14:paraId="632776E6">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41</w:t>
                  </w:r>
                </w:p>
              </w:tc>
              <w:tc>
                <w:tcPr>
                  <w:tcW w:w="703" w:type="pct"/>
                  <w:noWrap w:val="0"/>
                  <w:vAlign w:val="center"/>
                </w:tcPr>
                <w:p w14:paraId="4736018A">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17</w:t>
                  </w:r>
                </w:p>
              </w:tc>
              <w:tc>
                <w:tcPr>
                  <w:tcW w:w="703" w:type="pct"/>
                  <w:noWrap w:val="0"/>
                  <w:vAlign w:val="center"/>
                </w:tcPr>
                <w:p w14:paraId="5942A6E7">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5</w:t>
                  </w:r>
                </w:p>
              </w:tc>
            </w:tr>
            <w:tr w14:paraId="412D31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6" w:type="pct"/>
                  <w:noWrap w:val="0"/>
                  <w:vAlign w:val="center"/>
                </w:tcPr>
                <w:p w14:paraId="6C821C17">
                  <w:pPr>
                    <w:pStyle w:val="98"/>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贡献值dB（A）</w:t>
                  </w:r>
                </w:p>
              </w:tc>
              <w:tc>
                <w:tcPr>
                  <w:tcW w:w="807" w:type="pct"/>
                  <w:vMerge w:val="continue"/>
                  <w:noWrap w:val="0"/>
                  <w:vAlign w:val="center"/>
                </w:tcPr>
                <w:p w14:paraId="755E247D">
                  <w:pPr>
                    <w:pStyle w:val="98"/>
                    <w:rPr>
                      <w:rFonts w:hint="default" w:ascii="Times New Roman" w:hAnsi="Times New Roman" w:cs="Times New Roman"/>
                      <w:color w:val="000000" w:themeColor="text1"/>
                      <w:szCs w:val="21"/>
                      <w14:textFill>
                        <w14:solidFill>
                          <w14:schemeClr w14:val="tx1"/>
                        </w14:solidFill>
                      </w14:textFill>
                    </w:rPr>
                  </w:pPr>
                </w:p>
              </w:tc>
              <w:tc>
                <w:tcPr>
                  <w:tcW w:w="633" w:type="pct"/>
                  <w:vMerge w:val="continue"/>
                  <w:noWrap w:val="0"/>
                  <w:vAlign w:val="center"/>
                </w:tcPr>
                <w:p w14:paraId="6A360700">
                  <w:pPr>
                    <w:pStyle w:val="98"/>
                    <w:rPr>
                      <w:rFonts w:hint="default" w:ascii="Times New Roman" w:hAnsi="Times New Roman" w:cs="Times New Roman"/>
                      <w:color w:val="000000" w:themeColor="text1"/>
                      <w:szCs w:val="21"/>
                      <w14:textFill>
                        <w14:solidFill>
                          <w14:schemeClr w14:val="tx1"/>
                        </w14:solidFill>
                      </w14:textFill>
                    </w:rPr>
                  </w:pPr>
                </w:p>
              </w:tc>
              <w:tc>
                <w:tcPr>
                  <w:tcW w:w="703" w:type="pct"/>
                  <w:noWrap w:val="0"/>
                  <w:vAlign w:val="center"/>
                </w:tcPr>
                <w:p w14:paraId="7CEA78F7">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21</w:t>
                  </w:r>
                </w:p>
              </w:tc>
              <w:tc>
                <w:tcPr>
                  <w:tcW w:w="703" w:type="pct"/>
                  <w:noWrap w:val="0"/>
                  <w:vAlign w:val="center"/>
                </w:tcPr>
                <w:p w14:paraId="4A3882E5">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23</w:t>
                  </w:r>
                </w:p>
              </w:tc>
              <w:tc>
                <w:tcPr>
                  <w:tcW w:w="703" w:type="pct"/>
                  <w:noWrap w:val="0"/>
                  <w:vAlign w:val="center"/>
                </w:tcPr>
                <w:p w14:paraId="05BEBC59">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30</w:t>
                  </w:r>
                </w:p>
              </w:tc>
              <w:tc>
                <w:tcPr>
                  <w:tcW w:w="703" w:type="pct"/>
                  <w:noWrap w:val="0"/>
                  <w:vAlign w:val="center"/>
                </w:tcPr>
                <w:p w14:paraId="758BE166">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41</w:t>
                  </w:r>
                </w:p>
              </w:tc>
            </w:tr>
            <w:tr w14:paraId="57B47B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6" w:type="pct"/>
                  <w:shd w:val="clear" w:color="auto" w:fill="auto"/>
                  <w:noWrap w:val="0"/>
                  <w:vAlign w:val="center"/>
                </w:tcPr>
                <w:p w14:paraId="143C6BBB">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距离（m）</w:t>
                  </w:r>
                </w:p>
              </w:tc>
              <w:tc>
                <w:tcPr>
                  <w:tcW w:w="807" w:type="pct"/>
                  <w:vMerge w:val="restart"/>
                  <w:shd w:val="clear" w:color="auto" w:fill="auto"/>
                  <w:noWrap w:val="0"/>
                  <w:vAlign w:val="center"/>
                </w:tcPr>
                <w:p w14:paraId="67199DDB">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球磨机3</w:t>
                  </w:r>
                </w:p>
              </w:tc>
              <w:tc>
                <w:tcPr>
                  <w:tcW w:w="633" w:type="pct"/>
                  <w:vMerge w:val="restart"/>
                  <w:shd w:val="clear" w:color="auto" w:fill="auto"/>
                  <w:noWrap w:val="0"/>
                  <w:vAlign w:val="center"/>
                </w:tcPr>
                <w:p w14:paraId="6490BD55">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55</w:t>
                  </w:r>
                </w:p>
              </w:tc>
              <w:tc>
                <w:tcPr>
                  <w:tcW w:w="703" w:type="pct"/>
                  <w:shd w:val="clear" w:color="auto" w:fill="auto"/>
                  <w:noWrap w:val="0"/>
                  <w:vAlign w:val="center"/>
                </w:tcPr>
                <w:p w14:paraId="30F77D8C">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45</w:t>
                  </w:r>
                </w:p>
              </w:tc>
              <w:tc>
                <w:tcPr>
                  <w:tcW w:w="703" w:type="pct"/>
                  <w:shd w:val="clear" w:color="auto" w:fill="auto"/>
                  <w:noWrap w:val="0"/>
                  <w:vAlign w:val="center"/>
                </w:tcPr>
                <w:p w14:paraId="5C3E9D74">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41</w:t>
                  </w:r>
                </w:p>
              </w:tc>
              <w:tc>
                <w:tcPr>
                  <w:tcW w:w="703" w:type="pct"/>
                  <w:shd w:val="clear" w:color="auto" w:fill="auto"/>
                  <w:noWrap w:val="0"/>
                  <w:vAlign w:val="center"/>
                </w:tcPr>
                <w:p w14:paraId="4983CC99">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1</w:t>
                  </w:r>
                  <w:r>
                    <w:rPr>
                      <w:rFonts w:hint="eastAsia" w:cs="Times New Roman"/>
                      <w:color w:val="000000" w:themeColor="text1"/>
                      <w:kern w:val="2"/>
                      <w:sz w:val="21"/>
                      <w:szCs w:val="21"/>
                      <w:lang w:val="en-US" w:eastAsia="zh-CN" w:bidi="ar-SA"/>
                      <w14:textFill>
                        <w14:solidFill>
                          <w14:schemeClr w14:val="tx1"/>
                        </w14:solidFill>
                      </w14:textFill>
                    </w:rPr>
                    <w:t>9</w:t>
                  </w:r>
                </w:p>
              </w:tc>
              <w:tc>
                <w:tcPr>
                  <w:tcW w:w="703" w:type="pct"/>
                  <w:shd w:val="clear" w:color="auto" w:fill="auto"/>
                  <w:noWrap w:val="0"/>
                  <w:vAlign w:val="center"/>
                </w:tcPr>
                <w:p w14:paraId="2492C771">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5</w:t>
                  </w:r>
                </w:p>
              </w:tc>
            </w:tr>
            <w:tr w14:paraId="785DC6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6" w:type="pct"/>
                  <w:shd w:val="clear" w:color="auto" w:fill="auto"/>
                  <w:noWrap w:val="0"/>
                  <w:vAlign w:val="center"/>
                </w:tcPr>
                <w:p w14:paraId="08F8C3CF">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贡献值dB（A）</w:t>
                  </w:r>
                </w:p>
              </w:tc>
              <w:tc>
                <w:tcPr>
                  <w:tcW w:w="807" w:type="pct"/>
                  <w:vMerge w:val="continue"/>
                  <w:noWrap w:val="0"/>
                  <w:vAlign w:val="center"/>
                </w:tcPr>
                <w:p w14:paraId="28A966BB">
                  <w:pPr>
                    <w:pStyle w:val="98"/>
                    <w:rPr>
                      <w:rFonts w:hint="default" w:ascii="Times New Roman" w:hAnsi="Times New Roman" w:cs="Times New Roman"/>
                      <w:color w:val="000000" w:themeColor="text1"/>
                      <w:szCs w:val="21"/>
                      <w14:textFill>
                        <w14:solidFill>
                          <w14:schemeClr w14:val="tx1"/>
                        </w14:solidFill>
                      </w14:textFill>
                    </w:rPr>
                  </w:pPr>
                </w:p>
              </w:tc>
              <w:tc>
                <w:tcPr>
                  <w:tcW w:w="633" w:type="pct"/>
                  <w:vMerge w:val="continue"/>
                  <w:noWrap w:val="0"/>
                  <w:vAlign w:val="center"/>
                </w:tcPr>
                <w:p w14:paraId="4C7C1E19">
                  <w:pPr>
                    <w:pStyle w:val="98"/>
                    <w:rPr>
                      <w:rFonts w:hint="default" w:ascii="Times New Roman" w:hAnsi="Times New Roman" w:cs="Times New Roman"/>
                      <w:color w:val="000000" w:themeColor="text1"/>
                      <w:szCs w:val="21"/>
                      <w14:textFill>
                        <w14:solidFill>
                          <w14:schemeClr w14:val="tx1"/>
                        </w14:solidFill>
                      </w14:textFill>
                    </w:rPr>
                  </w:pPr>
                </w:p>
              </w:tc>
              <w:tc>
                <w:tcPr>
                  <w:tcW w:w="703" w:type="pct"/>
                  <w:shd w:val="clear" w:color="auto" w:fill="auto"/>
                  <w:noWrap w:val="0"/>
                  <w:vAlign w:val="center"/>
                </w:tcPr>
                <w:p w14:paraId="1CA8F3B6">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22</w:t>
                  </w:r>
                </w:p>
              </w:tc>
              <w:tc>
                <w:tcPr>
                  <w:tcW w:w="703" w:type="pct"/>
                  <w:shd w:val="clear" w:color="auto" w:fill="auto"/>
                  <w:noWrap w:val="0"/>
                  <w:vAlign w:val="center"/>
                </w:tcPr>
                <w:p w14:paraId="7ACB9D96">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23</w:t>
                  </w:r>
                </w:p>
              </w:tc>
              <w:tc>
                <w:tcPr>
                  <w:tcW w:w="703" w:type="pct"/>
                  <w:shd w:val="clear" w:color="auto" w:fill="auto"/>
                  <w:noWrap w:val="0"/>
                  <w:vAlign w:val="center"/>
                </w:tcPr>
                <w:p w14:paraId="4F8CC290">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30</w:t>
                  </w:r>
                </w:p>
              </w:tc>
              <w:tc>
                <w:tcPr>
                  <w:tcW w:w="703" w:type="pct"/>
                  <w:shd w:val="clear" w:color="auto" w:fill="auto"/>
                  <w:noWrap w:val="0"/>
                  <w:vAlign w:val="center"/>
                </w:tcPr>
                <w:p w14:paraId="20882E53">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41</w:t>
                  </w:r>
                </w:p>
              </w:tc>
            </w:tr>
            <w:tr w14:paraId="50573B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6" w:type="pct"/>
                  <w:shd w:val="clear" w:color="auto" w:fill="auto"/>
                  <w:noWrap w:val="0"/>
                  <w:vAlign w:val="center"/>
                </w:tcPr>
                <w:p w14:paraId="45555177">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距离（m）</w:t>
                  </w:r>
                </w:p>
              </w:tc>
              <w:tc>
                <w:tcPr>
                  <w:tcW w:w="807" w:type="pct"/>
                  <w:vMerge w:val="restart"/>
                  <w:shd w:val="clear" w:color="auto" w:fill="auto"/>
                  <w:noWrap w:val="0"/>
                  <w:vAlign w:val="center"/>
                </w:tcPr>
                <w:p w14:paraId="4E7F3123">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喷雾干燥塔</w:t>
                  </w:r>
                </w:p>
              </w:tc>
              <w:tc>
                <w:tcPr>
                  <w:tcW w:w="633" w:type="pct"/>
                  <w:vMerge w:val="restart"/>
                  <w:shd w:val="clear" w:color="auto" w:fill="auto"/>
                  <w:noWrap w:val="0"/>
                  <w:vAlign w:val="center"/>
                </w:tcPr>
                <w:p w14:paraId="30AE6EEA">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64</w:t>
                  </w:r>
                </w:p>
              </w:tc>
              <w:tc>
                <w:tcPr>
                  <w:tcW w:w="703" w:type="pct"/>
                  <w:shd w:val="clear" w:color="auto" w:fill="auto"/>
                  <w:noWrap w:val="0"/>
                  <w:vAlign w:val="center"/>
                </w:tcPr>
                <w:p w14:paraId="664A1684">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59</w:t>
                  </w:r>
                </w:p>
              </w:tc>
              <w:tc>
                <w:tcPr>
                  <w:tcW w:w="703" w:type="pct"/>
                  <w:shd w:val="clear" w:color="auto" w:fill="auto"/>
                  <w:noWrap w:val="0"/>
                  <w:vAlign w:val="center"/>
                </w:tcPr>
                <w:p w14:paraId="6D8C6271">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35</w:t>
                  </w:r>
                </w:p>
              </w:tc>
              <w:tc>
                <w:tcPr>
                  <w:tcW w:w="703" w:type="pct"/>
                  <w:shd w:val="clear" w:color="auto" w:fill="auto"/>
                  <w:noWrap w:val="0"/>
                  <w:vAlign w:val="center"/>
                </w:tcPr>
                <w:p w14:paraId="4D621AC4">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5</w:t>
                  </w:r>
                </w:p>
              </w:tc>
              <w:tc>
                <w:tcPr>
                  <w:tcW w:w="703" w:type="pct"/>
                  <w:shd w:val="clear" w:color="auto" w:fill="auto"/>
                  <w:noWrap w:val="0"/>
                  <w:vAlign w:val="center"/>
                </w:tcPr>
                <w:p w14:paraId="200AAC70">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11</w:t>
                  </w:r>
                </w:p>
              </w:tc>
            </w:tr>
            <w:tr w14:paraId="3DE7C3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6" w:type="pct"/>
                  <w:shd w:val="clear" w:color="auto" w:fill="auto"/>
                  <w:noWrap w:val="0"/>
                  <w:vAlign w:val="center"/>
                </w:tcPr>
                <w:p w14:paraId="2F68286F">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贡献值dB（A）</w:t>
                  </w:r>
                </w:p>
              </w:tc>
              <w:tc>
                <w:tcPr>
                  <w:tcW w:w="807" w:type="pct"/>
                  <w:vMerge w:val="continue"/>
                  <w:noWrap w:val="0"/>
                  <w:vAlign w:val="center"/>
                </w:tcPr>
                <w:p w14:paraId="284A8AC1">
                  <w:pPr>
                    <w:pStyle w:val="98"/>
                    <w:rPr>
                      <w:rFonts w:hint="default" w:ascii="Times New Roman" w:hAnsi="Times New Roman" w:cs="Times New Roman"/>
                      <w:color w:val="000000" w:themeColor="text1"/>
                      <w:szCs w:val="21"/>
                      <w14:textFill>
                        <w14:solidFill>
                          <w14:schemeClr w14:val="tx1"/>
                        </w14:solidFill>
                      </w14:textFill>
                    </w:rPr>
                  </w:pPr>
                </w:p>
              </w:tc>
              <w:tc>
                <w:tcPr>
                  <w:tcW w:w="633" w:type="pct"/>
                  <w:vMerge w:val="continue"/>
                  <w:noWrap w:val="0"/>
                  <w:vAlign w:val="center"/>
                </w:tcPr>
                <w:p w14:paraId="23445ABA">
                  <w:pPr>
                    <w:pStyle w:val="98"/>
                    <w:rPr>
                      <w:rFonts w:hint="default" w:ascii="Times New Roman" w:hAnsi="Times New Roman" w:cs="Times New Roman"/>
                      <w:color w:val="000000" w:themeColor="text1"/>
                      <w:szCs w:val="21"/>
                      <w14:textFill>
                        <w14:solidFill>
                          <w14:schemeClr w14:val="tx1"/>
                        </w14:solidFill>
                      </w14:textFill>
                    </w:rPr>
                  </w:pPr>
                </w:p>
              </w:tc>
              <w:tc>
                <w:tcPr>
                  <w:tcW w:w="703" w:type="pct"/>
                  <w:shd w:val="clear" w:color="auto" w:fill="auto"/>
                  <w:noWrap w:val="0"/>
                  <w:vAlign w:val="center"/>
                </w:tcPr>
                <w:p w14:paraId="57DCAC39">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26</w:t>
                  </w:r>
                </w:p>
              </w:tc>
              <w:tc>
                <w:tcPr>
                  <w:tcW w:w="703" w:type="pct"/>
                  <w:shd w:val="clear" w:color="auto" w:fill="auto"/>
                  <w:noWrap w:val="0"/>
                  <w:vAlign w:val="center"/>
                </w:tcPr>
                <w:p w14:paraId="13BFF0A3">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33</w:t>
                  </w:r>
                </w:p>
              </w:tc>
              <w:tc>
                <w:tcPr>
                  <w:tcW w:w="703" w:type="pct"/>
                  <w:shd w:val="clear" w:color="auto" w:fill="auto"/>
                  <w:noWrap w:val="0"/>
                  <w:vAlign w:val="center"/>
                </w:tcPr>
                <w:p w14:paraId="51D9387D">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50</w:t>
                  </w:r>
                </w:p>
              </w:tc>
              <w:tc>
                <w:tcPr>
                  <w:tcW w:w="703" w:type="pct"/>
                  <w:shd w:val="clear" w:color="auto" w:fill="auto"/>
                  <w:noWrap w:val="0"/>
                  <w:vAlign w:val="center"/>
                </w:tcPr>
                <w:p w14:paraId="396B0DC2">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43</w:t>
                  </w:r>
                </w:p>
              </w:tc>
            </w:tr>
            <w:tr w14:paraId="7DFE33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6" w:type="pct"/>
                  <w:shd w:val="clear" w:color="auto" w:fill="auto"/>
                  <w:noWrap w:val="0"/>
                  <w:vAlign w:val="center"/>
                </w:tcPr>
                <w:p w14:paraId="2DD771FE">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距离（m）</w:t>
                  </w:r>
                </w:p>
              </w:tc>
              <w:tc>
                <w:tcPr>
                  <w:tcW w:w="807" w:type="pct"/>
                  <w:vMerge w:val="restart"/>
                  <w:shd w:val="clear" w:color="auto" w:fill="auto"/>
                  <w:noWrap w:val="0"/>
                  <w:vAlign w:val="center"/>
                </w:tcPr>
                <w:p w14:paraId="67892BC6">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混料机</w:t>
                  </w:r>
                  <w:r>
                    <w:rPr>
                      <w:rFonts w:hint="default" w:ascii="Times New Roman" w:hAnsi="Times New Roman" w:cs="Times New Roman"/>
                      <w:color w:val="000000" w:themeColor="text1"/>
                      <w:sz w:val="21"/>
                      <w:szCs w:val="21"/>
                      <w:lang w:val="en-US" w:eastAsia="zh-CN"/>
                      <w14:textFill>
                        <w14:solidFill>
                          <w14:schemeClr w14:val="tx1"/>
                        </w14:solidFill>
                      </w14:textFill>
                    </w:rPr>
                    <w:t>1</w:t>
                  </w:r>
                </w:p>
              </w:tc>
              <w:tc>
                <w:tcPr>
                  <w:tcW w:w="633" w:type="pct"/>
                  <w:vMerge w:val="restart"/>
                  <w:shd w:val="clear" w:color="auto" w:fill="auto"/>
                  <w:noWrap w:val="0"/>
                  <w:vAlign w:val="center"/>
                </w:tcPr>
                <w:p w14:paraId="3B2C15E8">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54</w:t>
                  </w:r>
                </w:p>
              </w:tc>
              <w:tc>
                <w:tcPr>
                  <w:tcW w:w="703" w:type="pct"/>
                  <w:shd w:val="clear" w:color="auto" w:fill="auto"/>
                  <w:noWrap w:val="0"/>
                  <w:vAlign w:val="center"/>
                </w:tcPr>
                <w:p w14:paraId="321C5690">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59</w:t>
                  </w:r>
                </w:p>
              </w:tc>
              <w:tc>
                <w:tcPr>
                  <w:tcW w:w="703" w:type="pct"/>
                  <w:shd w:val="clear" w:color="auto" w:fill="auto"/>
                  <w:noWrap w:val="0"/>
                  <w:vAlign w:val="center"/>
                </w:tcPr>
                <w:p w14:paraId="6E82E154">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33</w:t>
                  </w:r>
                </w:p>
              </w:tc>
              <w:tc>
                <w:tcPr>
                  <w:tcW w:w="703" w:type="pct"/>
                  <w:shd w:val="clear" w:color="auto" w:fill="auto"/>
                  <w:noWrap w:val="0"/>
                  <w:vAlign w:val="center"/>
                </w:tcPr>
                <w:p w14:paraId="0CC01013">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5</w:t>
                  </w:r>
                </w:p>
              </w:tc>
              <w:tc>
                <w:tcPr>
                  <w:tcW w:w="703" w:type="pct"/>
                  <w:shd w:val="clear" w:color="auto" w:fill="auto"/>
                  <w:noWrap w:val="0"/>
                  <w:vAlign w:val="center"/>
                </w:tcPr>
                <w:p w14:paraId="5EB801BE">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13</w:t>
                  </w:r>
                </w:p>
              </w:tc>
            </w:tr>
            <w:tr w14:paraId="12C9A2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6" w:type="pct"/>
                  <w:shd w:val="clear" w:color="auto" w:fill="auto"/>
                  <w:noWrap w:val="0"/>
                  <w:vAlign w:val="center"/>
                </w:tcPr>
                <w:p w14:paraId="73AC8E4E">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贡献值dB（A）</w:t>
                  </w:r>
                </w:p>
              </w:tc>
              <w:tc>
                <w:tcPr>
                  <w:tcW w:w="807" w:type="pct"/>
                  <w:vMerge w:val="continue"/>
                  <w:noWrap w:val="0"/>
                  <w:vAlign w:val="center"/>
                </w:tcPr>
                <w:p w14:paraId="67CD9C4A">
                  <w:pPr>
                    <w:pStyle w:val="98"/>
                    <w:rPr>
                      <w:rFonts w:hint="default" w:ascii="Times New Roman" w:hAnsi="Times New Roman" w:cs="Times New Roman"/>
                      <w:color w:val="000000" w:themeColor="text1"/>
                      <w:szCs w:val="21"/>
                      <w14:textFill>
                        <w14:solidFill>
                          <w14:schemeClr w14:val="tx1"/>
                        </w14:solidFill>
                      </w14:textFill>
                    </w:rPr>
                  </w:pPr>
                </w:p>
              </w:tc>
              <w:tc>
                <w:tcPr>
                  <w:tcW w:w="633" w:type="pct"/>
                  <w:vMerge w:val="continue"/>
                  <w:noWrap w:val="0"/>
                  <w:vAlign w:val="center"/>
                </w:tcPr>
                <w:p w14:paraId="75BF9E9A">
                  <w:pPr>
                    <w:pStyle w:val="98"/>
                    <w:rPr>
                      <w:rFonts w:hint="default" w:ascii="Times New Roman" w:hAnsi="Times New Roman" w:cs="Times New Roman"/>
                      <w:color w:val="000000" w:themeColor="text1"/>
                      <w:szCs w:val="21"/>
                      <w14:textFill>
                        <w14:solidFill>
                          <w14:schemeClr w14:val="tx1"/>
                        </w14:solidFill>
                      </w14:textFill>
                    </w:rPr>
                  </w:pPr>
                </w:p>
              </w:tc>
              <w:tc>
                <w:tcPr>
                  <w:tcW w:w="703" w:type="pct"/>
                  <w:shd w:val="clear" w:color="auto" w:fill="auto"/>
                  <w:noWrap w:val="0"/>
                  <w:vAlign w:val="center"/>
                </w:tcPr>
                <w:p w14:paraId="04CB1515">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16</w:t>
                  </w:r>
                </w:p>
              </w:tc>
              <w:tc>
                <w:tcPr>
                  <w:tcW w:w="703" w:type="pct"/>
                  <w:shd w:val="clear" w:color="auto" w:fill="auto"/>
                  <w:noWrap w:val="0"/>
                  <w:vAlign w:val="center"/>
                </w:tcPr>
                <w:p w14:paraId="7707F3AD">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24</w:t>
                  </w:r>
                </w:p>
              </w:tc>
              <w:tc>
                <w:tcPr>
                  <w:tcW w:w="703" w:type="pct"/>
                  <w:shd w:val="clear" w:color="auto" w:fill="auto"/>
                  <w:noWrap w:val="0"/>
                  <w:vAlign w:val="center"/>
                </w:tcPr>
                <w:p w14:paraId="13ACB286">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40</w:t>
                  </w:r>
                </w:p>
              </w:tc>
              <w:tc>
                <w:tcPr>
                  <w:tcW w:w="703" w:type="pct"/>
                  <w:shd w:val="clear" w:color="auto" w:fill="auto"/>
                  <w:noWrap w:val="0"/>
                  <w:vAlign w:val="center"/>
                </w:tcPr>
                <w:p w14:paraId="676121CF">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32</w:t>
                  </w:r>
                </w:p>
              </w:tc>
            </w:tr>
            <w:tr w14:paraId="1D4763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6" w:type="pct"/>
                  <w:shd w:val="clear" w:color="auto" w:fill="auto"/>
                  <w:noWrap w:val="0"/>
                  <w:vAlign w:val="center"/>
                </w:tcPr>
                <w:p w14:paraId="3A811B2A">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距离（m）</w:t>
                  </w:r>
                </w:p>
              </w:tc>
              <w:tc>
                <w:tcPr>
                  <w:tcW w:w="807" w:type="pct"/>
                  <w:vMerge w:val="restart"/>
                  <w:shd w:val="clear" w:color="auto" w:fill="auto"/>
                  <w:noWrap w:val="0"/>
                  <w:vAlign w:val="center"/>
                </w:tcPr>
                <w:p w14:paraId="05EC6B0E">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混料机</w:t>
                  </w:r>
                  <w:r>
                    <w:rPr>
                      <w:rFonts w:hint="default" w:ascii="Times New Roman" w:hAnsi="Times New Roman" w:cs="Times New Roman"/>
                      <w:color w:val="000000" w:themeColor="text1"/>
                      <w:sz w:val="21"/>
                      <w:szCs w:val="21"/>
                      <w:lang w:val="en-US" w:eastAsia="zh-CN"/>
                      <w14:textFill>
                        <w14:solidFill>
                          <w14:schemeClr w14:val="tx1"/>
                        </w14:solidFill>
                      </w14:textFill>
                    </w:rPr>
                    <w:t>2</w:t>
                  </w:r>
                </w:p>
              </w:tc>
              <w:tc>
                <w:tcPr>
                  <w:tcW w:w="633" w:type="pct"/>
                  <w:vMerge w:val="restart"/>
                  <w:shd w:val="clear" w:color="auto" w:fill="auto"/>
                  <w:noWrap w:val="0"/>
                  <w:vAlign w:val="center"/>
                </w:tcPr>
                <w:p w14:paraId="4E09D710">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48</w:t>
                  </w:r>
                </w:p>
              </w:tc>
              <w:tc>
                <w:tcPr>
                  <w:tcW w:w="703" w:type="pct"/>
                  <w:shd w:val="clear" w:color="auto" w:fill="auto"/>
                  <w:noWrap w:val="0"/>
                  <w:vAlign w:val="center"/>
                </w:tcPr>
                <w:p w14:paraId="76B12576">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57</w:t>
                  </w:r>
                </w:p>
              </w:tc>
              <w:tc>
                <w:tcPr>
                  <w:tcW w:w="703" w:type="pct"/>
                  <w:shd w:val="clear" w:color="auto" w:fill="auto"/>
                  <w:noWrap w:val="0"/>
                  <w:vAlign w:val="center"/>
                </w:tcPr>
                <w:p w14:paraId="3ABCE399">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33</w:t>
                  </w:r>
                </w:p>
              </w:tc>
              <w:tc>
                <w:tcPr>
                  <w:tcW w:w="703" w:type="pct"/>
                  <w:shd w:val="clear" w:color="auto" w:fill="auto"/>
                  <w:noWrap w:val="0"/>
                  <w:vAlign w:val="center"/>
                </w:tcPr>
                <w:p w14:paraId="5250157C">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7</w:t>
                  </w:r>
                </w:p>
              </w:tc>
              <w:tc>
                <w:tcPr>
                  <w:tcW w:w="703" w:type="pct"/>
                  <w:shd w:val="clear" w:color="auto" w:fill="auto"/>
                  <w:noWrap w:val="0"/>
                  <w:vAlign w:val="center"/>
                </w:tcPr>
                <w:p w14:paraId="73F43C53">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13</w:t>
                  </w:r>
                </w:p>
              </w:tc>
            </w:tr>
            <w:tr w14:paraId="772B1D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6" w:type="pct"/>
                  <w:shd w:val="clear" w:color="auto" w:fill="auto"/>
                  <w:noWrap w:val="0"/>
                  <w:vAlign w:val="center"/>
                </w:tcPr>
                <w:p w14:paraId="10AA4EE3">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贡献值dB（A）</w:t>
                  </w:r>
                </w:p>
              </w:tc>
              <w:tc>
                <w:tcPr>
                  <w:tcW w:w="807" w:type="pct"/>
                  <w:vMerge w:val="continue"/>
                  <w:noWrap w:val="0"/>
                  <w:vAlign w:val="center"/>
                </w:tcPr>
                <w:p w14:paraId="085C352C">
                  <w:pPr>
                    <w:pStyle w:val="98"/>
                    <w:rPr>
                      <w:rFonts w:hint="default" w:ascii="Times New Roman" w:hAnsi="Times New Roman" w:cs="Times New Roman"/>
                      <w:color w:val="000000" w:themeColor="text1"/>
                      <w:szCs w:val="21"/>
                      <w14:textFill>
                        <w14:solidFill>
                          <w14:schemeClr w14:val="tx1"/>
                        </w14:solidFill>
                      </w14:textFill>
                    </w:rPr>
                  </w:pPr>
                </w:p>
              </w:tc>
              <w:tc>
                <w:tcPr>
                  <w:tcW w:w="633" w:type="pct"/>
                  <w:vMerge w:val="continue"/>
                  <w:noWrap w:val="0"/>
                  <w:vAlign w:val="center"/>
                </w:tcPr>
                <w:p w14:paraId="3C2ADA7D">
                  <w:pPr>
                    <w:pStyle w:val="98"/>
                    <w:rPr>
                      <w:rFonts w:hint="default" w:ascii="Times New Roman" w:hAnsi="Times New Roman" w:cs="Times New Roman"/>
                      <w:color w:val="000000" w:themeColor="text1"/>
                      <w:szCs w:val="21"/>
                      <w14:textFill>
                        <w14:solidFill>
                          <w14:schemeClr w14:val="tx1"/>
                        </w14:solidFill>
                      </w14:textFill>
                    </w:rPr>
                  </w:pPr>
                </w:p>
              </w:tc>
              <w:tc>
                <w:tcPr>
                  <w:tcW w:w="703" w:type="pct"/>
                  <w:shd w:val="clear" w:color="auto" w:fill="auto"/>
                  <w:noWrap w:val="0"/>
                  <w:vAlign w:val="center"/>
                </w:tcPr>
                <w:p w14:paraId="44853689">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13</w:t>
                  </w:r>
                </w:p>
              </w:tc>
              <w:tc>
                <w:tcPr>
                  <w:tcW w:w="703" w:type="pct"/>
                  <w:shd w:val="clear" w:color="auto" w:fill="auto"/>
                  <w:noWrap w:val="0"/>
                  <w:vAlign w:val="center"/>
                </w:tcPr>
                <w:p w14:paraId="4ADEC474">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18</w:t>
                  </w:r>
                </w:p>
              </w:tc>
              <w:tc>
                <w:tcPr>
                  <w:tcW w:w="703" w:type="pct"/>
                  <w:shd w:val="clear" w:color="auto" w:fill="auto"/>
                  <w:noWrap w:val="0"/>
                  <w:vAlign w:val="center"/>
                </w:tcPr>
                <w:p w14:paraId="3D269CE9">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31</w:t>
                  </w:r>
                </w:p>
              </w:tc>
              <w:tc>
                <w:tcPr>
                  <w:tcW w:w="703" w:type="pct"/>
                  <w:shd w:val="clear" w:color="auto" w:fill="auto"/>
                  <w:noWrap w:val="0"/>
                  <w:vAlign w:val="center"/>
                </w:tcPr>
                <w:p w14:paraId="7705D99D">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26</w:t>
                  </w:r>
                </w:p>
              </w:tc>
            </w:tr>
            <w:tr w14:paraId="76C9A4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6" w:type="pct"/>
                  <w:shd w:val="clear" w:color="auto" w:fill="auto"/>
                  <w:noWrap w:val="0"/>
                  <w:vAlign w:val="center"/>
                </w:tcPr>
                <w:p w14:paraId="4E2B077E">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距离（m）</w:t>
                  </w:r>
                </w:p>
              </w:tc>
              <w:tc>
                <w:tcPr>
                  <w:tcW w:w="807" w:type="pct"/>
                  <w:vMerge w:val="restart"/>
                  <w:shd w:val="clear" w:color="auto" w:fill="auto"/>
                  <w:noWrap w:val="0"/>
                  <w:vAlign w:val="center"/>
                </w:tcPr>
                <w:p w14:paraId="1D86BFF5">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空压机</w:t>
                  </w:r>
                </w:p>
              </w:tc>
              <w:tc>
                <w:tcPr>
                  <w:tcW w:w="633" w:type="pct"/>
                  <w:vMerge w:val="restart"/>
                  <w:shd w:val="clear" w:color="auto" w:fill="auto"/>
                  <w:noWrap w:val="0"/>
                  <w:vAlign w:val="center"/>
                </w:tcPr>
                <w:p w14:paraId="55BBCE03">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48</w:t>
                  </w:r>
                </w:p>
              </w:tc>
              <w:tc>
                <w:tcPr>
                  <w:tcW w:w="703" w:type="pct"/>
                  <w:shd w:val="clear" w:color="auto" w:fill="auto"/>
                  <w:noWrap w:val="0"/>
                  <w:vAlign w:val="center"/>
                </w:tcPr>
                <w:p w14:paraId="2F1EDC37">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54</w:t>
                  </w:r>
                </w:p>
              </w:tc>
              <w:tc>
                <w:tcPr>
                  <w:tcW w:w="703" w:type="pct"/>
                  <w:shd w:val="clear" w:color="auto" w:fill="auto"/>
                  <w:noWrap w:val="0"/>
                  <w:vAlign w:val="center"/>
                </w:tcPr>
                <w:p w14:paraId="697A139E">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32</w:t>
                  </w:r>
                </w:p>
              </w:tc>
              <w:tc>
                <w:tcPr>
                  <w:tcW w:w="703" w:type="pct"/>
                  <w:shd w:val="clear" w:color="auto" w:fill="auto"/>
                  <w:noWrap w:val="0"/>
                  <w:vAlign w:val="center"/>
                </w:tcPr>
                <w:p w14:paraId="3978C763">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10</w:t>
                  </w:r>
                </w:p>
              </w:tc>
              <w:tc>
                <w:tcPr>
                  <w:tcW w:w="703" w:type="pct"/>
                  <w:shd w:val="clear" w:color="auto" w:fill="auto"/>
                  <w:noWrap w:val="0"/>
                  <w:vAlign w:val="center"/>
                </w:tcPr>
                <w:p w14:paraId="55D2F0D9">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14</w:t>
                  </w:r>
                </w:p>
              </w:tc>
            </w:tr>
            <w:tr w14:paraId="40B652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6" w:type="pct"/>
                  <w:shd w:val="clear" w:color="auto" w:fill="auto"/>
                  <w:noWrap w:val="0"/>
                  <w:vAlign w:val="center"/>
                </w:tcPr>
                <w:p w14:paraId="2364EE9F">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贡献值dB（A）</w:t>
                  </w:r>
                </w:p>
              </w:tc>
              <w:tc>
                <w:tcPr>
                  <w:tcW w:w="807" w:type="pct"/>
                  <w:vMerge w:val="continue"/>
                  <w:noWrap w:val="0"/>
                  <w:vAlign w:val="center"/>
                </w:tcPr>
                <w:p w14:paraId="2D9158FC">
                  <w:pPr>
                    <w:pStyle w:val="98"/>
                    <w:rPr>
                      <w:rFonts w:hint="default" w:ascii="Times New Roman" w:hAnsi="Times New Roman" w:cs="Times New Roman"/>
                      <w:color w:val="000000" w:themeColor="text1"/>
                      <w:szCs w:val="21"/>
                      <w14:textFill>
                        <w14:solidFill>
                          <w14:schemeClr w14:val="tx1"/>
                        </w14:solidFill>
                      </w14:textFill>
                    </w:rPr>
                  </w:pPr>
                </w:p>
              </w:tc>
              <w:tc>
                <w:tcPr>
                  <w:tcW w:w="633" w:type="pct"/>
                  <w:vMerge w:val="continue"/>
                  <w:noWrap w:val="0"/>
                  <w:vAlign w:val="center"/>
                </w:tcPr>
                <w:p w14:paraId="3D4123A6">
                  <w:pPr>
                    <w:pStyle w:val="98"/>
                    <w:rPr>
                      <w:rFonts w:hint="default" w:ascii="Times New Roman" w:hAnsi="Times New Roman" w:cs="Times New Roman"/>
                      <w:color w:val="000000" w:themeColor="text1"/>
                      <w:szCs w:val="21"/>
                      <w14:textFill>
                        <w14:solidFill>
                          <w14:schemeClr w14:val="tx1"/>
                        </w14:solidFill>
                      </w14:textFill>
                    </w:rPr>
                  </w:pPr>
                </w:p>
              </w:tc>
              <w:tc>
                <w:tcPr>
                  <w:tcW w:w="703" w:type="pct"/>
                  <w:shd w:val="clear" w:color="auto" w:fill="auto"/>
                  <w:noWrap w:val="0"/>
                  <w:vAlign w:val="center"/>
                </w:tcPr>
                <w:p w14:paraId="69BE0C42">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13</w:t>
                  </w:r>
                </w:p>
              </w:tc>
              <w:tc>
                <w:tcPr>
                  <w:tcW w:w="703" w:type="pct"/>
                  <w:shd w:val="clear" w:color="auto" w:fill="auto"/>
                  <w:noWrap w:val="0"/>
                  <w:vAlign w:val="center"/>
                </w:tcPr>
                <w:p w14:paraId="53F228FB">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18</w:t>
                  </w:r>
                </w:p>
              </w:tc>
              <w:tc>
                <w:tcPr>
                  <w:tcW w:w="703" w:type="pct"/>
                  <w:shd w:val="clear" w:color="auto" w:fill="auto"/>
                  <w:noWrap w:val="0"/>
                  <w:vAlign w:val="center"/>
                </w:tcPr>
                <w:p w14:paraId="17D6DAAB">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28</w:t>
                  </w:r>
                </w:p>
              </w:tc>
              <w:tc>
                <w:tcPr>
                  <w:tcW w:w="703" w:type="pct"/>
                  <w:shd w:val="clear" w:color="auto" w:fill="auto"/>
                  <w:noWrap w:val="0"/>
                  <w:vAlign w:val="center"/>
                </w:tcPr>
                <w:p w14:paraId="3B85864F">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25</w:t>
                  </w:r>
                </w:p>
              </w:tc>
            </w:tr>
            <w:tr w14:paraId="267426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6" w:type="pct"/>
                  <w:shd w:val="clear" w:color="auto" w:fill="auto"/>
                  <w:noWrap w:val="0"/>
                  <w:vAlign w:val="center"/>
                </w:tcPr>
                <w:p w14:paraId="66759F78">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距离（m）</w:t>
                  </w:r>
                </w:p>
              </w:tc>
              <w:tc>
                <w:tcPr>
                  <w:tcW w:w="807" w:type="pct"/>
                  <w:vMerge w:val="restart"/>
                  <w:shd w:val="clear" w:color="auto" w:fill="auto"/>
                  <w:noWrap w:val="0"/>
                  <w:vAlign w:val="center"/>
                </w:tcPr>
                <w:p w14:paraId="36222466">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排胶电炉</w:t>
                  </w:r>
                  <w:r>
                    <w:rPr>
                      <w:rFonts w:hint="eastAsia" w:ascii="Times New Roman" w:hAnsi="Times New Roman" w:cs="Times New Roman"/>
                      <w:color w:val="000000" w:themeColor="text1"/>
                      <w:sz w:val="21"/>
                      <w:szCs w:val="21"/>
                      <w:lang w:val="en-US" w:eastAsia="zh-CN"/>
                      <w14:textFill>
                        <w14:solidFill>
                          <w14:schemeClr w14:val="tx1"/>
                        </w14:solidFill>
                      </w14:textFill>
                    </w:rPr>
                    <w:t>1</w:t>
                  </w:r>
                </w:p>
              </w:tc>
              <w:tc>
                <w:tcPr>
                  <w:tcW w:w="633" w:type="pct"/>
                  <w:vMerge w:val="restart"/>
                  <w:shd w:val="clear" w:color="auto" w:fill="auto"/>
                  <w:noWrap w:val="0"/>
                  <w:vAlign w:val="center"/>
                </w:tcPr>
                <w:p w14:paraId="598FEF9D">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60</w:t>
                  </w:r>
                </w:p>
              </w:tc>
              <w:tc>
                <w:tcPr>
                  <w:tcW w:w="703" w:type="pct"/>
                  <w:shd w:val="clear" w:color="auto" w:fill="auto"/>
                  <w:noWrap w:val="0"/>
                  <w:vAlign w:val="center"/>
                </w:tcPr>
                <w:p w14:paraId="610E8087">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26</w:t>
                  </w:r>
                </w:p>
              </w:tc>
              <w:tc>
                <w:tcPr>
                  <w:tcW w:w="703" w:type="pct"/>
                  <w:shd w:val="clear" w:color="auto" w:fill="auto"/>
                  <w:noWrap w:val="0"/>
                  <w:vAlign w:val="center"/>
                </w:tcPr>
                <w:p w14:paraId="00C86484">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38</w:t>
                  </w:r>
                </w:p>
              </w:tc>
              <w:tc>
                <w:tcPr>
                  <w:tcW w:w="703" w:type="pct"/>
                  <w:shd w:val="clear" w:color="auto" w:fill="auto"/>
                  <w:noWrap w:val="0"/>
                  <w:vAlign w:val="center"/>
                </w:tcPr>
                <w:p w14:paraId="74DC78E4">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38</w:t>
                  </w:r>
                </w:p>
              </w:tc>
              <w:tc>
                <w:tcPr>
                  <w:tcW w:w="703" w:type="pct"/>
                  <w:shd w:val="clear" w:color="auto" w:fill="auto"/>
                  <w:noWrap w:val="0"/>
                  <w:vAlign w:val="center"/>
                </w:tcPr>
                <w:p w14:paraId="5507F0E1">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8</w:t>
                  </w:r>
                </w:p>
              </w:tc>
            </w:tr>
            <w:tr w14:paraId="024E18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6" w:type="pct"/>
                  <w:shd w:val="clear" w:color="auto" w:fill="auto"/>
                  <w:noWrap w:val="0"/>
                  <w:vAlign w:val="center"/>
                </w:tcPr>
                <w:p w14:paraId="76131D9E">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贡献值dB（A）</w:t>
                  </w:r>
                </w:p>
              </w:tc>
              <w:tc>
                <w:tcPr>
                  <w:tcW w:w="807" w:type="pct"/>
                  <w:vMerge w:val="continue"/>
                  <w:noWrap w:val="0"/>
                  <w:vAlign w:val="center"/>
                </w:tcPr>
                <w:p w14:paraId="0D777EA0">
                  <w:pPr>
                    <w:pStyle w:val="98"/>
                    <w:rPr>
                      <w:rFonts w:hint="default" w:ascii="Times New Roman" w:hAnsi="Times New Roman" w:cs="Times New Roman"/>
                      <w:color w:val="000000" w:themeColor="text1"/>
                      <w:szCs w:val="21"/>
                      <w14:textFill>
                        <w14:solidFill>
                          <w14:schemeClr w14:val="tx1"/>
                        </w14:solidFill>
                      </w14:textFill>
                    </w:rPr>
                  </w:pPr>
                </w:p>
              </w:tc>
              <w:tc>
                <w:tcPr>
                  <w:tcW w:w="633" w:type="pct"/>
                  <w:vMerge w:val="continue"/>
                  <w:noWrap w:val="0"/>
                  <w:vAlign w:val="center"/>
                </w:tcPr>
                <w:p w14:paraId="0EBAE439">
                  <w:pPr>
                    <w:pStyle w:val="98"/>
                    <w:rPr>
                      <w:rFonts w:hint="default" w:ascii="Times New Roman" w:hAnsi="Times New Roman" w:cs="Times New Roman"/>
                      <w:color w:val="000000" w:themeColor="text1"/>
                      <w:szCs w:val="21"/>
                      <w14:textFill>
                        <w14:solidFill>
                          <w14:schemeClr w14:val="tx1"/>
                        </w14:solidFill>
                      </w14:textFill>
                    </w:rPr>
                  </w:pPr>
                </w:p>
              </w:tc>
              <w:tc>
                <w:tcPr>
                  <w:tcW w:w="703" w:type="pct"/>
                  <w:shd w:val="clear" w:color="auto" w:fill="auto"/>
                  <w:noWrap w:val="0"/>
                  <w:vAlign w:val="center"/>
                </w:tcPr>
                <w:p w14:paraId="653607B4">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32</w:t>
                  </w:r>
                </w:p>
              </w:tc>
              <w:tc>
                <w:tcPr>
                  <w:tcW w:w="703" w:type="pct"/>
                  <w:shd w:val="clear" w:color="auto" w:fill="auto"/>
                  <w:noWrap w:val="0"/>
                  <w:vAlign w:val="center"/>
                </w:tcPr>
                <w:p w14:paraId="68B9A8A1">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28</w:t>
                  </w:r>
                </w:p>
              </w:tc>
              <w:tc>
                <w:tcPr>
                  <w:tcW w:w="703" w:type="pct"/>
                  <w:shd w:val="clear" w:color="auto" w:fill="auto"/>
                  <w:noWrap w:val="0"/>
                  <w:vAlign w:val="center"/>
                </w:tcPr>
                <w:p w14:paraId="595198A7">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28</w:t>
                  </w:r>
                </w:p>
              </w:tc>
              <w:tc>
                <w:tcPr>
                  <w:tcW w:w="703" w:type="pct"/>
                  <w:shd w:val="clear" w:color="auto" w:fill="auto"/>
                  <w:noWrap w:val="0"/>
                  <w:vAlign w:val="center"/>
                </w:tcPr>
                <w:p w14:paraId="63C9C3AA">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42</w:t>
                  </w:r>
                </w:p>
              </w:tc>
            </w:tr>
            <w:tr w14:paraId="10BA6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6" w:type="pct"/>
                  <w:shd w:val="clear" w:color="auto" w:fill="auto"/>
                  <w:noWrap w:val="0"/>
                  <w:vAlign w:val="center"/>
                </w:tcPr>
                <w:p w14:paraId="3AB59259">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距离（m）</w:t>
                  </w:r>
                </w:p>
              </w:tc>
              <w:tc>
                <w:tcPr>
                  <w:tcW w:w="807" w:type="pct"/>
                  <w:vMerge w:val="restart"/>
                  <w:shd w:val="clear" w:color="auto" w:fill="auto"/>
                  <w:noWrap w:val="0"/>
                  <w:vAlign w:val="center"/>
                </w:tcPr>
                <w:p w14:paraId="1025F371">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排胶电炉</w:t>
                  </w:r>
                  <w:r>
                    <w:rPr>
                      <w:rFonts w:hint="eastAsia" w:ascii="Times New Roman" w:hAnsi="Times New Roman" w:cs="Times New Roman"/>
                      <w:color w:val="000000" w:themeColor="text1"/>
                      <w:sz w:val="21"/>
                      <w:szCs w:val="21"/>
                      <w:lang w:val="en-US" w:eastAsia="zh-CN"/>
                      <w14:textFill>
                        <w14:solidFill>
                          <w14:schemeClr w14:val="tx1"/>
                        </w14:solidFill>
                      </w14:textFill>
                    </w:rPr>
                    <w:t>2</w:t>
                  </w:r>
                </w:p>
              </w:tc>
              <w:tc>
                <w:tcPr>
                  <w:tcW w:w="633" w:type="pct"/>
                  <w:vMerge w:val="restart"/>
                  <w:shd w:val="clear" w:color="auto" w:fill="auto"/>
                  <w:noWrap w:val="0"/>
                  <w:vAlign w:val="center"/>
                </w:tcPr>
                <w:p w14:paraId="189D33ED">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58</w:t>
                  </w:r>
                </w:p>
              </w:tc>
              <w:tc>
                <w:tcPr>
                  <w:tcW w:w="703" w:type="pct"/>
                  <w:shd w:val="clear" w:color="auto" w:fill="auto"/>
                  <w:noWrap w:val="0"/>
                  <w:vAlign w:val="center"/>
                </w:tcPr>
                <w:p w14:paraId="3B18577C">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26</w:t>
                  </w:r>
                </w:p>
              </w:tc>
              <w:tc>
                <w:tcPr>
                  <w:tcW w:w="703" w:type="pct"/>
                  <w:shd w:val="clear" w:color="auto" w:fill="auto"/>
                  <w:noWrap w:val="0"/>
                  <w:vAlign w:val="center"/>
                </w:tcPr>
                <w:p w14:paraId="3FDFEC8A">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37</w:t>
                  </w:r>
                </w:p>
              </w:tc>
              <w:tc>
                <w:tcPr>
                  <w:tcW w:w="703" w:type="pct"/>
                  <w:shd w:val="clear" w:color="auto" w:fill="auto"/>
                  <w:noWrap w:val="0"/>
                  <w:vAlign w:val="center"/>
                </w:tcPr>
                <w:p w14:paraId="4B0D6AAC">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38</w:t>
                  </w:r>
                </w:p>
              </w:tc>
              <w:tc>
                <w:tcPr>
                  <w:tcW w:w="703" w:type="pct"/>
                  <w:shd w:val="clear" w:color="auto" w:fill="auto"/>
                  <w:noWrap w:val="0"/>
                  <w:vAlign w:val="center"/>
                </w:tcPr>
                <w:p w14:paraId="6987EDE4">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9</w:t>
                  </w:r>
                </w:p>
              </w:tc>
            </w:tr>
            <w:tr w14:paraId="51094F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6" w:type="pct"/>
                  <w:shd w:val="clear" w:color="auto" w:fill="auto"/>
                  <w:noWrap w:val="0"/>
                  <w:vAlign w:val="center"/>
                </w:tcPr>
                <w:p w14:paraId="2C9351A7">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贡献值dB（A）</w:t>
                  </w:r>
                </w:p>
              </w:tc>
              <w:tc>
                <w:tcPr>
                  <w:tcW w:w="807" w:type="pct"/>
                  <w:vMerge w:val="continue"/>
                  <w:noWrap w:val="0"/>
                  <w:vAlign w:val="center"/>
                </w:tcPr>
                <w:p w14:paraId="5B632B79">
                  <w:pPr>
                    <w:pStyle w:val="98"/>
                    <w:rPr>
                      <w:rFonts w:hint="default" w:ascii="Times New Roman" w:hAnsi="Times New Roman" w:cs="Times New Roman"/>
                      <w:color w:val="000000" w:themeColor="text1"/>
                      <w:szCs w:val="21"/>
                      <w14:textFill>
                        <w14:solidFill>
                          <w14:schemeClr w14:val="tx1"/>
                        </w14:solidFill>
                      </w14:textFill>
                    </w:rPr>
                  </w:pPr>
                </w:p>
              </w:tc>
              <w:tc>
                <w:tcPr>
                  <w:tcW w:w="633" w:type="pct"/>
                  <w:vMerge w:val="continue"/>
                  <w:noWrap w:val="0"/>
                  <w:vAlign w:val="center"/>
                </w:tcPr>
                <w:p w14:paraId="180B0E31">
                  <w:pPr>
                    <w:pStyle w:val="98"/>
                    <w:rPr>
                      <w:rFonts w:hint="default" w:ascii="Times New Roman" w:hAnsi="Times New Roman" w:cs="Times New Roman"/>
                      <w:color w:val="000000" w:themeColor="text1"/>
                      <w:szCs w:val="21"/>
                      <w14:textFill>
                        <w14:solidFill>
                          <w14:schemeClr w14:val="tx1"/>
                        </w14:solidFill>
                      </w14:textFill>
                    </w:rPr>
                  </w:pPr>
                </w:p>
              </w:tc>
              <w:tc>
                <w:tcPr>
                  <w:tcW w:w="703" w:type="pct"/>
                  <w:shd w:val="clear" w:color="auto" w:fill="auto"/>
                  <w:noWrap w:val="0"/>
                  <w:vAlign w:val="center"/>
                </w:tcPr>
                <w:p w14:paraId="19FACBEB">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30</w:t>
                  </w:r>
                </w:p>
              </w:tc>
              <w:tc>
                <w:tcPr>
                  <w:tcW w:w="703" w:type="pct"/>
                  <w:shd w:val="clear" w:color="auto" w:fill="auto"/>
                  <w:noWrap w:val="0"/>
                  <w:vAlign w:val="center"/>
                </w:tcPr>
                <w:p w14:paraId="0DB24336">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27</w:t>
                  </w:r>
                </w:p>
              </w:tc>
              <w:tc>
                <w:tcPr>
                  <w:tcW w:w="703" w:type="pct"/>
                  <w:shd w:val="clear" w:color="auto" w:fill="auto"/>
                  <w:noWrap w:val="0"/>
                  <w:vAlign w:val="center"/>
                </w:tcPr>
                <w:p w14:paraId="347D7DFC">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26</w:t>
                  </w:r>
                </w:p>
              </w:tc>
              <w:tc>
                <w:tcPr>
                  <w:tcW w:w="703" w:type="pct"/>
                  <w:shd w:val="clear" w:color="auto" w:fill="auto"/>
                  <w:noWrap w:val="0"/>
                  <w:vAlign w:val="center"/>
                </w:tcPr>
                <w:p w14:paraId="19EB5850">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39</w:t>
                  </w:r>
                </w:p>
              </w:tc>
            </w:tr>
            <w:tr w14:paraId="17C287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6" w:type="pct"/>
                  <w:shd w:val="clear" w:color="auto" w:fill="auto"/>
                  <w:noWrap w:val="0"/>
                  <w:vAlign w:val="center"/>
                </w:tcPr>
                <w:p w14:paraId="6BCA1191">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距离（m）</w:t>
                  </w:r>
                </w:p>
              </w:tc>
              <w:tc>
                <w:tcPr>
                  <w:tcW w:w="807" w:type="pct"/>
                  <w:vMerge w:val="restart"/>
                  <w:shd w:val="clear" w:color="auto" w:fill="auto"/>
                  <w:noWrap w:val="0"/>
                  <w:vAlign w:val="center"/>
                </w:tcPr>
                <w:p w14:paraId="64CDCFE1">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烧结</w:t>
                  </w:r>
                  <w:r>
                    <w:rPr>
                      <w:rFonts w:hint="eastAsia" w:ascii="Times New Roman" w:hAnsi="Times New Roman" w:cs="Times New Roman"/>
                      <w:color w:val="000000" w:themeColor="text1"/>
                      <w:sz w:val="21"/>
                      <w:szCs w:val="21"/>
                      <w:lang w:val="en-US" w:eastAsia="zh-CN"/>
                      <w14:textFill>
                        <w14:solidFill>
                          <w14:schemeClr w14:val="tx1"/>
                        </w14:solidFill>
                      </w14:textFill>
                    </w:rPr>
                    <w:t>炉</w:t>
                  </w:r>
                  <w:r>
                    <w:rPr>
                      <w:rFonts w:hint="eastAsia" w:cs="Times New Roman"/>
                      <w:color w:val="000000" w:themeColor="text1"/>
                      <w:sz w:val="21"/>
                      <w:szCs w:val="21"/>
                      <w:lang w:val="en-US" w:eastAsia="zh-CN"/>
                      <w14:textFill>
                        <w14:solidFill>
                          <w14:schemeClr w14:val="tx1"/>
                        </w14:solidFill>
                      </w14:textFill>
                    </w:rPr>
                    <w:t>1</w:t>
                  </w:r>
                </w:p>
              </w:tc>
              <w:tc>
                <w:tcPr>
                  <w:tcW w:w="633" w:type="pct"/>
                  <w:vMerge w:val="restart"/>
                  <w:shd w:val="clear" w:color="auto" w:fill="auto"/>
                  <w:noWrap w:val="0"/>
                  <w:vAlign w:val="center"/>
                </w:tcPr>
                <w:p w14:paraId="0B2C8108">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56</w:t>
                  </w:r>
                </w:p>
              </w:tc>
              <w:tc>
                <w:tcPr>
                  <w:tcW w:w="703" w:type="pct"/>
                  <w:shd w:val="clear" w:color="auto" w:fill="auto"/>
                  <w:noWrap w:val="0"/>
                  <w:vAlign w:val="center"/>
                </w:tcPr>
                <w:p w14:paraId="0DF59465">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26</w:t>
                  </w:r>
                </w:p>
              </w:tc>
              <w:tc>
                <w:tcPr>
                  <w:tcW w:w="703" w:type="pct"/>
                  <w:shd w:val="clear" w:color="auto" w:fill="auto"/>
                  <w:noWrap w:val="0"/>
                  <w:vAlign w:val="center"/>
                </w:tcPr>
                <w:p w14:paraId="301C4DEB">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36</w:t>
                  </w:r>
                </w:p>
              </w:tc>
              <w:tc>
                <w:tcPr>
                  <w:tcW w:w="703" w:type="pct"/>
                  <w:shd w:val="clear" w:color="auto" w:fill="auto"/>
                  <w:noWrap w:val="0"/>
                  <w:vAlign w:val="center"/>
                </w:tcPr>
                <w:p w14:paraId="0503AC5F">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38</w:t>
                  </w:r>
                </w:p>
              </w:tc>
              <w:tc>
                <w:tcPr>
                  <w:tcW w:w="703" w:type="pct"/>
                  <w:shd w:val="clear" w:color="auto" w:fill="auto"/>
                  <w:noWrap w:val="0"/>
                  <w:vAlign w:val="center"/>
                </w:tcPr>
                <w:p w14:paraId="1378EEC7">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10</w:t>
                  </w:r>
                </w:p>
              </w:tc>
            </w:tr>
            <w:tr w14:paraId="796104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6" w:type="pct"/>
                  <w:shd w:val="clear" w:color="auto" w:fill="auto"/>
                  <w:noWrap w:val="0"/>
                  <w:vAlign w:val="center"/>
                </w:tcPr>
                <w:p w14:paraId="2BF97A30">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贡献值dB（A）</w:t>
                  </w:r>
                </w:p>
              </w:tc>
              <w:tc>
                <w:tcPr>
                  <w:tcW w:w="807" w:type="pct"/>
                  <w:vMerge w:val="continue"/>
                  <w:noWrap w:val="0"/>
                  <w:vAlign w:val="center"/>
                </w:tcPr>
                <w:p w14:paraId="233BDD52">
                  <w:pPr>
                    <w:pStyle w:val="98"/>
                    <w:rPr>
                      <w:rFonts w:hint="default" w:ascii="Times New Roman" w:hAnsi="Times New Roman" w:cs="Times New Roman"/>
                      <w:color w:val="000000" w:themeColor="text1"/>
                      <w:szCs w:val="21"/>
                      <w14:textFill>
                        <w14:solidFill>
                          <w14:schemeClr w14:val="tx1"/>
                        </w14:solidFill>
                      </w14:textFill>
                    </w:rPr>
                  </w:pPr>
                </w:p>
              </w:tc>
              <w:tc>
                <w:tcPr>
                  <w:tcW w:w="633" w:type="pct"/>
                  <w:vMerge w:val="continue"/>
                  <w:noWrap w:val="0"/>
                  <w:vAlign w:val="center"/>
                </w:tcPr>
                <w:p w14:paraId="2C379E7F">
                  <w:pPr>
                    <w:pStyle w:val="98"/>
                    <w:rPr>
                      <w:rFonts w:hint="default" w:ascii="Times New Roman" w:hAnsi="Times New Roman" w:cs="Times New Roman"/>
                      <w:color w:val="000000" w:themeColor="text1"/>
                      <w:szCs w:val="21"/>
                      <w14:textFill>
                        <w14:solidFill>
                          <w14:schemeClr w14:val="tx1"/>
                        </w14:solidFill>
                      </w14:textFill>
                    </w:rPr>
                  </w:pPr>
                </w:p>
              </w:tc>
              <w:tc>
                <w:tcPr>
                  <w:tcW w:w="703" w:type="pct"/>
                  <w:shd w:val="clear" w:color="auto" w:fill="auto"/>
                  <w:noWrap w:val="0"/>
                  <w:vAlign w:val="center"/>
                </w:tcPr>
                <w:p w14:paraId="591577D0">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28</w:t>
                  </w:r>
                </w:p>
              </w:tc>
              <w:tc>
                <w:tcPr>
                  <w:tcW w:w="703" w:type="pct"/>
                  <w:shd w:val="clear" w:color="auto" w:fill="auto"/>
                  <w:noWrap w:val="0"/>
                  <w:vAlign w:val="center"/>
                </w:tcPr>
                <w:p w14:paraId="77D90132">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25</w:t>
                  </w:r>
                </w:p>
              </w:tc>
              <w:tc>
                <w:tcPr>
                  <w:tcW w:w="703" w:type="pct"/>
                  <w:shd w:val="clear" w:color="auto" w:fill="auto"/>
                  <w:noWrap w:val="0"/>
                  <w:vAlign w:val="center"/>
                </w:tcPr>
                <w:p w14:paraId="1E557521">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24</w:t>
                  </w:r>
                </w:p>
              </w:tc>
              <w:tc>
                <w:tcPr>
                  <w:tcW w:w="703" w:type="pct"/>
                  <w:shd w:val="clear" w:color="auto" w:fill="auto"/>
                  <w:noWrap w:val="0"/>
                  <w:vAlign w:val="center"/>
                </w:tcPr>
                <w:p w14:paraId="149D2A83">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36</w:t>
                  </w:r>
                </w:p>
              </w:tc>
            </w:tr>
            <w:tr w14:paraId="70F57E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746" w:type="pct"/>
                  <w:shd w:val="clear" w:color="auto" w:fill="auto"/>
                  <w:noWrap w:val="0"/>
                  <w:vAlign w:val="center"/>
                </w:tcPr>
                <w:p w14:paraId="5B1042D2">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距离（m）</w:t>
                  </w:r>
                </w:p>
              </w:tc>
              <w:tc>
                <w:tcPr>
                  <w:tcW w:w="807" w:type="pct"/>
                  <w:vMerge w:val="restart"/>
                  <w:shd w:val="clear" w:color="auto" w:fill="auto"/>
                  <w:noWrap w:val="0"/>
                  <w:vAlign w:val="center"/>
                </w:tcPr>
                <w:p w14:paraId="72F9AD18">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烧结</w:t>
                  </w:r>
                  <w:r>
                    <w:rPr>
                      <w:rFonts w:hint="eastAsia" w:ascii="Times New Roman" w:hAnsi="Times New Roman" w:cs="Times New Roman"/>
                      <w:color w:val="000000" w:themeColor="text1"/>
                      <w:sz w:val="21"/>
                      <w:szCs w:val="21"/>
                      <w:lang w:val="en-US" w:eastAsia="zh-CN"/>
                      <w14:textFill>
                        <w14:solidFill>
                          <w14:schemeClr w14:val="tx1"/>
                        </w14:solidFill>
                      </w14:textFill>
                    </w:rPr>
                    <w:t>炉</w:t>
                  </w:r>
                  <w:r>
                    <w:rPr>
                      <w:rFonts w:hint="eastAsia" w:cs="Times New Roman"/>
                      <w:color w:val="000000" w:themeColor="text1"/>
                      <w:sz w:val="21"/>
                      <w:szCs w:val="21"/>
                      <w:lang w:val="en-US" w:eastAsia="zh-CN"/>
                      <w14:textFill>
                        <w14:solidFill>
                          <w14:schemeClr w14:val="tx1"/>
                        </w14:solidFill>
                      </w14:textFill>
                    </w:rPr>
                    <w:t>2</w:t>
                  </w:r>
                </w:p>
              </w:tc>
              <w:tc>
                <w:tcPr>
                  <w:tcW w:w="633" w:type="pct"/>
                  <w:vMerge w:val="restart"/>
                  <w:shd w:val="clear" w:color="auto" w:fill="auto"/>
                  <w:noWrap w:val="0"/>
                  <w:vAlign w:val="center"/>
                </w:tcPr>
                <w:p w14:paraId="4B9087B9">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54</w:t>
                  </w:r>
                </w:p>
              </w:tc>
              <w:tc>
                <w:tcPr>
                  <w:tcW w:w="703" w:type="pct"/>
                  <w:shd w:val="clear" w:color="auto" w:fill="auto"/>
                  <w:noWrap w:val="0"/>
                  <w:vAlign w:val="center"/>
                </w:tcPr>
                <w:p w14:paraId="09959C5C">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26</w:t>
                  </w:r>
                </w:p>
              </w:tc>
              <w:tc>
                <w:tcPr>
                  <w:tcW w:w="703" w:type="pct"/>
                  <w:shd w:val="clear" w:color="auto" w:fill="auto"/>
                  <w:noWrap w:val="0"/>
                  <w:vAlign w:val="center"/>
                </w:tcPr>
                <w:p w14:paraId="10E44F2B">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35</w:t>
                  </w:r>
                </w:p>
              </w:tc>
              <w:tc>
                <w:tcPr>
                  <w:tcW w:w="703" w:type="pct"/>
                  <w:shd w:val="clear" w:color="auto" w:fill="auto"/>
                  <w:noWrap w:val="0"/>
                  <w:vAlign w:val="center"/>
                </w:tcPr>
                <w:p w14:paraId="628AF3ED">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38</w:t>
                  </w:r>
                </w:p>
              </w:tc>
              <w:tc>
                <w:tcPr>
                  <w:tcW w:w="703" w:type="pct"/>
                  <w:shd w:val="clear" w:color="auto" w:fill="auto"/>
                  <w:noWrap w:val="0"/>
                  <w:vAlign w:val="center"/>
                </w:tcPr>
                <w:p w14:paraId="5A3D3325">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11</w:t>
                  </w:r>
                </w:p>
              </w:tc>
            </w:tr>
            <w:tr w14:paraId="3D6853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6" w:type="pct"/>
                  <w:shd w:val="clear" w:color="auto" w:fill="auto"/>
                  <w:noWrap w:val="0"/>
                  <w:vAlign w:val="center"/>
                </w:tcPr>
                <w:p w14:paraId="1FB1548C">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贡献值dB（A）</w:t>
                  </w:r>
                </w:p>
              </w:tc>
              <w:tc>
                <w:tcPr>
                  <w:tcW w:w="807" w:type="pct"/>
                  <w:vMerge w:val="continue"/>
                  <w:noWrap w:val="0"/>
                  <w:vAlign w:val="center"/>
                </w:tcPr>
                <w:p w14:paraId="1ED31F2E">
                  <w:pPr>
                    <w:pStyle w:val="98"/>
                    <w:rPr>
                      <w:rFonts w:hint="default" w:ascii="Times New Roman" w:hAnsi="Times New Roman" w:cs="Times New Roman"/>
                      <w:color w:val="000000" w:themeColor="text1"/>
                      <w:szCs w:val="21"/>
                      <w14:textFill>
                        <w14:solidFill>
                          <w14:schemeClr w14:val="tx1"/>
                        </w14:solidFill>
                      </w14:textFill>
                    </w:rPr>
                  </w:pPr>
                </w:p>
              </w:tc>
              <w:tc>
                <w:tcPr>
                  <w:tcW w:w="633" w:type="pct"/>
                  <w:vMerge w:val="continue"/>
                  <w:noWrap w:val="0"/>
                  <w:vAlign w:val="center"/>
                </w:tcPr>
                <w:p w14:paraId="3C1F3F08">
                  <w:pPr>
                    <w:pStyle w:val="98"/>
                    <w:rPr>
                      <w:rFonts w:hint="default" w:ascii="Times New Roman" w:hAnsi="Times New Roman" w:cs="Times New Roman"/>
                      <w:color w:val="000000" w:themeColor="text1"/>
                      <w:szCs w:val="21"/>
                      <w14:textFill>
                        <w14:solidFill>
                          <w14:schemeClr w14:val="tx1"/>
                        </w14:solidFill>
                      </w14:textFill>
                    </w:rPr>
                  </w:pPr>
                </w:p>
              </w:tc>
              <w:tc>
                <w:tcPr>
                  <w:tcW w:w="703" w:type="pct"/>
                  <w:shd w:val="clear" w:color="auto" w:fill="auto"/>
                  <w:noWrap w:val="0"/>
                  <w:vAlign w:val="center"/>
                </w:tcPr>
                <w:p w14:paraId="4D6A35F6">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36</w:t>
                  </w:r>
                </w:p>
              </w:tc>
              <w:tc>
                <w:tcPr>
                  <w:tcW w:w="703" w:type="pct"/>
                  <w:shd w:val="clear" w:color="auto" w:fill="auto"/>
                  <w:noWrap w:val="0"/>
                  <w:vAlign w:val="center"/>
                </w:tcPr>
                <w:p w14:paraId="799457EF">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23</w:t>
                  </w:r>
                </w:p>
              </w:tc>
              <w:tc>
                <w:tcPr>
                  <w:tcW w:w="703" w:type="pct"/>
                  <w:shd w:val="clear" w:color="auto" w:fill="auto"/>
                  <w:noWrap w:val="0"/>
                  <w:vAlign w:val="center"/>
                </w:tcPr>
                <w:p w14:paraId="7A57E544">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22</w:t>
                  </w:r>
                </w:p>
              </w:tc>
              <w:tc>
                <w:tcPr>
                  <w:tcW w:w="703" w:type="pct"/>
                  <w:shd w:val="clear" w:color="auto" w:fill="auto"/>
                  <w:noWrap w:val="0"/>
                  <w:vAlign w:val="center"/>
                </w:tcPr>
                <w:p w14:paraId="5627FFFD">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33</w:t>
                  </w:r>
                </w:p>
              </w:tc>
            </w:tr>
            <w:tr w14:paraId="60AE58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6" w:type="pct"/>
                  <w:shd w:val="clear" w:color="auto" w:fill="auto"/>
                  <w:noWrap w:val="0"/>
                  <w:vAlign w:val="center"/>
                </w:tcPr>
                <w:p w14:paraId="2D1838C6">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距离（m）</w:t>
                  </w:r>
                </w:p>
              </w:tc>
              <w:tc>
                <w:tcPr>
                  <w:tcW w:w="807" w:type="pct"/>
                  <w:vMerge w:val="restart"/>
                  <w:shd w:val="clear" w:color="auto" w:fill="auto"/>
                  <w:noWrap w:val="0"/>
                  <w:vAlign w:val="center"/>
                </w:tcPr>
                <w:p w14:paraId="52FE0F4B">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烧结</w:t>
                  </w:r>
                  <w:r>
                    <w:rPr>
                      <w:rFonts w:hint="eastAsia" w:ascii="Times New Roman" w:hAnsi="Times New Roman" w:cs="Times New Roman"/>
                      <w:color w:val="000000" w:themeColor="text1"/>
                      <w:sz w:val="21"/>
                      <w:szCs w:val="21"/>
                      <w:lang w:val="en-US" w:eastAsia="zh-CN"/>
                      <w14:textFill>
                        <w14:solidFill>
                          <w14:schemeClr w14:val="tx1"/>
                        </w14:solidFill>
                      </w14:textFill>
                    </w:rPr>
                    <w:t>炉</w:t>
                  </w:r>
                  <w:r>
                    <w:rPr>
                      <w:rFonts w:hint="eastAsia" w:cs="Times New Roman"/>
                      <w:color w:val="000000" w:themeColor="text1"/>
                      <w:sz w:val="21"/>
                      <w:szCs w:val="21"/>
                      <w:lang w:val="en-US" w:eastAsia="zh-CN"/>
                      <w14:textFill>
                        <w14:solidFill>
                          <w14:schemeClr w14:val="tx1"/>
                        </w14:solidFill>
                      </w14:textFill>
                    </w:rPr>
                    <w:t>3</w:t>
                  </w:r>
                </w:p>
              </w:tc>
              <w:tc>
                <w:tcPr>
                  <w:tcW w:w="633" w:type="pct"/>
                  <w:vMerge w:val="restart"/>
                  <w:shd w:val="clear" w:color="auto" w:fill="auto"/>
                  <w:noWrap w:val="0"/>
                  <w:vAlign w:val="center"/>
                </w:tcPr>
                <w:p w14:paraId="493343DA">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53</w:t>
                  </w:r>
                </w:p>
              </w:tc>
              <w:tc>
                <w:tcPr>
                  <w:tcW w:w="703" w:type="pct"/>
                  <w:shd w:val="clear" w:color="auto" w:fill="auto"/>
                  <w:noWrap w:val="0"/>
                  <w:vAlign w:val="center"/>
                </w:tcPr>
                <w:p w14:paraId="7DD0ADE2">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26</w:t>
                  </w:r>
                </w:p>
              </w:tc>
              <w:tc>
                <w:tcPr>
                  <w:tcW w:w="703" w:type="pct"/>
                  <w:shd w:val="clear" w:color="auto" w:fill="auto"/>
                  <w:noWrap w:val="0"/>
                  <w:vAlign w:val="center"/>
                </w:tcPr>
                <w:p w14:paraId="5FC68C47">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34</w:t>
                  </w:r>
                </w:p>
              </w:tc>
              <w:tc>
                <w:tcPr>
                  <w:tcW w:w="703" w:type="pct"/>
                  <w:shd w:val="clear" w:color="auto" w:fill="auto"/>
                  <w:noWrap w:val="0"/>
                  <w:vAlign w:val="center"/>
                </w:tcPr>
                <w:p w14:paraId="5D9EBF17">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38</w:t>
                  </w:r>
                </w:p>
              </w:tc>
              <w:tc>
                <w:tcPr>
                  <w:tcW w:w="703" w:type="pct"/>
                  <w:shd w:val="clear" w:color="auto" w:fill="auto"/>
                  <w:noWrap w:val="0"/>
                  <w:vAlign w:val="center"/>
                </w:tcPr>
                <w:p w14:paraId="73250AC2">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12</w:t>
                  </w:r>
                </w:p>
              </w:tc>
            </w:tr>
            <w:tr w14:paraId="4A34D6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6" w:type="pct"/>
                  <w:shd w:val="clear" w:color="auto" w:fill="auto"/>
                  <w:noWrap w:val="0"/>
                  <w:vAlign w:val="center"/>
                </w:tcPr>
                <w:p w14:paraId="18E0D597">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贡献值dB（A）</w:t>
                  </w:r>
                </w:p>
              </w:tc>
              <w:tc>
                <w:tcPr>
                  <w:tcW w:w="807" w:type="pct"/>
                  <w:vMerge w:val="continue"/>
                  <w:noWrap w:val="0"/>
                  <w:vAlign w:val="center"/>
                </w:tcPr>
                <w:p w14:paraId="3247F1E9">
                  <w:pPr>
                    <w:pStyle w:val="98"/>
                    <w:rPr>
                      <w:rFonts w:hint="default" w:ascii="Times New Roman" w:hAnsi="Times New Roman" w:cs="Times New Roman"/>
                      <w:color w:val="000000" w:themeColor="text1"/>
                      <w:szCs w:val="21"/>
                      <w14:textFill>
                        <w14:solidFill>
                          <w14:schemeClr w14:val="tx1"/>
                        </w14:solidFill>
                      </w14:textFill>
                    </w:rPr>
                  </w:pPr>
                </w:p>
              </w:tc>
              <w:tc>
                <w:tcPr>
                  <w:tcW w:w="633" w:type="pct"/>
                  <w:vMerge w:val="continue"/>
                  <w:noWrap w:val="0"/>
                  <w:vAlign w:val="center"/>
                </w:tcPr>
                <w:p w14:paraId="4D37BE06">
                  <w:pPr>
                    <w:pStyle w:val="98"/>
                    <w:rPr>
                      <w:rFonts w:hint="default" w:ascii="Times New Roman" w:hAnsi="Times New Roman" w:cs="Times New Roman"/>
                      <w:color w:val="000000" w:themeColor="text1"/>
                      <w:szCs w:val="21"/>
                      <w14:textFill>
                        <w14:solidFill>
                          <w14:schemeClr w14:val="tx1"/>
                        </w14:solidFill>
                      </w14:textFill>
                    </w:rPr>
                  </w:pPr>
                </w:p>
              </w:tc>
              <w:tc>
                <w:tcPr>
                  <w:tcW w:w="703" w:type="pct"/>
                  <w:shd w:val="clear" w:color="auto" w:fill="auto"/>
                  <w:noWrap w:val="0"/>
                  <w:vAlign w:val="center"/>
                </w:tcPr>
                <w:p w14:paraId="1B0D5D50">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25</w:t>
                  </w:r>
                </w:p>
              </w:tc>
              <w:tc>
                <w:tcPr>
                  <w:tcW w:w="703" w:type="pct"/>
                  <w:shd w:val="clear" w:color="auto" w:fill="auto"/>
                  <w:noWrap w:val="0"/>
                  <w:vAlign w:val="center"/>
                </w:tcPr>
                <w:p w14:paraId="2D30F894">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22</w:t>
                  </w:r>
                </w:p>
              </w:tc>
              <w:tc>
                <w:tcPr>
                  <w:tcW w:w="703" w:type="pct"/>
                  <w:shd w:val="clear" w:color="auto" w:fill="auto"/>
                  <w:noWrap w:val="0"/>
                  <w:vAlign w:val="center"/>
                </w:tcPr>
                <w:p w14:paraId="200BA3B4">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21</w:t>
                  </w:r>
                </w:p>
              </w:tc>
              <w:tc>
                <w:tcPr>
                  <w:tcW w:w="703" w:type="pct"/>
                  <w:shd w:val="clear" w:color="auto" w:fill="auto"/>
                  <w:noWrap w:val="0"/>
                  <w:vAlign w:val="center"/>
                </w:tcPr>
                <w:p w14:paraId="3DBD86B1">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31</w:t>
                  </w:r>
                </w:p>
              </w:tc>
            </w:tr>
            <w:tr w14:paraId="102100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6" w:type="pct"/>
                  <w:shd w:val="clear" w:color="auto" w:fill="auto"/>
                  <w:noWrap w:val="0"/>
                  <w:vAlign w:val="center"/>
                </w:tcPr>
                <w:p w14:paraId="78424C50">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距离（m）</w:t>
                  </w:r>
                </w:p>
              </w:tc>
              <w:tc>
                <w:tcPr>
                  <w:tcW w:w="807" w:type="pct"/>
                  <w:vMerge w:val="restart"/>
                  <w:shd w:val="clear" w:color="auto" w:fill="auto"/>
                  <w:noWrap w:val="0"/>
                  <w:vAlign w:val="center"/>
                </w:tcPr>
                <w:p w14:paraId="1A5C20AD">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烘干</w:t>
                  </w:r>
                  <w:r>
                    <w:rPr>
                      <w:rFonts w:hint="eastAsia" w:ascii="Times New Roman" w:hAnsi="Times New Roman" w:cs="Times New Roman"/>
                      <w:color w:val="000000" w:themeColor="text1"/>
                      <w:sz w:val="21"/>
                      <w:szCs w:val="21"/>
                      <w:lang w:val="en-US" w:eastAsia="zh-CN"/>
                      <w14:textFill>
                        <w14:solidFill>
                          <w14:schemeClr w14:val="tx1"/>
                        </w14:solidFill>
                      </w14:textFill>
                    </w:rPr>
                    <w:t>炉</w:t>
                  </w:r>
                  <w:r>
                    <w:rPr>
                      <w:rFonts w:hint="eastAsia" w:cs="Times New Roman"/>
                      <w:color w:val="000000" w:themeColor="text1"/>
                      <w:sz w:val="21"/>
                      <w:szCs w:val="21"/>
                      <w:lang w:val="en-US" w:eastAsia="zh-CN"/>
                      <w14:textFill>
                        <w14:solidFill>
                          <w14:schemeClr w14:val="tx1"/>
                        </w14:solidFill>
                      </w14:textFill>
                    </w:rPr>
                    <w:t>1</w:t>
                  </w:r>
                </w:p>
              </w:tc>
              <w:tc>
                <w:tcPr>
                  <w:tcW w:w="633" w:type="pct"/>
                  <w:vMerge w:val="restart"/>
                  <w:shd w:val="clear" w:color="auto" w:fill="auto"/>
                  <w:noWrap w:val="0"/>
                  <w:vAlign w:val="center"/>
                </w:tcPr>
                <w:p w14:paraId="3DA2E3C3">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49</w:t>
                  </w:r>
                </w:p>
              </w:tc>
              <w:tc>
                <w:tcPr>
                  <w:tcW w:w="703" w:type="pct"/>
                  <w:shd w:val="clear" w:color="auto" w:fill="auto"/>
                  <w:noWrap w:val="0"/>
                  <w:vAlign w:val="center"/>
                </w:tcPr>
                <w:p w14:paraId="39C13EB9">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26</w:t>
                  </w:r>
                </w:p>
              </w:tc>
              <w:tc>
                <w:tcPr>
                  <w:tcW w:w="703" w:type="pct"/>
                  <w:shd w:val="clear" w:color="auto" w:fill="auto"/>
                  <w:noWrap w:val="0"/>
                  <w:vAlign w:val="center"/>
                </w:tcPr>
                <w:p w14:paraId="26AF50CE">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30</w:t>
                  </w:r>
                </w:p>
              </w:tc>
              <w:tc>
                <w:tcPr>
                  <w:tcW w:w="703" w:type="pct"/>
                  <w:shd w:val="clear" w:color="auto" w:fill="auto"/>
                  <w:noWrap w:val="0"/>
                  <w:vAlign w:val="center"/>
                </w:tcPr>
                <w:p w14:paraId="1A7B7AB5">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38</w:t>
                  </w:r>
                </w:p>
              </w:tc>
              <w:tc>
                <w:tcPr>
                  <w:tcW w:w="703" w:type="pct"/>
                  <w:shd w:val="clear" w:color="auto" w:fill="auto"/>
                  <w:noWrap w:val="0"/>
                  <w:vAlign w:val="center"/>
                </w:tcPr>
                <w:p w14:paraId="23557A12">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16</w:t>
                  </w:r>
                </w:p>
              </w:tc>
            </w:tr>
            <w:tr w14:paraId="1E0126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6" w:type="pct"/>
                  <w:shd w:val="clear" w:color="auto" w:fill="auto"/>
                  <w:noWrap w:val="0"/>
                  <w:vAlign w:val="center"/>
                </w:tcPr>
                <w:p w14:paraId="4C66CDE9">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贡献值dB（A）</w:t>
                  </w:r>
                </w:p>
              </w:tc>
              <w:tc>
                <w:tcPr>
                  <w:tcW w:w="807" w:type="pct"/>
                  <w:vMerge w:val="continue"/>
                  <w:noWrap w:val="0"/>
                  <w:vAlign w:val="center"/>
                </w:tcPr>
                <w:p w14:paraId="10FC4911">
                  <w:pPr>
                    <w:pStyle w:val="98"/>
                    <w:rPr>
                      <w:rFonts w:hint="default" w:ascii="Times New Roman" w:hAnsi="Times New Roman" w:cs="Times New Roman"/>
                      <w:color w:val="000000" w:themeColor="text1"/>
                      <w:szCs w:val="21"/>
                      <w14:textFill>
                        <w14:solidFill>
                          <w14:schemeClr w14:val="tx1"/>
                        </w14:solidFill>
                      </w14:textFill>
                    </w:rPr>
                  </w:pPr>
                </w:p>
              </w:tc>
              <w:tc>
                <w:tcPr>
                  <w:tcW w:w="633" w:type="pct"/>
                  <w:vMerge w:val="continue"/>
                  <w:noWrap w:val="0"/>
                  <w:vAlign w:val="center"/>
                </w:tcPr>
                <w:p w14:paraId="07395818">
                  <w:pPr>
                    <w:pStyle w:val="98"/>
                    <w:rPr>
                      <w:rFonts w:hint="default" w:ascii="Times New Roman" w:hAnsi="Times New Roman" w:cs="Times New Roman"/>
                      <w:color w:val="000000" w:themeColor="text1"/>
                      <w:szCs w:val="21"/>
                      <w14:textFill>
                        <w14:solidFill>
                          <w14:schemeClr w14:val="tx1"/>
                        </w14:solidFill>
                      </w14:textFill>
                    </w:rPr>
                  </w:pPr>
                </w:p>
              </w:tc>
              <w:tc>
                <w:tcPr>
                  <w:tcW w:w="703" w:type="pct"/>
                  <w:shd w:val="clear" w:color="auto" w:fill="auto"/>
                  <w:noWrap w:val="0"/>
                  <w:vAlign w:val="center"/>
                </w:tcPr>
                <w:p w14:paraId="36C943E4">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21</w:t>
                  </w:r>
                </w:p>
              </w:tc>
              <w:tc>
                <w:tcPr>
                  <w:tcW w:w="703" w:type="pct"/>
                  <w:shd w:val="clear" w:color="auto" w:fill="auto"/>
                  <w:noWrap w:val="0"/>
                  <w:vAlign w:val="center"/>
                </w:tcPr>
                <w:p w14:paraId="501E9642">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19</w:t>
                  </w:r>
                </w:p>
              </w:tc>
              <w:tc>
                <w:tcPr>
                  <w:tcW w:w="703" w:type="pct"/>
                  <w:shd w:val="clear" w:color="auto" w:fill="auto"/>
                  <w:noWrap w:val="0"/>
                  <w:vAlign w:val="center"/>
                </w:tcPr>
                <w:p w14:paraId="338FDC3F">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17</w:t>
                  </w:r>
                </w:p>
              </w:tc>
              <w:tc>
                <w:tcPr>
                  <w:tcW w:w="703" w:type="pct"/>
                  <w:shd w:val="clear" w:color="auto" w:fill="auto"/>
                  <w:noWrap w:val="0"/>
                  <w:vAlign w:val="center"/>
                </w:tcPr>
                <w:p w14:paraId="63962F1A">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25</w:t>
                  </w:r>
                </w:p>
              </w:tc>
            </w:tr>
            <w:tr w14:paraId="73A707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6" w:type="pct"/>
                  <w:shd w:val="clear" w:color="auto" w:fill="auto"/>
                  <w:noWrap w:val="0"/>
                  <w:vAlign w:val="center"/>
                </w:tcPr>
                <w:p w14:paraId="6772E592">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距离（m）</w:t>
                  </w:r>
                </w:p>
              </w:tc>
              <w:tc>
                <w:tcPr>
                  <w:tcW w:w="807" w:type="pct"/>
                  <w:vMerge w:val="restart"/>
                  <w:shd w:val="clear" w:color="auto" w:fill="auto"/>
                  <w:noWrap w:val="0"/>
                  <w:vAlign w:val="center"/>
                </w:tcPr>
                <w:p w14:paraId="1D72DE62">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烘干</w:t>
                  </w:r>
                  <w:r>
                    <w:rPr>
                      <w:rFonts w:hint="eastAsia" w:ascii="Times New Roman" w:hAnsi="Times New Roman" w:cs="Times New Roman"/>
                      <w:color w:val="000000" w:themeColor="text1"/>
                      <w:sz w:val="21"/>
                      <w:szCs w:val="21"/>
                      <w:lang w:val="en-US" w:eastAsia="zh-CN"/>
                      <w14:textFill>
                        <w14:solidFill>
                          <w14:schemeClr w14:val="tx1"/>
                        </w14:solidFill>
                      </w14:textFill>
                    </w:rPr>
                    <w:t>炉</w:t>
                  </w:r>
                  <w:r>
                    <w:rPr>
                      <w:rFonts w:hint="eastAsia" w:cs="Times New Roman"/>
                      <w:color w:val="000000" w:themeColor="text1"/>
                      <w:sz w:val="21"/>
                      <w:szCs w:val="21"/>
                      <w:lang w:val="en-US" w:eastAsia="zh-CN"/>
                      <w14:textFill>
                        <w14:solidFill>
                          <w14:schemeClr w14:val="tx1"/>
                        </w14:solidFill>
                      </w14:textFill>
                    </w:rPr>
                    <w:t>2</w:t>
                  </w:r>
                </w:p>
              </w:tc>
              <w:tc>
                <w:tcPr>
                  <w:tcW w:w="633" w:type="pct"/>
                  <w:vMerge w:val="restart"/>
                  <w:shd w:val="clear" w:color="auto" w:fill="auto"/>
                  <w:noWrap w:val="0"/>
                  <w:vAlign w:val="center"/>
                </w:tcPr>
                <w:p w14:paraId="158E7096">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48</w:t>
                  </w:r>
                </w:p>
              </w:tc>
              <w:tc>
                <w:tcPr>
                  <w:tcW w:w="703" w:type="pct"/>
                  <w:shd w:val="clear" w:color="auto" w:fill="auto"/>
                  <w:noWrap w:val="0"/>
                  <w:vAlign w:val="center"/>
                </w:tcPr>
                <w:p w14:paraId="294EEF37">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26</w:t>
                  </w:r>
                </w:p>
              </w:tc>
              <w:tc>
                <w:tcPr>
                  <w:tcW w:w="703" w:type="pct"/>
                  <w:shd w:val="clear" w:color="auto" w:fill="auto"/>
                  <w:noWrap w:val="0"/>
                  <w:vAlign w:val="center"/>
                </w:tcPr>
                <w:p w14:paraId="3CCF9E72">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28</w:t>
                  </w:r>
                </w:p>
              </w:tc>
              <w:tc>
                <w:tcPr>
                  <w:tcW w:w="703" w:type="pct"/>
                  <w:shd w:val="clear" w:color="auto" w:fill="auto"/>
                  <w:noWrap w:val="0"/>
                  <w:vAlign w:val="center"/>
                </w:tcPr>
                <w:p w14:paraId="43FDA037">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38</w:t>
                  </w:r>
                </w:p>
              </w:tc>
              <w:tc>
                <w:tcPr>
                  <w:tcW w:w="703" w:type="pct"/>
                  <w:shd w:val="clear" w:color="auto" w:fill="auto"/>
                  <w:noWrap w:val="0"/>
                  <w:vAlign w:val="center"/>
                </w:tcPr>
                <w:p w14:paraId="4B92EE81">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18</w:t>
                  </w:r>
                </w:p>
              </w:tc>
            </w:tr>
            <w:tr w14:paraId="718626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6" w:type="pct"/>
                  <w:shd w:val="clear" w:color="auto" w:fill="auto"/>
                  <w:noWrap w:val="0"/>
                  <w:vAlign w:val="center"/>
                </w:tcPr>
                <w:p w14:paraId="789DF24A">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贡献值dB（A）</w:t>
                  </w:r>
                </w:p>
              </w:tc>
              <w:tc>
                <w:tcPr>
                  <w:tcW w:w="807" w:type="pct"/>
                  <w:vMerge w:val="continue"/>
                  <w:shd w:val="clear" w:color="auto" w:fill="auto"/>
                  <w:noWrap w:val="0"/>
                  <w:vAlign w:val="center"/>
                </w:tcPr>
                <w:p w14:paraId="714F61B7">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633" w:type="pct"/>
                  <w:vMerge w:val="continue"/>
                  <w:shd w:val="clear" w:color="auto" w:fill="auto"/>
                  <w:noWrap w:val="0"/>
                  <w:vAlign w:val="center"/>
                </w:tcPr>
                <w:p w14:paraId="00A60A35">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703" w:type="pct"/>
                  <w:shd w:val="clear" w:color="auto" w:fill="auto"/>
                  <w:noWrap w:val="0"/>
                  <w:vAlign w:val="center"/>
                </w:tcPr>
                <w:p w14:paraId="268061E8">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20</w:t>
                  </w:r>
                </w:p>
              </w:tc>
              <w:tc>
                <w:tcPr>
                  <w:tcW w:w="703" w:type="pct"/>
                  <w:shd w:val="clear" w:color="auto" w:fill="auto"/>
                  <w:noWrap w:val="0"/>
                  <w:vAlign w:val="center"/>
                </w:tcPr>
                <w:p w14:paraId="56348592">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19</w:t>
                  </w:r>
                </w:p>
              </w:tc>
              <w:tc>
                <w:tcPr>
                  <w:tcW w:w="703" w:type="pct"/>
                  <w:shd w:val="clear" w:color="auto" w:fill="auto"/>
                  <w:noWrap w:val="0"/>
                  <w:vAlign w:val="center"/>
                </w:tcPr>
                <w:p w14:paraId="0DD1DC2C">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16</w:t>
                  </w:r>
                </w:p>
              </w:tc>
              <w:tc>
                <w:tcPr>
                  <w:tcW w:w="703" w:type="pct"/>
                  <w:shd w:val="clear" w:color="auto" w:fill="auto"/>
                  <w:noWrap w:val="0"/>
                  <w:vAlign w:val="center"/>
                </w:tcPr>
                <w:p w14:paraId="0AC9D12E">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23</w:t>
                  </w:r>
                </w:p>
              </w:tc>
            </w:tr>
            <w:tr w14:paraId="60AAE8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6" w:type="pct"/>
                  <w:shd w:val="clear" w:color="auto" w:fill="auto"/>
                  <w:noWrap w:val="0"/>
                  <w:vAlign w:val="center"/>
                </w:tcPr>
                <w:p w14:paraId="5FC30EB7">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距离（m）</w:t>
                  </w:r>
                </w:p>
              </w:tc>
              <w:tc>
                <w:tcPr>
                  <w:tcW w:w="807" w:type="pct"/>
                  <w:vMerge w:val="restart"/>
                  <w:shd w:val="clear" w:color="auto" w:fill="auto"/>
                  <w:noWrap w:val="0"/>
                  <w:vAlign w:val="center"/>
                </w:tcPr>
                <w:p w14:paraId="288A5AE6">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还原炉</w:t>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2</w:t>
                  </w:r>
                </w:p>
              </w:tc>
              <w:tc>
                <w:tcPr>
                  <w:tcW w:w="633" w:type="pct"/>
                  <w:vMerge w:val="restart"/>
                  <w:shd w:val="clear" w:color="auto" w:fill="auto"/>
                  <w:noWrap w:val="0"/>
                  <w:vAlign w:val="center"/>
                </w:tcPr>
                <w:p w14:paraId="66EC7E67">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46</w:t>
                  </w:r>
                </w:p>
              </w:tc>
              <w:tc>
                <w:tcPr>
                  <w:tcW w:w="703" w:type="pct"/>
                  <w:shd w:val="clear" w:color="auto" w:fill="auto"/>
                  <w:noWrap w:val="0"/>
                  <w:vAlign w:val="center"/>
                </w:tcPr>
                <w:p w14:paraId="62B677FB">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26</w:t>
                  </w:r>
                </w:p>
              </w:tc>
              <w:tc>
                <w:tcPr>
                  <w:tcW w:w="703" w:type="pct"/>
                  <w:shd w:val="clear" w:color="auto" w:fill="auto"/>
                  <w:noWrap w:val="0"/>
                  <w:vAlign w:val="center"/>
                </w:tcPr>
                <w:p w14:paraId="4C518D44">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26</w:t>
                  </w:r>
                </w:p>
              </w:tc>
              <w:tc>
                <w:tcPr>
                  <w:tcW w:w="703" w:type="pct"/>
                  <w:shd w:val="clear" w:color="auto" w:fill="auto"/>
                  <w:noWrap w:val="0"/>
                  <w:vAlign w:val="center"/>
                </w:tcPr>
                <w:p w14:paraId="06B50080">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38</w:t>
                  </w:r>
                </w:p>
              </w:tc>
              <w:tc>
                <w:tcPr>
                  <w:tcW w:w="703" w:type="pct"/>
                  <w:shd w:val="clear" w:color="auto" w:fill="auto"/>
                  <w:noWrap w:val="0"/>
                  <w:vAlign w:val="center"/>
                </w:tcPr>
                <w:p w14:paraId="04E5441D">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20</w:t>
                  </w:r>
                </w:p>
              </w:tc>
            </w:tr>
            <w:tr w14:paraId="084BCE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6" w:type="pct"/>
                  <w:shd w:val="clear" w:color="auto" w:fill="auto"/>
                  <w:noWrap w:val="0"/>
                  <w:vAlign w:val="center"/>
                </w:tcPr>
                <w:p w14:paraId="00908E15">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贡献值dB（A）</w:t>
                  </w:r>
                </w:p>
              </w:tc>
              <w:tc>
                <w:tcPr>
                  <w:tcW w:w="807" w:type="pct"/>
                  <w:vMerge w:val="continue"/>
                  <w:shd w:val="clear" w:color="auto" w:fill="auto"/>
                  <w:noWrap w:val="0"/>
                  <w:vAlign w:val="center"/>
                </w:tcPr>
                <w:p w14:paraId="1ACD3476">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633" w:type="pct"/>
                  <w:vMerge w:val="continue"/>
                  <w:shd w:val="clear" w:color="auto" w:fill="auto"/>
                  <w:noWrap w:val="0"/>
                  <w:vAlign w:val="center"/>
                </w:tcPr>
                <w:p w14:paraId="006AA23D">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703" w:type="pct"/>
                  <w:shd w:val="clear" w:color="auto" w:fill="auto"/>
                  <w:noWrap w:val="0"/>
                  <w:vAlign w:val="center"/>
                </w:tcPr>
                <w:p w14:paraId="25A011F7">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18</w:t>
                  </w:r>
                </w:p>
              </w:tc>
              <w:tc>
                <w:tcPr>
                  <w:tcW w:w="703" w:type="pct"/>
                  <w:shd w:val="clear" w:color="auto" w:fill="auto"/>
                  <w:noWrap w:val="0"/>
                  <w:vAlign w:val="center"/>
                </w:tcPr>
                <w:p w14:paraId="3B4FBFF2">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18</w:t>
                  </w:r>
                </w:p>
              </w:tc>
              <w:tc>
                <w:tcPr>
                  <w:tcW w:w="703" w:type="pct"/>
                  <w:shd w:val="clear" w:color="auto" w:fill="auto"/>
                  <w:noWrap w:val="0"/>
                  <w:vAlign w:val="center"/>
                </w:tcPr>
                <w:p w14:paraId="72FAE3CF">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14</w:t>
                  </w:r>
                </w:p>
              </w:tc>
              <w:tc>
                <w:tcPr>
                  <w:tcW w:w="703" w:type="pct"/>
                  <w:shd w:val="clear" w:color="auto" w:fill="auto"/>
                  <w:noWrap w:val="0"/>
                  <w:vAlign w:val="center"/>
                </w:tcPr>
                <w:p w14:paraId="25D911F8">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20</w:t>
                  </w:r>
                </w:p>
              </w:tc>
            </w:tr>
            <w:tr w14:paraId="7F41EE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6" w:type="pct"/>
                  <w:shd w:val="clear" w:color="auto" w:fill="auto"/>
                  <w:noWrap w:val="0"/>
                  <w:vAlign w:val="center"/>
                </w:tcPr>
                <w:p w14:paraId="74301862">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距离（m）</w:t>
                  </w:r>
                </w:p>
              </w:tc>
              <w:tc>
                <w:tcPr>
                  <w:tcW w:w="807" w:type="pct"/>
                  <w:vMerge w:val="restart"/>
                  <w:shd w:val="clear" w:color="auto" w:fill="auto"/>
                  <w:noWrap w:val="0"/>
                  <w:vAlign w:val="center"/>
                </w:tcPr>
                <w:p w14:paraId="35A9D7CC">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空气烧渗炉</w:t>
                  </w:r>
                </w:p>
              </w:tc>
              <w:tc>
                <w:tcPr>
                  <w:tcW w:w="633" w:type="pct"/>
                  <w:vMerge w:val="restart"/>
                  <w:shd w:val="clear" w:color="auto" w:fill="auto"/>
                  <w:noWrap w:val="0"/>
                  <w:vAlign w:val="center"/>
                </w:tcPr>
                <w:p w14:paraId="006E69F0">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46</w:t>
                  </w:r>
                </w:p>
              </w:tc>
              <w:tc>
                <w:tcPr>
                  <w:tcW w:w="703" w:type="pct"/>
                  <w:shd w:val="clear" w:color="auto" w:fill="auto"/>
                  <w:noWrap w:val="0"/>
                  <w:vAlign w:val="center"/>
                </w:tcPr>
                <w:p w14:paraId="6D1E1F02">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26</w:t>
                  </w:r>
                </w:p>
              </w:tc>
              <w:tc>
                <w:tcPr>
                  <w:tcW w:w="703" w:type="pct"/>
                  <w:shd w:val="clear" w:color="auto" w:fill="auto"/>
                  <w:noWrap w:val="0"/>
                  <w:vAlign w:val="center"/>
                </w:tcPr>
                <w:p w14:paraId="1A1F4C1F">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24</w:t>
                  </w:r>
                </w:p>
              </w:tc>
              <w:tc>
                <w:tcPr>
                  <w:tcW w:w="703" w:type="pct"/>
                  <w:shd w:val="clear" w:color="auto" w:fill="auto"/>
                  <w:noWrap w:val="0"/>
                  <w:vAlign w:val="center"/>
                </w:tcPr>
                <w:p w14:paraId="0352BA2F">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38</w:t>
                  </w:r>
                </w:p>
              </w:tc>
              <w:tc>
                <w:tcPr>
                  <w:tcW w:w="703" w:type="pct"/>
                  <w:shd w:val="clear" w:color="auto" w:fill="auto"/>
                  <w:noWrap w:val="0"/>
                  <w:vAlign w:val="center"/>
                </w:tcPr>
                <w:p w14:paraId="207F5A0E">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22</w:t>
                  </w:r>
                </w:p>
              </w:tc>
            </w:tr>
            <w:tr w14:paraId="1F308D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6" w:type="pct"/>
                  <w:shd w:val="clear" w:color="auto" w:fill="auto"/>
                  <w:noWrap w:val="0"/>
                  <w:vAlign w:val="center"/>
                </w:tcPr>
                <w:p w14:paraId="0727AC90">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贡献值dB（A）</w:t>
                  </w:r>
                </w:p>
              </w:tc>
              <w:tc>
                <w:tcPr>
                  <w:tcW w:w="807" w:type="pct"/>
                  <w:vMerge w:val="continue"/>
                  <w:shd w:val="clear" w:color="auto" w:fill="auto"/>
                  <w:noWrap w:val="0"/>
                  <w:vAlign w:val="center"/>
                </w:tcPr>
                <w:p w14:paraId="078A04B0">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633" w:type="pct"/>
                  <w:vMerge w:val="continue"/>
                  <w:shd w:val="clear" w:color="auto" w:fill="auto"/>
                  <w:noWrap w:val="0"/>
                  <w:vAlign w:val="center"/>
                </w:tcPr>
                <w:p w14:paraId="1374109C">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703" w:type="pct"/>
                  <w:shd w:val="clear" w:color="auto" w:fill="auto"/>
                  <w:noWrap w:val="0"/>
                  <w:vAlign w:val="center"/>
                </w:tcPr>
                <w:p w14:paraId="163515C7">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18</w:t>
                  </w:r>
                </w:p>
              </w:tc>
              <w:tc>
                <w:tcPr>
                  <w:tcW w:w="703" w:type="pct"/>
                  <w:shd w:val="clear" w:color="auto" w:fill="auto"/>
                  <w:noWrap w:val="0"/>
                  <w:vAlign w:val="center"/>
                </w:tcPr>
                <w:p w14:paraId="0E7C7BFA">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18</w:t>
                  </w:r>
                </w:p>
              </w:tc>
              <w:tc>
                <w:tcPr>
                  <w:tcW w:w="703" w:type="pct"/>
                  <w:shd w:val="clear" w:color="auto" w:fill="auto"/>
                  <w:noWrap w:val="0"/>
                  <w:vAlign w:val="center"/>
                </w:tcPr>
                <w:p w14:paraId="52F42865">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14</w:t>
                  </w:r>
                </w:p>
              </w:tc>
              <w:tc>
                <w:tcPr>
                  <w:tcW w:w="703" w:type="pct"/>
                  <w:shd w:val="clear" w:color="auto" w:fill="auto"/>
                  <w:noWrap w:val="0"/>
                  <w:vAlign w:val="center"/>
                </w:tcPr>
                <w:p w14:paraId="5985EB66">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19</w:t>
                  </w:r>
                </w:p>
              </w:tc>
            </w:tr>
            <w:tr w14:paraId="5DC60F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6" w:type="pct"/>
                  <w:shd w:val="clear" w:color="auto" w:fill="auto"/>
                  <w:noWrap w:val="0"/>
                  <w:vAlign w:val="center"/>
                </w:tcPr>
                <w:p w14:paraId="7402AFB5">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距离（m）</w:t>
                  </w:r>
                </w:p>
              </w:tc>
              <w:tc>
                <w:tcPr>
                  <w:tcW w:w="807" w:type="pct"/>
                  <w:vMerge w:val="restart"/>
                  <w:shd w:val="clear" w:color="auto" w:fill="auto"/>
                  <w:noWrap w:val="0"/>
                  <w:vAlign w:val="center"/>
                </w:tcPr>
                <w:p w14:paraId="43B78460">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气氛烧渗炉</w:t>
                  </w:r>
                </w:p>
              </w:tc>
              <w:tc>
                <w:tcPr>
                  <w:tcW w:w="633" w:type="pct"/>
                  <w:vMerge w:val="restart"/>
                  <w:shd w:val="clear" w:color="auto" w:fill="auto"/>
                  <w:noWrap w:val="0"/>
                  <w:vAlign w:val="center"/>
                </w:tcPr>
                <w:p w14:paraId="62FDEA2E">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45</w:t>
                  </w:r>
                </w:p>
              </w:tc>
              <w:tc>
                <w:tcPr>
                  <w:tcW w:w="703" w:type="pct"/>
                  <w:shd w:val="clear" w:color="auto" w:fill="auto"/>
                  <w:noWrap w:val="0"/>
                  <w:vAlign w:val="center"/>
                </w:tcPr>
                <w:p w14:paraId="350CDD3F">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26</w:t>
                  </w:r>
                </w:p>
              </w:tc>
              <w:tc>
                <w:tcPr>
                  <w:tcW w:w="703" w:type="pct"/>
                  <w:shd w:val="clear" w:color="auto" w:fill="auto"/>
                  <w:noWrap w:val="0"/>
                  <w:vAlign w:val="center"/>
                </w:tcPr>
                <w:p w14:paraId="6C50472A">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22</w:t>
                  </w:r>
                </w:p>
              </w:tc>
              <w:tc>
                <w:tcPr>
                  <w:tcW w:w="703" w:type="pct"/>
                  <w:shd w:val="clear" w:color="auto" w:fill="auto"/>
                  <w:noWrap w:val="0"/>
                  <w:vAlign w:val="center"/>
                </w:tcPr>
                <w:p w14:paraId="3BDB4B69">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38</w:t>
                  </w:r>
                </w:p>
              </w:tc>
              <w:tc>
                <w:tcPr>
                  <w:tcW w:w="703" w:type="pct"/>
                  <w:shd w:val="clear" w:color="auto" w:fill="auto"/>
                  <w:noWrap w:val="0"/>
                  <w:vAlign w:val="center"/>
                </w:tcPr>
                <w:p w14:paraId="790F8C3A">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24</w:t>
                  </w:r>
                </w:p>
              </w:tc>
            </w:tr>
            <w:tr w14:paraId="569D6F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6" w:type="pct"/>
                  <w:shd w:val="clear" w:color="auto" w:fill="auto"/>
                  <w:noWrap w:val="0"/>
                  <w:vAlign w:val="center"/>
                </w:tcPr>
                <w:p w14:paraId="1C4950BA">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贡献值dB（A）</w:t>
                  </w:r>
                </w:p>
              </w:tc>
              <w:tc>
                <w:tcPr>
                  <w:tcW w:w="807" w:type="pct"/>
                  <w:vMerge w:val="continue"/>
                  <w:shd w:val="clear" w:color="auto" w:fill="auto"/>
                  <w:noWrap w:val="0"/>
                  <w:vAlign w:val="center"/>
                </w:tcPr>
                <w:p w14:paraId="62435EE1">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633" w:type="pct"/>
                  <w:vMerge w:val="continue"/>
                  <w:shd w:val="clear" w:color="auto" w:fill="auto"/>
                  <w:noWrap w:val="0"/>
                  <w:vAlign w:val="center"/>
                </w:tcPr>
                <w:p w14:paraId="70E1101E">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703" w:type="pct"/>
                  <w:shd w:val="clear" w:color="auto" w:fill="auto"/>
                  <w:noWrap w:val="0"/>
                  <w:vAlign w:val="center"/>
                </w:tcPr>
                <w:p w14:paraId="0FA35373">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17</w:t>
                  </w:r>
                </w:p>
              </w:tc>
              <w:tc>
                <w:tcPr>
                  <w:tcW w:w="703" w:type="pct"/>
                  <w:shd w:val="clear" w:color="auto" w:fill="auto"/>
                  <w:noWrap w:val="0"/>
                  <w:vAlign w:val="center"/>
                </w:tcPr>
                <w:p w14:paraId="1CD2BE6C">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18</w:t>
                  </w:r>
                </w:p>
              </w:tc>
              <w:tc>
                <w:tcPr>
                  <w:tcW w:w="703" w:type="pct"/>
                  <w:shd w:val="clear" w:color="auto" w:fill="auto"/>
                  <w:noWrap w:val="0"/>
                  <w:vAlign w:val="center"/>
                </w:tcPr>
                <w:p w14:paraId="26E5EE1B">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13</w:t>
                  </w:r>
                </w:p>
              </w:tc>
              <w:tc>
                <w:tcPr>
                  <w:tcW w:w="703" w:type="pct"/>
                  <w:shd w:val="clear" w:color="auto" w:fill="auto"/>
                  <w:noWrap w:val="0"/>
                  <w:vAlign w:val="center"/>
                </w:tcPr>
                <w:p w14:paraId="6A88126F">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17</w:t>
                  </w:r>
                </w:p>
              </w:tc>
            </w:tr>
            <w:tr w14:paraId="06725F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6" w:type="pct"/>
                  <w:shd w:val="clear" w:color="auto" w:fill="auto"/>
                  <w:noWrap w:val="0"/>
                  <w:vAlign w:val="center"/>
                </w:tcPr>
                <w:p w14:paraId="2EE4D8D4">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距离（m）</w:t>
                  </w:r>
                </w:p>
              </w:tc>
              <w:tc>
                <w:tcPr>
                  <w:tcW w:w="807" w:type="pct"/>
                  <w:vMerge w:val="restart"/>
                  <w:shd w:val="clear" w:color="auto" w:fill="auto"/>
                  <w:noWrap w:val="0"/>
                  <w:vAlign w:val="center"/>
                </w:tcPr>
                <w:p w14:paraId="0E2016AB">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布袋除尘风机</w:t>
                  </w:r>
                </w:p>
              </w:tc>
              <w:tc>
                <w:tcPr>
                  <w:tcW w:w="633" w:type="pct"/>
                  <w:vMerge w:val="restart"/>
                  <w:shd w:val="clear" w:color="auto" w:fill="auto"/>
                  <w:noWrap w:val="0"/>
                  <w:vAlign w:val="center"/>
                </w:tcPr>
                <w:p w14:paraId="1894ED67">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49</w:t>
                  </w:r>
                </w:p>
              </w:tc>
              <w:tc>
                <w:tcPr>
                  <w:tcW w:w="703" w:type="pct"/>
                  <w:shd w:val="clear" w:color="auto" w:fill="auto"/>
                  <w:noWrap w:val="0"/>
                  <w:vAlign w:val="center"/>
                </w:tcPr>
                <w:p w14:paraId="5D24CBC2">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59</w:t>
                  </w:r>
                </w:p>
              </w:tc>
              <w:tc>
                <w:tcPr>
                  <w:tcW w:w="703" w:type="pct"/>
                  <w:shd w:val="clear" w:color="auto" w:fill="auto"/>
                  <w:noWrap w:val="0"/>
                  <w:vAlign w:val="center"/>
                </w:tcPr>
                <w:p w14:paraId="137D9942">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39</w:t>
                  </w:r>
                </w:p>
              </w:tc>
              <w:tc>
                <w:tcPr>
                  <w:tcW w:w="703" w:type="pct"/>
                  <w:shd w:val="clear" w:color="auto" w:fill="auto"/>
                  <w:noWrap w:val="0"/>
                  <w:vAlign w:val="center"/>
                </w:tcPr>
                <w:p w14:paraId="793C0EE3">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5</w:t>
                  </w:r>
                </w:p>
              </w:tc>
              <w:tc>
                <w:tcPr>
                  <w:tcW w:w="703" w:type="pct"/>
                  <w:shd w:val="clear" w:color="auto" w:fill="auto"/>
                  <w:noWrap w:val="0"/>
                  <w:vAlign w:val="center"/>
                </w:tcPr>
                <w:p w14:paraId="4E3F8481">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7</w:t>
                  </w:r>
                </w:p>
              </w:tc>
            </w:tr>
            <w:tr w14:paraId="798A1C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6" w:type="pct"/>
                  <w:shd w:val="clear" w:color="auto" w:fill="auto"/>
                  <w:noWrap w:val="0"/>
                  <w:vAlign w:val="center"/>
                </w:tcPr>
                <w:p w14:paraId="2450A148">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贡献值dB（A）</w:t>
                  </w:r>
                </w:p>
              </w:tc>
              <w:tc>
                <w:tcPr>
                  <w:tcW w:w="807" w:type="pct"/>
                  <w:vMerge w:val="continue"/>
                  <w:shd w:val="clear" w:color="auto" w:fill="auto"/>
                  <w:noWrap w:val="0"/>
                  <w:vAlign w:val="center"/>
                </w:tcPr>
                <w:p w14:paraId="0D30052F">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633" w:type="pct"/>
                  <w:vMerge w:val="continue"/>
                  <w:shd w:val="clear" w:color="auto" w:fill="auto"/>
                  <w:noWrap w:val="0"/>
                  <w:vAlign w:val="center"/>
                </w:tcPr>
                <w:p w14:paraId="00CBA12C">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703" w:type="pct"/>
                  <w:shd w:val="clear" w:color="auto" w:fill="auto"/>
                  <w:noWrap w:val="0"/>
                  <w:vAlign w:val="center"/>
                </w:tcPr>
                <w:p w14:paraId="51DAC74F">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14</w:t>
                  </w:r>
                </w:p>
              </w:tc>
              <w:tc>
                <w:tcPr>
                  <w:tcW w:w="703" w:type="pct"/>
                  <w:shd w:val="clear" w:color="auto" w:fill="auto"/>
                  <w:noWrap w:val="0"/>
                  <w:vAlign w:val="center"/>
                </w:tcPr>
                <w:p w14:paraId="14178016">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17</w:t>
                  </w:r>
                </w:p>
              </w:tc>
              <w:tc>
                <w:tcPr>
                  <w:tcW w:w="703" w:type="pct"/>
                  <w:shd w:val="clear" w:color="auto" w:fill="auto"/>
                  <w:noWrap w:val="0"/>
                  <w:vAlign w:val="center"/>
                </w:tcPr>
                <w:p w14:paraId="7A035F4E">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35</w:t>
                  </w:r>
                </w:p>
              </w:tc>
              <w:tc>
                <w:tcPr>
                  <w:tcW w:w="703" w:type="pct"/>
                  <w:shd w:val="clear" w:color="auto" w:fill="auto"/>
                  <w:noWrap w:val="0"/>
                  <w:vAlign w:val="center"/>
                </w:tcPr>
                <w:p w14:paraId="7F4665EC">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32</w:t>
                  </w:r>
                </w:p>
              </w:tc>
            </w:tr>
            <w:tr w14:paraId="221395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6" w:type="pct"/>
                  <w:shd w:val="clear" w:color="auto" w:fill="auto"/>
                  <w:noWrap w:val="0"/>
                  <w:vAlign w:val="center"/>
                </w:tcPr>
                <w:p w14:paraId="4082920C">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距离（m）</w:t>
                  </w:r>
                </w:p>
              </w:tc>
              <w:tc>
                <w:tcPr>
                  <w:tcW w:w="807" w:type="pct"/>
                  <w:vMerge w:val="restart"/>
                  <w:shd w:val="clear" w:color="auto" w:fill="auto"/>
                  <w:noWrap w:val="0"/>
                  <w:vAlign w:val="center"/>
                </w:tcPr>
                <w:p w14:paraId="7C900859">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二级活性炭风机</w:t>
                  </w:r>
                </w:p>
              </w:tc>
              <w:tc>
                <w:tcPr>
                  <w:tcW w:w="633" w:type="pct"/>
                  <w:vMerge w:val="restart"/>
                  <w:shd w:val="clear" w:color="auto" w:fill="auto"/>
                  <w:noWrap w:val="0"/>
                  <w:vAlign w:val="center"/>
                </w:tcPr>
                <w:p w14:paraId="05045256">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41</w:t>
                  </w:r>
                </w:p>
              </w:tc>
              <w:tc>
                <w:tcPr>
                  <w:tcW w:w="703" w:type="pct"/>
                  <w:shd w:val="clear" w:color="auto" w:fill="auto"/>
                  <w:noWrap w:val="0"/>
                  <w:vAlign w:val="center"/>
                </w:tcPr>
                <w:p w14:paraId="2A3DF2E7">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45</w:t>
                  </w:r>
                </w:p>
              </w:tc>
              <w:tc>
                <w:tcPr>
                  <w:tcW w:w="703" w:type="pct"/>
                  <w:shd w:val="clear" w:color="auto" w:fill="auto"/>
                  <w:noWrap w:val="0"/>
                  <w:vAlign w:val="center"/>
                </w:tcPr>
                <w:p w14:paraId="7A41E6EC">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25</w:t>
                  </w:r>
                </w:p>
              </w:tc>
              <w:tc>
                <w:tcPr>
                  <w:tcW w:w="703" w:type="pct"/>
                  <w:shd w:val="clear" w:color="auto" w:fill="auto"/>
                  <w:noWrap w:val="0"/>
                  <w:vAlign w:val="center"/>
                </w:tcPr>
                <w:p w14:paraId="3781C29E">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19</w:t>
                  </w:r>
                </w:p>
              </w:tc>
              <w:tc>
                <w:tcPr>
                  <w:tcW w:w="703" w:type="pct"/>
                  <w:shd w:val="clear" w:color="auto" w:fill="auto"/>
                  <w:noWrap w:val="0"/>
                  <w:vAlign w:val="center"/>
                </w:tcPr>
                <w:p w14:paraId="6CC1B1DC">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21</w:t>
                  </w:r>
                </w:p>
              </w:tc>
            </w:tr>
            <w:tr w14:paraId="28FEF6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6" w:type="pct"/>
                  <w:shd w:val="clear" w:color="auto" w:fill="auto"/>
                  <w:noWrap w:val="0"/>
                  <w:vAlign w:val="center"/>
                </w:tcPr>
                <w:p w14:paraId="5B66637E">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贡献值dB（A）</w:t>
                  </w:r>
                </w:p>
              </w:tc>
              <w:tc>
                <w:tcPr>
                  <w:tcW w:w="807" w:type="pct"/>
                  <w:vMerge w:val="continue"/>
                  <w:shd w:val="clear" w:color="auto" w:fill="auto"/>
                  <w:noWrap w:val="0"/>
                  <w:vAlign w:val="center"/>
                </w:tcPr>
                <w:p w14:paraId="5912A73F">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633" w:type="pct"/>
                  <w:vMerge w:val="continue"/>
                  <w:shd w:val="clear" w:color="auto" w:fill="auto"/>
                  <w:noWrap w:val="0"/>
                  <w:vAlign w:val="center"/>
                </w:tcPr>
                <w:p w14:paraId="0C2B81F3">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703" w:type="pct"/>
                  <w:shd w:val="clear" w:color="auto" w:fill="auto"/>
                  <w:noWrap w:val="0"/>
                  <w:vAlign w:val="center"/>
                </w:tcPr>
                <w:p w14:paraId="7F2138D9">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8</w:t>
                  </w:r>
                </w:p>
              </w:tc>
              <w:tc>
                <w:tcPr>
                  <w:tcW w:w="703" w:type="pct"/>
                  <w:shd w:val="clear" w:color="auto" w:fill="auto"/>
                  <w:noWrap w:val="0"/>
                  <w:vAlign w:val="center"/>
                </w:tcPr>
                <w:p w14:paraId="74962903">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13</w:t>
                  </w:r>
                </w:p>
              </w:tc>
              <w:tc>
                <w:tcPr>
                  <w:tcW w:w="703" w:type="pct"/>
                  <w:shd w:val="clear" w:color="auto" w:fill="auto"/>
                  <w:noWrap w:val="0"/>
                  <w:vAlign w:val="center"/>
                </w:tcPr>
                <w:p w14:paraId="574180BE">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15</w:t>
                  </w:r>
                </w:p>
              </w:tc>
              <w:tc>
                <w:tcPr>
                  <w:tcW w:w="703" w:type="pct"/>
                  <w:shd w:val="clear" w:color="auto" w:fill="auto"/>
                  <w:noWrap w:val="0"/>
                  <w:vAlign w:val="center"/>
                </w:tcPr>
                <w:p w14:paraId="2C513E39">
                  <w:pPr>
                    <w:pStyle w:val="98"/>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15</w:t>
                  </w:r>
                </w:p>
              </w:tc>
            </w:tr>
            <w:tr w14:paraId="795CF3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186" w:type="pct"/>
                  <w:gridSpan w:val="3"/>
                  <w:noWrap w:val="0"/>
                  <w:vAlign w:val="center"/>
                </w:tcPr>
                <w:p w14:paraId="75F18EB3">
                  <w:pPr>
                    <w:pStyle w:val="98"/>
                    <w:rPr>
                      <w:rFonts w:hint="default"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昼间</w:t>
                  </w:r>
                  <w:r>
                    <w:rPr>
                      <w:rFonts w:hint="default" w:ascii="Times New Roman" w:hAnsi="Times New Roman" w:cs="Times New Roman"/>
                      <w:color w:val="000000" w:themeColor="text1"/>
                      <w:szCs w:val="21"/>
                      <w14:textFill>
                        <w14:solidFill>
                          <w14:schemeClr w14:val="tx1"/>
                        </w14:solidFill>
                      </w14:textFill>
                    </w:rPr>
                    <w:t>献值dB（A）</w:t>
                  </w:r>
                </w:p>
              </w:tc>
              <w:tc>
                <w:tcPr>
                  <w:tcW w:w="703" w:type="pct"/>
                  <w:noWrap w:val="0"/>
                  <w:vAlign w:val="center"/>
                </w:tcPr>
                <w:p w14:paraId="4192123A">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40</w:t>
                  </w:r>
                </w:p>
              </w:tc>
              <w:tc>
                <w:tcPr>
                  <w:tcW w:w="703" w:type="pct"/>
                  <w:noWrap w:val="0"/>
                  <w:vAlign w:val="center"/>
                </w:tcPr>
                <w:p w14:paraId="69928880">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37</w:t>
                  </w:r>
                </w:p>
              </w:tc>
              <w:tc>
                <w:tcPr>
                  <w:tcW w:w="703" w:type="pct"/>
                  <w:noWrap w:val="0"/>
                  <w:vAlign w:val="center"/>
                </w:tcPr>
                <w:p w14:paraId="30D02D5F">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51</w:t>
                  </w:r>
                </w:p>
              </w:tc>
              <w:tc>
                <w:tcPr>
                  <w:tcW w:w="703" w:type="pct"/>
                  <w:noWrap w:val="0"/>
                  <w:vAlign w:val="center"/>
                </w:tcPr>
                <w:p w14:paraId="0E438477">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50</w:t>
                  </w:r>
                </w:p>
              </w:tc>
            </w:tr>
            <w:tr w14:paraId="5170E6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186" w:type="pct"/>
                  <w:gridSpan w:val="3"/>
                  <w:noWrap w:val="0"/>
                  <w:vAlign w:val="center"/>
                </w:tcPr>
                <w:p w14:paraId="0BCE5354">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标准值（昼间）</w:t>
                  </w:r>
                </w:p>
              </w:tc>
              <w:tc>
                <w:tcPr>
                  <w:tcW w:w="703" w:type="pct"/>
                  <w:noWrap w:val="0"/>
                  <w:vAlign w:val="center"/>
                </w:tcPr>
                <w:p w14:paraId="7A4F70B3">
                  <w:pPr>
                    <w:pStyle w:val="98"/>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6</w:t>
                  </w:r>
                  <w:r>
                    <w:rPr>
                      <w:rFonts w:hint="eastAsia" w:cs="Times New Roman"/>
                      <w:color w:val="000000" w:themeColor="text1"/>
                      <w:szCs w:val="21"/>
                      <w:lang w:val="en-US" w:eastAsia="zh-CN"/>
                      <w14:textFill>
                        <w14:solidFill>
                          <w14:schemeClr w14:val="tx1"/>
                        </w14:solidFill>
                      </w14:textFill>
                    </w:rPr>
                    <w:t>0</w:t>
                  </w:r>
                </w:p>
              </w:tc>
              <w:tc>
                <w:tcPr>
                  <w:tcW w:w="703" w:type="pct"/>
                  <w:noWrap w:val="0"/>
                  <w:vAlign w:val="center"/>
                </w:tcPr>
                <w:p w14:paraId="69AFD244">
                  <w:pPr>
                    <w:pStyle w:val="98"/>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6</w:t>
                  </w:r>
                  <w:r>
                    <w:rPr>
                      <w:rFonts w:hint="eastAsia" w:cs="Times New Roman"/>
                      <w:color w:val="000000" w:themeColor="text1"/>
                      <w:szCs w:val="21"/>
                      <w:lang w:val="en-US" w:eastAsia="zh-CN"/>
                      <w14:textFill>
                        <w14:solidFill>
                          <w14:schemeClr w14:val="tx1"/>
                        </w14:solidFill>
                      </w14:textFill>
                    </w:rPr>
                    <w:t>0</w:t>
                  </w:r>
                </w:p>
              </w:tc>
              <w:tc>
                <w:tcPr>
                  <w:tcW w:w="703" w:type="pct"/>
                  <w:noWrap w:val="0"/>
                  <w:vAlign w:val="center"/>
                </w:tcPr>
                <w:p w14:paraId="1DDB5318">
                  <w:pPr>
                    <w:pStyle w:val="98"/>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6</w:t>
                  </w:r>
                  <w:r>
                    <w:rPr>
                      <w:rFonts w:hint="eastAsia" w:cs="Times New Roman"/>
                      <w:color w:val="000000" w:themeColor="text1"/>
                      <w:szCs w:val="21"/>
                      <w:lang w:val="en-US" w:eastAsia="zh-CN"/>
                      <w14:textFill>
                        <w14:solidFill>
                          <w14:schemeClr w14:val="tx1"/>
                        </w14:solidFill>
                      </w14:textFill>
                    </w:rPr>
                    <w:t>0</w:t>
                  </w:r>
                </w:p>
              </w:tc>
              <w:tc>
                <w:tcPr>
                  <w:tcW w:w="703" w:type="pct"/>
                  <w:noWrap w:val="0"/>
                  <w:vAlign w:val="center"/>
                </w:tcPr>
                <w:p w14:paraId="67B4198B">
                  <w:pPr>
                    <w:pStyle w:val="98"/>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6</w:t>
                  </w:r>
                  <w:r>
                    <w:rPr>
                      <w:rFonts w:hint="eastAsia" w:cs="Times New Roman"/>
                      <w:color w:val="000000" w:themeColor="text1"/>
                      <w:szCs w:val="21"/>
                      <w:lang w:val="en-US" w:eastAsia="zh-CN"/>
                      <w14:textFill>
                        <w14:solidFill>
                          <w14:schemeClr w14:val="tx1"/>
                        </w14:solidFill>
                      </w14:textFill>
                    </w:rPr>
                    <w:t>0</w:t>
                  </w:r>
                </w:p>
              </w:tc>
            </w:tr>
            <w:tr w14:paraId="77A511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186" w:type="pct"/>
                  <w:gridSpan w:val="3"/>
                  <w:noWrap w:val="0"/>
                  <w:vAlign w:val="center"/>
                </w:tcPr>
                <w:p w14:paraId="662A20E2">
                  <w:pPr>
                    <w:pStyle w:val="98"/>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是否达标</w:t>
                  </w:r>
                </w:p>
              </w:tc>
              <w:tc>
                <w:tcPr>
                  <w:tcW w:w="703" w:type="pct"/>
                  <w:noWrap w:val="0"/>
                  <w:vAlign w:val="center"/>
                </w:tcPr>
                <w:p w14:paraId="3373FCC6">
                  <w:pPr>
                    <w:pStyle w:val="98"/>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达标</w:t>
                  </w:r>
                </w:p>
              </w:tc>
              <w:tc>
                <w:tcPr>
                  <w:tcW w:w="703" w:type="pct"/>
                  <w:noWrap w:val="0"/>
                  <w:vAlign w:val="center"/>
                </w:tcPr>
                <w:p w14:paraId="3DFCACE0">
                  <w:pPr>
                    <w:pStyle w:val="98"/>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达标</w:t>
                  </w:r>
                </w:p>
              </w:tc>
              <w:tc>
                <w:tcPr>
                  <w:tcW w:w="703" w:type="pct"/>
                  <w:noWrap w:val="0"/>
                  <w:vAlign w:val="center"/>
                </w:tcPr>
                <w:p w14:paraId="62B7EB9C">
                  <w:pPr>
                    <w:pStyle w:val="98"/>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达标</w:t>
                  </w:r>
                </w:p>
              </w:tc>
              <w:tc>
                <w:tcPr>
                  <w:tcW w:w="703" w:type="pct"/>
                  <w:noWrap w:val="0"/>
                  <w:vAlign w:val="center"/>
                </w:tcPr>
                <w:p w14:paraId="4675F78B">
                  <w:pPr>
                    <w:pStyle w:val="98"/>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达标</w:t>
                  </w:r>
                </w:p>
              </w:tc>
            </w:tr>
            <w:tr w14:paraId="35486B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186" w:type="pct"/>
                  <w:gridSpan w:val="3"/>
                  <w:noWrap w:val="0"/>
                  <w:vAlign w:val="center"/>
                </w:tcPr>
                <w:p w14:paraId="15624915">
                  <w:pPr>
                    <w:pStyle w:val="98"/>
                    <w:rPr>
                      <w:rFonts w:hint="default"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夜间</w:t>
                  </w:r>
                  <w:r>
                    <w:rPr>
                      <w:rFonts w:hint="default" w:ascii="Times New Roman" w:hAnsi="Times New Roman" w:cs="Times New Roman"/>
                      <w:color w:val="000000" w:themeColor="text1"/>
                      <w:szCs w:val="21"/>
                      <w14:textFill>
                        <w14:solidFill>
                          <w14:schemeClr w14:val="tx1"/>
                        </w14:solidFill>
                      </w14:textFill>
                    </w:rPr>
                    <w:t>贡献值dB（A）</w:t>
                  </w:r>
                </w:p>
              </w:tc>
              <w:tc>
                <w:tcPr>
                  <w:tcW w:w="703" w:type="pct"/>
                  <w:noWrap w:val="0"/>
                  <w:vAlign w:val="center"/>
                </w:tcPr>
                <w:p w14:paraId="5513CD96">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39</w:t>
                  </w:r>
                </w:p>
              </w:tc>
              <w:tc>
                <w:tcPr>
                  <w:tcW w:w="703" w:type="pct"/>
                  <w:noWrap w:val="0"/>
                  <w:vAlign w:val="center"/>
                </w:tcPr>
                <w:p w14:paraId="2E227C38">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33</w:t>
                  </w:r>
                </w:p>
              </w:tc>
              <w:tc>
                <w:tcPr>
                  <w:tcW w:w="703" w:type="pct"/>
                  <w:noWrap w:val="0"/>
                  <w:vAlign w:val="center"/>
                </w:tcPr>
                <w:p w14:paraId="5046BBF8">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32</w:t>
                  </w:r>
                </w:p>
              </w:tc>
              <w:tc>
                <w:tcPr>
                  <w:tcW w:w="703" w:type="pct"/>
                  <w:noWrap w:val="0"/>
                  <w:vAlign w:val="center"/>
                </w:tcPr>
                <w:p w14:paraId="4AA587B0">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45</w:t>
                  </w:r>
                </w:p>
              </w:tc>
            </w:tr>
            <w:tr w14:paraId="06532D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186" w:type="pct"/>
                  <w:gridSpan w:val="3"/>
                  <w:noWrap w:val="0"/>
                  <w:vAlign w:val="center"/>
                </w:tcPr>
                <w:p w14:paraId="375C6851">
                  <w:pPr>
                    <w:pStyle w:val="98"/>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标准值（</w:t>
                  </w:r>
                  <w:r>
                    <w:rPr>
                      <w:rFonts w:hint="eastAsia" w:ascii="Times New Roman" w:hAnsi="Times New Roman" w:cs="Times New Roman"/>
                      <w:color w:val="000000" w:themeColor="text1"/>
                      <w:szCs w:val="21"/>
                      <w:lang w:val="en-US" w:eastAsia="zh-CN"/>
                      <w14:textFill>
                        <w14:solidFill>
                          <w14:schemeClr w14:val="tx1"/>
                        </w14:solidFill>
                      </w14:textFill>
                    </w:rPr>
                    <w:t>夜间</w:t>
                  </w:r>
                  <w:r>
                    <w:rPr>
                      <w:rFonts w:hint="default" w:ascii="Times New Roman" w:hAnsi="Times New Roman" w:cs="Times New Roman"/>
                      <w:color w:val="000000" w:themeColor="text1"/>
                      <w:szCs w:val="21"/>
                      <w14:textFill>
                        <w14:solidFill>
                          <w14:schemeClr w14:val="tx1"/>
                        </w14:solidFill>
                      </w14:textFill>
                    </w:rPr>
                    <w:t>）</w:t>
                  </w:r>
                </w:p>
              </w:tc>
              <w:tc>
                <w:tcPr>
                  <w:tcW w:w="703" w:type="pct"/>
                  <w:noWrap w:val="0"/>
                  <w:vAlign w:val="center"/>
                </w:tcPr>
                <w:p w14:paraId="2F944E1E">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50</w:t>
                  </w:r>
                </w:p>
              </w:tc>
              <w:tc>
                <w:tcPr>
                  <w:tcW w:w="703" w:type="pct"/>
                  <w:noWrap w:val="0"/>
                  <w:vAlign w:val="center"/>
                </w:tcPr>
                <w:p w14:paraId="6E97416A">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50</w:t>
                  </w:r>
                </w:p>
              </w:tc>
              <w:tc>
                <w:tcPr>
                  <w:tcW w:w="703" w:type="pct"/>
                  <w:noWrap w:val="0"/>
                  <w:vAlign w:val="center"/>
                </w:tcPr>
                <w:p w14:paraId="6E5A3BC6">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50</w:t>
                  </w:r>
                </w:p>
              </w:tc>
              <w:tc>
                <w:tcPr>
                  <w:tcW w:w="703" w:type="pct"/>
                  <w:noWrap w:val="0"/>
                  <w:vAlign w:val="center"/>
                </w:tcPr>
                <w:p w14:paraId="464F53C4">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50</w:t>
                  </w:r>
                </w:p>
              </w:tc>
            </w:tr>
            <w:tr w14:paraId="5D25D2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186" w:type="pct"/>
                  <w:gridSpan w:val="3"/>
                  <w:noWrap w:val="0"/>
                  <w:vAlign w:val="center"/>
                </w:tcPr>
                <w:p w14:paraId="3F910768">
                  <w:pPr>
                    <w:pStyle w:val="98"/>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是否达标</w:t>
                  </w:r>
                </w:p>
              </w:tc>
              <w:tc>
                <w:tcPr>
                  <w:tcW w:w="703" w:type="pct"/>
                  <w:noWrap w:val="0"/>
                  <w:vAlign w:val="center"/>
                </w:tcPr>
                <w:p w14:paraId="6C444B1E">
                  <w:pPr>
                    <w:pStyle w:val="98"/>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达标</w:t>
                  </w:r>
                </w:p>
              </w:tc>
              <w:tc>
                <w:tcPr>
                  <w:tcW w:w="703" w:type="pct"/>
                  <w:noWrap w:val="0"/>
                  <w:vAlign w:val="center"/>
                </w:tcPr>
                <w:p w14:paraId="4F06967B">
                  <w:pPr>
                    <w:pStyle w:val="98"/>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达标</w:t>
                  </w:r>
                </w:p>
              </w:tc>
              <w:tc>
                <w:tcPr>
                  <w:tcW w:w="703" w:type="pct"/>
                  <w:noWrap w:val="0"/>
                  <w:vAlign w:val="center"/>
                </w:tcPr>
                <w:p w14:paraId="1C79BCCD">
                  <w:pPr>
                    <w:pStyle w:val="98"/>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达标</w:t>
                  </w:r>
                </w:p>
              </w:tc>
              <w:tc>
                <w:tcPr>
                  <w:tcW w:w="703" w:type="pct"/>
                  <w:noWrap w:val="0"/>
                  <w:vAlign w:val="center"/>
                </w:tcPr>
                <w:p w14:paraId="24BDB8BE">
                  <w:pPr>
                    <w:pStyle w:val="98"/>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达标</w:t>
                  </w:r>
                </w:p>
              </w:tc>
            </w:tr>
          </w:tbl>
          <w:p w14:paraId="774ED822">
            <w:pPr>
              <w:adjustRightInd w:val="0"/>
              <w:spacing w:line="360" w:lineRule="auto"/>
              <w:ind w:firstLine="480" w:firstLineChars="200"/>
              <w:jc w:val="left"/>
              <w:rPr>
                <w:rFonts w:hint="default" w:ascii="Times New Roman" w:hAnsi="Times New Roman" w:cs="Times New Roman"/>
                <w:bCs/>
                <w:color w:val="000000" w:themeColor="text1"/>
                <w:kern w:val="0"/>
                <w:sz w:val="24"/>
                <w14:textFill>
                  <w14:solidFill>
                    <w14:schemeClr w14:val="tx1"/>
                  </w14:solidFill>
                </w14:textFill>
              </w:rPr>
            </w:pPr>
            <w:r>
              <w:rPr>
                <w:rFonts w:hint="default" w:ascii="Times New Roman" w:hAnsi="Times New Roman" w:cs="Times New Roman"/>
                <w:color w:val="000000" w:themeColor="text1"/>
                <w:kern w:val="0"/>
                <w:sz w:val="24"/>
                <w14:textFill>
                  <w14:solidFill>
                    <w14:schemeClr w14:val="tx1"/>
                  </w14:solidFill>
                </w14:textFill>
              </w:rPr>
              <w:t>从上表可知，建设单位对主要噪声设备</w:t>
            </w:r>
            <w:r>
              <w:rPr>
                <w:rFonts w:hint="default" w:ascii="Times New Roman" w:hAnsi="Times New Roman" w:cs="Times New Roman"/>
                <w:color w:val="000000" w:themeColor="text1"/>
                <w:kern w:val="0"/>
                <w:sz w:val="24"/>
                <w:lang w:eastAsia="zh-CN"/>
                <w14:textFill>
                  <w14:solidFill>
                    <w14:schemeClr w14:val="tx1"/>
                  </w14:solidFill>
                </w14:textFill>
              </w:rPr>
              <w:t>采取</w:t>
            </w:r>
            <w:r>
              <w:rPr>
                <w:rFonts w:hint="default" w:ascii="Times New Roman" w:hAnsi="Times New Roman" w:cs="Times New Roman"/>
                <w:color w:val="000000" w:themeColor="text1"/>
                <w:kern w:val="0"/>
                <w:sz w:val="24"/>
                <w14:textFill>
                  <w14:solidFill>
                    <w14:schemeClr w14:val="tx1"/>
                  </w14:solidFill>
                </w14:textFill>
              </w:rPr>
              <w:t>了隔声、加强设备润滑、距离衰减等措施后</w:t>
            </w:r>
            <w:r>
              <w:rPr>
                <w:rFonts w:hint="default" w:ascii="Times New Roman" w:hAnsi="Times New Roman" w:cs="Times New Roman"/>
                <w:color w:val="000000" w:themeColor="text1"/>
                <w:kern w:val="0"/>
                <w:sz w:val="24"/>
                <w:lang w:eastAsia="zh-CN"/>
                <w14:textFill>
                  <w14:solidFill>
                    <w14:schemeClr w14:val="tx1"/>
                  </w14:solidFill>
                </w14:textFill>
              </w:rPr>
              <w:t>，</w:t>
            </w:r>
            <w:r>
              <w:rPr>
                <w:rFonts w:hint="default" w:ascii="Times New Roman" w:hAnsi="Times New Roman" w:cs="Times New Roman"/>
                <w:color w:val="000000" w:themeColor="text1"/>
                <w:kern w:val="0"/>
                <w:sz w:val="24"/>
                <w14:textFill>
                  <w14:solidFill>
                    <w14:schemeClr w14:val="tx1"/>
                  </w14:solidFill>
                </w14:textFill>
              </w:rPr>
              <w:t>噪声源的噪声影响</w:t>
            </w:r>
            <w:r>
              <w:rPr>
                <w:rFonts w:hint="default" w:ascii="Times New Roman" w:hAnsi="Times New Roman" w:cs="Times New Roman"/>
                <w:color w:val="000000" w:themeColor="text1"/>
                <w:kern w:val="0"/>
                <w:sz w:val="24"/>
                <w:lang w:eastAsia="zh-CN"/>
                <w14:textFill>
                  <w14:solidFill>
                    <w14:schemeClr w14:val="tx1"/>
                  </w14:solidFill>
                </w14:textFill>
              </w:rPr>
              <w:t>将大大降低</w:t>
            </w:r>
            <w:r>
              <w:rPr>
                <w:rFonts w:hint="default" w:ascii="Times New Roman" w:hAnsi="Times New Roman" w:cs="Times New Roman"/>
                <w:color w:val="000000" w:themeColor="text1"/>
                <w:kern w:val="0"/>
                <w:sz w:val="24"/>
                <w14:textFill>
                  <w14:solidFill>
                    <w14:schemeClr w14:val="tx1"/>
                  </w14:solidFill>
                </w14:textFill>
              </w:rPr>
              <w:t>，且</w:t>
            </w:r>
            <w:r>
              <w:rPr>
                <w:rFonts w:hint="default" w:ascii="Times New Roman" w:hAnsi="Times New Roman" w:cs="Times New Roman"/>
                <w:color w:val="000000" w:themeColor="text1"/>
                <w:kern w:val="0"/>
                <w:sz w:val="24"/>
                <w:lang w:eastAsia="zh-CN"/>
                <w14:textFill>
                  <w14:solidFill>
                    <w14:schemeClr w14:val="tx1"/>
                  </w14:solidFill>
                </w14:textFill>
              </w:rPr>
              <w:t>噪声源</w:t>
            </w:r>
            <w:r>
              <w:rPr>
                <w:rFonts w:hint="default" w:ascii="Times New Roman" w:hAnsi="Times New Roman" w:cs="Times New Roman"/>
                <w:color w:val="000000" w:themeColor="text1"/>
                <w:kern w:val="0"/>
                <w:sz w:val="24"/>
                <w14:textFill>
                  <w14:solidFill>
                    <w14:schemeClr w14:val="tx1"/>
                  </w14:solidFill>
                </w14:textFill>
              </w:rPr>
              <w:t>距厂界均有一定距离，能有效降低对厂界的影响。项目东侧、</w:t>
            </w:r>
            <w:r>
              <w:rPr>
                <w:rFonts w:hint="default" w:ascii="Times New Roman" w:hAnsi="Times New Roman" w:cs="Times New Roman"/>
                <w:color w:val="000000" w:themeColor="text1"/>
                <w:kern w:val="0"/>
                <w:sz w:val="24"/>
                <w:lang w:val="en-US" w:eastAsia="zh-CN"/>
                <w14:textFill>
                  <w14:solidFill>
                    <w14:schemeClr w14:val="tx1"/>
                  </w14:solidFill>
                </w14:textFill>
              </w:rPr>
              <w:t>南侧、</w:t>
            </w:r>
            <w:r>
              <w:rPr>
                <w:rFonts w:hint="default" w:ascii="Times New Roman" w:hAnsi="Times New Roman" w:cs="Times New Roman"/>
                <w:color w:val="000000" w:themeColor="text1"/>
                <w:kern w:val="0"/>
                <w:sz w:val="24"/>
                <w14:textFill>
                  <w14:solidFill>
                    <w14:schemeClr w14:val="tx1"/>
                  </w14:solidFill>
                </w14:textFill>
              </w:rPr>
              <w:t>西侧及北侧厂界噪声</w:t>
            </w:r>
            <w:r>
              <w:rPr>
                <w:rFonts w:hint="default" w:ascii="Times New Roman" w:hAnsi="Times New Roman" w:cs="Times New Roman"/>
                <w:color w:val="000000" w:themeColor="text1"/>
                <w:kern w:val="0"/>
                <w:sz w:val="24"/>
                <w:lang w:val="en-US" w:eastAsia="zh-CN"/>
                <w14:textFill>
                  <w14:solidFill>
                    <w14:schemeClr w14:val="tx1"/>
                  </w14:solidFill>
                </w14:textFill>
              </w:rPr>
              <w:t>贡献</w:t>
            </w:r>
            <w:r>
              <w:rPr>
                <w:rFonts w:hint="default" w:ascii="Times New Roman" w:hAnsi="Times New Roman" w:cs="Times New Roman"/>
                <w:color w:val="000000" w:themeColor="text1"/>
                <w:kern w:val="0"/>
                <w:sz w:val="24"/>
                <w14:textFill>
                  <w14:solidFill>
                    <w14:schemeClr w14:val="tx1"/>
                  </w14:solidFill>
                </w14:textFill>
              </w:rPr>
              <w:t>值</w:t>
            </w:r>
            <w:r>
              <w:rPr>
                <w:rFonts w:hint="default" w:ascii="Times New Roman" w:hAnsi="Times New Roman" w:cs="Times New Roman"/>
                <w:color w:val="000000" w:themeColor="text1"/>
                <w:kern w:val="0"/>
                <w:sz w:val="24"/>
                <w:lang w:eastAsia="zh-CN"/>
                <w14:textFill>
                  <w14:solidFill>
                    <w14:schemeClr w14:val="tx1"/>
                  </w14:solidFill>
                </w14:textFill>
              </w:rPr>
              <w:t>可</w:t>
            </w:r>
            <w:r>
              <w:rPr>
                <w:rFonts w:hint="default" w:ascii="Times New Roman" w:hAnsi="Times New Roman" w:cs="Times New Roman"/>
                <w:color w:val="000000" w:themeColor="text1"/>
                <w:kern w:val="0"/>
                <w:sz w:val="24"/>
                <w14:textFill>
                  <w14:solidFill>
                    <w14:schemeClr w14:val="tx1"/>
                  </w14:solidFill>
                </w14:textFill>
              </w:rPr>
              <w:t>满足《工业企业厂界环境噪声排放标准》（GB</w:t>
            </w:r>
            <w:r>
              <w:rPr>
                <w:rFonts w:hint="default" w:ascii="Times New Roman" w:hAnsi="Times New Roman" w:cs="Times New Roman"/>
                <w:color w:val="000000" w:themeColor="text1"/>
                <w:kern w:val="0"/>
                <w:sz w:val="24"/>
                <w:lang w:val="en-US" w:eastAsia="zh-CN"/>
                <w14:textFill>
                  <w14:solidFill>
                    <w14:schemeClr w14:val="tx1"/>
                  </w14:solidFill>
                </w14:textFill>
              </w:rPr>
              <w:t xml:space="preserve"> </w:t>
            </w:r>
            <w:r>
              <w:rPr>
                <w:rFonts w:hint="default" w:ascii="Times New Roman" w:hAnsi="Times New Roman" w:cs="Times New Roman"/>
                <w:color w:val="000000" w:themeColor="text1"/>
                <w:kern w:val="0"/>
                <w:sz w:val="24"/>
                <w14:textFill>
                  <w14:solidFill>
                    <w14:schemeClr w14:val="tx1"/>
                  </w14:solidFill>
                </w14:textFill>
              </w:rPr>
              <w:t>12348-2008）昼</w:t>
            </w:r>
            <w:r>
              <w:rPr>
                <w:rFonts w:hint="eastAsia" w:cs="Times New Roman"/>
                <w:color w:val="000000" w:themeColor="text1"/>
                <w:kern w:val="0"/>
                <w:sz w:val="24"/>
                <w:lang w:val="en-US" w:eastAsia="zh-CN"/>
                <w14:textFill>
                  <w14:solidFill>
                    <w14:schemeClr w14:val="tx1"/>
                  </w14:solidFill>
                </w14:textFill>
              </w:rPr>
              <w:t>/夜2</w:t>
            </w:r>
            <w:r>
              <w:rPr>
                <w:rFonts w:hint="default" w:ascii="Times New Roman" w:hAnsi="Times New Roman" w:cs="Times New Roman"/>
                <w:color w:val="000000" w:themeColor="text1"/>
                <w:kern w:val="0"/>
                <w:sz w:val="24"/>
                <w14:textFill>
                  <w14:solidFill>
                    <w14:schemeClr w14:val="tx1"/>
                  </w14:solidFill>
                </w14:textFill>
              </w:rPr>
              <w:t>类标准要求</w:t>
            </w:r>
            <w:r>
              <w:rPr>
                <w:rFonts w:hint="default" w:ascii="Times New Roman" w:hAnsi="Times New Roman" w:cs="Times New Roman"/>
                <w:bCs/>
                <w:color w:val="000000" w:themeColor="text1"/>
                <w:kern w:val="0"/>
                <w:sz w:val="24"/>
                <w14:textFill>
                  <w14:solidFill>
                    <w14:schemeClr w14:val="tx1"/>
                  </w14:solidFill>
                </w14:textFill>
              </w:rPr>
              <w:t>。</w:t>
            </w:r>
            <w:r>
              <w:rPr>
                <w:rFonts w:hint="default" w:ascii="Times New Roman" w:hAnsi="Times New Roman" w:cs="Times New Roman"/>
                <w:bCs/>
                <w:color w:val="000000" w:themeColor="text1"/>
                <w:kern w:val="0"/>
                <w:sz w:val="24"/>
                <w:lang w:bidi="ar"/>
                <w14:textFill>
                  <w14:solidFill>
                    <w14:schemeClr w14:val="tx1"/>
                  </w14:solidFill>
                </w14:textFill>
              </w:rPr>
              <w:t>因此，项目噪声排放对周围声环境影响较小。</w:t>
            </w:r>
          </w:p>
          <w:p w14:paraId="09DCFBB0">
            <w:pPr>
              <w:widowControl/>
              <w:spacing w:line="360" w:lineRule="auto"/>
              <w:ind w:firstLine="480" w:firstLineChars="200"/>
              <w:rPr>
                <w:rFonts w:hint="default" w:ascii="Times New Roman" w:hAnsi="Times New Roman" w:cs="Times New Roman"/>
                <w:color w:val="000000" w:themeColor="text1"/>
                <w:kern w:val="0"/>
                <w:sz w:val="24"/>
                <w14:textFill>
                  <w14:solidFill>
                    <w14:schemeClr w14:val="tx1"/>
                  </w14:solidFill>
                </w14:textFill>
              </w:rPr>
            </w:pPr>
            <w:r>
              <w:rPr>
                <w:rFonts w:hint="default" w:ascii="Times New Roman" w:hAnsi="Times New Roman" w:cs="Times New Roman"/>
                <w:color w:val="000000" w:themeColor="text1"/>
                <w:kern w:val="0"/>
                <w:sz w:val="24"/>
                <w14:textFill>
                  <w14:solidFill>
                    <w14:schemeClr w14:val="tx1"/>
                  </w14:solidFill>
                </w14:textFill>
              </w:rPr>
              <w:t>为确保项目运营期厂界噪声达标，项目采用的噪声治理措施如下：</w:t>
            </w:r>
          </w:p>
          <w:p w14:paraId="6A5D4E93">
            <w:pPr>
              <w:widowControl/>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①合理布局，尽量减少噪声对环境的影响；</w:t>
            </w:r>
          </w:p>
          <w:p w14:paraId="6391AD0E">
            <w:pPr>
              <w:widowControl/>
              <w:tabs>
                <w:tab w:val="center" w:pos="8820"/>
              </w:tabs>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②</w:t>
            </w:r>
            <w:r>
              <w:rPr>
                <w:rFonts w:hint="default" w:ascii="Times New Roman" w:hAnsi="Times New Roman" w:cs="Times New Roman"/>
                <w:color w:val="000000" w:themeColor="text1"/>
                <w:kern w:val="0"/>
                <w:sz w:val="24"/>
                <w:lang w:bidi="ar"/>
                <w14:textFill>
                  <w14:solidFill>
                    <w14:schemeClr w14:val="tx1"/>
                  </w14:solidFill>
                </w14:textFill>
              </w:rPr>
              <w:t>加强设备的维护和保养，确保设备处于良好的运转状态</w:t>
            </w:r>
            <w:r>
              <w:rPr>
                <w:rFonts w:hint="default" w:ascii="Times New Roman" w:hAnsi="Times New Roman" w:cs="Times New Roman"/>
                <w:color w:val="000000" w:themeColor="text1"/>
                <w:sz w:val="24"/>
                <w:szCs w:val="22"/>
                <w14:textFill>
                  <w14:solidFill>
                    <w14:schemeClr w14:val="tx1"/>
                  </w14:solidFill>
                </w14:textFill>
              </w:rPr>
              <w:t>；</w:t>
            </w:r>
          </w:p>
          <w:p w14:paraId="2B3971E2">
            <w:pPr>
              <w:widowControl/>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③采用建筑物隔声，防止</w:t>
            </w:r>
            <w:r>
              <w:rPr>
                <w:rFonts w:hint="default" w:ascii="Times New Roman" w:hAnsi="Times New Roman" w:cs="Times New Roman"/>
                <w:color w:val="000000" w:themeColor="text1"/>
                <w:sz w:val="24"/>
                <w:lang w:eastAsia="zh-CN"/>
                <w14:textFill>
                  <w14:solidFill>
                    <w14:schemeClr w14:val="tx1"/>
                  </w14:solidFill>
                </w14:textFill>
              </w:rPr>
              <w:t>噪声</w:t>
            </w:r>
            <w:r>
              <w:rPr>
                <w:rFonts w:hint="default" w:ascii="Times New Roman" w:hAnsi="Times New Roman" w:cs="Times New Roman"/>
                <w:color w:val="000000" w:themeColor="text1"/>
                <w:sz w:val="24"/>
                <w14:textFill>
                  <w14:solidFill>
                    <w14:schemeClr w14:val="tx1"/>
                  </w14:solidFill>
                </w14:textFill>
              </w:rPr>
              <w:t>扩散和传播，建筑物隔声</w:t>
            </w:r>
            <w:r>
              <w:rPr>
                <w:rFonts w:hint="default" w:ascii="Times New Roman" w:hAnsi="Times New Roman" w:cs="Times New Roman"/>
                <w:color w:val="000000" w:themeColor="text1"/>
                <w:sz w:val="24"/>
                <w:lang w:eastAsia="zh-CN"/>
                <w14:textFill>
                  <w14:solidFill>
                    <w14:schemeClr w14:val="tx1"/>
                  </w14:solidFill>
                </w14:textFill>
              </w:rPr>
              <w:t>降噪</w:t>
            </w:r>
            <w:r>
              <w:rPr>
                <w:rFonts w:hint="default" w:ascii="Times New Roman" w:hAnsi="Times New Roman" w:cs="Times New Roman"/>
                <w:color w:val="000000" w:themeColor="text1"/>
                <w:sz w:val="24"/>
                <w14:textFill>
                  <w14:solidFill>
                    <w14:schemeClr w14:val="tx1"/>
                  </w14:solidFill>
                </w14:textFill>
              </w:rPr>
              <w:t>15-20dB(A)；</w:t>
            </w:r>
          </w:p>
          <w:p w14:paraId="41DFBB9C">
            <w:pPr>
              <w:widowControl/>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lang w:bidi="ar"/>
                <w14:textFill>
                  <w14:solidFill>
                    <w14:schemeClr w14:val="tx1"/>
                  </w14:solidFill>
                </w14:textFill>
              </w:rPr>
              <w:t>④</w:t>
            </w:r>
            <w:r>
              <w:rPr>
                <w:rFonts w:hint="default" w:ascii="Times New Roman" w:hAnsi="Times New Roman" w:cs="Times New Roman"/>
                <w:color w:val="000000" w:themeColor="text1"/>
                <w:sz w:val="24"/>
                <w:szCs w:val="22"/>
                <w14:textFill>
                  <w14:solidFill>
                    <w14:schemeClr w14:val="tx1"/>
                  </w14:solidFill>
                </w14:textFill>
              </w:rPr>
              <w:t>避免高噪声设备集中放置；</w:t>
            </w:r>
            <w:r>
              <w:rPr>
                <w:rFonts w:hint="default" w:ascii="Times New Roman" w:hAnsi="Times New Roman" w:cs="Times New Roman"/>
                <w:color w:val="000000" w:themeColor="text1"/>
                <w:sz w:val="24"/>
                <w:lang w:bidi="ar"/>
                <w14:textFill>
                  <w14:solidFill>
                    <w14:schemeClr w14:val="tx1"/>
                  </w14:solidFill>
                </w14:textFill>
              </w:rPr>
              <w:t>设置隔声门窗，生产作业时尽量避免开窗，以增强隔声效果；</w:t>
            </w:r>
          </w:p>
          <w:p w14:paraId="7B1787D5">
            <w:pPr>
              <w:widowControl/>
              <w:adjustRightInd w:val="0"/>
              <w:snapToGrid w:val="0"/>
              <w:spacing w:line="360" w:lineRule="auto"/>
              <w:ind w:firstLine="480" w:firstLineChars="200"/>
              <w:jc w:val="left"/>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上述措施实施后，整体降噪效果可</w:t>
            </w:r>
            <w:r>
              <w:rPr>
                <w:rFonts w:hint="default" w:ascii="Times New Roman" w:hAnsi="Times New Roman" w:cs="Times New Roman"/>
                <w:color w:val="000000" w:themeColor="text1"/>
                <w:sz w:val="24"/>
                <w:lang w:eastAsia="zh-CN"/>
                <w14:textFill>
                  <w14:solidFill>
                    <w14:schemeClr w14:val="tx1"/>
                  </w14:solidFill>
                </w14:textFill>
              </w:rPr>
              <w:t>达到</w:t>
            </w:r>
            <w:r>
              <w:rPr>
                <w:rFonts w:hint="default" w:ascii="Times New Roman" w:hAnsi="Times New Roman" w:cs="Times New Roman"/>
                <w:color w:val="000000" w:themeColor="text1"/>
                <w:sz w:val="24"/>
                <w:lang w:val="en-US" w:eastAsia="zh-CN"/>
                <w14:textFill>
                  <w14:solidFill>
                    <w14:schemeClr w14:val="tx1"/>
                  </w14:solidFill>
                </w14:textFill>
              </w:rPr>
              <w:t>20-25</w:t>
            </w:r>
            <w:r>
              <w:rPr>
                <w:rFonts w:hint="default" w:ascii="Times New Roman" w:hAnsi="Times New Roman" w:cs="Times New Roman"/>
                <w:color w:val="000000" w:themeColor="text1"/>
                <w:sz w:val="24"/>
                <w14:textFill>
                  <w14:solidFill>
                    <w14:schemeClr w14:val="tx1"/>
                  </w14:solidFill>
                </w14:textFill>
              </w:rPr>
              <w:t>dB(A)。</w:t>
            </w:r>
            <w:r>
              <w:rPr>
                <w:rFonts w:hint="default" w:ascii="Times New Roman" w:hAnsi="Times New Roman" w:cs="Times New Roman"/>
                <w:color w:val="000000" w:themeColor="text1"/>
                <w:kern w:val="0"/>
                <w:sz w:val="24"/>
                <w14:textFill>
                  <w14:solidFill>
                    <w14:schemeClr w14:val="tx1"/>
                  </w14:solidFill>
                </w14:textFill>
              </w:rPr>
              <w:t>东侧、</w:t>
            </w:r>
            <w:r>
              <w:rPr>
                <w:rFonts w:hint="default" w:ascii="Times New Roman" w:hAnsi="Times New Roman" w:cs="Times New Roman"/>
                <w:color w:val="000000" w:themeColor="text1"/>
                <w:kern w:val="0"/>
                <w:sz w:val="24"/>
                <w:lang w:val="en-US" w:eastAsia="zh-CN"/>
                <w14:textFill>
                  <w14:solidFill>
                    <w14:schemeClr w14:val="tx1"/>
                  </w14:solidFill>
                </w14:textFill>
              </w:rPr>
              <w:t>南侧、</w:t>
            </w:r>
            <w:r>
              <w:rPr>
                <w:rFonts w:hint="default" w:ascii="Times New Roman" w:hAnsi="Times New Roman" w:cs="Times New Roman"/>
                <w:color w:val="000000" w:themeColor="text1"/>
                <w:kern w:val="0"/>
                <w:sz w:val="24"/>
                <w14:textFill>
                  <w14:solidFill>
                    <w14:schemeClr w14:val="tx1"/>
                  </w14:solidFill>
                </w14:textFill>
              </w:rPr>
              <w:t>西侧及北侧厂界噪声可以满足《工业企业厂界环境噪声排放标准》（GB</w:t>
            </w:r>
            <w:r>
              <w:rPr>
                <w:rFonts w:hint="default" w:ascii="Times New Roman" w:hAnsi="Times New Roman" w:cs="Times New Roman"/>
                <w:color w:val="000000" w:themeColor="text1"/>
                <w:kern w:val="0"/>
                <w:sz w:val="24"/>
                <w:lang w:val="en-US" w:eastAsia="zh-CN"/>
                <w14:textFill>
                  <w14:solidFill>
                    <w14:schemeClr w14:val="tx1"/>
                  </w14:solidFill>
                </w14:textFill>
              </w:rPr>
              <w:t xml:space="preserve"> </w:t>
            </w:r>
            <w:r>
              <w:rPr>
                <w:rFonts w:hint="default" w:ascii="Times New Roman" w:hAnsi="Times New Roman" w:cs="Times New Roman"/>
                <w:color w:val="000000" w:themeColor="text1"/>
                <w:kern w:val="0"/>
                <w:sz w:val="24"/>
                <w14:textFill>
                  <w14:solidFill>
                    <w14:schemeClr w14:val="tx1"/>
                  </w14:solidFill>
                </w14:textFill>
              </w:rPr>
              <w:t>12348-2008）昼</w:t>
            </w:r>
            <w:r>
              <w:rPr>
                <w:rFonts w:hint="eastAsia" w:cs="Times New Roman"/>
                <w:color w:val="000000" w:themeColor="text1"/>
                <w:kern w:val="0"/>
                <w:sz w:val="24"/>
                <w:lang w:val="en-US" w:eastAsia="zh-CN"/>
                <w14:textFill>
                  <w14:solidFill>
                    <w14:schemeClr w14:val="tx1"/>
                  </w14:solidFill>
                </w14:textFill>
              </w:rPr>
              <w:t>/夜2</w:t>
            </w:r>
            <w:r>
              <w:rPr>
                <w:rFonts w:hint="default" w:ascii="Times New Roman" w:hAnsi="Times New Roman" w:cs="Times New Roman"/>
                <w:color w:val="000000" w:themeColor="text1"/>
                <w:kern w:val="0"/>
                <w:sz w:val="24"/>
                <w14:textFill>
                  <w14:solidFill>
                    <w14:schemeClr w14:val="tx1"/>
                  </w14:solidFill>
                </w14:textFill>
              </w:rPr>
              <w:t>类标准要求，因此</w:t>
            </w:r>
            <w:r>
              <w:rPr>
                <w:rFonts w:hint="default" w:ascii="Times New Roman" w:hAnsi="Times New Roman" w:cs="Times New Roman"/>
                <w:color w:val="000000" w:themeColor="text1"/>
                <w:sz w:val="24"/>
                <w14:textFill>
                  <w14:solidFill>
                    <w14:schemeClr w14:val="tx1"/>
                  </w14:solidFill>
                </w14:textFill>
              </w:rPr>
              <w:t>不会对当地声环境造成较大影响。</w:t>
            </w:r>
          </w:p>
          <w:p w14:paraId="16A1168E">
            <w:pPr>
              <w:keepNext/>
              <w:keepLines/>
              <w:widowControl/>
              <w:adjustRightInd w:val="0"/>
              <w:snapToGrid w:val="0"/>
              <w:spacing w:line="360" w:lineRule="auto"/>
              <w:jc w:val="left"/>
              <w:outlineLvl w:val="1"/>
              <w:rPr>
                <w:rFonts w:hint="default" w:ascii="Times New Roman" w:hAnsi="Times New Roman" w:eastAsia="黑体" w:cs="Times New Roman"/>
                <w:bCs/>
                <w:color w:val="000000" w:themeColor="text1"/>
                <w:sz w:val="24"/>
                <w:szCs w:val="28"/>
                <w14:textFill>
                  <w14:solidFill>
                    <w14:schemeClr w14:val="tx1"/>
                  </w14:solidFill>
                </w14:textFill>
              </w:rPr>
            </w:pPr>
            <w:r>
              <w:rPr>
                <w:rFonts w:hint="default" w:ascii="Times New Roman" w:hAnsi="Times New Roman" w:eastAsia="黑体" w:cs="Times New Roman"/>
                <w:bCs/>
                <w:color w:val="000000" w:themeColor="text1"/>
                <w:sz w:val="24"/>
                <w:szCs w:val="28"/>
                <w:lang w:eastAsia="zh-CN"/>
                <w14:textFill>
                  <w14:solidFill>
                    <w14:schemeClr w14:val="tx1"/>
                  </w14:solidFill>
                </w14:textFill>
              </w:rPr>
              <w:t>3.</w:t>
            </w:r>
            <w:r>
              <w:rPr>
                <w:rFonts w:hint="default" w:ascii="Times New Roman" w:hAnsi="Times New Roman" w:eastAsia="黑体" w:cs="Times New Roman"/>
                <w:bCs/>
                <w:color w:val="000000" w:themeColor="text1"/>
                <w:sz w:val="24"/>
                <w:szCs w:val="28"/>
                <w14:textFill>
                  <w14:solidFill>
                    <w14:schemeClr w14:val="tx1"/>
                  </w14:solidFill>
                </w14:textFill>
              </w:rPr>
              <w:t>监测计划</w:t>
            </w:r>
          </w:p>
          <w:p w14:paraId="476C4602">
            <w:pPr>
              <w:widowControl/>
              <w:spacing w:line="440" w:lineRule="exact"/>
              <w:jc w:val="center"/>
              <w:rPr>
                <w:rFonts w:hint="default" w:ascii="Times New Roman" w:hAnsi="Times New Roman" w:cs="Times New Roman"/>
                <w:b/>
                <w:color w:val="000000" w:themeColor="text1"/>
                <w:sz w:val="24"/>
                <w14:textFill>
                  <w14:solidFill>
                    <w14:schemeClr w14:val="tx1"/>
                  </w14:solidFill>
                </w14:textFill>
              </w:rPr>
            </w:pPr>
            <w:r>
              <w:rPr>
                <w:rFonts w:hint="default" w:ascii="Times New Roman" w:hAnsi="Times New Roman" w:cs="Times New Roman"/>
                <w:b/>
                <w:color w:val="000000" w:themeColor="text1"/>
                <w:sz w:val="24"/>
                <w14:textFill>
                  <w14:solidFill>
                    <w14:schemeClr w14:val="tx1"/>
                  </w14:solidFill>
                </w14:textFill>
              </w:rPr>
              <w:t>表4-</w:t>
            </w:r>
            <w:r>
              <w:rPr>
                <w:rFonts w:hint="default" w:ascii="Times New Roman" w:hAnsi="Times New Roman" w:cs="Times New Roman"/>
                <w:b/>
                <w:color w:val="000000" w:themeColor="text1"/>
                <w:sz w:val="24"/>
                <w:lang w:val="en-US" w:eastAsia="zh-CN"/>
                <w14:textFill>
                  <w14:solidFill>
                    <w14:schemeClr w14:val="tx1"/>
                  </w14:solidFill>
                </w14:textFill>
              </w:rPr>
              <w:t>9</w:t>
            </w:r>
            <w:r>
              <w:rPr>
                <w:rFonts w:hint="default" w:ascii="Times New Roman" w:hAnsi="Times New Roman" w:cs="Times New Roman"/>
                <w:b/>
                <w:color w:val="000000" w:themeColor="text1"/>
                <w:sz w:val="24"/>
                <w14:textFill>
                  <w14:solidFill>
                    <w14:schemeClr w14:val="tx1"/>
                  </w14:solidFill>
                </w14:textFill>
              </w:rPr>
              <w:t xml:space="preserve">  运营期噪声监测内容及计划</w:t>
            </w:r>
          </w:p>
          <w:tbl>
            <w:tblPr>
              <w:tblStyle w:val="36"/>
              <w:tblW w:w="5000" w:type="pct"/>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0" w:type="dxa"/>
                <w:bottom w:w="0" w:type="dxa"/>
                <w:right w:w="0" w:type="dxa"/>
              </w:tblCellMar>
            </w:tblPr>
            <w:tblGrid>
              <w:gridCol w:w="679"/>
              <w:gridCol w:w="1072"/>
              <w:gridCol w:w="989"/>
              <w:gridCol w:w="1451"/>
              <w:gridCol w:w="3778"/>
            </w:tblGrid>
            <w:tr w14:paraId="4689083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426" w:type="pct"/>
                  <w:noWrap w:val="0"/>
                  <w:vAlign w:val="center"/>
                </w:tcPr>
                <w:p w14:paraId="1AC2CDA2">
                  <w:pPr>
                    <w:autoSpaceDE w:val="0"/>
                    <w:autoSpaceDN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类别</w:t>
                  </w:r>
                </w:p>
              </w:tc>
              <w:tc>
                <w:tcPr>
                  <w:tcW w:w="672" w:type="pct"/>
                  <w:noWrap w:val="0"/>
                  <w:vAlign w:val="center"/>
                </w:tcPr>
                <w:p w14:paraId="2A630500">
                  <w:pPr>
                    <w:autoSpaceDE w:val="0"/>
                    <w:autoSpaceDN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监测项目</w:t>
                  </w:r>
                </w:p>
              </w:tc>
              <w:tc>
                <w:tcPr>
                  <w:tcW w:w="620" w:type="pct"/>
                  <w:noWrap w:val="0"/>
                  <w:vAlign w:val="center"/>
                </w:tcPr>
                <w:p w14:paraId="047E20A2">
                  <w:pPr>
                    <w:autoSpaceDE w:val="0"/>
                    <w:autoSpaceDN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监测频次</w:t>
                  </w:r>
                </w:p>
              </w:tc>
              <w:tc>
                <w:tcPr>
                  <w:tcW w:w="910" w:type="pct"/>
                  <w:noWrap w:val="0"/>
                  <w:vAlign w:val="center"/>
                </w:tcPr>
                <w:p w14:paraId="50A266B2">
                  <w:pPr>
                    <w:autoSpaceDE w:val="0"/>
                    <w:autoSpaceDN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监测点位</w:t>
                  </w:r>
                </w:p>
              </w:tc>
              <w:tc>
                <w:tcPr>
                  <w:tcW w:w="2369" w:type="pct"/>
                  <w:noWrap w:val="0"/>
                  <w:vAlign w:val="center"/>
                </w:tcPr>
                <w:p w14:paraId="1CA0E8E6">
                  <w:pPr>
                    <w:autoSpaceDE w:val="0"/>
                    <w:autoSpaceDN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执行标准</w:t>
                  </w:r>
                </w:p>
              </w:tc>
            </w:tr>
            <w:tr w14:paraId="5D88525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426" w:type="pct"/>
                  <w:noWrap w:val="0"/>
                  <w:vAlign w:val="center"/>
                </w:tcPr>
                <w:p w14:paraId="48FDAD83">
                  <w:pPr>
                    <w:autoSpaceDE w:val="0"/>
                    <w:autoSpaceDN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噪声</w:t>
                  </w:r>
                </w:p>
              </w:tc>
              <w:tc>
                <w:tcPr>
                  <w:tcW w:w="672" w:type="pct"/>
                  <w:noWrap w:val="0"/>
                  <w:vAlign w:val="center"/>
                </w:tcPr>
                <w:p w14:paraId="5898EEF7">
                  <w:pPr>
                    <w:autoSpaceDE w:val="0"/>
                    <w:autoSpaceDN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等效声级Leq（A）</w:t>
                  </w:r>
                </w:p>
              </w:tc>
              <w:tc>
                <w:tcPr>
                  <w:tcW w:w="620" w:type="pct"/>
                  <w:noWrap w:val="0"/>
                  <w:vAlign w:val="center"/>
                </w:tcPr>
                <w:p w14:paraId="466C413C">
                  <w:pPr>
                    <w:autoSpaceDE w:val="0"/>
                    <w:autoSpaceDN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每季度1次</w:t>
                  </w:r>
                </w:p>
              </w:tc>
              <w:tc>
                <w:tcPr>
                  <w:tcW w:w="910" w:type="pct"/>
                  <w:noWrap w:val="0"/>
                  <w:vAlign w:val="center"/>
                </w:tcPr>
                <w:p w14:paraId="119426FC">
                  <w:pPr>
                    <w:autoSpaceDE w:val="0"/>
                    <w:autoSpaceDN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东、南、西、北侧厂界外1m处</w:t>
                  </w:r>
                </w:p>
              </w:tc>
              <w:tc>
                <w:tcPr>
                  <w:tcW w:w="2369" w:type="pct"/>
                  <w:noWrap w:val="0"/>
                  <w:vAlign w:val="center"/>
                </w:tcPr>
                <w:p w14:paraId="1CD927FF">
                  <w:pPr>
                    <w:autoSpaceDE w:val="0"/>
                    <w:autoSpaceDN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厂界四周</w:t>
                  </w:r>
                  <w:r>
                    <w:rPr>
                      <w:rFonts w:hint="default" w:ascii="Times New Roman" w:hAnsi="Times New Roman" w:cs="Times New Roman"/>
                      <w:color w:val="000000" w:themeColor="text1"/>
                      <w:szCs w:val="21"/>
                      <w14:textFill>
                        <w14:solidFill>
                          <w14:schemeClr w14:val="tx1"/>
                        </w14:solidFill>
                      </w14:textFill>
                    </w:rPr>
                    <w:t>执行《工业企业厂界环境噪声排放标准》（GB</w:t>
                  </w:r>
                  <w:r>
                    <w:rPr>
                      <w:rFonts w:hint="default" w:ascii="Times New Roman" w:hAnsi="Times New Roman" w:cs="Times New Roman"/>
                      <w:color w:val="000000" w:themeColor="text1"/>
                      <w:szCs w:val="21"/>
                      <w:lang w:val="en-US" w:eastAsia="zh-CN"/>
                      <w14:textFill>
                        <w14:solidFill>
                          <w14:schemeClr w14:val="tx1"/>
                        </w14:solidFill>
                      </w14:textFill>
                    </w:rPr>
                    <w:t xml:space="preserve"> </w:t>
                  </w:r>
                  <w:r>
                    <w:rPr>
                      <w:rFonts w:hint="default" w:ascii="Times New Roman" w:hAnsi="Times New Roman" w:cs="Times New Roman"/>
                      <w:color w:val="000000" w:themeColor="text1"/>
                      <w:szCs w:val="21"/>
                      <w14:textFill>
                        <w14:solidFill>
                          <w14:schemeClr w14:val="tx1"/>
                        </w14:solidFill>
                      </w14:textFill>
                    </w:rPr>
                    <w:t>12348-2008）</w:t>
                  </w:r>
                  <w:r>
                    <w:rPr>
                      <w:rFonts w:hint="eastAsia" w:cs="Times New Roman"/>
                      <w:color w:val="000000" w:themeColor="text1"/>
                      <w:szCs w:val="21"/>
                      <w:lang w:val="en-US" w:eastAsia="zh-CN"/>
                      <w14:textFill>
                        <w14:solidFill>
                          <w14:schemeClr w14:val="tx1"/>
                        </w14:solidFill>
                      </w14:textFill>
                    </w:rPr>
                    <w:t>2</w:t>
                  </w:r>
                  <w:r>
                    <w:rPr>
                      <w:rFonts w:hint="default" w:ascii="Times New Roman" w:hAnsi="Times New Roman" w:cs="Times New Roman"/>
                      <w:color w:val="000000" w:themeColor="text1"/>
                      <w:szCs w:val="21"/>
                      <w14:textFill>
                        <w14:solidFill>
                          <w14:schemeClr w14:val="tx1"/>
                        </w14:solidFill>
                      </w14:textFill>
                    </w:rPr>
                    <w:t>类标准</w:t>
                  </w:r>
                </w:p>
              </w:tc>
            </w:tr>
          </w:tbl>
          <w:p w14:paraId="5FD00DC4">
            <w:pPr>
              <w:widowControl/>
              <w:adjustRightInd w:val="0"/>
              <w:snapToGrid w:val="0"/>
              <w:spacing w:line="360" w:lineRule="auto"/>
              <w:jc w:val="left"/>
              <w:rPr>
                <w:rFonts w:hint="default" w:ascii="Times New Roman" w:hAnsi="Times New Roman" w:eastAsia="黑体" w:cs="Times New Roman"/>
                <w:bCs/>
                <w:color w:val="000000" w:themeColor="text1"/>
                <w:sz w:val="24"/>
                <w:szCs w:val="28"/>
                <w14:textFill>
                  <w14:solidFill>
                    <w14:schemeClr w14:val="tx1"/>
                  </w14:solidFill>
                </w14:textFill>
              </w:rPr>
            </w:pPr>
            <w:r>
              <w:rPr>
                <w:rFonts w:hint="default" w:ascii="Times New Roman" w:hAnsi="Times New Roman" w:eastAsia="黑体" w:cs="Times New Roman"/>
                <w:bCs/>
                <w:color w:val="000000" w:themeColor="text1"/>
                <w:sz w:val="24"/>
                <w:szCs w:val="28"/>
                <w14:textFill>
                  <w14:solidFill>
                    <w14:schemeClr w14:val="tx1"/>
                  </w14:solidFill>
                </w14:textFill>
              </w:rPr>
              <w:t>四、运营期固体废物环境影响和保护措施</w:t>
            </w:r>
          </w:p>
          <w:p w14:paraId="47AEBFBD">
            <w:pPr>
              <w:keepNext/>
              <w:keepLines/>
              <w:widowControl/>
              <w:adjustRightInd w:val="0"/>
              <w:snapToGrid w:val="0"/>
              <w:spacing w:line="360" w:lineRule="auto"/>
              <w:jc w:val="left"/>
              <w:outlineLvl w:val="1"/>
              <w:rPr>
                <w:rFonts w:hint="default" w:ascii="Times New Roman" w:hAnsi="Times New Roman" w:eastAsia="黑体" w:cs="Times New Roman"/>
                <w:bCs/>
                <w:color w:val="000000" w:themeColor="text1"/>
                <w:sz w:val="24"/>
                <w:szCs w:val="28"/>
                <w14:textFill>
                  <w14:solidFill>
                    <w14:schemeClr w14:val="tx1"/>
                  </w14:solidFill>
                </w14:textFill>
              </w:rPr>
            </w:pPr>
            <w:r>
              <w:rPr>
                <w:rFonts w:hint="default" w:ascii="Times New Roman" w:hAnsi="Times New Roman" w:eastAsia="黑体" w:cs="Times New Roman"/>
                <w:bCs/>
                <w:color w:val="000000" w:themeColor="text1"/>
                <w:sz w:val="24"/>
                <w:szCs w:val="28"/>
                <w:lang w:eastAsia="zh-CN"/>
                <w14:textFill>
                  <w14:solidFill>
                    <w14:schemeClr w14:val="tx1"/>
                  </w14:solidFill>
                </w14:textFill>
              </w:rPr>
              <w:t>1.</w:t>
            </w:r>
            <w:r>
              <w:rPr>
                <w:rFonts w:hint="default" w:ascii="Times New Roman" w:hAnsi="Times New Roman" w:eastAsia="黑体" w:cs="Times New Roman"/>
                <w:bCs/>
                <w:color w:val="000000" w:themeColor="text1"/>
                <w:sz w:val="24"/>
                <w:szCs w:val="28"/>
                <w14:textFill>
                  <w14:solidFill>
                    <w14:schemeClr w14:val="tx1"/>
                  </w14:solidFill>
                </w14:textFill>
              </w:rPr>
              <w:t>固体废物产生及处置情况</w:t>
            </w:r>
          </w:p>
          <w:p w14:paraId="42B6073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本</w:t>
            </w:r>
            <w:r>
              <w:rPr>
                <w:rFonts w:hint="default" w:ascii="Times New Roman" w:hAnsi="Times New Roman" w:cs="Times New Roman"/>
                <w:color w:val="000000" w:themeColor="text1"/>
                <w:sz w:val="24"/>
                <w:szCs w:val="24"/>
                <w:highlight w:val="none"/>
                <w14:textFill>
                  <w14:solidFill>
                    <w14:schemeClr w14:val="tx1"/>
                  </w14:solidFill>
                </w14:textFill>
              </w:rPr>
              <w:t>项目产生的固废包括生活垃圾、一般固废及危险废物。一般固废主要包括：</w:t>
            </w:r>
            <w:r>
              <w:rPr>
                <w:rFonts w:hint="eastAsia" w:cs="Times New Roman"/>
                <w:color w:val="000000" w:themeColor="text1"/>
                <w:sz w:val="24"/>
                <w:szCs w:val="24"/>
                <w:highlight w:val="none"/>
                <w:lang w:eastAsia="zh-CN"/>
                <w14:textFill>
                  <w14:solidFill>
                    <w14:schemeClr w14:val="tx1"/>
                  </w14:solidFill>
                </w14:textFill>
              </w:rPr>
              <w:t>除尘器收尘灰、一般材料</w:t>
            </w:r>
            <w:r>
              <w:rPr>
                <w:rFonts w:hint="eastAsia"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t>废包装袋/箱</w:t>
            </w:r>
            <w:r>
              <w:rPr>
                <w:rFonts w:hint="eastAsia" w:ascii="Times New Roman" w:hAnsi="Times New Roman" w:cs="Times New Roman"/>
                <w:color w:val="000000" w:themeColor="text1"/>
                <w:kern w:val="2"/>
                <w:sz w:val="24"/>
                <w:szCs w:val="24"/>
                <w:highlight w:val="none"/>
                <w:lang w:val="en-US" w:eastAsia="zh-CN" w:bidi="ar"/>
                <w14:textFill>
                  <w14:solidFill>
                    <w14:schemeClr w14:val="tx1"/>
                  </w14:solidFill>
                </w14:textFill>
              </w:rPr>
              <w:t>、废边角料</w:t>
            </w:r>
            <w:r>
              <w:rPr>
                <w:rFonts w:hint="eastAsia" w:cs="Times New Roman"/>
                <w:color w:val="000000" w:themeColor="text1"/>
                <w:kern w:val="2"/>
                <w:sz w:val="24"/>
                <w:szCs w:val="24"/>
                <w:highlight w:val="none"/>
                <w:lang w:val="en-US" w:eastAsia="zh-CN" w:bidi="ar"/>
                <w14:textFill>
                  <w14:solidFill>
                    <w14:schemeClr w14:val="tx1"/>
                  </w14:solidFill>
                </w14:textFill>
              </w:rPr>
              <w:t>、不合格产品、沉渣、污泥、</w:t>
            </w:r>
            <w:r>
              <w:rPr>
                <w:rFonts w:ascii="Times New Roman" w:hAnsi="Times New Roman" w:cs="Times New Roman"/>
                <w:color w:val="000000" w:themeColor="text1"/>
                <w:kern w:val="18"/>
                <w:sz w:val="24"/>
                <w:szCs w:val="24"/>
                <w:lang w:val="en-US"/>
                <w14:textFill>
                  <w14:solidFill>
                    <w14:schemeClr w14:val="tx1"/>
                  </w14:solidFill>
                </w14:textFill>
              </w:rPr>
              <w:t>废</w:t>
            </w:r>
            <w:r>
              <w:rPr>
                <w:rFonts w:hint="eastAsia" w:cs="Times New Roman"/>
                <w:color w:val="000000" w:themeColor="text1"/>
                <w:kern w:val="18"/>
                <w:sz w:val="24"/>
                <w:szCs w:val="24"/>
                <w:lang w:val="en-US" w:eastAsia="zh-CN"/>
                <w14:textFill>
                  <w14:solidFill>
                    <w14:schemeClr w14:val="tx1"/>
                  </w14:solidFill>
                </w14:textFill>
              </w:rPr>
              <w:t>反渗透膜</w:t>
            </w:r>
            <w:r>
              <w:rPr>
                <w:rFonts w:hint="default" w:ascii="Times New Roman" w:hAnsi="Times New Roman" w:cs="Times New Roman"/>
                <w:color w:val="000000" w:themeColor="text1"/>
                <w:sz w:val="24"/>
                <w:szCs w:val="24"/>
                <w:highlight w:val="none"/>
                <w14:textFill>
                  <w14:solidFill>
                    <w14:schemeClr w14:val="tx1"/>
                  </w14:solidFill>
                </w14:textFill>
              </w:rPr>
              <w:t>等</w:t>
            </w:r>
            <w:r>
              <w:rPr>
                <w:rFonts w:hint="eastAsia"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14:textFill>
                  <w14:solidFill>
                    <w14:schemeClr w14:val="tx1"/>
                  </w14:solidFill>
                </w14:textFill>
              </w:rPr>
              <w:t>危险废物</w:t>
            </w:r>
            <w:r>
              <w:rPr>
                <w:rFonts w:hint="eastAsia" w:ascii="Times New Roman" w:hAnsi="Times New Roman" w:cs="Times New Roman"/>
                <w:color w:val="000000" w:themeColor="text1"/>
                <w:sz w:val="24"/>
                <w:szCs w:val="24"/>
                <w:highlight w:val="none"/>
                <w:lang w:eastAsia="zh-CN"/>
                <w14:textFill>
                  <w14:solidFill>
                    <w14:schemeClr w14:val="tx1"/>
                  </w14:solidFill>
                </w14:textFill>
              </w:rPr>
              <w:t>包括废</w:t>
            </w:r>
            <w:r>
              <w:rPr>
                <w:rFonts w:hint="eastAsia" w:cs="Times New Roman"/>
                <w:color w:val="000000" w:themeColor="text1"/>
                <w:sz w:val="24"/>
                <w:szCs w:val="24"/>
                <w:highlight w:val="none"/>
                <w:lang w:val="en-US" w:eastAsia="zh-CN"/>
                <w14:textFill>
                  <w14:solidFill>
                    <w14:schemeClr w14:val="tx1"/>
                  </w14:solidFill>
                </w14:textFill>
              </w:rPr>
              <w:t>空压</w:t>
            </w:r>
            <w:r>
              <w:rPr>
                <w:rFonts w:hint="eastAsia" w:ascii="Times New Roman" w:hAnsi="Times New Roman" w:cs="Times New Roman"/>
                <w:color w:val="000000" w:themeColor="text1"/>
                <w:sz w:val="24"/>
                <w:szCs w:val="24"/>
                <w:highlight w:val="none"/>
                <w:lang w:eastAsia="zh-CN"/>
                <w14:textFill>
                  <w14:solidFill>
                    <w14:schemeClr w14:val="tx1"/>
                  </w14:solidFill>
                </w14:textFill>
              </w:rPr>
              <w:t>机油、</w:t>
            </w:r>
            <w:r>
              <w:rPr>
                <w:rFonts w:hint="eastAsia" w:cs="Times New Roman"/>
                <w:color w:val="000000" w:themeColor="text1"/>
                <w:sz w:val="24"/>
                <w:szCs w:val="24"/>
                <w:highlight w:val="none"/>
                <w:lang w:val="en-US" w:eastAsia="zh-CN"/>
                <w14:textFill>
                  <w14:solidFill>
                    <w14:schemeClr w14:val="tx1"/>
                  </w14:solidFill>
                </w14:textFill>
              </w:rPr>
              <w:t>废润滑油、废油桶、</w:t>
            </w:r>
            <w:r>
              <w:rPr>
                <w:rFonts w:hint="eastAsia" w:ascii="Times New Roman" w:hAnsi="Times New Roman" w:cs="Times New Roman"/>
                <w:color w:val="000000" w:themeColor="text1"/>
                <w:sz w:val="24"/>
                <w:szCs w:val="24"/>
                <w:highlight w:val="none"/>
                <w:lang w:eastAsia="zh-CN"/>
                <w14:textFill>
                  <w14:solidFill>
                    <w14:schemeClr w14:val="tx1"/>
                  </w14:solidFill>
                </w14:textFill>
              </w:rPr>
              <w:t>废</w:t>
            </w:r>
            <w:r>
              <w:rPr>
                <w:rFonts w:hint="eastAsia" w:cs="Times New Roman"/>
                <w:color w:val="000000" w:themeColor="text1"/>
                <w:sz w:val="24"/>
                <w:szCs w:val="24"/>
                <w:highlight w:val="none"/>
                <w:lang w:eastAsia="zh-CN"/>
                <w14:textFill>
                  <w14:solidFill>
                    <w14:schemeClr w14:val="tx1"/>
                  </w14:solidFill>
                </w14:textFill>
              </w:rPr>
              <w:t>活性炭、</w:t>
            </w:r>
            <w:r>
              <w:rPr>
                <w:rFonts w:hint="eastAsia" w:cs="Times New Roman"/>
                <w:color w:val="000000" w:themeColor="text1"/>
                <w:sz w:val="24"/>
                <w:szCs w:val="24"/>
                <w:highlight w:val="none"/>
                <w:lang w:val="en-US" w:eastAsia="zh-CN"/>
                <w14:textFill>
                  <w14:solidFill>
                    <w14:schemeClr w14:val="tx1"/>
                  </w14:solidFill>
                </w14:textFill>
              </w:rPr>
              <w:t>废过滤棉、</w:t>
            </w:r>
            <w:r>
              <w:rPr>
                <w:rFonts w:hint="eastAsia" w:cs="Times New Roman"/>
                <w:color w:val="000000" w:themeColor="text1"/>
                <w:kern w:val="2"/>
                <w:sz w:val="24"/>
                <w:szCs w:val="24"/>
                <w:highlight w:val="none"/>
                <w:lang w:val="en-US" w:eastAsia="zh-CN" w:bidi="ar"/>
                <w14:textFill>
                  <w14:solidFill>
                    <w14:schemeClr w14:val="tx1"/>
                  </w14:solidFill>
                </w14:textFill>
              </w:rPr>
              <w:t>沾染</w:t>
            </w:r>
            <w:r>
              <w:rPr>
                <w:rFonts w:hint="default" w:ascii="Helvetica" w:hAnsi="Helvetica" w:eastAsia="Helvetica" w:cs="Helvetica"/>
                <w:i w:val="0"/>
                <w:iCs w:val="0"/>
                <w:caps w:val="0"/>
                <w:color w:val="000000" w:themeColor="text1"/>
                <w:spacing w:val="0"/>
                <w:sz w:val="24"/>
                <w:szCs w:val="24"/>
                <w:shd w:val="clear" w:fill="FFFFFF"/>
                <w14:textFill>
                  <w14:solidFill>
                    <w14:schemeClr w14:val="tx1"/>
                  </w14:solidFill>
                </w14:textFill>
              </w:rPr>
              <w:t>废物</w:t>
            </w:r>
            <w:r>
              <w:rPr>
                <w:rFonts w:hint="default" w:ascii="Times New Roman" w:hAnsi="Times New Roman" w:cs="Times New Roman"/>
                <w:color w:val="000000" w:themeColor="text1"/>
                <w:sz w:val="24"/>
                <w:szCs w:val="24"/>
                <w:highlight w:val="none"/>
                <w14:textFill>
                  <w14:solidFill>
                    <w14:schemeClr w14:val="tx1"/>
                  </w14:solidFill>
                </w14:textFill>
              </w:rPr>
              <w:t>。</w:t>
            </w:r>
          </w:p>
          <w:p w14:paraId="33AAB9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480" w:firstLineChars="200"/>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1、</w:t>
            </w:r>
            <w:r>
              <w:rPr>
                <w:rFonts w:hint="default" w:ascii="Times New Roman" w:hAnsi="Times New Roman" w:cs="Times New Roman"/>
                <w:color w:val="000000" w:themeColor="text1"/>
                <w:sz w:val="24"/>
                <w:szCs w:val="24"/>
                <w:highlight w:val="none"/>
                <w14:textFill>
                  <w14:solidFill>
                    <w14:schemeClr w14:val="tx1"/>
                  </w14:solidFill>
                </w14:textFill>
              </w:rPr>
              <w:t xml:space="preserve">生活垃圾 </w:t>
            </w:r>
          </w:p>
          <w:p w14:paraId="48F62F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480" w:firstLineChars="200"/>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8"/>
                <w:lang w:val="en-US" w:eastAsia="zh-CN"/>
                <w14:textFill>
                  <w14:solidFill>
                    <w14:schemeClr w14:val="tx1"/>
                  </w14:solidFill>
                </w14:textFill>
              </w:rPr>
              <w:t>生活垃圾主要包括厂区职工办公生活产生的垃圾，根据《第一次全国污染源普查城镇生活源产排污系数手册》第一分册</w:t>
            </w:r>
            <w:r>
              <w:rPr>
                <w:rFonts w:hint="default" w:ascii="Times New Roman" w:hAnsi="Times New Roman" w:cs="Times New Roman"/>
                <w:color w:val="000000" w:themeColor="text1"/>
                <w:sz w:val="24"/>
                <w:szCs w:val="28"/>
                <w:lang w:val="en-US" w:eastAsia="zh-CN"/>
                <w14:textFill>
                  <w14:solidFill>
                    <w14:schemeClr w14:val="tx1"/>
                  </w14:solidFill>
                </w14:textFill>
              </w:rPr>
              <w:t>《城镇居民生活源污染物产生排放系数手册》</w:t>
            </w:r>
            <w:r>
              <w:rPr>
                <w:rFonts w:hint="default" w:ascii="Times New Roman" w:hAnsi="Times New Roman" w:eastAsia="宋体" w:cs="Times New Roman"/>
                <w:color w:val="000000" w:themeColor="text1"/>
                <w:sz w:val="24"/>
                <w:szCs w:val="28"/>
                <w:lang w:val="en-US" w:eastAsia="zh-CN"/>
                <w14:textFill>
                  <w14:solidFill>
                    <w14:schemeClr w14:val="tx1"/>
                  </w14:solidFill>
                </w14:textFill>
              </w:rPr>
              <w:t>可知，宝鸡市属于五区三类城市，项目生活垃圾产生量按0.44kg/人</w:t>
            </w:r>
            <w:r>
              <w:rPr>
                <w:rFonts w:hint="default" w:ascii="Times New Roman" w:hAnsi="Times New Roman" w:cs="Times New Roman"/>
                <w:color w:val="000000" w:themeColor="text1"/>
                <w:sz w:val="24"/>
                <w:szCs w:val="28"/>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8"/>
                <w:lang w:val="en-US" w:eastAsia="zh-CN"/>
                <w14:textFill>
                  <w14:solidFill>
                    <w14:schemeClr w14:val="tx1"/>
                  </w14:solidFill>
                </w14:textFill>
              </w:rPr>
              <w:t>d计，</w:t>
            </w:r>
            <w:r>
              <w:rPr>
                <w:rFonts w:hint="eastAsia" w:cs="Times New Roman"/>
                <w:color w:val="000000" w:themeColor="text1"/>
                <w:sz w:val="24"/>
                <w:szCs w:val="24"/>
                <w:highlight w:val="none"/>
                <w:lang w:val="en-US" w:eastAsia="zh-CN"/>
                <w14:textFill>
                  <w14:solidFill>
                    <w14:schemeClr w14:val="tx1"/>
                  </w14:solidFill>
                </w14:textFill>
              </w:rPr>
              <w:t>本</w:t>
            </w:r>
            <w:r>
              <w:rPr>
                <w:rFonts w:hint="default" w:ascii="Times New Roman" w:hAnsi="Times New Roman" w:cs="Times New Roman"/>
                <w:color w:val="000000" w:themeColor="text1"/>
                <w:sz w:val="24"/>
                <w:szCs w:val="24"/>
                <w:highlight w:val="none"/>
                <w14:textFill>
                  <w14:solidFill>
                    <w14:schemeClr w14:val="tx1"/>
                  </w14:solidFill>
                </w14:textFill>
              </w:rPr>
              <w:t>项目劳动定员</w:t>
            </w:r>
            <w:r>
              <w:rPr>
                <w:rFonts w:hint="eastAsia" w:cs="Times New Roman"/>
                <w:color w:val="000000" w:themeColor="text1"/>
                <w:sz w:val="24"/>
                <w:szCs w:val="24"/>
                <w:highlight w:val="none"/>
                <w:lang w:val="en-US" w:eastAsia="zh-CN"/>
                <w14:textFill>
                  <w14:solidFill>
                    <w14:schemeClr w14:val="tx1"/>
                  </w14:solidFill>
                </w14:textFill>
              </w:rPr>
              <w:t>30</w:t>
            </w:r>
            <w:r>
              <w:rPr>
                <w:rFonts w:hint="default" w:ascii="Times New Roman" w:hAnsi="Times New Roman" w:cs="Times New Roman"/>
                <w:color w:val="000000" w:themeColor="text1"/>
                <w:sz w:val="24"/>
                <w:szCs w:val="24"/>
                <w:highlight w:val="none"/>
                <w14:textFill>
                  <w14:solidFill>
                    <w14:schemeClr w14:val="tx1"/>
                  </w14:solidFill>
                </w14:textFill>
              </w:rPr>
              <w:t>人，</w:t>
            </w:r>
            <w:r>
              <w:rPr>
                <w:rFonts w:hint="eastAsia" w:cs="Times New Roman"/>
                <w:color w:val="000000" w:themeColor="text1"/>
                <w:sz w:val="24"/>
                <w:szCs w:val="24"/>
                <w:highlight w:val="none"/>
                <w:lang w:val="en-US" w:eastAsia="zh-CN"/>
                <w14:textFill>
                  <w14:solidFill>
                    <w14:schemeClr w14:val="tx1"/>
                  </w14:solidFill>
                </w14:textFill>
              </w:rPr>
              <w:t>本</w:t>
            </w:r>
            <w:r>
              <w:rPr>
                <w:rFonts w:hint="default" w:ascii="Times New Roman" w:hAnsi="Times New Roman" w:cs="Times New Roman"/>
                <w:color w:val="000000" w:themeColor="text1"/>
                <w:sz w:val="24"/>
                <w:szCs w:val="24"/>
                <w:highlight w:val="none"/>
                <w14:textFill>
                  <w14:solidFill>
                    <w14:schemeClr w14:val="tx1"/>
                  </w14:solidFill>
                </w14:textFill>
              </w:rPr>
              <w:t>项目生活垃圾产生量为</w:t>
            </w:r>
            <w:r>
              <w:rPr>
                <w:rFonts w:hint="eastAsia" w:cs="Times New Roman"/>
                <w:color w:val="000000" w:themeColor="text1"/>
                <w:sz w:val="24"/>
                <w:szCs w:val="24"/>
                <w:highlight w:val="none"/>
                <w:lang w:val="en-US" w:eastAsia="zh-CN"/>
                <w14:textFill>
                  <w14:solidFill>
                    <w14:schemeClr w14:val="tx1"/>
                  </w14:solidFill>
                </w14:textFill>
              </w:rPr>
              <w:t>3.96</w:t>
            </w:r>
            <w:r>
              <w:rPr>
                <w:rFonts w:hint="default" w:ascii="Times New Roman" w:hAnsi="Times New Roman" w:cs="Times New Roman"/>
                <w:color w:val="000000" w:themeColor="text1"/>
                <w:sz w:val="24"/>
                <w:szCs w:val="24"/>
                <w:highlight w:val="none"/>
                <w14:textFill>
                  <w14:solidFill>
                    <w14:schemeClr w14:val="tx1"/>
                  </w14:solidFill>
                </w14:textFill>
              </w:rPr>
              <w:t>t/a</w:t>
            </w:r>
            <w:r>
              <w:rPr>
                <w:rFonts w:hint="eastAsia"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14:textFill>
                  <w14:solidFill>
                    <w14:schemeClr w14:val="tx1"/>
                  </w14:solidFill>
                </w14:textFill>
              </w:rPr>
              <w:t>生活垃圾分类</w:t>
            </w:r>
            <w:r>
              <w:rPr>
                <w:rFonts w:hint="eastAsia" w:cs="Times New Roman"/>
                <w:color w:val="000000" w:themeColor="text1"/>
                <w:sz w:val="24"/>
                <w:szCs w:val="24"/>
                <w:highlight w:val="none"/>
                <w:lang w:val="en-US" w:eastAsia="zh-CN"/>
                <w14:textFill>
                  <w14:solidFill>
                    <w14:schemeClr w14:val="tx1"/>
                  </w14:solidFill>
                </w14:textFill>
              </w:rPr>
              <w:t>集中</w:t>
            </w:r>
            <w:r>
              <w:rPr>
                <w:rFonts w:hint="default" w:ascii="Times New Roman" w:hAnsi="Times New Roman" w:cs="Times New Roman"/>
                <w:color w:val="000000" w:themeColor="text1"/>
                <w:sz w:val="24"/>
                <w:szCs w:val="24"/>
                <w:highlight w:val="none"/>
                <w14:textFill>
                  <w14:solidFill>
                    <w14:schemeClr w14:val="tx1"/>
                  </w14:solidFill>
                </w14:textFill>
              </w:rPr>
              <w:t>收集</w:t>
            </w:r>
            <w:r>
              <w:rPr>
                <w:rFonts w:hint="eastAsia" w:cs="Times New Roman"/>
                <w:color w:val="000000" w:themeColor="text1"/>
                <w:sz w:val="24"/>
                <w:szCs w:val="24"/>
                <w:highlight w:val="none"/>
                <w:lang w:val="en-US" w:eastAsia="zh-CN"/>
                <w14:textFill>
                  <w14:solidFill>
                    <w14:schemeClr w14:val="tx1"/>
                  </w14:solidFill>
                </w14:textFill>
              </w:rPr>
              <w:t>后</w:t>
            </w:r>
            <w:r>
              <w:rPr>
                <w:rFonts w:hint="default" w:ascii="Times New Roman" w:hAnsi="Times New Roman" w:cs="Times New Roman"/>
                <w:color w:val="000000" w:themeColor="text1"/>
                <w:sz w:val="24"/>
                <w:szCs w:val="24"/>
                <w:highlight w:val="none"/>
                <w14:textFill>
                  <w14:solidFill>
                    <w14:schemeClr w14:val="tx1"/>
                  </w14:solidFill>
                </w14:textFill>
              </w:rPr>
              <w:t>交由环卫部门清运处置。</w:t>
            </w:r>
          </w:p>
          <w:p w14:paraId="359B4D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2、一般固体废物</w:t>
            </w:r>
          </w:p>
          <w:p w14:paraId="57D081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Times New Roman" w:hAnsi="Times New Roman" w:cs="Times New Roman"/>
                <w:color w:val="000000" w:themeColor="text1"/>
                <w:sz w:val="24"/>
                <w:szCs w:val="24"/>
                <w:highlight w:val="none"/>
                <w:lang w:val="en-US" w:eastAsia="zh-CN" w:bidi="ar"/>
                <w14:textFill>
                  <w14:solidFill>
                    <w14:schemeClr w14:val="tx1"/>
                  </w14:solidFill>
                </w14:textFill>
              </w:rPr>
            </w:pPr>
            <w:r>
              <w:rPr>
                <w:rFonts w:hint="eastAsia" w:cs="Times New Roman"/>
                <w:color w:val="000000" w:themeColor="text1"/>
                <w:sz w:val="24"/>
                <w:szCs w:val="24"/>
                <w:highlight w:val="none"/>
                <w:lang w:eastAsia="zh-CN"/>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1</w:t>
            </w:r>
            <w:r>
              <w:rPr>
                <w:rFonts w:hint="eastAsia" w:cs="Times New Roman"/>
                <w:color w:val="000000" w:themeColor="text1"/>
                <w:sz w:val="24"/>
                <w:szCs w:val="24"/>
                <w:highlight w:val="none"/>
                <w:lang w:eastAsia="zh-CN"/>
                <w14:textFill>
                  <w14:solidFill>
                    <w14:schemeClr w14:val="tx1"/>
                  </w14:solidFill>
                </w14:textFill>
              </w:rPr>
              <w:t>）</w:t>
            </w:r>
            <w:r>
              <w:rPr>
                <w:rFonts w:hint="eastAsia" w:ascii="Times New Roman" w:hAnsi="Times New Roman" w:cs="Times New Roman"/>
                <w:color w:val="000000" w:themeColor="text1"/>
                <w:sz w:val="24"/>
                <w:szCs w:val="24"/>
                <w:highlight w:val="none"/>
                <w:lang w:val="en-US" w:eastAsia="zh-CN" w:bidi="ar"/>
                <w14:textFill>
                  <w14:solidFill>
                    <w14:schemeClr w14:val="tx1"/>
                  </w14:solidFill>
                </w14:textFill>
              </w:rPr>
              <w:t>除尘器收尘灰</w:t>
            </w:r>
          </w:p>
          <w:p w14:paraId="3152DEDF">
            <w:pPr>
              <w:keepNext w:val="0"/>
              <w:keepLines w:val="0"/>
              <w:widowControl w:val="0"/>
              <w:suppressLineNumbers w:val="0"/>
              <w:spacing w:before="0" w:beforeAutospacing="0" w:after="0" w:afterAutospacing="0" w:line="360" w:lineRule="auto"/>
              <w:ind w:left="0" w:right="0" w:firstLine="480" w:firstLineChars="200"/>
              <w:jc w:val="left"/>
              <w:rPr>
                <w:rFonts w:hint="eastAsia" w:ascii="Times New Roman" w:hAnsi="Times New Roman" w:cs="Times New Roman"/>
                <w:color w:val="000000" w:themeColor="text1"/>
                <w:sz w:val="24"/>
                <w:szCs w:val="24"/>
                <w:highlight w:val="none"/>
                <w:lang w:val="en-US" w:eastAsia="zh-CN" w:bidi="ar"/>
                <w14:textFill>
                  <w14:solidFill>
                    <w14:schemeClr w14:val="tx1"/>
                  </w14:solidFill>
                </w14:textFill>
              </w:rPr>
            </w:pPr>
            <w:r>
              <w:rPr>
                <w:rFonts w:hint="eastAsia" w:cs="Times New Roman"/>
                <w:color w:val="000000" w:themeColor="text1"/>
                <w:sz w:val="24"/>
                <w:szCs w:val="24"/>
                <w:highlight w:val="none"/>
                <w:lang w:val="en-US" w:eastAsia="zh-CN" w:bidi="ar"/>
                <w14:textFill>
                  <w14:solidFill>
                    <w14:schemeClr w14:val="tx1"/>
                  </w14:solidFill>
                </w14:textFill>
              </w:rPr>
              <w:t>本项目收尘灰主要为布</w:t>
            </w:r>
            <w:r>
              <w:rPr>
                <w:rFonts w:hint="eastAsia" w:ascii="Times New Roman" w:hAnsi="Times New Roman" w:cs="Times New Roman"/>
                <w:color w:val="000000" w:themeColor="text1"/>
                <w:sz w:val="24"/>
                <w:szCs w:val="24"/>
                <w:highlight w:val="none"/>
                <w:lang w:val="en-US" w:eastAsia="zh-CN" w:bidi="ar"/>
                <w14:textFill>
                  <w14:solidFill>
                    <w14:schemeClr w14:val="tx1"/>
                  </w14:solidFill>
                </w14:textFill>
              </w:rPr>
              <w:t>袋除尘器收集的粉尘量，根据上文计算可知</w:t>
            </w:r>
            <w:r>
              <w:rPr>
                <w:rFonts w:hint="eastAsia" w:cs="Times New Roman"/>
                <w:color w:val="000000" w:themeColor="text1"/>
                <w:sz w:val="24"/>
                <w:szCs w:val="24"/>
                <w:highlight w:val="none"/>
                <w:lang w:val="en-US" w:eastAsia="zh-CN" w:bidi="ar"/>
                <w14:textFill>
                  <w14:solidFill>
                    <w14:schemeClr w14:val="tx1"/>
                  </w14:solidFill>
                </w14:textFill>
              </w:rPr>
              <w:t>产生量</w:t>
            </w:r>
            <w:r>
              <w:rPr>
                <w:rFonts w:hint="eastAsia" w:cs="Times New Roman"/>
                <w:color w:val="000000" w:themeColor="text1"/>
                <w:sz w:val="24"/>
                <w:szCs w:val="24"/>
                <w:highlight w:val="none"/>
                <w:lang w:val="en-US" w:eastAsia="zh-CN"/>
                <w14:textFill>
                  <w14:solidFill>
                    <w14:schemeClr w14:val="tx1"/>
                  </w14:solidFill>
                </w14:textFill>
              </w:rPr>
              <w:t>约为0.66</w:t>
            </w:r>
            <w:r>
              <w:rPr>
                <w:rFonts w:hint="default" w:ascii="Times New Roman" w:hAnsi="Times New Roman" w:cs="Times New Roman"/>
                <w:color w:val="000000" w:themeColor="text1"/>
                <w:sz w:val="24"/>
                <w:szCs w:val="24"/>
                <w:highlight w:val="none"/>
                <w14:textFill>
                  <w14:solidFill>
                    <w14:schemeClr w14:val="tx1"/>
                  </w14:solidFill>
                </w14:textFill>
              </w:rPr>
              <w:t>t/a</w:t>
            </w:r>
            <w:r>
              <w:rPr>
                <w:rFonts w:hint="eastAsia" w:ascii="Times New Roman" w:hAnsi="Times New Roman" w:cs="Times New Roman"/>
                <w:color w:val="000000" w:themeColor="text1"/>
                <w:sz w:val="24"/>
                <w:szCs w:val="24"/>
                <w:highlight w:val="none"/>
                <w:lang w:eastAsia="zh-CN" w:bidi="ar"/>
                <w14:textFill>
                  <w14:solidFill>
                    <w14:schemeClr w14:val="tx1"/>
                  </w14:solidFill>
                </w14:textFill>
              </w:rPr>
              <w:t>。</w:t>
            </w:r>
            <w:r>
              <w:rPr>
                <w:rFonts w:hint="eastAsia" w:ascii="Times New Roman" w:hAnsi="Times New Roman" w:cs="Times New Roman"/>
                <w:color w:val="000000" w:themeColor="text1"/>
                <w:sz w:val="24"/>
                <w:szCs w:val="24"/>
                <w:highlight w:val="none"/>
                <w:lang w:val="en-US" w:eastAsia="zh-CN" w:bidi="ar"/>
                <w14:textFill>
                  <w14:solidFill>
                    <w14:schemeClr w14:val="tx1"/>
                  </w14:solidFill>
                </w14:textFill>
              </w:rPr>
              <w:t>收集后作为原材料回用生产。</w:t>
            </w:r>
          </w:p>
          <w:p w14:paraId="5D8622EC">
            <w:pPr>
              <w:keepNext w:val="0"/>
              <w:keepLines w:val="0"/>
              <w:widowControl w:val="0"/>
              <w:numPr>
                <w:ilvl w:val="-1"/>
                <w:numId w:val="0"/>
              </w:numPr>
              <w:suppressLineNumbers w:val="0"/>
              <w:spacing w:before="0" w:beforeAutospacing="0" w:after="0" w:afterAutospacing="0" w:line="360" w:lineRule="auto"/>
              <w:ind w:left="0" w:right="0" w:firstLine="480" w:firstLineChars="200"/>
              <w:jc w:val="left"/>
              <w:rPr>
                <w:rFonts w:hint="eastAsia"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pPr>
            <w:r>
              <w:rPr>
                <w:rFonts w:hint="eastAsia" w:cs="Times New Roman"/>
                <w:color w:val="000000" w:themeColor="text1"/>
                <w:kern w:val="2"/>
                <w:sz w:val="24"/>
                <w:szCs w:val="24"/>
                <w:highlight w:val="none"/>
                <w:lang w:val="en-US" w:eastAsia="zh-CN" w:bidi="ar"/>
                <w14:textFill>
                  <w14:solidFill>
                    <w14:schemeClr w14:val="tx1"/>
                  </w14:solidFill>
                </w14:textFill>
              </w:rPr>
              <w:t>（2）</w:t>
            </w:r>
            <w:r>
              <w:rPr>
                <w:rFonts w:hint="eastAsia"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t>废包装袋/箱</w:t>
            </w:r>
          </w:p>
          <w:p w14:paraId="15CE4595">
            <w:pPr>
              <w:keepNext w:val="0"/>
              <w:keepLines w:val="0"/>
              <w:widowControl w:val="0"/>
              <w:suppressLineNumbers w:val="0"/>
              <w:spacing w:before="0" w:beforeAutospacing="0" w:after="0" w:afterAutospacing="0" w:line="360" w:lineRule="auto"/>
              <w:ind w:left="0" w:right="0" w:firstLine="480" w:firstLineChars="200"/>
              <w:jc w:val="left"/>
              <w:rPr>
                <w:rFonts w:hint="default" w:ascii="Times New Roman" w:hAnsi="Times New Roman" w:cs="Times New Roman"/>
                <w:color w:val="000000" w:themeColor="text1"/>
                <w:sz w:val="24"/>
                <w:highlight w:val="none"/>
                <w:lang w:val="en-US"/>
                <w14:textFill>
                  <w14:solidFill>
                    <w14:schemeClr w14:val="tx1"/>
                  </w14:solidFill>
                </w14:textFill>
              </w:rPr>
            </w:pPr>
            <w:r>
              <w:rPr>
                <w:rFonts w:hint="eastAsia" w:cs="Times New Roman"/>
                <w:color w:val="000000" w:themeColor="text1"/>
                <w:kern w:val="2"/>
                <w:sz w:val="24"/>
                <w:szCs w:val="24"/>
                <w:highlight w:val="none"/>
                <w:lang w:val="en-US" w:eastAsia="zh-CN" w:bidi="ar"/>
                <w14:textFill>
                  <w14:solidFill>
                    <w14:schemeClr w14:val="tx1"/>
                  </w14:solidFill>
                </w14:textFill>
              </w:rPr>
              <w:t>本</w:t>
            </w:r>
            <w:r>
              <w:rPr>
                <w:rFonts w:hint="eastAsia"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t>项目原辅材料使用过程中产生包装袋、纸箱等</w:t>
            </w:r>
            <w:r>
              <w:rPr>
                <w:rFonts w:hint="eastAsia" w:cs="Times New Roman"/>
                <w:color w:val="000000" w:themeColor="text1"/>
                <w:kern w:val="2"/>
                <w:sz w:val="24"/>
                <w:szCs w:val="24"/>
                <w:highlight w:val="none"/>
                <w:lang w:val="en-US" w:eastAsia="zh-CN" w:bidi="ar"/>
                <w14:textFill>
                  <w14:solidFill>
                    <w14:schemeClr w14:val="tx1"/>
                  </w14:solidFill>
                </w14:textFill>
              </w:rPr>
              <w:t>一般固废</w:t>
            </w:r>
            <w:r>
              <w:rPr>
                <w:rFonts w:hint="eastAsia"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t>包装材料，根据业主提供资料，废包装袋/箱产生量约0.</w:t>
            </w:r>
            <w:r>
              <w:rPr>
                <w:rFonts w:hint="eastAsia" w:cs="Times New Roman"/>
                <w:color w:val="000000" w:themeColor="text1"/>
                <w:kern w:val="2"/>
                <w:sz w:val="24"/>
                <w:szCs w:val="24"/>
                <w:highlight w:val="none"/>
                <w:lang w:val="en-US" w:eastAsia="zh-CN" w:bidi="ar"/>
                <w14:textFill>
                  <w14:solidFill>
                    <w14:schemeClr w14:val="tx1"/>
                  </w14:solidFill>
                </w14:textFill>
              </w:rPr>
              <w:t>18</w:t>
            </w:r>
            <w:r>
              <w:rPr>
                <w:rFonts w:hint="eastAsia"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t>t/a。收集后外售废品回收公司。</w:t>
            </w:r>
          </w:p>
          <w:p w14:paraId="17AD04B0">
            <w:pPr>
              <w:keepNext w:val="0"/>
              <w:keepLines w:val="0"/>
              <w:suppressLineNumbers w:val="0"/>
              <w:spacing w:before="0" w:beforeAutospacing="0" w:after="0" w:afterAutospacing="0" w:line="360" w:lineRule="auto"/>
              <w:ind w:left="0" w:right="0" w:firstLine="480" w:firstLineChars="200"/>
              <w:rPr>
                <w:rFonts w:hint="eastAsia" w:ascii="Times New Roman" w:hAnsi="Times New Roman" w:cs="Times New Roman"/>
                <w:color w:val="000000" w:themeColor="text1"/>
                <w:sz w:val="24"/>
                <w:highlight w:val="none"/>
                <w:lang w:val="en-US" w:eastAsia="zh-CN"/>
                <w14:textFill>
                  <w14:solidFill>
                    <w14:schemeClr w14:val="tx1"/>
                  </w14:solidFill>
                </w14:textFill>
              </w:rPr>
            </w:pPr>
            <w:r>
              <w:rPr>
                <w:rFonts w:hint="eastAsia" w:ascii="Times New Roman" w:hAnsi="Times New Roman" w:cs="Times New Roman"/>
                <w:color w:val="000000" w:themeColor="text1"/>
                <w:sz w:val="24"/>
                <w:highlight w:val="none"/>
                <w:lang w:val="en-US" w:eastAsia="zh-CN"/>
                <w14:textFill>
                  <w14:solidFill>
                    <w14:schemeClr w14:val="tx1"/>
                  </w14:solidFill>
                </w14:textFill>
              </w:rPr>
              <w:t>（</w:t>
            </w:r>
            <w:r>
              <w:rPr>
                <w:rFonts w:hint="eastAsia" w:cs="Times New Roman"/>
                <w:color w:val="000000" w:themeColor="text1"/>
                <w:sz w:val="24"/>
                <w:highlight w:val="none"/>
                <w:lang w:val="en-US" w:eastAsia="zh-CN"/>
                <w14:textFill>
                  <w14:solidFill>
                    <w14:schemeClr w14:val="tx1"/>
                  </w14:solidFill>
                </w14:textFill>
              </w:rPr>
              <w:t>3</w:t>
            </w:r>
            <w:r>
              <w:rPr>
                <w:rFonts w:hint="eastAsia" w:ascii="Times New Roman" w:hAnsi="Times New Roman" w:cs="Times New Roman"/>
                <w:color w:val="000000" w:themeColor="text1"/>
                <w:sz w:val="24"/>
                <w:highlight w:val="none"/>
                <w:lang w:val="en-US" w:eastAsia="zh-CN"/>
                <w14:textFill>
                  <w14:solidFill>
                    <w14:schemeClr w14:val="tx1"/>
                  </w14:solidFill>
                </w14:textFill>
              </w:rPr>
              <w:t>）废边角料</w:t>
            </w:r>
          </w:p>
          <w:p w14:paraId="15040400">
            <w:pPr>
              <w:keepNext w:val="0"/>
              <w:keepLines w:val="0"/>
              <w:widowControl w:val="0"/>
              <w:suppressLineNumbers w:val="0"/>
              <w:spacing w:before="0" w:beforeAutospacing="0" w:after="0" w:afterAutospacing="0" w:line="360" w:lineRule="auto"/>
              <w:ind w:left="0" w:right="0" w:firstLine="480" w:firstLineChars="200"/>
              <w:jc w:val="left"/>
              <w:rPr>
                <w:rFonts w:hint="eastAsia"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pPr>
            <w:r>
              <w:rPr>
                <w:rFonts w:hint="eastAsia"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t>根据建设方提供资料以及工程分析，本项目切脚、编带过程中会产生废边角料，为一般固废产生量约为</w:t>
            </w:r>
            <w:r>
              <w:rPr>
                <w:rFonts w:hint="eastAsia" w:cs="Times New Roman"/>
                <w:color w:val="000000" w:themeColor="text1"/>
                <w:kern w:val="2"/>
                <w:sz w:val="24"/>
                <w:szCs w:val="24"/>
                <w:highlight w:val="none"/>
                <w:lang w:val="en-US" w:eastAsia="zh-CN" w:bidi="ar"/>
                <w14:textFill>
                  <w14:solidFill>
                    <w14:schemeClr w14:val="tx1"/>
                  </w14:solidFill>
                </w14:textFill>
              </w:rPr>
              <w:t>原料的3%，约为0.045</w:t>
            </w:r>
            <w:r>
              <w:rPr>
                <w:rFonts w:hint="eastAsia"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t>t</w:t>
            </w:r>
            <w:r>
              <w:rPr>
                <w:rFonts w:hint="eastAsia" w:cs="Times New Roman"/>
                <w:color w:val="000000" w:themeColor="text1"/>
                <w:kern w:val="2"/>
                <w:sz w:val="24"/>
                <w:szCs w:val="24"/>
                <w:highlight w:val="none"/>
                <w:lang w:val="en-US" w:eastAsia="zh-CN" w:bidi="ar"/>
                <w14:textFill>
                  <w14:solidFill>
                    <w14:schemeClr w14:val="tx1"/>
                  </w14:solidFill>
                </w14:textFill>
              </w:rPr>
              <w:t>/a</w:t>
            </w:r>
            <w:r>
              <w:rPr>
                <w:rFonts w:hint="eastAsia"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t>，收集后外售废品回收公司。</w:t>
            </w:r>
          </w:p>
          <w:p w14:paraId="26270389">
            <w:pPr>
              <w:keepNext w:val="0"/>
              <w:keepLines w:val="0"/>
              <w:widowControl w:val="0"/>
              <w:numPr>
                <w:ilvl w:val="0"/>
                <w:numId w:val="2"/>
              </w:numPr>
              <w:suppressLineNumbers w:val="0"/>
              <w:adjustRightInd/>
              <w:snapToGrid/>
              <w:spacing w:before="0" w:beforeAutospacing="0" w:after="0" w:afterAutospacing="0" w:line="360" w:lineRule="auto"/>
              <w:ind w:left="0" w:leftChars="0" w:right="0" w:firstLine="480" w:firstLineChars="200"/>
              <w:jc w:val="left"/>
              <w:rPr>
                <w:rFonts w:hint="eastAsia"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不合格产品</w:t>
            </w:r>
          </w:p>
          <w:p w14:paraId="48C250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480" w:firstLineChars="200"/>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项目</w:t>
            </w:r>
            <w:r>
              <w:rPr>
                <w:rFonts w:hint="eastAsia" w:cs="Times New Roman"/>
                <w:color w:val="000000" w:themeColor="text1"/>
                <w:sz w:val="24"/>
                <w:szCs w:val="24"/>
                <w:highlight w:val="none"/>
                <w:lang w:eastAsia="zh-CN"/>
                <w14:textFill>
                  <w14:solidFill>
                    <w14:schemeClr w14:val="tx1"/>
                  </w14:solidFill>
                </w14:textFill>
              </w:rPr>
              <w:t>检验</w:t>
            </w:r>
            <w:r>
              <w:rPr>
                <w:rFonts w:hint="default" w:ascii="Times New Roman" w:hAnsi="Times New Roman" w:cs="Times New Roman"/>
                <w:color w:val="000000" w:themeColor="text1"/>
                <w:sz w:val="24"/>
                <w:szCs w:val="24"/>
                <w:highlight w:val="none"/>
                <w14:textFill>
                  <w14:solidFill>
                    <w14:schemeClr w14:val="tx1"/>
                  </w14:solidFill>
                </w14:textFill>
              </w:rPr>
              <w:t>过程中会产生一定量的</w:t>
            </w:r>
            <w:r>
              <w:rPr>
                <w:rFonts w:hint="eastAsia" w:cs="Times New Roman"/>
                <w:color w:val="000000" w:themeColor="text1"/>
                <w:sz w:val="24"/>
                <w:szCs w:val="24"/>
                <w:highlight w:val="none"/>
                <w:lang w:eastAsia="zh-CN"/>
                <w14:textFill>
                  <w14:solidFill>
                    <w14:schemeClr w14:val="tx1"/>
                  </w14:solidFill>
                </w14:textFill>
              </w:rPr>
              <w:t>不合格产品</w:t>
            </w:r>
            <w:r>
              <w:rPr>
                <w:rFonts w:hint="default" w:ascii="Times New Roman" w:hAnsi="Times New Roman" w:cs="Times New Roman"/>
                <w:color w:val="000000" w:themeColor="text1"/>
                <w:sz w:val="24"/>
                <w:szCs w:val="24"/>
                <w:highlight w:val="none"/>
                <w14:textFill>
                  <w14:solidFill>
                    <w14:schemeClr w14:val="tx1"/>
                  </w14:solidFill>
                </w14:textFill>
              </w:rPr>
              <w:t>，根据</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原有项目的生产经验</w:t>
            </w:r>
            <w:r>
              <w:rPr>
                <w:rFonts w:hint="default" w:ascii="Times New Roman" w:hAnsi="Times New Roman" w:cs="Times New Roman"/>
                <w:color w:val="000000" w:themeColor="text1"/>
                <w:sz w:val="24"/>
                <w:szCs w:val="24"/>
                <w:highlight w:val="none"/>
                <w14:textFill>
                  <w14:solidFill>
                    <w14:schemeClr w14:val="tx1"/>
                  </w14:solidFill>
                </w14:textFill>
              </w:rPr>
              <w:t>，</w:t>
            </w:r>
            <w:r>
              <w:rPr>
                <w:rFonts w:hint="eastAsia" w:cs="Times New Roman"/>
                <w:color w:val="000000" w:themeColor="text1"/>
                <w:sz w:val="24"/>
                <w:szCs w:val="24"/>
                <w:highlight w:val="none"/>
                <w:lang w:eastAsia="zh-CN"/>
                <w14:textFill>
                  <w14:solidFill>
                    <w14:schemeClr w14:val="tx1"/>
                  </w14:solidFill>
                </w14:textFill>
              </w:rPr>
              <w:t>项目</w:t>
            </w:r>
            <w:r>
              <w:rPr>
                <w:rFonts w:hint="eastAsia" w:cs="Times New Roman"/>
                <w:color w:val="000000" w:themeColor="text1"/>
                <w:sz w:val="24"/>
                <w:szCs w:val="24"/>
                <w:highlight w:val="none"/>
                <w:lang w:val="en-US" w:eastAsia="zh-CN"/>
                <w14:textFill>
                  <w14:solidFill>
                    <w14:schemeClr w14:val="tx1"/>
                  </w14:solidFill>
                </w14:textFill>
              </w:rPr>
              <w:t>不合格产品产品的1%，故不合格产品产生量约为1.4</w:t>
            </w:r>
            <w:r>
              <w:rPr>
                <w:rFonts w:hint="default" w:ascii="Times New Roman" w:hAnsi="Times New Roman" w:cs="Times New Roman"/>
                <w:color w:val="000000" w:themeColor="text1"/>
                <w:sz w:val="24"/>
                <w:szCs w:val="24"/>
                <w:highlight w:val="none"/>
                <w14:textFill>
                  <w14:solidFill>
                    <w14:schemeClr w14:val="tx1"/>
                  </w14:solidFill>
                </w14:textFill>
              </w:rPr>
              <w:t>t/a</w:t>
            </w:r>
            <w:r>
              <w:rPr>
                <w:rFonts w:hint="eastAsia"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14:textFill>
                  <w14:solidFill>
                    <w14:schemeClr w14:val="tx1"/>
                  </w14:solidFill>
                </w14:textFill>
              </w:rPr>
              <w:t>收集后</w:t>
            </w:r>
            <w:r>
              <w:rPr>
                <w:rFonts w:hint="eastAsia" w:cs="Times New Roman"/>
                <w:color w:val="000000" w:themeColor="text1"/>
                <w:sz w:val="24"/>
                <w:szCs w:val="24"/>
                <w:highlight w:val="none"/>
                <w:lang w:eastAsia="zh-CN"/>
                <w14:textFill>
                  <w14:solidFill>
                    <w14:schemeClr w14:val="tx1"/>
                  </w14:solidFill>
                </w14:textFill>
              </w:rPr>
              <w:t>由第三方公司回收</w:t>
            </w:r>
            <w:r>
              <w:rPr>
                <w:rFonts w:hint="default" w:ascii="Times New Roman" w:hAnsi="Times New Roman" w:cs="Times New Roman"/>
                <w:color w:val="000000" w:themeColor="text1"/>
                <w:sz w:val="24"/>
                <w:szCs w:val="24"/>
                <w:highlight w:val="none"/>
                <w14:textFill>
                  <w14:solidFill>
                    <w14:schemeClr w14:val="tx1"/>
                  </w14:solidFill>
                </w14:textFill>
              </w:rPr>
              <w:t>。</w:t>
            </w:r>
          </w:p>
          <w:p w14:paraId="468D14B0">
            <w:pPr>
              <w:keepNext w:val="0"/>
              <w:keepLines w:val="0"/>
              <w:widowControl w:val="0"/>
              <w:suppressLineNumbers w:val="0"/>
              <w:adjustRightInd/>
              <w:snapToGrid/>
              <w:spacing w:before="0" w:beforeAutospacing="0" w:after="0" w:afterAutospacing="0" w:line="360" w:lineRule="auto"/>
              <w:ind w:left="0" w:right="0" w:firstLine="480" w:firstLineChars="200"/>
              <w:jc w:val="left"/>
              <w:rPr>
                <w:rFonts w:hint="eastAsia"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cs="Times New Roman"/>
                <w:color w:val="000000" w:themeColor="text1"/>
                <w:kern w:val="0"/>
                <w:sz w:val="24"/>
                <w:szCs w:val="24"/>
                <w:lang w:val="en-US" w:eastAsia="zh-CN" w:bidi="ar"/>
                <w14:textFill>
                  <w14:solidFill>
                    <w14:schemeClr w14:val="tx1"/>
                  </w14:solidFill>
                </w14:textFill>
              </w:rPr>
              <w:t>（5）</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沉渣：</w:t>
            </w:r>
            <w:r>
              <w:rPr>
                <w:rFonts w:hint="eastAsia" w:cs="Times New Roman"/>
                <w:color w:val="000000" w:themeColor="text1"/>
                <w:sz w:val="24"/>
                <w:szCs w:val="24"/>
                <w:highlight w:val="none"/>
                <w:lang w:val="en-US" w:eastAsia="zh-CN"/>
                <w14:textFill>
                  <w14:solidFill>
                    <w14:schemeClr w14:val="tx1"/>
                  </w14:solidFill>
                </w14:textFill>
              </w:rPr>
              <w:t>本</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项目设备清洗过程</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产生的清洗</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废水</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，经</w:t>
            </w:r>
            <w:r>
              <w:rPr>
                <w:rFonts w:hint="eastAsia" w:cs="Times New Roman"/>
                <w:color w:val="000000" w:themeColor="text1"/>
                <w:sz w:val="24"/>
                <w:szCs w:val="24"/>
                <w:highlight w:val="none"/>
                <w:lang w:val="en-US" w:eastAsia="zh-CN"/>
                <w14:textFill>
                  <w14:solidFill>
                    <w14:schemeClr w14:val="tx1"/>
                  </w14:solidFill>
                </w14:textFill>
              </w:rPr>
              <w:t>沉淀池</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收集暂存后</w:t>
            </w:r>
            <w:r>
              <w:rPr>
                <w:rFonts w:hint="eastAsia" w:ascii="Times New Roman" w:hAnsi="Times New Roman" w:cs="Times New Roman"/>
                <w:color w:val="000000" w:themeColor="text1"/>
                <w:sz w:val="24"/>
                <w:szCs w:val="24"/>
                <w:highlight w:val="none"/>
                <w:u w:val="none"/>
                <w:lang w:val="en-US" w:eastAsia="zh-CN"/>
                <w14:textFill>
                  <w14:solidFill>
                    <w14:schemeClr w14:val="tx1"/>
                  </w14:solidFill>
                </w14:textFill>
              </w:rPr>
              <w:t>上清液回用于产品生产，收集桶内会留有</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少量</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沉渣</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t>根据建设单位提供资料，沉渣</w:t>
            </w:r>
            <w:r>
              <w:rPr>
                <w:rFonts w:hint="eastAsia" w:ascii="Times New Roman" w:hAnsi="Times New Roman" w:cs="Times New Roman"/>
                <w:color w:val="000000" w:themeColor="text1"/>
                <w:kern w:val="2"/>
                <w:sz w:val="24"/>
                <w:szCs w:val="24"/>
                <w:highlight w:val="none"/>
                <w:lang w:val="en-US" w:eastAsia="zh-CN" w:bidi="ar"/>
                <w14:textFill>
                  <w14:solidFill>
                    <w14:schemeClr w14:val="tx1"/>
                  </w14:solidFill>
                </w14:textFill>
              </w:rPr>
              <w:t>产</w:t>
            </w:r>
            <w:r>
              <w:rPr>
                <w:rFonts w:hint="eastAsia"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t>生量约为0.</w:t>
            </w:r>
            <w:r>
              <w:rPr>
                <w:rFonts w:hint="eastAsia" w:cs="Times New Roman"/>
                <w:color w:val="000000" w:themeColor="text1"/>
                <w:kern w:val="2"/>
                <w:sz w:val="24"/>
                <w:szCs w:val="24"/>
                <w:highlight w:val="none"/>
                <w:lang w:val="en-US" w:eastAsia="zh-CN" w:bidi="ar"/>
                <w14:textFill>
                  <w14:solidFill>
                    <w14:schemeClr w14:val="tx1"/>
                  </w14:solidFill>
                </w14:textFill>
              </w:rPr>
              <w:t>4</w:t>
            </w:r>
            <w:r>
              <w:rPr>
                <w:rFonts w:hint="eastAsia"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t>t/a</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eastAsia" w:ascii="Times New Roman" w:hAnsi="Times New Roman" w:cs="Times New Roman"/>
                <w:color w:val="000000" w:themeColor="text1"/>
                <w:sz w:val="24"/>
                <w:szCs w:val="24"/>
                <w:highlight w:val="none"/>
                <w:lang w:eastAsia="zh-CN"/>
                <w14:textFill>
                  <w14:solidFill>
                    <w14:schemeClr w14:val="tx1"/>
                  </w14:solidFill>
                </w14:textFill>
              </w:rPr>
              <w:t>暂存至原料间</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作为</w:t>
            </w:r>
            <w:r>
              <w:rPr>
                <w:rFonts w:hint="eastAsia" w:ascii="Times New Roman" w:hAnsi="Times New Roman" w:cs="Times New Roman"/>
                <w:color w:val="000000" w:themeColor="text1"/>
                <w:sz w:val="24"/>
                <w:szCs w:val="24"/>
                <w:highlight w:val="none"/>
                <w:lang w:eastAsia="zh-CN"/>
                <w14:textFill>
                  <w14:solidFill>
                    <w14:schemeClr w14:val="tx1"/>
                  </w14:solidFill>
                </w14:textFill>
              </w:rPr>
              <w:t>下一批次同一型号产品原料使用</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w:t>
            </w:r>
          </w:p>
          <w:p w14:paraId="2399FA45">
            <w:pPr>
              <w:pStyle w:val="2"/>
              <w:numPr>
                <w:ilvl w:val="0"/>
                <w:numId w:val="0"/>
              </w:numPr>
              <w:ind w:firstLine="480" w:firstLineChars="200"/>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eastAsia" w:ascii="Times New Roman" w:hAnsi="Times New Roman" w:cs="Times New Roman"/>
                <w:color w:val="000000" w:themeColor="text1"/>
                <w:kern w:val="18"/>
                <w:sz w:val="24"/>
                <w:szCs w:val="24"/>
                <w:lang w:val="en-US" w:eastAsia="zh-CN"/>
                <w14:textFill>
                  <w14:solidFill>
                    <w14:schemeClr w14:val="tx1"/>
                  </w14:solidFill>
                </w14:textFill>
              </w:rPr>
              <w:t>（6）</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污泥</w:t>
            </w:r>
          </w:p>
          <w:p w14:paraId="75F1EC86">
            <w:pPr>
              <w:pStyle w:val="28"/>
              <w:keepNext w:val="0"/>
              <w:keepLines w:val="0"/>
              <w:suppressLineNumbers w:val="0"/>
              <w:spacing w:before="0" w:beforeAutospacing="0" w:after="0" w:afterAutospacing="0" w:line="360" w:lineRule="auto"/>
              <w:ind w:left="0" w:leftChars="0" w:right="0" w:firstLine="480" w:firstLineChars="200"/>
              <w:jc w:val="both"/>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eastAsia" w:cs="Times New Roman"/>
                <w:color w:val="000000" w:themeColor="text1"/>
                <w:kern w:val="0"/>
                <w:sz w:val="24"/>
                <w:szCs w:val="24"/>
                <w:lang w:val="en-US" w:eastAsia="zh-CN" w:bidi="ar"/>
                <w14:textFill>
                  <w14:solidFill>
                    <w14:schemeClr w14:val="tx1"/>
                  </w14:solidFill>
                </w14:textFill>
              </w:rPr>
              <w:t>本</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项目</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反渗透浓水</w:t>
            </w:r>
            <w:r>
              <w:rPr>
                <w:rFonts w:hint="eastAsia" w:cs="Times New Roman"/>
                <w:color w:val="000000" w:themeColor="text1"/>
                <w:kern w:val="2"/>
                <w:sz w:val="24"/>
                <w:szCs w:val="24"/>
                <w:lang w:val="en-US" w:eastAsia="zh-CN" w:bidi="ar-SA"/>
                <w14:textFill>
                  <w14:solidFill>
                    <w14:schemeClr w14:val="tx1"/>
                  </w14:solidFill>
                </w14:textFill>
              </w:rPr>
              <w:t>及膜冲洗废水经反渗透处理系统处理，其中水中污染物仅为自来水中的钙镁离子得很，经中和絮凝沉淀产生的污泥，经分析，污泥产生量为0.56t/a（含水率约为60%，则干污泥约0.22t/a），</w:t>
            </w:r>
            <w:r>
              <w:rPr>
                <w:rFonts w:hint="eastAsia" w:cs="Times New Roman"/>
                <w:color w:val="000000" w:themeColor="text1"/>
                <w:kern w:val="0"/>
                <w:sz w:val="24"/>
                <w:szCs w:val="24"/>
                <w:lang w:val="en-US" w:eastAsia="zh-CN" w:bidi="ar"/>
                <w14:textFill>
                  <w14:solidFill>
                    <w14:schemeClr w14:val="tx1"/>
                  </w14:solidFill>
                </w14:textFill>
              </w:rPr>
              <w:t>暂存于一般固废暂存区自然晾干后外售给建材企业综合利用</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w:t>
            </w:r>
          </w:p>
          <w:p w14:paraId="20E577AF">
            <w:pPr>
              <w:pStyle w:val="128"/>
              <w:spacing w:line="360" w:lineRule="auto"/>
              <w:ind w:firstLine="480" w:firstLineChars="200"/>
              <w:jc w:val="both"/>
              <w:rPr>
                <w:rFonts w:hint="eastAsia" w:ascii="Times New Roman" w:hAnsi="Times New Roman" w:eastAsia="宋体" w:cs="Times New Roman"/>
                <w:color w:val="000000" w:themeColor="text1"/>
                <w:kern w:val="18"/>
                <w:sz w:val="24"/>
                <w:szCs w:val="24"/>
                <w:lang w:val="en-US" w:eastAsia="zh-CN"/>
                <w14:textFill>
                  <w14:solidFill>
                    <w14:schemeClr w14:val="tx1"/>
                  </w14:solidFill>
                </w14:textFill>
              </w:rPr>
            </w:pPr>
            <w:r>
              <w:rPr>
                <w:rFonts w:hint="eastAsia" w:ascii="Times New Roman" w:hAnsi="Times New Roman" w:cs="Times New Roman"/>
                <w:color w:val="000000" w:themeColor="text1"/>
                <w:kern w:val="18"/>
                <w:sz w:val="24"/>
                <w:szCs w:val="24"/>
                <w:lang w:val="en-US" w:eastAsia="zh-CN"/>
                <w14:textFill>
                  <w14:solidFill>
                    <w14:schemeClr w14:val="tx1"/>
                  </w14:solidFill>
                </w14:textFill>
              </w:rPr>
              <w:t>（7）</w:t>
            </w:r>
            <w:r>
              <w:rPr>
                <w:rFonts w:ascii="Times New Roman" w:hAnsi="Times New Roman" w:cs="Times New Roman"/>
                <w:color w:val="000000" w:themeColor="text1"/>
                <w:kern w:val="18"/>
                <w:sz w:val="24"/>
                <w:szCs w:val="24"/>
                <w:lang w:val="en-US"/>
                <w14:textFill>
                  <w14:solidFill>
                    <w14:schemeClr w14:val="tx1"/>
                  </w14:solidFill>
                </w14:textFill>
              </w:rPr>
              <w:t>废</w:t>
            </w:r>
            <w:r>
              <w:rPr>
                <w:rFonts w:hint="eastAsia" w:ascii="Times New Roman" w:hAnsi="Times New Roman" w:cs="Times New Roman"/>
                <w:color w:val="000000" w:themeColor="text1"/>
                <w:kern w:val="18"/>
                <w:sz w:val="24"/>
                <w:szCs w:val="24"/>
                <w:lang w:val="en-US" w:eastAsia="zh-CN"/>
                <w14:textFill>
                  <w14:solidFill>
                    <w14:schemeClr w14:val="tx1"/>
                  </w14:solidFill>
                </w14:textFill>
              </w:rPr>
              <w:t>反渗透膜</w:t>
            </w:r>
          </w:p>
          <w:p w14:paraId="54B9E7CE">
            <w:pPr>
              <w:pStyle w:val="128"/>
              <w:spacing w:line="360" w:lineRule="auto"/>
              <w:ind w:firstLine="480" w:firstLineChars="200"/>
              <w:jc w:val="both"/>
              <w:rPr>
                <w:rFonts w:ascii="Times New Roman" w:hAnsi="Times New Roman" w:cs="Times New Roman"/>
                <w:color w:val="000000" w:themeColor="text1"/>
                <w:kern w:val="18"/>
                <w:sz w:val="24"/>
                <w:szCs w:val="24"/>
                <w:lang w:val="en-US"/>
                <w14:textFill>
                  <w14:solidFill>
                    <w14:schemeClr w14:val="tx1"/>
                  </w14:solidFill>
                </w14:textFill>
              </w:rPr>
            </w:pPr>
            <w:r>
              <w:rPr>
                <w:rFonts w:hint="eastAsia" w:ascii="Times New Roman" w:hAnsi="Times New Roman" w:cs="Times New Roman"/>
                <w:color w:val="000000" w:themeColor="text1"/>
                <w:kern w:val="18"/>
                <w:sz w:val="24"/>
                <w:szCs w:val="24"/>
                <w:lang w:val="en-US" w:eastAsia="zh-CN"/>
                <w14:textFill>
                  <w14:solidFill>
                    <w14:schemeClr w14:val="tx1"/>
                  </w14:solidFill>
                </w14:textFill>
              </w:rPr>
              <w:t>根据</w:t>
            </w:r>
            <w:r>
              <w:rPr>
                <w:rFonts w:ascii="Times New Roman" w:hAnsi="Times New Roman" w:cs="Times New Roman"/>
                <w:color w:val="000000" w:themeColor="text1"/>
                <w:kern w:val="18"/>
                <w:sz w:val="24"/>
                <w:szCs w:val="24"/>
                <w:lang w:val="en-US"/>
                <w14:textFill>
                  <w14:solidFill>
                    <w14:schemeClr w14:val="tx1"/>
                  </w14:solidFill>
                </w14:textFill>
              </w:rPr>
              <w:t>建设单位</w:t>
            </w:r>
            <w:r>
              <w:rPr>
                <w:rFonts w:hint="eastAsia" w:ascii="Times New Roman" w:hAnsi="Times New Roman" w:cs="Times New Roman"/>
                <w:color w:val="000000" w:themeColor="text1"/>
                <w:kern w:val="18"/>
                <w:sz w:val="24"/>
                <w:szCs w:val="24"/>
                <w:lang w:val="en-US" w:eastAsia="zh-CN"/>
                <w14:textFill>
                  <w14:solidFill>
                    <w14:schemeClr w14:val="tx1"/>
                  </w14:solidFill>
                </w14:textFill>
              </w:rPr>
              <w:t>提供资料</w:t>
            </w:r>
            <w:r>
              <w:rPr>
                <w:rFonts w:ascii="Times New Roman" w:hAnsi="Times New Roman" w:cs="Times New Roman"/>
                <w:color w:val="000000" w:themeColor="text1"/>
                <w:kern w:val="18"/>
                <w:sz w:val="24"/>
                <w:szCs w:val="24"/>
                <w:lang w:val="en-US"/>
                <w14:textFill>
                  <w14:solidFill>
                    <w14:schemeClr w14:val="tx1"/>
                  </w14:solidFill>
                </w14:textFill>
              </w:rPr>
              <w:t>，</w:t>
            </w:r>
            <w:r>
              <w:rPr>
                <w:rFonts w:hint="eastAsia" w:ascii="Times New Roman" w:hAnsi="Times New Roman" w:cs="Times New Roman"/>
                <w:color w:val="000000" w:themeColor="text1"/>
                <w:kern w:val="18"/>
                <w:sz w:val="24"/>
                <w:szCs w:val="24"/>
                <w:lang w:val="en-US" w:eastAsia="zh-CN"/>
                <w14:textFill>
                  <w14:solidFill>
                    <w14:schemeClr w14:val="tx1"/>
                  </w14:solidFill>
                </w14:textFill>
              </w:rPr>
              <w:t>本项目反渗透膜每3-5年更换一次（根据项目的使用情况），每次更换总重量约0.84kg/次，</w:t>
            </w:r>
            <w:r>
              <w:rPr>
                <w:rFonts w:ascii="Times New Roman" w:hAnsi="Times New Roman" w:cs="Times New Roman"/>
                <w:color w:val="000000" w:themeColor="text1"/>
                <w:kern w:val="18"/>
                <w:sz w:val="24"/>
                <w:szCs w:val="24"/>
                <w:lang w:val="en-US"/>
                <w14:textFill>
                  <w14:solidFill>
                    <w14:schemeClr w14:val="tx1"/>
                  </w14:solidFill>
                </w14:textFill>
              </w:rPr>
              <w:t>企业委托设备厂家进行更换，更换的废</w:t>
            </w:r>
            <w:r>
              <w:rPr>
                <w:rFonts w:hint="eastAsia" w:ascii="Times New Roman" w:hAnsi="Times New Roman" w:cs="Times New Roman"/>
                <w:color w:val="000000" w:themeColor="text1"/>
                <w:kern w:val="18"/>
                <w:sz w:val="24"/>
                <w:szCs w:val="24"/>
                <w:lang w:val="en-US" w:eastAsia="zh-CN"/>
                <w14:textFill>
                  <w14:solidFill>
                    <w14:schemeClr w14:val="tx1"/>
                  </w14:solidFill>
                </w14:textFill>
              </w:rPr>
              <w:t>反渗透膜</w:t>
            </w:r>
            <w:r>
              <w:rPr>
                <w:rFonts w:ascii="Times New Roman" w:hAnsi="Times New Roman" w:cs="Times New Roman"/>
                <w:color w:val="000000" w:themeColor="text1"/>
                <w:kern w:val="18"/>
                <w:sz w:val="24"/>
                <w:szCs w:val="24"/>
                <w:lang w:val="en-US"/>
                <w14:textFill>
                  <w14:solidFill>
                    <w14:schemeClr w14:val="tx1"/>
                  </w14:solidFill>
                </w14:textFill>
              </w:rPr>
              <w:t>交由厂家回收，</w:t>
            </w:r>
            <w:r>
              <w:rPr>
                <w:rFonts w:hint="eastAsia" w:ascii="Times New Roman" w:hAnsi="Times New Roman" w:cs="Times New Roman"/>
                <w:color w:val="000000" w:themeColor="text1"/>
                <w:kern w:val="18"/>
                <w:sz w:val="24"/>
                <w:szCs w:val="24"/>
                <w:lang w:val="en-US" w:eastAsia="zh-CN"/>
                <w14:textFill>
                  <w14:solidFill>
                    <w14:schemeClr w14:val="tx1"/>
                  </w14:solidFill>
                </w14:textFill>
              </w:rPr>
              <w:t>不在厂区暂存</w:t>
            </w:r>
            <w:r>
              <w:rPr>
                <w:rFonts w:ascii="Times New Roman" w:hAnsi="Times New Roman" w:cs="Times New Roman"/>
                <w:color w:val="000000" w:themeColor="text1"/>
                <w:kern w:val="18"/>
                <w:sz w:val="24"/>
                <w:szCs w:val="24"/>
                <w:lang w:val="en-US"/>
                <w14:textFill>
                  <w14:solidFill>
                    <w14:schemeClr w14:val="tx1"/>
                  </w14:solidFill>
                </w14:textFill>
              </w:rPr>
              <w:t>。</w:t>
            </w:r>
          </w:p>
          <w:p w14:paraId="04E8AA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480" w:firstLineChars="200"/>
              <w:jc w:val="left"/>
              <w:textAlignment w:val="auto"/>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3、危险废物</w:t>
            </w:r>
          </w:p>
          <w:p w14:paraId="1F321C94">
            <w:pPr>
              <w:keepNext w:val="0"/>
              <w:keepLines w:val="0"/>
              <w:suppressLineNumbers w:val="0"/>
              <w:spacing w:before="0" w:beforeAutospacing="0" w:after="0" w:afterAutospacing="0" w:line="360" w:lineRule="auto"/>
              <w:ind w:left="0" w:right="0" w:firstLine="480" w:firstLineChars="200"/>
              <w:jc w:val="left"/>
              <w:rPr>
                <w:rFonts w:hint="eastAsia" w:ascii="Times New Roman" w:hAnsi="Times New Roman" w:eastAsia="宋体" w:cs="Times New Roman"/>
                <w:color w:val="000000" w:themeColor="text1"/>
                <w:sz w:val="24"/>
                <w:highlight w:val="none"/>
                <w:lang w:val="en-US" w:eastAsia="zh-CN" w:bidi="ar"/>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bidi="ar"/>
                <w14:textFill>
                  <w14:solidFill>
                    <w14:schemeClr w14:val="tx1"/>
                  </w14:solidFill>
                </w14:textFill>
              </w:rPr>
              <w:t>（1）废</w:t>
            </w:r>
            <w:r>
              <w:rPr>
                <w:rFonts w:hint="eastAsia" w:cs="Times New Roman"/>
                <w:color w:val="000000" w:themeColor="text1"/>
                <w:sz w:val="24"/>
                <w:highlight w:val="none"/>
                <w:lang w:val="en-US" w:eastAsia="zh-CN" w:bidi="ar"/>
                <w14:textFill>
                  <w14:solidFill>
                    <w14:schemeClr w14:val="tx1"/>
                  </w14:solidFill>
                </w14:textFill>
              </w:rPr>
              <w:t>空压机</w:t>
            </w:r>
            <w:r>
              <w:rPr>
                <w:rFonts w:hint="eastAsia" w:ascii="Times New Roman" w:hAnsi="Times New Roman" w:eastAsia="宋体" w:cs="Times New Roman"/>
                <w:color w:val="000000" w:themeColor="text1"/>
                <w:sz w:val="24"/>
                <w:highlight w:val="none"/>
                <w:lang w:val="en-US" w:eastAsia="zh-CN" w:bidi="ar"/>
                <w14:textFill>
                  <w14:solidFill>
                    <w14:schemeClr w14:val="tx1"/>
                  </w14:solidFill>
                </w14:textFill>
              </w:rPr>
              <w:t>油</w:t>
            </w:r>
          </w:p>
          <w:p w14:paraId="7AB2F89E">
            <w:pPr>
              <w:widowControl/>
              <w:adjustRightInd w:val="0"/>
              <w:snapToGrid w:val="0"/>
              <w:spacing w:line="360" w:lineRule="auto"/>
              <w:ind w:firstLine="480" w:firstLineChars="200"/>
              <w:rPr>
                <w:rFonts w:hint="eastAsia" w:ascii="Times New Roman" w:hAnsi="Times New Roman" w:cs="Times New Roman"/>
                <w:color w:val="000000" w:themeColor="text1"/>
                <w:sz w:val="24"/>
                <w:szCs w:val="24"/>
                <w:highlight w:val="none"/>
                <w:lang w:bidi="ar"/>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本</w:t>
            </w:r>
            <w:r>
              <w:rPr>
                <w:rFonts w:hint="eastAsia" w:ascii="Times New Roman" w:hAnsi="Times New Roman" w:cs="Times New Roman"/>
                <w:color w:val="000000" w:themeColor="text1"/>
                <w:sz w:val="24"/>
                <w:szCs w:val="24"/>
                <w:highlight w:val="none"/>
                <w14:textFill>
                  <w14:solidFill>
                    <w14:schemeClr w14:val="tx1"/>
                  </w14:solidFill>
                </w14:textFill>
              </w:rPr>
              <w:t>项</w:t>
            </w:r>
            <w:r>
              <w:rPr>
                <w:rFonts w:hint="eastAsia" w:ascii="Times New Roman" w:hAnsi="Times New Roman" w:cs="Times New Roman"/>
                <w:color w:val="000000" w:themeColor="text1"/>
                <w:sz w:val="24"/>
                <w:szCs w:val="24"/>
                <w:highlight w:val="none"/>
                <w:lang w:bidi="ar"/>
                <w14:textFill>
                  <w14:solidFill>
                    <w14:schemeClr w14:val="tx1"/>
                  </w14:solidFill>
                </w14:textFill>
              </w:rPr>
              <w:t>目</w:t>
            </w:r>
            <w:r>
              <w:rPr>
                <w:rFonts w:hint="eastAsia" w:cs="Times New Roman"/>
                <w:color w:val="000000" w:themeColor="text1"/>
                <w:sz w:val="24"/>
                <w:szCs w:val="24"/>
                <w:highlight w:val="none"/>
                <w:lang w:val="en-US" w:eastAsia="zh-CN" w:bidi="ar"/>
                <w14:textFill>
                  <w14:solidFill>
                    <w14:schemeClr w14:val="tx1"/>
                  </w14:solidFill>
                </w14:textFill>
              </w:rPr>
              <w:t>空压机</w:t>
            </w:r>
            <w:r>
              <w:rPr>
                <w:rFonts w:hint="eastAsia" w:ascii="Times New Roman" w:hAnsi="Times New Roman" w:cs="Times New Roman"/>
                <w:color w:val="000000" w:themeColor="text1"/>
                <w:sz w:val="24"/>
                <w:szCs w:val="24"/>
                <w:highlight w:val="none"/>
                <w:lang w:bidi="ar"/>
                <w14:textFill>
                  <w14:solidFill>
                    <w14:schemeClr w14:val="tx1"/>
                  </w14:solidFill>
                </w14:textFill>
              </w:rPr>
              <w:t>油使用量约0.</w:t>
            </w:r>
            <w:r>
              <w:rPr>
                <w:rFonts w:hint="eastAsia" w:cs="Times New Roman"/>
                <w:color w:val="000000" w:themeColor="text1"/>
                <w:sz w:val="24"/>
                <w:szCs w:val="24"/>
                <w:highlight w:val="none"/>
                <w:lang w:val="en-US" w:eastAsia="zh-CN" w:bidi="ar"/>
                <w14:textFill>
                  <w14:solidFill>
                    <w14:schemeClr w14:val="tx1"/>
                  </w14:solidFill>
                </w14:textFill>
              </w:rPr>
              <w:t>1</w:t>
            </w:r>
            <w:r>
              <w:rPr>
                <w:rFonts w:hint="eastAsia" w:ascii="Times New Roman" w:hAnsi="Times New Roman" w:cs="Times New Roman"/>
                <w:color w:val="000000" w:themeColor="text1"/>
                <w:sz w:val="24"/>
                <w:szCs w:val="24"/>
                <w:highlight w:val="none"/>
                <w:lang w:bidi="ar"/>
                <w14:textFill>
                  <w14:solidFill>
                    <w14:schemeClr w14:val="tx1"/>
                  </w14:solidFill>
                </w14:textFill>
              </w:rPr>
              <w:t>t/a，产生的废</w:t>
            </w:r>
            <w:r>
              <w:rPr>
                <w:rFonts w:hint="eastAsia" w:cs="Times New Roman"/>
                <w:color w:val="000000" w:themeColor="text1"/>
                <w:sz w:val="24"/>
                <w:szCs w:val="24"/>
                <w:highlight w:val="none"/>
                <w:lang w:val="en-US" w:eastAsia="zh-CN" w:bidi="ar"/>
                <w14:textFill>
                  <w14:solidFill>
                    <w14:schemeClr w14:val="tx1"/>
                  </w14:solidFill>
                </w14:textFill>
              </w:rPr>
              <w:t>空压机</w:t>
            </w:r>
            <w:r>
              <w:rPr>
                <w:rFonts w:hint="eastAsia" w:ascii="Times New Roman" w:hAnsi="Times New Roman" w:cs="Times New Roman"/>
                <w:color w:val="000000" w:themeColor="text1"/>
                <w:sz w:val="24"/>
                <w:szCs w:val="24"/>
                <w:highlight w:val="none"/>
                <w:lang w:bidi="ar"/>
                <w14:textFill>
                  <w14:solidFill>
                    <w14:schemeClr w14:val="tx1"/>
                  </w14:solidFill>
                </w14:textFill>
              </w:rPr>
              <w:t>油约为用量的</w:t>
            </w:r>
            <w:r>
              <w:rPr>
                <w:rFonts w:hint="eastAsia" w:cs="Times New Roman"/>
                <w:color w:val="000000" w:themeColor="text1"/>
                <w:sz w:val="24"/>
                <w:szCs w:val="24"/>
                <w:highlight w:val="none"/>
                <w:lang w:val="en-US" w:eastAsia="zh-CN" w:bidi="ar"/>
                <w14:textFill>
                  <w14:solidFill>
                    <w14:schemeClr w14:val="tx1"/>
                  </w14:solidFill>
                </w14:textFill>
              </w:rPr>
              <w:t>20</w:t>
            </w:r>
            <w:r>
              <w:rPr>
                <w:rFonts w:hint="eastAsia" w:ascii="Times New Roman" w:hAnsi="Times New Roman" w:cs="Times New Roman"/>
                <w:color w:val="000000" w:themeColor="text1"/>
                <w:sz w:val="24"/>
                <w:szCs w:val="24"/>
                <w:highlight w:val="none"/>
                <w:lang w:bidi="ar"/>
                <w14:textFill>
                  <w14:solidFill>
                    <w14:schemeClr w14:val="tx1"/>
                  </w14:solidFill>
                </w14:textFill>
              </w:rPr>
              <w:t>%，则产生量约为0.</w:t>
            </w:r>
            <w:r>
              <w:rPr>
                <w:rFonts w:hint="eastAsia" w:cs="Times New Roman"/>
                <w:color w:val="000000" w:themeColor="text1"/>
                <w:sz w:val="24"/>
                <w:szCs w:val="24"/>
                <w:highlight w:val="none"/>
                <w:lang w:val="en-US" w:eastAsia="zh-CN" w:bidi="ar"/>
                <w14:textFill>
                  <w14:solidFill>
                    <w14:schemeClr w14:val="tx1"/>
                  </w14:solidFill>
                </w14:textFill>
              </w:rPr>
              <w:t>02</w:t>
            </w:r>
            <w:r>
              <w:rPr>
                <w:rFonts w:hint="eastAsia" w:ascii="Times New Roman" w:hAnsi="Times New Roman" w:cs="Times New Roman"/>
                <w:color w:val="000000" w:themeColor="text1"/>
                <w:sz w:val="24"/>
                <w:szCs w:val="24"/>
                <w:highlight w:val="none"/>
                <w:lang w:bidi="ar"/>
                <w14:textFill>
                  <w14:solidFill>
                    <w14:schemeClr w14:val="tx1"/>
                  </w14:solidFill>
                </w14:textFill>
              </w:rPr>
              <w:t>t/a，</w:t>
            </w:r>
            <w:r>
              <w:rPr>
                <w:rFonts w:hint="default" w:ascii="Times New Roman" w:hAnsi="Times New Roman" w:cs="Times New Roman"/>
                <w:color w:val="000000" w:themeColor="text1"/>
                <w:sz w:val="24"/>
                <w14:textFill>
                  <w14:solidFill>
                    <w14:schemeClr w14:val="tx1"/>
                  </w14:solidFill>
                </w14:textFill>
              </w:rPr>
              <w:t>按照《国家危险废物名录》（202</w:t>
            </w:r>
            <w:r>
              <w:rPr>
                <w:rFonts w:hint="default" w:ascii="Times New Roman" w:hAnsi="Times New Roman" w:cs="Times New Roman"/>
                <w:color w:val="000000" w:themeColor="text1"/>
                <w:sz w:val="24"/>
                <w:lang w:val="en-US" w:eastAsia="zh-CN"/>
                <w14:textFill>
                  <w14:solidFill>
                    <w14:schemeClr w14:val="tx1"/>
                  </w14:solidFill>
                </w14:textFill>
              </w:rPr>
              <w:t>5</w:t>
            </w:r>
            <w:r>
              <w:rPr>
                <w:rFonts w:hint="default" w:ascii="Times New Roman" w:hAnsi="Times New Roman" w:cs="Times New Roman"/>
                <w:color w:val="000000" w:themeColor="text1"/>
                <w:sz w:val="24"/>
                <w14:textFill>
                  <w14:solidFill>
                    <w14:schemeClr w14:val="tx1"/>
                  </w14:solidFill>
                </w14:textFill>
              </w:rPr>
              <w:t>年版），</w:t>
            </w:r>
            <w:r>
              <w:rPr>
                <w:rFonts w:hint="default" w:ascii="Times New Roman" w:hAnsi="Times New Roman" w:cs="Times New Roman"/>
                <w:color w:val="000000" w:themeColor="text1"/>
                <w:sz w:val="24"/>
                <w:lang w:eastAsia="zh-CN"/>
                <w14:textFill>
                  <w14:solidFill>
                    <w14:schemeClr w14:val="tx1"/>
                  </w14:solidFill>
                </w14:textFill>
              </w:rPr>
              <w:t>废空压机油</w:t>
            </w:r>
            <w:r>
              <w:rPr>
                <w:rFonts w:hint="default" w:ascii="Times New Roman" w:hAnsi="Times New Roman" w:cs="Times New Roman"/>
                <w:color w:val="000000" w:themeColor="text1"/>
                <w:sz w:val="24"/>
                <w14:textFill>
                  <w14:solidFill>
                    <w14:schemeClr w14:val="tx1"/>
                  </w14:solidFill>
                </w14:textFill>
              </w:rPr>
              <w:t>废物代码</w:t>
            </w:r>
            <w:r>
              <w:rPr>
                <w:rFonts w:hint="default" w:ascii="Times New Roman" w:hAnsi="Times New Roman" w:cs="Times New Roman"/>
                <w:color w:val="000000" w:themeColor="text1"/>
                <w:sz w:val="24"/>
                <w:lang w:eastAsia="zh-CN"/>
                <w14:textFill>
                  <w14:solidFill>
                    <w14:schemeClr w14:val="tx1"/>
                  </w14:solidFill>
                </w14:textFill>
              </w:rPr>
              <w:t>为</w:t>
            </w:r>
            <w:r>
              <w:rPr>
                <w:rFonts w:hint="default" w:ascii="Times New Roman" w:hAnsi="Times New Roman" w:cs="Times New Roman"/>
                <w:color w:val="000000" w:themeColor="text1"/>
                <w:sz w:val="24"/>
                <w14:textFill>
                  <w14:solidFill>
                    <w14:schemeClr w14:val="tx1"/>
                  </w14:solidFill>
                </w14:textFill>
              </w:rPr>
              <w:t>HW08（900-21</w:t>
            </w:r>
            <w:r>
              <w:rPr>
                <w:rFonts w:hint="default" w:ascii="Times New Roman" w:hAnsi="Times New Roman" w:cs="Times New Roman"/>
                <w:color w:val="000000" w:themeColor="text1"/>
                <w:sz w:val="24"/>
                <w:lang w:val="en-US" w:eastAsia="zh-CN"/>
                <w14:textFill>
                  <w14:solidFill>
                    <w14:schemeClr w14:val="tx1"/>
                  </w14:solidFill>
                </w14:textFill>
              </w:rPr>
              <w:t>9</w:t>
            </w:r>
            <w:r>
              <w:rPr>
                <w:rFonts w:hint="default" w:ascii="Times New Roman" w:hAnsi="Times New Roman" w:cs="Times New Roman"/>
                <w:color w:val="000000" w:themeColor="text1"/>
                <w:sz w:val="24"/>
                <w14:textFill>
                  <w14:solidFill>
                    <w14:schemeClr w14:val="tx1"/>
                  </w14:solidFill>
                </w14:textFill>
              </w:rPr>
              <w:t>-08）：</w:t>
            </w:r>
            <w:r>
              <w:rPr>
                <w:rFonts w:hint="default" w:ascii="Times New Roman" w:hAnsi="Times New Roman" w:cs="Times New Roman"/>
                <w:color w:val="000000" w:themeColor="text1"/>
                <w:sz w:val="24"/>
                <w:lang w:val="en-US" w:eastAsia="zh-CN"/>
                <w14:textFill>
                  <w14:solidFill>
                    <w14:schemeClr w14:val="tx1"/>
                  </w14:solidFill>
                </w14:textFill>
              </w:rPr>
              <w:t>冷冻压缩设备维护、更换和拆解过程中产生的废冷冻机油</w:t>
            </w:r>
            <w:r>
              <w:rPr>
                <w:rFonts w:hint="default" w:ascii="Times New Roman" w:hAnsi="Times New Roman" w:cs="Times New Roman"/>
                <w:color w:val="000000" w:themeColor="text1"/>
                <w:sz w:val="24"/>
                <w14:textFill>
                  <w14:solidFill>
                    <w14:schemeClr w14:val="tx1"/>
                  </w14:solidFill>
                </w14:textFill>
              </w:rPr>
              <w:t>；</w:t>
            </w:r>
            <w:r>
              <w:rPr>
                <w:rFonts w:hint="eastAsia" w:ascii="Times New Roman" w:hAnsi="Times New Roman" w:cs="Times New Roman"/>
                <w:color w:val="000000" w:themeColor="text1"/>
                <w:sz w:val="24"/>
                <w:szCs w:val="24"/>
                <w:highlight w:val="none"/>
                <w:lang w:bidi="ar"/>
                <w14:textFill>
                  <w14:solidFill>
                    <w14:schemeClr w14:val="tx1"/>
                  </w14:solidFill>
                </w14:textFill>
              </w:rPr>
              <w:t>密闭贮存于专用防渗危废桶，存放于危废暂存间，交由有资质的单位处理处置。</w:t>
            </w:r>
          </w:p>
          <w:p w14:paraId="072D1409">
            <w:pPr>
              <w:widowControl/>
              <w:spacing w:line="360" w:lineRule="auto"/>
              <w:ind w:firstLine="480" w:firstLineChars="200"/>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eastAsia" w:ascii="Times New Roman" w:hAnsi="Times New Roman" w:cs="Times New Roman"/>
                <w:color w:val="000000" w:themeColor="text1"/>
                <w:sz w:val="24"/>
                <w:szCs w:val="24"/>
                <w:highlight w:val="none"/>
                <w:lang w:eastAsia="zh-CN" w:bidi="ar"/>
                <w14:textFill>
                  <w14:solidFill>
                    <w14:schemeClr w14:val="tx1"/>
                  </w14:solidFill>
                </w14:textFill>
              </w:rPr>
              <w:t>（</w:t>
            </w:r>
            <w:r>
              <w:rPr>
                <w:rFonts w:hint="eastAsia" w:ascii="Times New Roman" w:hAnsi="Times New Roman" w:cs="Times New Roman"/>
                <w:color w:val="000000" w:themeColor="text1"/>
                <w:sz w:val="24"/>
                <w:szCs w:val="24"/>
                <w:highlight w:val="none"/>
                <w:lang w:val="en-US" w:eastAsia="zh-CN" w:bidi="ar"/>
                <w14:textFill>
                  <w14:solidFill>
                    <w14:schemeClr w14:val="tx1"/>
                  </w14:solidFill>
                </w14:textFill>
              </w:rPr>
              <w:t>2</w:t>
            </w:r>
            <w:r>
              <w:rPr>
                <w:rFonts w:hint="eastAsia" w:ascii="Times New Roman" w:hAnsi="Times New Roman" w:cs="Times New Roman"/>
                <w:color w:val="000000" w:themeColor="text1"/>
                <w:sz w:val="24"/>
                <w:szCs w:val="24"/>
                <w:highlight w:val="none"/>
                <w:lang w:eastAsia="zh-CN" w:bidi="ar"/>
                <w14:textFill>
                  <w14:solidFill>
                    <w14:schemeClr w14:val="tx1"/>
                  </w14:solidFill>
                </w14:textFill>
              </w:rPr>
              <w:t>）</w:t>
            </w:r>
            <w:r>
              <w:rPr>
                <w:rFonts w:hint="default" w:ascii="Times New Roman" w:hAnsi="Times New Roman" w:cs="Times New Roman"/>
                <w:color w:val="000000" w:themeColor="text1"/>
                <w:sz w:val="24"/>
                <w:lang w:val="en-US" w:eastAsia="zh-CN"/>
                <w14:textFill>
                  <w14:solidFill>
                    <w14:schemeClr w14:val="tx1"/>
                  </w14:solidFill>
                </w14:textFill>
              </w:rPr>
              <w:t>废润滑油：</w:t>
            </w:r>
            <w:r>
              <w:rPr>
                <w:rFonts w:hint="default" w:ascii="Times New Roman" w:hAnsi="Times New Roman" w:cs="Times New Roman"/>
                <w:color w:val="000000" w:themeColor="text1"/>
                <w:sz w:val="24"/>
                <w14:textFill>
                  <w14:solidFill>
                    <w14:schemeClr w14:val="tx1"/>
                  </w14:solidFill>
                </w14:textFill>
              </w:rPr>
              <w:t>根据企业提供资料，本项目废</w:t>
            </w:r>
            <w:r>
              <w:rPr>
                <w:rFonts w:hint="default" w:ascii="Times New Roman" w:hAnsi="Times New Roman" w:cs="Times New Roman"/>
                <w:color w:val="000000" w:themeColor="text1"/>
                <w:sz w:val="24"/>
                <w:lang w:val="en-US" w:eastAsia="zh-CN"/>
                <w14:textFill>
                  <w14:solidFill>
                    <w14:schemeClr w14:val="tx1"/>
                  </w14:solidFill>
                </w14:textFill>
              </w:rPr>
              <w:t>润滑</w:t>
            </w:r>
            <w:r>
              <w:rPr>
                <w:rFonts w:hint="default" w:ascii="Times New Roman" w:hAnsi="Times New Roman" w:cs="Times New Roman"/>
                <w:color w:val="000000" w:themeColor="text1"/>
                <w:sz w:val="24"/>
                <w14:textFill>
                  <w14:solidFill>
                    <w14:schemeClr w14:val="tx1"/>
                  </w14:solidFill>
                </w14:textFill>
              </w:rPr>
              <w:t>油产生量约为0</w:t>
            </w:r>
            <w:r>
              <w:rPr>
                <w:rFonts w:hint="default" w:ascii="Times New Roman" w:hAnsi="Times New Roman" w:cs="Times New Roman"/>
                <w:color w:val="000000" w:themeColor="text1"/>
                <w:sz w:val="24"/>
                <w:lang w:val="en-US" w:eastAsia="zh-CN"/>
                <w14:textFill>
                  <w14:solidFill>
                    <w14:schemeClr w14:val="tx1"/>
                  </w14:solidFill>
                </w14:textFill>
              </w:rPr>
              <w:t>.0</w:t>
            </w:r>
            <w:r>
              <w:rPr>
                <w:rFonts w:hint="eastAsia" w:cs="Times New Roman"/>
                <w:color w:val="000000" w:themeColor="text1"/>
                <w:sz w:val="24"/>
                <w:lang w:val="en-US" w:eastAsia="zh-CN"/>
                <w14:textFill>
                  <w14:solidFill>
                    <w14:schemeClr w14:val="tx1"/>
                  </w14:solidFill>
                </w14:textFill>
              </w:rPr>
              <w:t>1</w:t>
            </w:r>
            <w:r>
              <w:rPr>
                <w:rFonts w:hint="default" w:ascii="Times New Roman" w:hAnsi="Times New Roman" w:cs="Times New Roman"/>
                <w:color w:val="000000" w:themeColor="text1"/>
                <w:sz w:val="24"/>
                <w14:textFill>
                  <w14:solidFill>
                    <w14:schemeClr w14:val="tx1"/>
                  </w14:solidFill>
                </w14:textFill>
              </w:rPr>
              <w:t>t/a。按照《国家危险废物名录》（202</w:t>
            </w:r>
            <w:r>
              <w:rPr>
                <w:rFonts w:hint="default" w:ascii="Times New Roman" w:hAnsi="Times New Roman" w:cs="Times New Roman"/>
                <w:color w:val="000000" w:themeColor="text1"/>
                <w:sz w:val="24"/>
                <w:lang w:val="en-US" w:eastAsia="zh-CN"/>
                <w14:textFill>
                  <w14:solidFill>
                    <w14:schemeClr w14:val="tx1"/>
                  </w14:solidFill>
                </w14:textFill>
              </w:rPr>
              <w:t>5</w:t>
            </w:r>
            <w:r>
              <w:rPr>
                <w:rFonts w:hint="default" w:ascii="Times New Roman" w:hAnsi="Times New Roman" w:cs="Times New Roman"/>
                <w:color w:val="000000" w:themeColor="text1"/>
                <w:sz w:val="24"/>
                <w14:textFill>
                  <w14:solidFill>
                    <w14:schemeClr w14:val="tx1"/>
                  </w14:solidFill>
                </w14:textFill>
              </w:rPr>
              <w:t>年版），废</w:t>
            </w:r>
            <w:r>
              <w:rPr>
                <w:rFonts w:hint="default" w:ascii="Times New Roman" w:hAnsi="Times New Roman" w:cs="Times New Roman"/>
                <w:color w:val="000000" w:themeColor="text1"/>
                <w:sz w:val="24"/>
                <w:lang w:val="en-US" w:eastAsia="zh-CN"/>
                <w14:textFill>
                  <w14:solidFill>
                    <w14:schemeClr w14:val="tx1"/>
                  </w14:solidFill>
                </w14:textFill>
              </w:rPr>
              <w:t>润滑</w:t>
            </w:r>
            <w:r>
              <w:rPr>
                <w:rFonts w:hint="default" w:ascii="Times New Roman" w:hAnsi="Times New Roman" w:cs="Times New Roman"/>
                <w:color w:val="000000" w:themeColor="text1"/>
                <w:sz w:val="24"/>
                <w14:textFill>
                  <w14:solidFill>
                    <w14:schemeClr w14:val="tx1"/>
                  </w14:solidFill>
                </w14:textFill>
              </w:rPr>
              <w:t>油废物代码</w:t>
            </w:r>
            <w:r>
              <w:rPr>
                <w:rFonts w:hint="default" w:ascii="Times New Roman" w:hAnsi="Times New Roman" w:cs="Times New Roman"/>
                <w:color w:val="000000" w:themeColor="text1"/>
                <w:sz w:val="24"/>
                <w:lang w:eastAsia="zh-CN"/>
                <w14:textFill>
                  <w14:solidFill>
                    <w14:schemeClr w14:val="tx1"/>
                  </w14:solidFill>
                </w14:textFill>
              </w:rPr>
              <w:t>为</w:t>
            </w:r>
            <w:r>
              <w:rPr>
                <w:rFonts w:hint="default" w:ascii="Times New Roman" w:hAnsi="Times New Roman" w:cs="Times New Roman"/>
                <w:color w:val="000000" w:themeColor="text1"/>
                <w:sz w:val="24"/>
                <w14:textFill>
                  <w14:solidFill>
                    <w14:schemeClr w14:val="tx1"/>
                  </w14:solidFill>
                </w14:textFill>
              </w:rPr>
              <w:t>HW08（900-214-08）：</w:t>
            </w:r>
            <w:r>
              <w:rPr>
                <w:rFonts w:hint="default" w:ascii="Times New Roman" w:hAnsi="Times New Roman" w:cs="Times New Roman"/>
                <w:color w:val="000000" w:themeColor="text1"/>
                <w:sz w:val="24"/>
                <w:lang w:val="en-US" w:eastAsia="zh-CN"/>
                <w14:textFill>
                  <w14:solidFill>
                    <w14:schemeClr w14:val="tx1"/>
                  </w14:solidFill>
                </w14:textFill>
              </w:rPr>
              <w:t>车辆、轮胎及其它机械维修过程中产生的废发动机油、制动器油、自动变速器油、齿轮油等</w:t>
            </w:r>
            <w:r>
              <w:rPr>
                <w:rFonts w:hint="default" w:ascii="Times New Roman" w:hAnsi="Times New Roman" w:cs="Times New Roman"/>
                <w:color w:val="000000" w:themeColor="text1"/>
                <w:sz w:val="24"/>
                <w14:textFill>
                  <w14:solidFill>
                    <w14:schemeClr w14:val="tx1"/>
                  </w14:solidFill>
                </w14:textFill>
              </w:rPr>
              <w:t>废润滑油</w:t>
            </w:r>
            <w:r>
              <w:rPr>
                <w:rFonts w:hint="default" w:ascii="Times New Roman" w:hAnsi="Times New Roman" w:cs="Times New Roman"/>
                <w:color w:val="000000" w:themeColor="text1"/>
                <w:sz w:val="24"/>
                <w:lang w:eastAsia="zh-CN"/>
                <w14:textFill>
                  <w14:solidFill>
                    <w14:schemeClr w14:val="tx1"/>
                  </w14:solidFill>
                </w14:textFill>
              </w:rPr>
              <w:t>。</w:t>
            </w:r>
          </w:p>
          <w:p w14:paraId="67469D25">
            <w:pPr>
              <w:keepNext w:val="0"/>
              <w:keepLines w:val="0"/>
              <w:widowControl w:val="0"/>
              <w:suppressLineNumbers w:val="0"/>
              <w:spacing w:before="0" w:beforeAutospacing="0" w:after="0" w:afterAutospacing="0" w:line="360" w:lineRule="auto"/>
              <w:ind w:left="0" w:right="0" w:firstLine="480" w:firstLineChars="200"/>
              <w:jc w:val="left"/>
              <w:rPr>
                <w:rFonts w:hint="default" w:ascii="Times New Roman" w:hAnsi="Times New Roman" w:cs="Times New Roman"/>
                <w:color w:val="000000" w:themeColor="text1"/>
                <w:sz w:val="24"/>
                <w:lang w:eastAsia="zh-CN"/>
                <w14:textFill>
                  <w14:solidFill>
                    <w14:schemeClr w14:val="tx1"/>
                  </w14:solidFill>
                </w14:textFill>
              </w:rPr>
            </w:pPr>
            <w:r>
              <w:rPr>
                <w:rFonts w:hint="eastAsia" w:cs="Times New Roman"/>
                <w:color w:val="000000" w:themeColor="text1"/>
                <w:kern w:val="2"/>
                <w:sz w:val="24"/>
                <w:szCs w:val="24"/>
                <w:highlight w:val="none"/>
                <w:lang w:val="en-US" w:eastAsia="zh-CN" w:bidi="ar"/>
                <w14:textFill>
                  <w14:solidFill>
                    <w14:schemeClr w14:val="tx1"/>
                  </w14:solidFill>
                </w14:textFill>
              </w:rPr>
              <w:t>（3）</w:t>
            </w:r>
            <w:r>
              <w:rPr>
                <w:rFonts w:hint="default" w:ascii="Times New Roman" w:hAnsi="Times New Roman" w:cs="Times New Roman"/>
                <w:color w:val="000000" w:themeColor="text1"/>
                <w:sz w:val="24"/>
                <w:lang w:val="en-US" w:eastAsia="zh-CN"/>
                <w14:textFill>
                  <w14:solidFill>
                    <w14:schemeClr w14:val="tx1"/>
                  </w14:solidFill>
                </w14:textFill>
              </w:rPr>
              <w:t>废油桶：</w:t>
            </w:r>
            <w:r>
              <w:rPr>
                <w:rFonts w:hint="default" w:ascii="Times New Roman" w:hAnsi="Times New Roman" w:cs="Times New Roman"/>
                <w:color w:val="000000" w:themeColor="text1"/>
                <w:sz w:val="24"/>
                <w14:textFill>
                  <w14:solidFill>
                    <w14:schemeClr w14:val="tx1"/>
                  </w14:solidFill>
                </w14:textFill>
              </w:rPr>
              <w:t>根据企业提供资料，本项目废油桶</w:t>
            </w:r>
            <w:r>
              <w:rPr>
                <w:rFonts w:hint="eastAsia" w:ascii="Times New Roman" w:hAnsi="Times New Roman" w:eastAsia="宋体" w:cs="Times New Roman"/>
                <w:color w:val="000000" w:themeColor="text1"/>
                <w:sz w:val="24"/>
                <w:lang w:val="en-US" w:eastAsia="zh-CN"/>
                <w14:textFill>
                  <w14:solidFill>
                    <w14:schemeClr w14:val="tx1"/>
                  </w14:solidFill>
                </w14:textFill>
              </w:rPr>
              <w:t>产生数量为9个，每个桶</w:t>
            </w:r>
            <w:r>
              <w:rPr>
                <w:rFonts w:hint="eastAsia" w:cs="Times New Roman"/>
                <w:color w:val="000000" w:themeColor="text1"/>
                <w:sz w:val="24"/>
                <w:lang w:val="en-US" w:eastAsia="zh-CN"/>
                <w14:textFill>
                  <w14:solidFill>
                    <w14:schemeClr w14:val="tx1"/>
                  </w14:solidFill>
                </w14:textFill>
              </w:rPr>
              <w:t>重</w:t>
            </w:r>
            <w:r>
              <w:rPr>
                <w:rFonts w:hint="eastAsia" w:ascii="Times New Roman" w:hAnsi="Times New Roman" w:eastAsia="宋体" w:cs="Times New Roman"/>
                <w:color w:val="000000" w:themeColor="text1"/>
                <w:sz w:val="24"/>
                <w:lang w:val="en-US" w:eastAsia="zh-CN"/>
                <w14:textFill>
                  <w14:solidFill>
                    <w14:schemeClr w14:val="tx1"/>
                  </w14:solidFill>
                </w14:textFill>
              </w:rPr>
              <w:t>1kg，则废油桶</w:t>
            </w:r>
            <w:r>
              <w:rPr>
                <w:rFonts w:hint="default" w:ascii="Times New Roman" w:hAnsi="Times New Roman" w:cs="Times New Roman"/>
                <w:color w:val="000000" w:themeColor="text1"/>
                <w:sz w:val="24"/>
                <w14:textFill>
                  <w14:solidFill>
                    <w14:schemeClr w14:val="tx1"/>
                  </w14:solidFill>
                </w14:textFill>
              </w:rPr>
              <w:t>产生量约为0.0</w:t>
            </w:r>
            <w:r>
              <w:rPr>
                <w:rFonts w:hint="eastAsia" w:ascii="Times New Roman" w:hAnsi="Times New Roman" w:cs="Times New Roman"/>
                <w:color w:val="000000" w:themeColor="text1"/>
                <w:sz w:val="24"/>
                <w:lang w:val="en-US" w:eastAsia="zh-CN"/>
                <w14:textFill>
                  <w14:solidFill>
                    <w14:schemeClr w14:val="tx1"/>
                  </w14:solidFill>
                </w14:textFill>
              </w:rPr>
              <w:t>09</w:t>
            </w:r>
            <w:r>
              <w:rPr>
                <w:rFonts w:hint="default" w:ascii="Times New Roman" w:hAnsi="Times New Roman" w:cs="Times New Roman"/>
                <w:color w:val="000000" w:themeColor="text1"/>
                <w:sz w:val="24"/>
                <w14:textFill>
                  <w14:solidFill>
                    <w14:schemeClr w14:val="tx1"/>
                  </w14:solidFill>
                </w14:textFill>
              </w:rPr>
              <w:t>t/a</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lang w:val="en-US" w:eastAsia="zh-CN"/>
                <w14:textFill>
                  <w14:solidFill>
                    <w14:schemeClr w14:val="tx1"/>
                  </w14:solidFill>
                </w14:textFill>
              </w:rPr>
              <w:t>废包装桶</w:t>
            </w:r>
            <w:r>
              <w:rPr>
                <w:rFonts w:hint="default" w:ascii="Times New Roman" w:hAnsi="Times New Roman" w:cs="Times New Roman"/>
                <w:color w:val="000000" w:themeColor="text1"/>
                <w:sz w:val="24"/>
                <w14:textFill>
                  <w14:solidFill>
                    <w14:schemeClr w14:val="tx1"/>
                  </w14:solidFill>
                </w14:textFill>
              </w:rPr>
              <w:t>属于HW</w:t>
            </w:r>
            <w:r>
              <w:rPr>
                <w:rFonts w:hint="default" w:ascii="Times New Roman" w:hAnsi="Times New Roman" w:cs="Times New Roman"/>
                <w:color w:val="000000" w:themeColor="text1"/>
                <w:sz w:val="24"/>
                <w:lang w:val="en-US" w:eastAsia="zh-CN"/>
                <w14:textFill>
                  <w14:solidFill>
                    <w14:schemeClr w14:val="tx1"/>
                  </w14:solidFill>
                </w14:textFill>
              </w:rPr>
              <w:t>08</w:t>
            </w:r>
            <w:r>
              <w:rPr>
                <w:rFonts w:hint="default" w:ascii="Times New Roman" w:hAnsi="Times New Roman" w:cs="Times New Roman"/>
                <w:color w:val="000000" w:themeColor="text1"/>
                <w:sz w:val="24"/>
                <w14:textFill>
                  <w14:solidFill>
                    <w14:schemeClr w14:val="tx1"/>
                  </w14:solidFill>
                </w14:textFill>
              </w:rPr>
              <w:t>其他废物，废物代码为</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900-</w:t>
            </w:r>
            <w:r>
              <w:rPr>
                <w:rFonts w:hint="default" w:ascii="Times New Roman" w:hAnsi="Times New Roman" w:cs="Times New Roman"/>
                <w:color w:val="000000" w:themeColor="text1"/>
                <w:sz w:val="24"/>
                <w:lang w:val="en-US" w:eastAsia="zh-CN"/>
                <w14:textFill>
                  <w14:solidFill>
                    <w14:schemeClr w14:val="tx1"/>
                  </w14:solidFill>
                </w14:textFill>
              </w:rPr>
              <w:t>249-08其他生产、销售、使用过程中产生的废矿物油及沾染矿物油的废弃包装物</w:t>
            </w:r>
            <w:r>
              <w:rPr>
                <w:rFonts w:hint="default" w:ascii="Times New Roman" w:hAnsi="Times New Roman" w:cs="Times New Roman"/>
                <w:color w:val="000000" w:themeColor="text1"/>
                <w:sz w:val="24"/>
                <w:lang w:eastAsia="zh-CN"/>
                <w14:textFill>
                  <w14:solidFill>
                    <w14:schemeClr w14:val="tx1"/>
                  </w14:solidFill>
                </w14:textFill>
              </w:rPr>
              <w:t>”</w:t>
            </w:r>
            <w:r>
              <w:rPr>
                <w:rFonts w:hint="eastAsia" w:cs="Times New Roman"/>
                <w:color w:val="000000" w:themeColor="text1"/>
                <w:sz w:val="24"/>
                <w:lang w:eastAsia="zh-CN"/>
                <w14:textFill>
                  <w14:solidFill>
                    <w14:schemeClr w14:val="tx1"/>
                  </w14:solidFill>
                </w14:textFill>
              </w:rPr>
              <w:t>。</w:t>
            </w:r>
          </w:p>
          <w:p w14:paraId="77DED832">
            <w:pPr>
              <w:keepNext w:val="0"/>
              <w:keepLines w:val="0"/>
              <w:widowControl w:val="0"/>
              <w:suppressLineNumbers w:val="0"/>
              <w:spacing w:before="0" w:beforeAutospacing="0" w:after="0" w:afterAutospacing="0" w:line="360" w:lineRule="auto"/>
              <w:ind w:left="0" w:right="0" w:firstLine="480" w:firstLineChars="200"/>
              <w:jc w:val="left"/>
              <w:rPr>
                <w:rFonts w:hint="eastAsia" w:ascii="Times New Roman" w:hAnsi="Times New Roman" w:cs="Times New Roman"/>
                <w:color w:val="000000" w:themeColor="text1"/>
                <w:sz w:val="24"/>
                <w:highlight w:val="none"/>
                <w:lang w:bidi="ar"/>
                <w14:textFill>
                  <w14:solidFill>
                    <w14:schemeClr w14:val="tx1"/>
                  </w14:solidFill>
                </w14:textFill>
              </w:rPr>
            </w:pPr>
            <w:r>
              <w:rPr>
                <w:rFonts w:hint="eastAsia" w:cs="Times New Roman"/>
                <w:color w:val="000000" w:themeColor="text1"/>
                <w:sz w:val="24"/>
                <w:lang w:eastAsia="zh-CN"/>
                <w14:textFill>
                  <w14:solidFill>
                    <w14:schemeClr w14:val="tx1"/>
                  </w14:solidFill>
                </w14:textFill>
              </w:rPr>
              <w:t>（</w:t>
            </w:r>
            <w:r>
              <w:rPr>
                <w:rFonts w:hint="eastAsia" w:cs="Times New Roman"/>
                <w:color w:val="000000" w:themeColor="text1"/>
                <w:sz w:val="24"/>
                <w:lang w:val="en-US" w:eastAsia="zh-CN"/>
                <w14:textFill>
                  <w14:solidFill>
                    <w14:schemeClr w14:val="tx1"/>
                  </w14:solidFill>
                </w14:textFill>
              </w:rPr>
              <w:t>4</w:t>
            </w:r>
            <w:r>
              <w:rPr>
                <w:rFonts w:hint="eastAsia" w:cs="Times New Roman"/>
                <w:color w:val="000000" w:themeColor="text1"/>
                <w:sz w:val="24"/>
                <w:lang w:eastAsia="zh-CN"/>
                <w14:textFill>
                  <w14:solidFill>
                    <w14:schemeClr w14:val="tx1"/>
                  </w14:solidFill>
                </w14:textFill>
              </w:rPr>
              <w:t>）</w:t>
            </w:r>
            <w:r>
              <w:rPr>
                <w:rFonts w:hint="eastAsia"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t>废活性炭</w:t>
            </w:r>
          </w:p>
          <w:p w14:paraId="0584BFF8">
            <w:pPr>
              <w:keepNext w:val="0"/>
              <w:keepLines w:val="0"/>
              <w:suppressLineNumbers w:val="0"/>
              <w:adjustRightInd w:val="0"/>
              <w:spacing w:before="0" w:beforeAutospacing="0" w:after="0" w:afterAutospacing="0" w:line="360" w:lineRule="auto"/>
              <w:ind w:left="0" w:right="0" w:firstLine="480" w:firstLineChars="200"/>
              <w:rPr>
                <w:rFonts w:hint="eastAsia"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根据《有机废气治理 活性炭吸附装置技术规范》（T/ZSESS 010-2024），本次环评要求建设单位采购碘值≥800mg/g的活性炭，活性炭装填密度为0.35~0.55g/cm</w:t>
            </w:r>
            <w:r>
              <w:rPr>
                <w:rFonts w:hint="default" w:ascii="Times New Roman" w:hAnsi="Times New Roman" w:cs="Times New Roman"/>
                <w:color w:val="000000" w:themeColor="text1"/>
                <w:sz w:val="24"/>
                <w:szCs w:val="24"/>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4"/>
                <w:szCs w:val="24"/>
                <w:lang w:val="en-US" w:eastAsia="zh-CN"/>
                <w14:textFill>
                  <w14:solidFill>
                    <w14:schemeClr w14:val="tx1"/>
                  </w14:solidFill>
                </w14:textFill>
              </w:rPr>
              <w:t>，活性炭更换周期不应超过500h。根据该技术规范</w:t>
            </w:r>
            <w:r>
              <w:rPr>
                <w:rFonts w:hint="eastAsia" w:cs="Times New Roman"/>
                <w:color w:val="000000" w:themeColor="text1"/>
                <w:sz w:val="24"/>
                <w:szCs w:val="24"/>
                <w:lang w:val="en-US" w:eastAsia="zh-CN"/>
                <w14:textFill>
                  <w14:solidFill>
                    <w14:schemeClr w14:val="tx1"/>
                  </w14:solidFill>
                </w14:textFill>
              </w:rPr>
              <w:t>中6.6的公式进行计算可知，</w:t>
            </w:r>
            <w:r>
              <w:rPr>
                <w:rFonts w:hint="default" w:ascii="Times New Roman" w:hAnsi="Times New Roman" w:cs="Times New Roman"/>
                <w:color w:val="000000" w:themeColor="text1"/>
                <w:sz w:val="24"/>
                <w:szCs w:val="24"/>
                <w:lang w:val="en-US" w:eastAsia="zh-CN"/>
                <w14:textFill>
                  <w14:solidFill>
                    <w14:schemeClr w14:val="tx1"/>
                  </w14:solidFill>
                </w14:textFill>
              </w:rPr>
              <w:t>本项目活性炭的装填量</w:t>
            </w:r>
            <w:r>
              <w:rPr>
                <w:rFonts w:hint="eastAsia" w:cs="Times New Roman"/>
                <w:color w:val="000000" w:themeColor="text1"/>
                <w:sz w:val="24"/>
                <w:szCs w:val="24"/>
                <w:lang w:val="en-US" w:eastAsia="zh-CN"/>
                <w14:textFill>
                  <w14:solidFill>
                    <w14:schemeClr w14:val="tx1"/>
                  </w14:solidFill>
                </w14:textFill>
              </w:rPr>
              <w:t>0.77</w:t>
            </w:r>
            <w:r>
              <w:rPr>
                <w:rFonts w:hint="default" w:ascii="Times New Roman" w:hAnsi="Times New Roman" w:cs="Times New Roman"/>
                <w:color w:val="000000" w:themeColor="text1"/>
                <w:sz w:val="24"/>
                <w:szCs w:val="24"/>
                <w:lang w:val="en-US" w:eastAsia="zh-CN"/>
                <w14:textFill>
                  <w14:solidFill>
                    <w14:schemeClr w14:val="tx1"/>
                  </w14:solidFill>
                </w14:textFill>
              </w:rPr>
              <w:t>t，二级</w:t>
            </w:r>
            <w:r>
              <w:rPr>
                <w:rFonts w:hint="default" w:ascii="Times New Roman" w:hAnsi="Times New Roman" w:cs="Times New Roman"/>
                <w:color w:val="000000" w:themeColor="text1"/>
                <w:sz w:val="24"/>
                <w:szCs w:val="24"/>
                <w14:textFill>
                  <w14:solidFill>
                    <w14:schemeClr w14:val="tx1"/>
                  </w14:solidFill>
                </w14:textFill>
              </w:rPr>
              <w:t>活性炭吸附</w:t>
            </w:r>
            <w:r>
              <w:rPr>
                <w:rFonts w:hint="default" w:ascii="Times New Roman" w:hAnsi="Times New Roman" w:cs="Times New Roman"/>
                <w:color w:val="000000" w:themeColor="text1"/>
                <w:sz w:val="24"/>
                <w:szCs w:val="24"/>
                <w:lang w:val="en-US" w:eastAsia="zh-CN"/>
                <w14:textFill>
                  <w14:solidFill>
                    <w14:schemeClr w14:val="tx1"/>
                  </w14:solidFill>
                </w14:textFill>
              </w:rPr>
              <w:t>的</w:t>
            </w:r>
            <w:r>
              <w:rPr>
                <w:rFonts w:hint="default" w:ascii="Times New Roman" w:hAnsi="Times New Roman" w:cs="Times New Roman"/>
                <w:color w:val="000000" w:themeColor="text1"/>
                <w:sz w:val="24"/>
                <w:szCs w:val="24"/>
                <w14:textFill>
                  <w14:solidFill>
                    <w14:schemeClr w14:val="tx1"/>
                  </w14:solidFill>
                </w14:textFill>
              </w:rPr>
              <w:t>有机废气量为</w:t>
            </w:r>
            <w:r>
              <w:rPr>
                <w:rFonts w:hint="default" w:ascii="Times New Roman" w:hAnsi="Times New Roman" w:cs="Times New Roman"/>
                <w:color w:val="000000" w:themeColor="text1"/>
                <w:sz w:val="24"/>
                <w:szCs w:val="24"/>
                <w:lang w:val="en-US" w:eastAsia="zh-CN"/>
                <w14:textFill>
                  <w14:solidFill>
                    <w14:schemeClr w14:val="tx1"/>
                  </w14:solidFill>
                </w14:textFill>
              </w:rPr>
              <w:t>0.</w:t>
            </w:r>
            <w:r>
              <w:rPr>
                <w:rFonts w:hint="eastAsia" w:cs="Times New Roman"/>
                <w:color w:val="000000" w:themeColor="text1"/>
                <w:sz w:val="24"/>
                <w:szCs w:val="24"/>
                <w:lang w:val="en-US" w:eastAsia="zh-CN"/>
                <w14:textFill>
                  <w14:solidFill>
                    <w14:schemeClr w14:val="tx1"/>
                  </w14:solidFill>
                </w14:textFill>
              </w:rPr>
              <w:t>07</w:t>
            </w:r>
            <w:r>
              <w:rPr>
                <w:rFonts w:hint="default" w:ascii="Times New Roman" w:hAnsi="Times New Roman" w:cs="Times New Roman"/>
                <w:color w:val="000000" w:themeColor="text1"/>
                <w:sz w:val="24"/>
                <w:szCs w:val="24"/>
                <w14:textFill>
                  <w14:solidFill>
                    <w14:schemeClr w14:val="tx1"/>
                  </w14:solidFill>
                </w14:textFill>
              </w:rPr>
              <w:t>t/a，</w:t>
            </w:r>
            <w:r>
              <w:rPr>
                <w:rFonts w:hint="default" w:ascii="Times New Roman" w:hAnsi="Times New Roman" w:cs="Times New Roman"/>
                <w:color w:val="000000" w:themeColor="text1"/>
                <w:sz w:val="24"/>
                <w:szCs w:val="24"/>
                <w:lang w:val="en-US" w:eastAsia="zh-CN"/>
                <w14:textFill>
                  <w14:solidFill>
                    <w14:schemeClr w14:val="tx1"/>
                  </w14:solidFill>
                </w14:textFill>
              </w:rPr>
              <w:t>废气治理设施年运行</w:t>
            </w:r>
            <w:r>
              <w:rPr>
                <w:rFonts w:hint="eastAsia" w:cs="Times New Roman"/>
                <w:color w:val="000000" w:themeColor="text1"/>
                <w:sz w:val="24"/>
                <w:szCs w:val="24"/>
                <w:lang w:val="en-US" w:eastAsia="zh-CN"/>
                <w14:textFill>
                  <w14:solidFill>
                    <w14:schemeClr w14:val="tx1"/>
                  </w14:solidFill>
                </w14:textFill>
              </w:rPr>
              <w:t>5400</w:t>
            </w:r>
            <w:r>
              <w:rPr>
                <w:rFonts w:hint="default" w:ascii="Times New Roman" w:hAnsi="Times New Roman" w:cs="Times New Roman"/>
                <w:color w:val="000000" w:themeColor="text1"/>
                <w:sz w:val="24"/>
                <w:szCs w:val="24"/>
                <w:lang w:val="en-US" w:eastAsia="zh-CN"/>
                <w14:textFill>
                  <w14:solidFill>
                    <w14:schemeClr w14:val="tx1"/>
                  </w14:solidFill>
                </w14:textFill>
              </w:rPr>
              <w:t>h，</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故建设单位需</w:t>
            </w:r>
            <w:r>
              <w:rPr>
                <w:rFonts w:hint="eastAsia" w:cs="Times New Roman"/>
                <w:color w:val="000000" w:themeColor="text1"/>
                <w:sz w:val="24"/>
                <w:szCs w:val="24"/>
                <w:highlight w:val="none"/>
                <w:lang w:val="en-US" w:eastAsia="zh-CN"/>
                <w14:textFill>
                  <w14:solidFill>
                    <w14:schemeClr w14:val="tx1"/>
                  </w14:solidFill>
                </w14:textFill>
              </w:rPr>
              <w:t>1</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2</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个月更换一次活性炭，按每年更换</w:t>
            </w:r>
            <w:r>
              <w:rPr>
                <w:rFonts w:hint="eastAsia" w:cs="Times New Roman"/>
                <w:color w:val="000000" w:themeColor="text1"/>
                <w:sz w:val="24"/>
                <w:szCs w:val="24"/>
                <w:highlight w:val="none"/>
                <w:lang w:val="en-US" w:eastAsia="zh-CN"/>
                <w14:textFill>
                  <w14:solidFill>
                    <w14:schemeClr w14:val="tx1"/>
                  </w14:solidFill>
                </w14:textFill>
              </w:rPr>
              <w:t>10</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次计算，废活性炭产生量约</w:t>
            </w:r>
            <w:r>
              <w:rPr>
                <w:rFonts w:hint="eastAsia" w:cs="Times New Roman"/>
                <w:color w:val="000000" w:themeColor="text1"/>
                <w:sz w:val="24"/>
                <w:szCs w:val="24"/>
                <w:highlight w:val="none"/>
                <w:lang w:val="en-US" w:eastAsia="zh-CN"/>
                <w14:textFill>
                  <w14:solidFill>
                    <w14:schemeClr w14:val="tx1"/>
                  </w14:solidFill>
                </w14:textFill>
              </w:rPr>
              <w:t>7.7</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t/a。</w:t>
            </w:r>
            <w:r>
              <w:rPr>
                <w:rFonts w:hint="default" w:ascii="Times New Roman" w:hAnsi="Times New Roman" w:cs="Times New Roman"/>
                <w:color w:val="000000" w:themeColor="text1"/>
                <w:sz w:val="24"/>
                <w:szCs w:val="24"/>
                <w14:textFill>
                  <w14:solidFill>
                    <w14:schemeClr w14:val="tx1"/>
                  </w14:solidFill>
                </w14:textFill>
              </w:rPr>
              <w:t>根据</w:t>
            </w:r>
            <w:r>
              <w:rPr>
                <w:rFonts w:hint="eastAsia" w:cs="Times New Roman"/>
                <w:color w:val="000000" w:themeColor="text1"/>
                <w:sz w:val="24"/>
                <w:szCs w:val="24"/>
                <w:highlight w:val="none"/>
                <w:lang w:eastAsia="zh-CN" w:bidi="ar"/>
                <w14:textFill>
                  <w14:solidFill>
                    <w14:schemeClr w14:val="tx1"/>
                  </w14:solidFill>
                </w14:textFill>
              </w:rPr>
              <w:t>《国家危险废物名录》（2025年版）</w:t>
            </w:r>
            <w:r>
              <w:rPr>
                <w:rFonts w:hint="default" w:ascii="Times New Roman" w:hAnsi="Times New Roman" w:cs="Times New Roman"/>
                <w:color w:val="000000" w:themeColor="text1"/>
                <w:sz w:val="24"/>
                <w:szCs w:val="24"/>
                <w14:textFill>
                  <w14:solidFill>
                    <w14:schemeClr w14:val="tx1"/>
                  </w14:solidFill>
                </w14:textFill>
              </w:rPr>
              <w:t>所列</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2"/>
                <w:lang w:eastAsia="zh-CN"/>
                <w14:textFill>
                  <w14:solidFill>
                    <w14:schemeClr w14:val="tx1"/>
                  </w14:solidFill>
                </w14:textFill>
              </w:rPr>
              <w:t>900</w:t>
            </w:r>
            <w:r>
              <w:rPr>
                <w:rFonts w:hint="default" w:ascii="Times New Roman" w:hAnsi="Times New Roman" w:cs="Times New Roman"/>
                <w:color w:val="000000" w:themeColor="text1"/>
                <w:sz w:val="24"/>
                <w:szCs w:val="24"/>
                <w14:textFill>
                  <w14:solidFill>
                    <w14:schemeClr w14:val="tx1"/>
                  </w14:solidFill>
                </w14:textFill>
              </w:rPr>
              <w:t>-0</w:t>
            </w:r>
            <w:r>
              <w:rPr>
                <w:rFonts w:hint="default" w:ascii="Times New Roman" w:hAnsi="Times New Roman" w:cs="Times New Roman"/>
                <w:color w:val="000000" w:themeColor="text1"/>
                <w:sz w:val="24"/>
                <w:szCs w:val="24"/>
                <w:lang w:val="en-US" w:eastAsia="zh-CN"/>
                <w14:textFill>
                  <w14:solidFill>
                    <w14:schemeClr w14:val="tx1"/>
                  </w14:solidFill>
                </w14:textFill>
              </w:rPr>
              <w:t>39</w:t>
            </w:r>
            <w:r>
              <w:rPr>
                <w:rFonts w:hint="default" w:ascii="Times New Roman" w:hAnsi="Times New Roman" w:cs="Times New Roman"/>
                <w:color w:val="000000" w:themeColor="text1"/>
                <w:sz w:val="24"/>
                <w:szCs w:val="24"/>
                <w14:textFill>
                  <w14:solidFill>
                    <w14:schemeClr w14:val="tx1"/>
                  </w14:solidFill>
                </w14:textFill>
              </w:rPr>
              <w:t>-49</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烟气、VOCs治理过程（不包括餐饮行业油烟治理过程）产生的废活性炭</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废活性炭属于HW49其他废物，为危险废物，须按危险废物进行管理和处置</w:t>
            </w:r>
            <w:r>
              <w:rPr>
                <w:rFonts w:hint="eastAsia" w:ascii="Times New Roman" w:hAnsi="Times New Roman" w:eastAsia="宋体" w:cs="Times New Roman"/>
                <w:color w:val="000000" w:themeColor="text1"/>
                <w:sz w:val="24"/>
                <w:highlight w:val="none"/>
                <w:lang w:eastAsia="zh-CN" w:bidi="ar"/>
                <w14:textFill>
                  <w14:solidFill>
                    <w14:schemeClr w14:val="tx1"/>
                  </w14:solidFill>
                </w14:textFill>
              </w:rPr>
              <w:t>，</w:t>
            </w:r>
            <w:r>
              <w:rPr>
                <w:rFonts w:hint="eastAsia"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t>定期收集后交由有资质的单位回收处理。</w:t>
            </w:r>
          </w:p>
          <w:p w14:paraId="56E3A28C">
            <w:pPr>
              <w:keepNext w:val="0"/>
              <w:keepLines w:val="0"/>
              <w:widowControl w:val="0"/>
              <w:numPr>
                <w:ilvl w:val="-1"/>
                <w:numId w:val="0"/>
              </w:numPr>
              <w:suppressLineNumbers w:val="0"/>
              <w:spacing w:before="0" w:beforeAutospacing="0" w:after="0" w:afterAutospacing="0" w:line="360" w:lineRule="auto"/>
              <w:ind w:left="0" w:right="0" w:firstLine="480" w:firstLineChars="200"/>
              <w:jc w:val="left"/>
              <w:rPr>
                <w:rFonts w:hint="default" w:cs="Times New Roman"/>
                <w:color w:val="000000" w:themeColor="text1"/>
                <w:kern w:val="2"/>
                <w:sz w:val="24"/>
                <w:szCs w:val="24"/>
                <w:highlight w:val="none"/>
                <w:lang w:val="en-US" w:eastAsia="zh-CN" w:bidi="ar"/>
                <w14:textFill>
                  <w14:solidFill>
                    <w14:schemeClr w14:val="tx1"/>
                  </w14:solidFill>
                </w14:textFill>
              </w:rPr>
            </w:pPr>
            <w:r>
              <w:rPr>
                <w:rFonts w:hint="eastAsia" w:cs="Times New Roman"/>
                <w:color w:val="000000" w:themeColor="text1"/>
                <w:kern w:val="2"/>
                <w:sz w:val="24"/>
                <w:szCs w:val="24"/>
                <w:highlight w:val="none"/>
                <w:lang w:val="en-US" w:eastAsia="zh-CN" w:bidi="ar"/>
                <w14:textFill>
                  <w14:solidFill>
                    <w14:schemeClr w14:val="tx1"/>
                  </w14:solidFill>
                </w14:textFill>
              </w:rPr>
              <w:t>（5）废过滤棉</w:t>
            </w:r>
          </w:p>
          <w:p w14:paraId="7C334C99">
            <w:pPr>
              <w:widowControl/>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根据企业提供资料，本项目</w:t>
            </w:r>
            <w:r>
              <w:rPr>
                <w:rFonts w:hint="default" w:ascii="Times New Roman" w:hAnsi="Times New Roman" w:cs="Times New Roman"/>
                <w:color w:val="000000" w:themeColor="text1"/>
                <w:sz w:val="24"/>
                <w:lang w:val="en-US" w:eastAsia="zh-CN"/>
                <w14:textFill>
                  <w14:solidFill>
                    <w14:schemeClr w14:val="tx1"/>
                  </w14:solidFill>
                </w14:textFill>
              </w:rPr>
              <w:t>废过滤棉产生量为0.</w:t>
            </w:r>
            <w:r>
              <w:rPr>
                <w:rFonts w:hint="eastAsia" w:cs="Times New Roman"/>
                <w:color w:val="000000" w:themeColor="text1"/>
                <w:sz w:val="24"/>
                <w:lang w:val="en-US" w:eastAsia="zh-CN"/>
                <w14:textFill>
                  <w14:solidFill>
                    <w14:schemeClr w14:val="tx1"/>
                  </w14:solidFill>
                </w14:textFill>
              </w:rPr>
              <w:t>02</w:t>
            </w:r>
            <w:r>
              <w:rPr>
                <w:rFonts w:hint="default" w:ascii="Times New Roman" w:hAnsi="Times New Roman" w:cs="Times New Roman"/>
                <w:color w:val="000000" w:themeColor="text1"/>
                <w:sz w:val="24"/>
                <w:lang w:val="en-US" w:eastAsia="zh-CN"/>
                <w14:textFill>
                  <w14:solidFill>
                    <w14:schemeClr w14:val="tx1"/>
                  </w14:solidFill>
                </w14:textFill>
              </w:rPr>
              <w:t>t/a，</w:t>
            </w:r>
            <w:r>
              <w:rPr>
                <w:rFonts w:hint="eastAsia" w:cs="Times New Roman"/>
                <w:color w:val="000000" w:themeColor="text1"/>
                <w:sz w:val="24"/>
                <w:lang w:val="en-US" w:eastAsia="zh-CN"/>
                <w14:textFill>
                  <w14:solidFill>
                    <w14:schemeClr w14:val="tx1"/>
                  </w14:solidFill>
                </w14:textFill>
              </w:rPr>
              <w:t>每三个月更换一次，</w:t>
            </w:r>
            <w:r>
              <w:rPr>
                <w:rFonts w:hint="default" w:ascii="Times New Roman" w:hAnsi="Times New Roman" w:cs="Times New Roman"/>
                <w:color w:val="000000" w:themeColor="text1"/>
                <w:sz w:val="24"/>
                <w:lang w:val="en-US" w:eastAsia="zh-CN"/>
                <w14:textFill>
                  <w14:solidFill>
                    <w14:schemeClr w14:val="tx1"/>
                  </w14:solidFill>
                </w14:textFill>
              </w:rPr>
              <w:t>废过滤棉</w:t>
            </w:r>
            <w:r>
              <w:rPr>
                <w:rFonts w:hint="default" w:ascii="Times New Roman" w:hAnsi="Times New Roman" w:cs="Times New Roman"/>
                <w:color w:val="000000" w:themeColor="text1"/>
                <w:sz w:val="24"/>
                <w14:textFill>
                  <w14:solidFill>
                    <w14:schemeClr w14:val="tx1"/>
                  </w14:solidFill>
                </w14:textFill>
              </w:rPr>
              <w:t>属于HW49其他废物，废物代码为</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900-041-49含有或沾染</w:t>
            </w:r>
            <w:r>
              <w:rPr>
                <w:rFonts w:hint="default" w:ascii="Times New Roman" w:hAnsi="Times New Roman" w:cs="Times New Roman"/>
                <w:color w:val="000000" w:themeColor="text1"/>
                <w:sz w:val="24"/>
                <w:lang w:val="en-US" w:eastAsia="zh-CN"/>
                <w14:textFill>
                  <w14:solidFill>
                    <w14:schemeClr w14:val="tx1"/>
                  </w14:solidFill>
                </w14:textFill>
              </w:rPr>
              <w:t>毒性、感染性</w:t>
            </w:r>
            <w:r>
              <w:rPr>
                <w:rFonts w:hint="default" w:ascii="Times New Roman" w:hAnsi="Times New Roman" w:cs="Times New Roman"/>
                <w:color w:val="000000" w:themeColor="text1"/>
                <w:sz w:val="24"/>
                <w14:textFill>
                  <w14:solidFill>
                    <w14:schemeClr w14:val="tx1"/>
                  </w14:solidFill>
                </w14:textFill>
              </w:rPr>
              <w:t>危险废物的</w:t>
            </w:r>
            <w:r>
              <w:rPr>
                <w:rFonts w:hint="default" w:ascii="Times New Roman" w:hAnsi="Times New Roman" w:cs="Times New Roman"/>
                <w:color w:val="000000" w:themeColor="text1"/>
                <w:sz w:val="24"/>
                <w:lang w:val="en-US" w:eastAsia="zh-CN"/>
                <w14:textFill>
                  <w14:solidFill>
                    <w14:schemeClr w14:val="tx1"/>
                  </w14:solidFill>
                </w14:textFill>
              </w:rPr>
              <w:t>废弃</w:t>
            </w:r>
            <w:r>
              <w:rPr>
                <w:rFonts w:hint="default" w:ascii="Times New Roman" w:hAnsi="Times New Roman" w:cs="Times New Roman"/>
                <w:color w:val="000000" w:themeColor="text1"/>
                <w:sz w:val="24"/>
                <w14:textFill>
                  <w14:solidFill>
                    <w14:schemeClr w14:val="tx1"/>
                  </w14:solidFill>
                </w14:textFill>
              </w:rPr>
              <w:t>包装物、容器、</w:t>
            </w:r>
            <w:r>
              <w:rPr>
                <w:rFonts w:hint="default" w:ascii="Times New Roman" w:hAnsi="Times New Roman" w:cs="Times New Roman"/>
                <w:color w:val="000000" w:themeColor="text1"/>
                <w:sz w:val="24"/>
                <w:lang w:val="en-US" w:eastAsia="zh-CN"/>
                <w14:textFill>
                  <w14:solidFill>
                    <w14:schemeClr w14:val="tx1"/>
                  </w14:solidFill>
                </w14:textFill>
              </w:rPr>
              <w:t>过滤吸附介质</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w:t>
            </w:r>
          </w:p>
          <w:p w14:paraId="7220732C">
            <w:pPr>
              <w:keepNext w:val="0"/>
              <w:keepLines w:val="0"/>
              <w:widowControl w:val="0"/>
              <w:numPr>
                <w:ilvl w:val="-1"/>
                <w:numId w:val="0"/>
              </w:numPr>
              <w:suppressLineNumbers w:val="0"/>
              <w:spacing w:before="0" w:beforeAutospacing="0" w:after="0" w:afterAutospacing="0" w:line="360" w:lineRule="auto"/>
              <w:ind w:left="0" w:right="0" w:firstLine="480" w:firstLineChars="200"/>
              <w:jc w:val="left"/>
              <w:rPr>
                <w:rFonts w:hint="eastAsia" w:cs="Times New Roman"/>
                <w:color w:val="000000" w:themeColor="text1"/>
                <w:kern w:val="2"/>
                <w:sz w:val="24"/>
                <w:szCs w:val="24"/>
                <w:highlight w:val="none"/>
                <w:lang w:val="en-US" w:eastAsia="zh-CN" w:bidi="ar"/>
                <w14:textFill>
                  <w14:solidFill>
                    <w14:schemeClr w14:val="tx1"/>
                  </w14:solidFill>
                </w14:textFill>
              </w:rPr>
            </w:pPr>
            <w:r>
              <w:rPr>
                <w:rFonts w:hint="eastAsia" w:cs="Times New Roman"/>
                <w:color w:val="000000" w:themeColor="text1"/>
                <w:kern w:val="2"/>
                <w:sz w:val="24"/>
                <w:szCs w:val="24"/>
                <w:highlight w:val="none"/>
                <w:lang w:val="en-US" w:eastAsia="zh-CN" w:bidi="ar"/>
                <w14:textFill>
                  <w14:solidFill>
                    <w14:schemeClr w14:val="tx1"/>
                  </w14:solidFill>
                </w14:textFill>
              </w:rPr>
              <w:t>（6）沾染废物</w:t>
            </w:r>
          </w:p>
          <w:p w14:paraId="7EAEC629">
            <w:pPr>
              <w:keepNext w:val="0"/>
              <w:keepLines w:val="0"/>
              <w:widowControl w:val="0"/>
              <w:suppressLineNumbers w:val="0"/>
              <w:spacing w:before="0" w:beforeAutospacing="0" w:after="0" w:afterAutospacing="0" w:line="360" w:lineRule="auto"/>
              <w:ind w:left="0" w:right="0" w:firstLine="480" w:firstLineChars="200"/>
              <w:jc w:val="left"/>
              <w:rPr>
                <w:rFonts w:hint="eastAsia" w:cs="Times New Roman"/>
                <w:color w:val="000000" w:themeColor="text1"/>
                <w:kern w:val="2"/>
                <w:sz w:val="24"/>
                <w:szCs w:val="24"/>
                <w:highlight w:val="none"/>
                <w:lang w:val="en-US" w:eastAsia="zh-CN" w:bidi="ar"/>
                <w14:textFill>
                  <w14:solidFill>
                    <w14:schemeClr w14:val="tx1"/>
                  </w14:solidFill>
                </w14:textFill>
              </w:rPr>
            </w:pPr>
            <w:r>
              <w:rPr>
                <w:rFonts w:hint="eastAsia" w:cs="Times New Roman"/>
                <w:color w:val="000000" w:themeColor="text1"/>
                <w:kern w:val="2"/>
                <w:sz w:val="24"/>
                <w:szCs w:val="24"/>
                <w:highlight w:val="none"/>
                <w:lang w:val="en-US" w:eastAsia="zh-CN" w:bidi="ar"/>
                <w14:textFill>
                  <w14:solidFill>
                    <w14:schemeClr w14:val="tx1"/>
                  </w14:solidFill>
                </w14:textFill>
              </w:rPr>
              <w:t>本项目氧化钴等原辅料使用过程中的产生废编织袋、废塑料内袋均属于</w:t>
            </w:r>
            <w:r>
              <w:rPr>
                <w:rFonts w:ascii="Helvetica" w:hAnsi="Helvetica" w:eastAsia="Helvetica" w:cs="Helvetica"/>
                <w:i w:val="0"/>
                <w:iCs w:val="0"/>
                <w:caps w:val="0"/>
                <w:color w:val="000000" w:themeColor="text1"/>
                <w:spacing w:val="0"/>
                <w:sz w:val="24"/>
                <w:szCs w:val="24"/>
                <w:shd w:val="clear" w:fill="FFFFFF"/>
                <w14:textFill>
                  <w14:solidFill>
                    <w14:schemeClr w14:val="tx1"/>
                  </w14:solidFill>
                </w14:textFill>
              </w:rPr>
              <w:t>含</w:t>
            </w:r>
            <w:r>
              <w:rPr>
                <w:rFonts w:hint="default" w:ascii="Helvetica" w:hAnsi="Helvetica" w:eastAsia="Helvetica" w:cs="Helvetica"/>
                <w:i w:val="0"/>
                <w:iCs w:val="0"/>
                <w:caps w:val="0"/>
                <w:color w:val="000000" w:themeColor="text1"/>
                <w:spacing w:val="0"/>
                <w:sz w:val="24"/>
                <w:szCs w:val="24"/>
                <w:shd w:val="clear" w:fill="FFFFFF"/>
                <w14:textFill>
                  <w14:solidFill>
                    <w14:schemeClr w14:val="tx1"/>
                  </w14:solidFill>
                </w14:textFill>
              </w:rPr>
              <w:t>有或沾染毒性、感染性危险废物的废弃包装物</w:t>
            </w:r>
            <w:r>
              <w:rPr>
                <w:rFonts w:hint="eastAsia" w:cs="Times New Roman"/>
                <w:color w:val="000000" w:themeColor="text1"/>
                <w:kern w:val="2"/>
                <w:sz w:val="24"/>
                <w:szCs w:val="24"/>
                <w:highlight w:val="none"/>
                <w:lang w:val="en-US" w:eastAsia="zh-CN" w:bidi="ar"/>
                <w14:textFill>
                  <w14:solidFill>
                    <w14:schemeClr w14:val="tx1"/>
                  </w14:solidFill>
                </w14:textFill>
              </w:rPr>
              <w:t>，危险废物</w:t>
            </w:r>
            <w:r>
              <w:rPr>
                <w:rFonts w:hint="eastAsia"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t>类别为</w:t>
            </w:r>
            <w:r>
              <w:rPr>
                <w:rFonts w:hint="eastAsia" w:ascii="Times New Roman" w:hAnsi="Times New Roman" w:cs="Times New Roman"/>
                <w:color w:val="000000" w:themeColor="text1"/>
                <w:sz w:val="24"/>
                <w:szCs w:val="24"/>
                <w:highlight w:val="none"/>
                <w:lang w:bidi="ar"/>
                <w14:textFill>
                  <w14:solidFill>
                    <w14:schemeClr w14:val="tx1"/>
                  </w14:solidFill>
                </w14:textFill>
              </w:rPr>
              <w:t>HW</w:t>
            </w:r>
            <w:r>
              <w:rPr>
                <w:rFonts w:hint="eastAsia" w:ascii="Times New Roman" w:hAnsi="Times New Roman" w:cs="Times New Roman"/>
                <w:color w:val="000000" w:themeColor="text1"/>
                <w:sz w:val="24"/>
                <w:szCs w:val="24"/>
                <w:highlight w:val="none"/>
                <w:lang w:val="en-US" w:eastAsia="zh-CN" w:bidi="ar"/>
                <w14:textFill>
                  <w14:solidFill>
                    <w14:schemeClr w14:val="tx1"/>
                  </w14:solidFill>
                </w14:textFill>
              </w:rPr>
              <w:t>49</w:t>
            </w:r>
            <w:r>
              <w:rPr>
                <w:rFonts w:hint="eastAsia" w:ascii="Times New Roman" w:hAnsi="Times New Roman" w:cs="Times New Roman"/>
                <w:color w:val="000000" w:themeColor="text1"/>
                <w:sz w:val="24"/>
                <w:szCs w:val="24"/>
                <w:highlight w:val="none"/>
                <w:lang w:bidi="ar"/>
                <w14:textFill>
                  <w14:solidFill>
                    <w14:schemeClr w14:val="tx1"/>
                  </w14:solidFill>
                </w14:textFill>
              </w:rPr>
              <w:t>，废物代码</w:t>
            </w:r>
            <w:r>
              <w:rPr>
                <w:rFonts w:hint="eastAsia"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t>900-041-49</w:t>
            </w:r>
            <w:r>
              <w:rPr>
                <w:rFonts w:hint="eastAsia" w:cs="Times New Roman"/>
                <w:color w:val="000000" w:themeColor="text1"/>
                <w:kern w:val="2"/>
                <w:sz w:val="24"/>
                <w:szCs w:val="24"/>
                <w:highlight w:val="none"/>
                <w:lang w:val="en-US" w:eastAsia="zh-CN" w:bidi="ar"/>
                <w14:textFill>
                  <w14:solidFill>
                    <w14:schemeClr w14:val="tx1"/>
                  </w14:solidFill>
                </w14:textFill>
              </w:rPr>
              <w:t>，产生量约为0.1</w:t>
            </w:r>
            <w:r>
              <w:rPr>
                <w:rFonts w:hint="eastAsia"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t>t/a</w:t>
            </w:r>
            <w:r>
              <w:rPr>
                <w:rFonts w:hint="eastAsia" w:cs="Times New Roman"/>
                <w:color w:val="000000" w:themeColor="text1"/>
                <w:kern w:val="2"/>
                <w:sz w:val="24"/>
                <w:szCs w:val="24"/>
                <w:highlight w:val="none"/>
                <w:lang w:val="en-US" w:eastAsia="zh-CN" w:bidi="ar"/>
                <w14:textFill>
                  <w14:solidFill>
                    <w14:schemeClr w14:val="tx1"/>
                  </w14:solidFill>
                </w14:textFill>
              </w:rPr>
              <w:t>，集中收集后暂存于危废暂存间后委托资质单位进行处理。</w:t>
            </w:r>
          </w:p>
          <w:p w14:paraId="30941B48">
            <w:pPr>
              <w:widowControl/>
              <w:adjustRightInd w:val="0"/>
              <w:snapToGrid w:val="0"/>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环评要求将以上危险废物</w:t>
            </w:r>
            <w:r>
              <w:rPr>
                <w:rFonts w:hint="default" w:ascii="Times New Roman" w:hAnsi="Times New Roman" w:cs="Times New Roman"/>
                <w:bCs/>
                <w:color w:val="000000" w:themeColor="text1"/>
                <w:sz w:val="24"/>
                <w:lang w:val="en-US" w:eastAsia="zh-CN"/>
                <w14:textFill>
                  <w14:solidFill>
                    <w14:schemeClr w14:val="tx1"/>
                  </w14:solidFill>
                </w14:textFill>
              </w:rPr>
              <w:t>暂存于</w:t>
            </w:r>
            <w:r>
              <w:rPr>
                <w:rFonts w:hint="default" w:ascii="Times New Roman" w:hAnsi="Times New Roman" w:cs="Times New Roman"/>
                <w:bCs/>
                <w:color w:val="000000" w:themeColor="text1"/>
                <w:sz w:val="24"/>
                <w14:textFill>
                  <w14:solidFill>
                    <w14:schemeClr w14:val="tx1"/>
                  </w14:solidFill>
                </w14:textFill>
              </w:rPr>
              <w:t>危废暂存间</w:t>
            </w:r>
            <w:r>
              <w:rPr>
                <w:rFonts w:hint="default" w:ascii="Times New Roman" w:hAnsi="Times New Roman" w:cs="Times New Roman"/>
                <w:color w:val="000000" w:themeColor="text1"/>
                <w:sz w:val="24"/>
                <w14:textFill>
                  <w14:solidFill>
                    <w14:schemeClr w14:val="tx1"/>
                  </w14:solidFill>
                </w14:textFill>
              </w:rPr>
              <w:t>，定期委托有危废资质单位进行清运处置。</w:t>
            </w:r>
          </w:p>
          <w:p w14:paraId="6700036A">
            <w:pPr>
              <w:widowControl/>
              <w:adjustRightInd w:val="0"/>
              <w:snapToGrid w:val="0"/>
              <w:spacing w:line="360" w:lineRule="auto"/>
              <w:ind w:firstLine="480" w:firstLineChars="200"/>
              <w:rPr>
                <w:rFonts w:hint="default" w:ascii="Times New Roman" w:hAnsi="Times New Roman" w:cs="Times New Roman"/>
                <w:b/>
                <w:color w:val="000000" w:themeColor="text1"/>
                <w:sz w:val="24"/>
                <w14:textFill>
                  <w14:solidFill>
                    <w14:schemeClr w14:val="tx1"/>
                  </w14:solidFill>
                </w14:textFill>
              </w:rPr>
            </w:pPr>
            <w:r>
              <w:rPr>
                <w:rFonts w:hint="default" w:ascii="Times New Roman" w:hAnsi="Times New Roman" w:cs="Times New Roman"/>
                <w:color w:val="000000" w:themeColor="text1"/>
                <w:sz w:val="24"/>
                <w:szCs w:val="22"/>
                <w14:textFill>
                  <w14:solidFill>
                    <w14:schemeClr w14:val="tx1"/>
                  </w14:solidFill>
                </w14:textFill>
              </w:rPr>
              <w:t>本项目固体废物产生量与处理措施见表4-</w:t>
            </w:r>
            <w:r>
              <w:rPr>
                <w:rFonts w:hint="default" w:ascii="Times New Roman" w:hAnsi="Times New Roman" w:cs="Times New Roman"/>
                <w:color w:val="000000" w:themeColor="text1"/>
                <w:sz w:val="24"/>
                <w:szCs w:val="22"/>
                <w:lang w:val="en-US" w:eastAsia="zh-CN"/>
                <w14:textFill>
                  <w14:solidFill>
                    <w14:schemeClr w14:val="tx1"/>
                  </w14:solidFill>
                </w14:textFill>
              </w:rPr>
              <w:t>10</w:t>
            </w:r>
            <w:r>
              <w:rPr>
                <w:rFonts w:hint="default" w:ascii="Times New Roman" w:hAnsi="Times New Roman" w:cs="Times New Roman"/>
                <w:color w:val="000000" w:themeColor="text1"/>
                <w:sz w:val="24"/>
                <w:szCs w:val="22"/>
                <w14:textFill>
                  <w14:solidFill>
                    <w14:schemeClr w14:val="tx1"/>
                  </w14:solidFill>
                </w14:textFill>
              </w:rPr>
              <w:t>。</w:t>
            </w:r>
          </w:p>
          <w:p w14:paraId="348AE4BF">
            <w:pPr>
              <w:widowControl/>
              <w:spacing w:line="440" w:lineRule="exact"/>
              <w:jc w:val="center"/>
              <w:rPr>
                <w:rFonts w:hint="default" w:ascii="Times New Roman" w:hAnsi="Times New Roman" w:cs="Times New Roman"/>
                <w:b/>
                <w:color w:val="000000" w:themeColor="text1"/>
                <w:sz w:val="24"/>
                <w14:textFill>
                  <w14:solidFill>
                    <w14:schemeClr w14:val="tx1"/>
                  </w14:solidFill>
                </w14:textFill>
              </w:rPr>
            </w:pPr>
            <w:r>
              <w:rPr>
                <w:rFonts w:hint="default" w:ascii="Times New Roman" w:hAnsi="Times New Roman" w:cs="Times New Roman"/>
                <w:b/>
                <w:color w:val="000000" w:themeColor="text1"/>
                <w:sz w:val="24"/>
                <w14:textFill>
                  <w14:solidFill>
                    <w14:schemeClr w14:val="tx1"/>
                  </w14:solidFill>
                </w14:textFill>
              </w:rPr>
              <w:t>表4-</w:t>
            </w:r>
            <w:r>
              <w:rPr>
                <w:rFonts w:hint="default" w:ascii="Times New Roman" w:hAnsi="Times New Roman" w:cs="Times New Roman"/>
                <w:b/>
                <w:color w:val="000000" w:themeColor="text1"/>
                <w:sz w:val="24"/>
                <w:lang w:val="en-US" w:eastAsia="zh-CN"/>
                <w14:textFill>
                  <w14:solidFill>
                    <w14:schemeClr w14:val="tx1"/>
                  </w14:solidFill>
                </w14:textFill>
              </w:rPr>
              <w:t>10</w:t>
            </w:r>
            <w:r>
              <w:rPr>
                <w:rFonts w:hint="default" w:ascii="Times New Roman" w:hAnsi="Times New Roman" w:cs="Times New Roman"/>
                <w:b/>
                <w:color w:val="000000" w:themeColor="text1"/>
                <w:sz w:val="24"/>
                <w14:textFill>
                  <w14:solidFill>
                    <w14:schemeClr w14:val="tx1"/>
                  </w14:solidFill>
                </w14:textFill>
              </w:rPr>
              <w:t xml:space="preserve">  固体废物产生情况及处理措施一览表</w:t>
            </w:r>
          </w:p>
          <w:tbl>
            <w:tblPr>
              <w:tblStyle w:val="36"/>
              <w:tblW w:w="499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26"/>
              <w:gridCol w:w="1005"/>
              <w:gridCol w:w="625"/>
              <w:gridCol w:w="499"/>
              <w:gridCol w:w="1283"/>
              <w:gridCol w:w="847"/>
              <w:gridCol w:w="899"/>
              <w:gridCol w:w="899"/>
              <w:gridCol w:w="1483"/>
            </w:tblGrid>
            <w:tr w14:paraId="235697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2" w:hRule="atLeast"/>
                <w:jc w:val="center"/>
              </w:trPr>
              <w:tc>
                <w:tcPr>
                  <w:tcW w:w="898" w:type="pct"/>
                  <w:gridSpan w:val="2"/>
                  <w:noWrap w:val="0"/>
                  <w:vAlign w:val="center"/>
                </w:tcPr>
                <w:p w14:paraId="7ACA08FE">
                  <w:pPr>
                    <w:spacing w:line="320" w:lineRule="exact"/>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功能区块</w:t>
                  </w:r>
                </w:p>
              </w:tc>
              <w:tc>
                <w:tcPr>
                  <w:tcW w:w="392" w:type="pct"/>
                  <w:noWrap w:val="0"/>
                  <w:vAlign w:val="center"/>
                </w:tcPr>
                <w:p w14:paraId="5BB7CE0C">
                  <w:pPr>
                    <w:spacing w:line="320" w:lineRule="exact"/>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规模</w:t>
                  </w:r>
                </w:p>
              </w:tc>
              <w:tc>
                <w:tcPr>
                  <w:tcW w:w="313" w:type="pct"/>
                  <w:noWrap w:val="0"/>
                  <w:vAlign w:val="center"/>
                </w:tcPr>
                <w:p w14:paraId="325311D1">
                  <w:pPr>
                    <w:spacing w:line="320" w:lineRule="exact"/>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属性</w:t>
                  </w:r>
                </w:p>
              </w:tc>
              <w:tc>
                <w:tcPr>
                  <w:tcW w:w="805" w:type="pct"/>
                  <w:noWrap w:val="0"/>
                  <w:vAlign w:val="center"/>
                </w:tcPr>
                <w:p w14:paraId="47861B47">
                  <w:pPr>
                    <w:spacing w:line="320" w:lineRule="exact"/>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代码</w:t>
                  </w:r>
                </w:p>
              </w:tc>
              <w:tc>
                <w:tcPr>
                  <w:tcW w:w="531" w:type="pct"/>
                  <w:noWrap w:val="0"/>
                  <w:vAlign w:val="center"/>
                </w:tcPr>
                <w:p w14:paraId="4E0F7109">
                  <w:pPr>
                    <w:spacing w:line="320" w:lineRule="exact"/>
                    <w:jc w:val="center"/>
                    <w:rPr>
                      <w:rFonts w:hint="default" w:ascii="Times New Roman" w:hAnsi="Times New Roman" w:eastAsia="宋体" w:cs="Times New Roman"/>
                      <w:b/>
                      <w:bCs/>
                      <w:color w:val="000000" w:themeColor="text1"/>
                      <w:szCs w:val="21"/>
                      <w:lang w:val="en-US" w:eastAsia="zh-CN"/>
                      <w14:textFill>
                        <w14:solidFill>
                          <w14:schemeClr w14:val="tx1"/>
                        </w14:solidFill>
                      </w14:textFill>
                    </w:rPr>
                  </w:pPr>
                  <w:r>
                    <w:rPr>
                      <w:rFonts w:hint="default" w:ascii="Times New Roman" w:hAnsi="Times New Roman" w:cs="Times New Roman"/>
                      <w:b/>
                      <w:bCs/>
                      <w:color w:val="000000" w:themeColor="text1"/>
                      <w:szCs w:val="21"/>
                      <w:lang w:val="en-US" w:eastAsia="zh-CN"/>
                      <w14:textFill>
                        <w14:solidFill>
                          <w14:schemeClr w14:val="tx1"/>
                        </w14:solidFill>
                      </w14:textFill>
                    </w:rPr>
                    <w:t>环境危险特性</w:t>
                  </w:r>
                </w:p>
              </w:tc>
              <w:tc>
                <w:tcPr>
                  <w:tcW w:w="564" w:type="pct"/>
                  <w:noWrap w:val="0"/>
                  <w:vAlign w:val="center"/>
                </w:tcPr>
                <w:p w14:paraId="3691CDC9">
                  <w:pPr>
                    <w:spacing w:line="320" w:lineRule="exact"/>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产生量</w:t>
                  </w:r>
                  <w:r>
                    <w:rPr>
                      <w:rFonts w:hint="default" w:ascii="Times New Roman" w:hAnsi="Times New Roman" w:cs="Times New Roman"/>
                      <w:b/>
                      <w:bCs/>
                      <w:color w:val="000000" w:themeColor="text1"/>
                      <w:szCs w:val="21"/>
                      <w:lang w:eastAsia="zh-CN"/>
                      <w14:textFill>
                        <w14:solidFill>
                          <w14:schemeClr w14:val="tx1"/>
                        </w14:solidFill>
                      </w14:textFill>
                    </w:rPr>
                    <w:t>（</w:t>
                  </w:r>
                  <w:r>
                    <w:rPr>
                      <w:rFonts w:hint="default" w:ascii="Times New Roman" w:hAnsi="Times New Roman" w:cs="Times New Roman"/>
                      <w:b/>
                      <w:bCs/>
                      <w:color w:val="000000" w:themeColor="text1"/>
                      <w:szCs w:val="21"/>
                      <w14:textFill>
                        <w14:solidFill>
                          <w14:schemeClr w14:val="tx1"/>
                        </w14:solidFill>
                      </w14:textFill>
                    </w:rPr>
                    <w:t>t/a</w:t>
                  </w:r>
                  <w:r>
                    <w:rPr>
                      <w:rFonts w:hint="default" w:ascii="Times New Roman" w:hAnsi="Times New Roman" w:cs="Times New Roman"/>
                      <w:b/>
                      <w:bCs/>
                      <w:color w:val="000000" w:themeColor="text1"/>
                      <w:szCs w:val="21"/>
                      <w:lang w:eastAsia="zh-CN"/>
                      <w14:textFill>
                        <w14:solidFill>
                          <w14:schemeClr w14:val="tx1"/>
                        </w14:solidFill>
                      </w14:textFill>
                    </w:rPr>
                    <w:t>）</w:t>
                  </w:r>
                </w:p>
              </w:tc>
              <w:tc>
                <w:tcPr>
                  <w:tcW w:w="564" w:type="pct"/>
                  <w:noWrap w:val="0"/>
                  <w:vAlign w:val="center"/>
                </w:tcPr>
                <w:p w14:paraId="3B8E1440">
                  <w:pPr>
                    <w:spacing w:line="320" w:lineRule="exact"/>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处置量</w:t>
                  </w:r>
                  <w:r>
                    <w:rPr>
                      <w:rFonts w:hint="default" w:ascii="Times New Roman" w:hAnsi="Times New Roman" w:cs="Times New Roman"/>
                      <w:b/>
                      <w:bCs/>
                      <w:color w:val="000000" w:themeColor="text1"/>
                      <w:szCs w:val="21"/>
                      <w:lang w:eastAsia="zh-CN"/>
                      <w14:textFill>
                        <w14:solidFill>
                          <w14:schemeClr w14:val="tx1"/>
                        </w14:solidFill>
                      </w14:textFill>
                    </w:rPr>
                    <w:t>（</w:t>
                  </w:r>
                  <w:r>
                    <w:rPr>
                      <w:rFonts w:hint="default" w:ascii="Times New Roman" w:hAnsi="Times New Roman" w:cs="Times New Roman"/>
                      <w:b/>
                      <w:bCs/>
                      <w:color w:val="000000" w:themeColor="text1"/>
                      <w:szCs w:val="21"/>
                      <w14:textFill>
                        <w14:solidFill>
                          <w14:schemeClr w14:val="tx1"/>
                        </w14:solidFill>
                      </w14:textFill>
                    </w:rPr>
                    <w:t>t/a</w:t>
                  </w:r>
                  <w:r>
                    <w:rPr>
                      <w:rFonts w:hint="default" w:ascii="Times New Roman" w:hAnsi="Times New Roman" w:cs="Times New Roman"/>
                      <w:b/>
                      <w:bCs/>
                      <w:color w:val="000000" w:themeColor="text1"/>
                      <w:szCs w:val="21"/>
                      <w:lang w:eastAsia="zh-CN"/>
                      <w14:textFill>
                        <w14:solidFill>
                          <w14:schemeClr w14:val="tx1"/>
                        </w14:solidFill>
                      </w14:textFill>
                    </w:rPr>
                    <w:t>）</w:t>
                  </w:r>
                </w:p>
              </w:tc>
              <w:tc>
                <w:tcPr>
                  <w:tcW w:w="930" w:type="pct"/>
                  <w:noWrap w:val="0"/>
                  <w:vAlign w:val="center"/>
                </w:tcPr>
                <w:p w14:paraId="32E63210">
                  <w:pPr>
                    <w:spacing w:line="320" w:lineRule="exact"/>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排放/处理方式</w:t>
                  </w:r>
                </w:p>
              </w:tc>
            </w:tr>
            <w:tr w14:paraId="616ED3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2" w:hRule="atLeast"/>
                <w:jc w:val="center"/>
              </w:trPr>
              <w:tc>
                <w:tcPr>
                  <w:tcW w:w="267" w:type="pct"/>
                  <w:vMerge w:val="restart"/>
                  <w:noWrap w:val="0"/>
                  <w:vAlign w:val="center"/>
                </w:tcPr>
                <w:p w14:paraId="6D1233B1">
                  <w:pPr>
                    <w:spacing w:line="32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固废</w:t>
                  </w:r>
                </w:p>
              </w:tc>
              <w:tc>
                <w:tcPr>
                  <w:tcW w:w="630" w:type="pct"/>
                  <w:noWrap w:val="0"/>
                  <w:vAlign w:val="center"/>
                </w:tcPr>
                <w:p w14:paraId="42661FD2">
                  <w:pPr>
                    <w:spacing w:line="320" w:lineRule="exact"/>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生活垃圾</w:t>
                  </w:r>
                </w:p>
              </w:tc>
              <w:tc>
                <w:tcPr>
                  <w:tcW w:w="392" w:type="pct"/>
                  <w:noWrap w:val="0"/>
                  <w:vAlign w:val="center"/>
                </w:tcPr>
                <w:p w14:paraId="543DDDB3">
                  <w:pPr>
                    <w:spacing w:line="320" w:lineRule="exact"/>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30</w:t>
                  </w:r>
                  <w:r>
                    <w:rPr>
                      <w:rFonts w:hint="default" w:ascii="Times New Roman" w:hAnsi="Times New Roman" w:cs="Times New Roman"/>
                      <w:color w:val="000000" w:themeColor="text1"/>
                      <w:szCs w:val="21"/>
                      <w:lang w:val="en-US" w:eastAsia="zh-CN"/>
                      <w14:textFill>
                        <w14:solidFill>
                          <w14:schemeClr w14:val="tx1"/>
                        </w14:solidFill>
                      </w14:textFill>
                    </w:rPr>
                    <w:t>人</w:t>
                  </w:r>
                </w:p>
              </w:tc>
              <w:tc>
                <w:tcPr>
                  <w:tcW w:w="313" w:type="pct"/>
                  <w:noWrap w:val="0"/>
                  <w:vAlign w:val="center"/>
                </w:tcPr>
                <w:p w14:paraId="7CEB5052">
                  <w:pPr>
                    <w:spacing w:line="320" w:lineRule="exact"/>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w:t>
                  </w:r>
                </w:p>
              </w:tc>
              <w:tc>
                <w:tcPr>
                  <w:tcW w:w="805" w:type="pct"/>
                  <w:noWrap w:val="0"/>
                  <w:vAlign w:val="center"/>
                </w:tcPr>
                <w:p w14:paraId="2C952BC2">
                  <w:pPr>
                    <w:spacing w:line="320" w:lineRule="exact"/>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w:t>
                  </w:r>
                </w:p>
              </w:tc>
              <w:tc>
                <w:tcPr>
                  <w:tcW w:w="531" w:type="pct"/>
                  <w:noWrap w:val="0"/>
                  <w:vAlign w:val="center"/>
                </w:tcPr>
                <w:p w14:paraId="502568C6">
                  <w:pPr>
                    <w:spacing w:line="320" w:lineRule="exact"/>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w:t>
                  </w:r>
                </w:p>
              </w:tc>
              <w:tc>
                <w:tcPr>
                  <w:tcW w:w="564" w:type="pct"/>
                  <w:noWrap w:val="0"/>
                  <w:vAlign w:val="center"/>
                </w:tcPr>
                <w:p w14:paraId="449D9A52">
                  <w:pPr>
                    <w:spacing w:line="320" w:lineRule="exact"/>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3.96</w:t>
                  </w:r>
                </w:p>
              </w:tc>
              <w:tc>
                <w:tcPr>
                  <w:tcW w:w="564" w:type="pct"/>
                  <w:noWrap w:val="0"/>
                  <w:vAlign w:val="center"/>
                </w:tcPr>
                <w:p w14:paraId="33843816">
                  <w:pPr>
                    <w:spacing w:line="320" w:lineRule="exact"/>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3.96</w:t>
                  </w:r>
                </w:p>
              </w:tc>
              <w:tc>
                <w:tcPr>
                  <w:tcW w:w="930" w:type="pct"/>
                  <w:noWrap w:val="0"/>
                  <w:vAlign w:val="center"/>
                </w:tcPr>
                <w:p w14:paraId="104E9DD4">
                  <w:pPr>
                    <w:spacing w:line="32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cs="Times New Roman"/>
                      <w:color w:val="000000" w:themeColor="text1"/>
                      <w:kern w:val="0"/>
                      <w:szCs w:val="21"/>
                      <w:lang w:val="en-US" w:eastAsia="zh-CN"/>
                      <w14:textFill>
                        <w14:solidFill>
                          <w14:schemeClr w14:val="tx1"/>
                        </w14:solidFill>
                      </w14:textFill>
                    </w:rPr>
                    <w:t>集中收集定点堆放，定期交由环卫部门处理</w:t>
                  </w:r>
                </w:p>
              </w:tc>
            </w:tr>
            <w:tr w14:paraId="0DC3F4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2" w:hRule="atLeast"/>
                <w:jc w:val="center"/>
              </w:trPr>
              <w:tc>
                <w:tcPr>
                  <w:tcW w:w="267" w:type="pct"/>
                  <w:vMerge w:val="continue"/>
                  <w:noWrap w:val="0"/>
                  <w:vAlign w:val="center"/>
                </w:tcPr>
                <w:p w14:paraId="28091CB3">
                  <w:pPr>
                    <w:spacing w:line="320" w:lineRule="exact"/>
                    <w:jc w:val="center"/>
                    <w:rPr>
                      <w:rFonts w:hint="default" w:ascii="Times New Roman" w:hAnsi="Times New Roman" w:cs="Times New Roman"/>
                      <w:color w:val="000000" w:themeColor="text1"/>
                      <w:szCs w:val="21"/>
                      <w14:textFill>
                        <w14:solidFill>
                          <w14:schemeClr w14:val="tx1"/>
                        </w14:solidFill>
                      </w14:textFill>
                    </w:rPr>
                  </w:pPr>
                </w:p>
              </w:tc>
              <w:tc>
                <w:tcPr>
                  <w:tcW w:w="630" w:type="pct"/>
                  <w:noWrap w:val="0"/>
                  <w:vAlign w:val="center"/>
                </w:tcPr>
                <w:p w14:paraId="0CF82E25">
                  <w:pPr>
                    <w:spacing w:line="320" w:lineRule="exact"/>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除尘器收尘灰</w:t>
                  </w:r>
                </w:p>
              </w:tc>
              <w:tc>
                <w:tcPr>
                  <w:tcW w:w="392" w:type="pct"/>
                  <w:noWrap w:val="0"/>
                  <w:vAlign w:val="center"/>
                </w:tcPr>
                <w:p w14:paraId="677101F2">
                  <w:pPr>
                    <w:spacing w:line="320" w:lineRule="exact"/>
                    <w:jc w:val="center"/>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w:t>
                  </w:r>
                </w:p>
              </w:tc>
              <w:tc>
                <w:tcPr>
                  <w:tcW w:w="313" w:type="pct"/>
                  <w:vMerge w:val="restart"/>
                  <w:noWrap w:val="0"/>
                  <w:vAlign w:val="center"/>
                </w:tcPr>
                <w:p w14:paraId="6269F57C">
                  <w:pPr>
                    <w:spacing w:line="32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一般</w:t>
                  </w:r>
                </w:p>
                <w:p w14:paraId="7F56DE97">
                  <w:pPr>
                    <w:spacing w:line="32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固废</w:t>
                  </w:r>
                </w:p>
              </w:tc>
              <w:tc>
                <w:tcPr>
                  <w:tcW w:w="805" w:type="pct"/>
                  <w:noWrap w:val="0"/>
                  <w:vAlign w:val="center"/>
                </w:tcPr>
                <w:p w14:paraId="1E91930F">
                  <w:pPr>
                    <w:spacing w:line="320" w:lineRule="exact"/>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w:t>
                  </w:r>
                </w:p>
              </w:tc>
              <w:tc>
                <w:tcPr>
                  <w:tcW w:w="531" w:type="pct"/>
                  <w:noWrap w:val="0"/>
                  <w:vAlign w:val="center"/>
                </w:tcPr>
                <w:p w14:paraId="4C73175C">
                  <w:pPr>
                    <w:spacing w:line="320" w:lineRule="exact"/>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w:t>
                  </w:r>
                </w:p>
              </w:tc>
              <w:tc>
                <w:tcPr>
                  <w:tcW w:w="564" w:type="pct"/>
                  <w:noWrap w:val="0"/>
                  <w:vAlign w:val="center"/>
                </w:tcPr>
                <w:p w14:paraId="75F638F6">
                  <w:pPr>
                    <w:spacing w:line="320" w:lineRule="exact"/>
                    <w:jc w:val="center"/>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0.66</w:t>
                  </w:r>
                </w:p>
              </w:tc>
              <w:tc>
                <w:tcPr>
                  <w:tcW w:w="564" w:type="pct"/>
                  <w:noWrap w:val="0"/>
                  <w:vAlign w:val="center"/>
                </w:tcPr>
                <w:p w14:paraId="261EAA57">
                  <w:pPr>
                    <w:spacing w:line="320" w:lineRule="exact"/>
                    <w:jc w:val="center"/>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0.66</w:t>
                  </w:r>
                </w:p>
              </w:tc>
              <w:tc>
                <w:tcPr>
                  <w:tcW w:w="930" w:type="pct"/>
                  <w:noWrap w:val="0"/>
                  <w:vAlign w:val="center"/>
                </w:tcPr>
                <w:p w14:paraId="5DB3379A">
                  <w:pPr>
                    <w:spacing w:line="320" w:lineRule="exact"/>
                    <w:jc w:val="center"/>
                    <w:rPr>
                      <w:rFonts w:hint="default" w:ascii="Times New Roman" w:hAnsi="Times New Roman" w:cs="Times New Roman"/>
                      <w:color w:val="000000" w:themeColor="text1"/>
                      <w:kern w:val="0"/>
                      <w:szCs w:val="21"/>
                      <w:lang w:val="en-US" w:eastAsia="zh-CN"/>
                      <w14:textFill>
                        <w14:solidFill>
                          <w14:schemeClr w14:val="tx1"/>
                        </w14:solidFill>
                      </w14:textFill>
                    </w:rPr>
                  </w:pPr>
                  <w:r>
                    <w:rPr>
                      <w:rFonts w:hint="eastAsia" w:cs="Times New Roman"/>
                      <w:color w:val="000000" w:themeColor="text1"/>
                      <w:kern w:val="0"/>
                      <w:szCs w:val="21"/>
                      <w:lang w:val="en-US" w:eastAsia="zh-CN"/>
                      <w14:textFill>
                        <w14:solidFill>
                          <w14:schemeClr w14:val="tx1"/>
                        </w14:solidFill>
                      </w14:textFill>
                    </w:rPr>
                    <w:t>回收作为原料回用</w:t>
                  </w:r>
                </w:p>
              </w:tc>
            </w:tr>
            <w:tr w14:paraId="1BD8CF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2" w:hRule="atLeast"/>
                <w:jc w:val="center"/>
              </w:trPr>
              <w:tc>
                <w:tcPr>
                  <w:tcW w:w="267" w:type="pct"/>
                  <w:vMerge w:val="continue"/>
                  <w:noWrap w:val="0"/>
                  <w:vAlign w:val="center"/>
                </w:tcPr>
                <w:p w14:paraId="7C96F11E">
                  <w:pPr>
                    <w:spacing w:line="320" w:lineRule="exact"/>
                    <w:jc w:val="center"/>
                    <w:rPr>
                      <w:rFonts w:hint="default" w:ascii="Times New Roman" w:hAnsi="Times New Roman" w:cs="Times New Roman"/>
                      <w:color w:val="000000" w:themeColor="text1"/>
                      <w:szCs w:val="21"/>
                      <w14:textFill>
                        <w14:solidFill>
                          <w14:schemeClr w14:val="tx1"/>
                        </w14:solidFill>
                      </w14:textFill>
                    </w:rPr>
                  </w:pPr>
                </w:p>
              </w:tc>
              <w:tc>
                <w:tcPr>
                  <w:tcW w:w="630" w:type="pct"/>
                  <w:noWrap w:val="0"/>
                  <w:vAlign w:val="center"/>
                </w:tcPr>
                <w:p w14:paraId="48A5A10C">
                  <w:pPr>
                    <w:spacing w:line="320" w:lineRule="exact"/>
                    <w:jc w:val="center"/>
                    <w:rPr>
                      <w:rFonts w:hint="default" w:ascii="Times New Roman" w:hAnsi="Times New Roman" w:eastAsia="宋体" w:cs="Times New Roman"/>
                      <w:color w:val="000000" w:themeColor="text1"/>
                      <w:szCs w:val="21"/>
                      <w:lang w:eastAsia="zh-CN"/>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废</w:t>
                  </w:r>
                  <w:r>
                    <w:rPr>
                      <w:rFonts w:hint="default" w:ascii="Times New Roman" w:hAnsi="Times New Roman" w:cs="Times New Roman"/>
                      <w:color w:val="000000" w:themeColor="text1"/>
                      <w:szCs w:val="21"/>
                      <w:lang w:val="en-US" w:eastAsia="zh-CN"/>
                      <w14:textFill>
                        <w14:solidFill>
                          <w14:schemeClr w14:val="tx1"/>
                        </w14:solidFill>
                      </w14:textFill>
                    </w:rPr>
                    <w:t>包装袋</w:t>
                  </w:r>
                  <w:r>
                    <w:rPr>
                      <w:rFonts w:hint="eastAsia" w:cs="Times New Roman"/>
                      <w:color w:val="000000" w:themeColor="text1"/>
                      <w:szCs w:val="21"/>
                      <w:lang w:val="en-US" w:eastAsia="zh-CN"/>
                      <w14:textFill>
                        <w14:solidFill>
                          <w14:schemeClr w14:val="tx1"/>
                        </w14:solidFill>
                      </w14:textFill>
                    </w:rPr>
                    <w:t>/箱</w:t>
                  </w:r>
                </w:p>
              </w:tc>
              <w:tc>
                <w:tcPr>
                  <w:tcW w:w="392" w:type="pct"/>
                  <w:noWrap w:val="0"/>
                  <w:vAlign w:val="center"/>
                </w:tcPr>
                <w:p w14:paraId="0D5B57D2">
                  <w:pPr>
                    <w:spacing w:line="32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w:t>
                  </w:r>
                </w:p>
              </w:tc>
              <w:tc>
                <w:tcPr>
                  <w:tcW w:w="313" w:type="pct"/>
                  <w:vMerge w:val="continue"/>
                  <w:noWrap w:val="0"/>
                  <w:vAlign w:val="center"/>
                </w:tcPr>
                <w:p w14:paraId="4119006D">
                  <w:pPr>
                    <w:spacing w:line="320" w:lineRule="exact"/>
                    <w:jc w:val="center"/>
                    <w:rPr>
                      <w:rFonts w:hint="default" w:ascii="Times New Roman" w:hAnsi="Times New Roman" w:cs="Times New Roman"/>
                      <w:color w:val="000000" w:themeColor="text1"/>
                      <w:szCs w:val="21"/>
                      <w14:textFill>
                        <w14:solidFill>
                          <w14:schemeClr w14:val="tx1"/>
                        </w14:solidFill>
                      </w14:textFill>
                    </w:rPr>
                  </w:pPr>
                </w:p>
              </w:tc>
              <w:tc>
                <w:tcPr>
                  <w:tcW w:w="805" w:type="pct"/>
                  <w:noWrap w:val="0"/>
                  <w:vAlign w:val="center"/>
                </w:tcPr>
                <w:p w14:paraId="0283FDE3">
                  <w:pPr>
                    <w:spacing w:line="320" w:lineRule="exact"/>
                    <w:jc w:val="center"/>
                    <w:rPr>
                      <w:rFonts w:hint="default" w:ascii="Times New Roman" w:hAnsi="Times New Roman" w:eastAsia="宋体" w:cs="Times New Roman"/>
                      <w:color w:val="000000" w:themeColor="text1"/>
                      <w:szCs w:val="21"/>
                      <w:lang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w:t>
                  </w:r>
                </w:p>
              </w:tc>
              <w:tc>
                <w:tcPr>
                  <w:tcW w:w="531" w:type="pct"/>
                  <w:noWrap w:val="0"/>
                  <w:vAlign w:val="center"/>
                </w:tcPr>
                <w:p w14:paraId="6C364311">
                  <w:pPr>
                    <w:spacing w:line="320" w:lineRule="exact"/>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w:t>
                  </w:r>
                </w:p>
              </w:tc>
              <w:tc>
                <w:tcPr>
                  <w:tcW w:w="564" w:type="pct"/>
                  <w:noWrap w:val="0"/>
                  <w:vAlign w:val="center"/>
                </w:tcPr>
                <w:p w14:paraId="71650A1D">
                  <w:pPr>
                    <w:spacing w:line="320" w:lineRule="exact"/>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0.18</w:t>
                  </w:r>
                </w:p>
              </w:tc>
              <w:tc>
                <w:tcPr>
                  <w:tcW w:w="564" w:type="pct"/>
                  <w:noWrap w:val="0"/>
                  <w:vAlign w:val="center"/>
                </w:tcPr>
                <w:p w14:paraId="68918906">
                  <w:pPr>
                    <w:spacing w:line="32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cs="Times New Roman"/>
                      <w:color w:val="000000" w:themeColor="text1"/>
                      <w:kern w:val="0"/>
                      <w:szCs w:val="21"/>
                      <w:lang w:val="en-US" w:eastAsia="zh-CN"/>
                      <w14:textFill>
                        <w14:solidFill>
                          <w14:schemeClr w14:val="tx1"/>
                        </w14:solidFill>
                      </w14:textFill>
                    </w:rPr>
                    <w:t>0.18</w:t>
                  </w:r>
                </w:p>
              </w:tc>
              <w:tc>
                <w:tcPr>
                  <w:tcW w:w="930" w:type="pct"/>
                  <w:vMerge w:val="restart"/>
                  <w:noWrap w:val="0"/>
                  <w:vAlign w:val="center"/>
                </w:tcPr>
                <w:p w14:paraId="12E7DA74">
                  <w:pPr>
                    <w:spacing w:line="320" w:lineRule="exact"/>
                    <w:jc w:val="center"/>
                    <w:rPr>
                      <w:rFonts w:hint="default" w:ascii="Times New Roman" w:hAnsi="Times New Roman" w:cs="Times New Roman"/>
                      <w:bCs/>
                      <w:color w:val="000000" w:themeColor="text1"/>
                      <w:spacing w:val="4"/>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建设单位统一收集至一般固废暂存区，定期</w:t>
                  </w:r>
                  <w:r>
                    <w:rPr>
                      <w:rFonts w:hint="default" w:ascii="Times New Roman" w:hAnsi="Times New Roman" w:cs="Times New Roman"/>
                      <w:color w:val="000000" w:themeColor="text1"/>
                      <w:kern w:val="0"/>
                      <w:szCs w:val="21"/>
                      <w:lang w:val="en-US" w:eastAsia="zh-CN"/>
                      <w14:textFill>
                        <w14:solidFill>
                          <w14:schemeClr w14:val="tx1"/>
                        </w14:solidFill>
                      </w14:textFill>
                    </w:rPr>
                    <w:t>外售综合利用</w:t>
                  </w:r>
                  <w:r>
                    <w:rPr>
                      <w:rFonts w:hint="default" w:ascii="Times New Roman" w:hAnsi="Times New Roman" w:cs="Times New Roman"/>
                      <w:color w:val="000000" w:themeColor="text1"/>
                      <w:kern w:val="0"/>
                      <w:szCs w:val="21"/>
                      <w14:textFill>
                        <w14:solidFill>
                          <w14:schemeClr w14:val="tx1"/>
                        </w14:solidFill>
                      </w14:textFill>
                    </w:rPr>
                    <w:t>。</w:t>
                  </w:r>
                </w:p>
              </w:tc>
            </w:tr>
            <w:tr w14:paraId="1E3A19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2" w:hRule="atLeast"/>
                <w:jc w:val="center"/>
              </w:trPr>
              <w:tc>
                <w:tcPr>
                  <w:tcW w:w="267" w:type="pct"/>
                  <w:vMerge w:val="continue"/>
                  <w:noWrap w:val="0"/>
                  <w:vAlign w:val="center"/>
                </w:tcPr>
                <w:p w14:paraId="4D7B4C23">
                  <w:pPr>
                    <w:spacing w:line="320" w:lineRule="exact"/>
                    <w:jc w:val="center"/>
                    <w:rPr>
                      <w:rFonts w:hint="default" w:ascii="Times New Roman" w:hAnsi="Times New Roman" w:cs="Times New Roman"/>
                      <w:color w:val="000000" w:themeColor="text1"/>
                      <w:szCs w:val="21"/>
                      <w14:textFill>
                        <w14:solidFill>
                          <w14:schemeClr w14:val="tx1"/>
                        </w14:solidFill>
                      </w14:textFill>
                    </w:rPr>
                  </w:pPr>
                </w:p>
              </w:tc>
              <w:tc>
                <w:tcPr>
                  <w:tcW w:w="630" w:type="pct"/>
                  <w:noWrap w:val="0"/>
                  <w:vAlign w:val="center"/>
                </w:tcPr>
                <w:p w14:paraId="59592073">
                  <w:pPr>
                    <w:spacing w:line="320" w:lineRule="exact"/>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废</w:t>
                  </w:r>
                  <w:r>
                    <w:rPr>
                      <w:rFonts w:hint="eastAsia" w:cs="Times New Roman"/>
                      <w:color w:val="000000" w:themeColor="text1"/>
                      <w:szCs w:val="21"/>
                      <w:lang w:val="en-US" w:eastAsia="zh-CN"/>
                      <w14:textFill>
                        <w14:solidFill>
                          <w14:schemeClr w14:val="tx1"/>
                        </w14:solidFill>
                      </w14:textFill>
                    </w:rPr>
                    <w:t>边角料</w:t>
                  </w:r>
                </w:p>
              </w:tc>
              <w:tc>
                <w:tcPr>
                  <w:tcW w:w="392" w:type="pct"/>
                  <w:noWrap w:val="0"/>
                  <w:vAlign w:val="center"/>
                </w:tcPr>
                <w:p w14:paraId="77CFE1B7">
                  <w:pPr>
                    <w:spacing w:line="320" w:lineRule="exact"/>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w:t>
                  </w:r>
                </w:p>
              </w:tc>
              <w:tc>
                <w:tcPr>
                  <w:tcW w:w="313" w:type="pct"/>
                  <w:vMerge w:val="continue"/>
                  <w:noWrap w:val="0"/>
                  <w:vAlign w:val="center"/>
                </w:tcPr>
                <w:p w14:paraId="60BC58DF">
                  <w:pPr>
                    <w:spacing w:line="320" w:lineRule="exact"/>
                    <w:jc w:val="center"/>
                    <w:rPr>
                      <w:rFonts w:hint="default" w:ascii="Times New Roman" w:hAnsi="Times New Roman" w:cs="Times New Roman"/>
                      <w:color w:val="000000" w:themeColor="text1"/>
                      <w:szCs w:val="21"/>
                      <w14:textFill>
                        <w14:solidFill>
                          <w14:schemeClr w14:val="tx1"/>
                        </w14:solidFill>
                      </w14:textFill>
                    </w:rPr>
                  </w:pPr>
                </w:p>
              </w:tc>
              <w:tc>
                <w:tcPr>
                  <w:tcW w:w="805" w:type="pct"/>
                  <w:noWrap w:val="0"/>
                  <w:vAlign w:val="center"/>
                </w:tcPr>
                <w:p w14:paraId="0B927FF8">
                  <w:pPr>
                    <w:spacing w:line="320" w:lineRule="exact"/>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w:t>
                  </w:r>
                </w:p>
              </w:tc>
              <w:tc>
                <w:tcPr>
                  <w:tcW w:w="531" w:type="pct"/>
                  <w:noWrap w:val="0"/>
                  <w:vAlign w:val="center"/>
                </w:tcPr>
                <w:p w14:paraId="4B14A9D5">
                  <w:pPr>
                    <w:spacing w:line="320" w:lineRule="exact"/>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w:t>
                  </w:r>
                </w:p>
              </w:tc>
              <w:tc>
                <w:tcPr>
                  <w:tcW w:w="564" w:type="pct"/>
                  <w:noWrap w:val="0"/>
                  <w:vAlign w:val="center"/>
                </w:tcPr>
                <w:p w14:paraId="08370891">
                  <w:pPr>
                    <w:spacing w:line="320" w:lineRule="exact"/>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0.045</w:t>
                  </w:r>
                </w:p>
              </w:tc>
              <w:tc>
                <w:tcPr>
                  <w:tcW w:w="564" w:type="pct"/>
                  <w:noWrap w:val="0"/>
                  <w:vAlign w:val="center"/>
                </w:tcPr>
                <w:p w14:paraId="16C1695B">
                  <w:pPr>
                    <w:spacing w:line="320" w:lineRule="exact"/>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0.045</w:t>
                  </w:r>
                </w:p>
              </w:tc>
              <w:tc>
                <w:tcPr>
                  <w:tcW w:w="930" w:type="pct"/>
                  <w:vMerge w:val="continue"/>
                  <w:noWrap w:val="0"/>
                  <w:vAlign w:val="center"/>
                </w:tcPr>
                <w:p w14:paraId="06CA9054">
                  <w:pPr>
                    <w:spacing w:line="320" w:lineRule="exact"/>
                    <w:jc w:val="center"/>
                    <w:rPr>
                      <w:rFonts w:hint="default" w:ascii="Times New Roman" w:hAnsi="Times New Roman" w:cs="Times New Roman"/>
                      <w:color w:val="000000" w:themeColor="text1"/>
                      <w:kern w:val="0"/>
                      <w:szCs w:val="21"/>
                      <w14:textFill>
                        <w14:solidFill>
                          <w14:schemeClr w14:val="tx1"/>
                        </w14:solidFill>
                      </w14:textFill>
                    </w:rPr>
                  </w:pPr>
                </w:p>
              </w:tc>
            </w:tr>
            <w:tr w14:paraId="1210C2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2" w:hRule="atLeast"/>
                <w:jc w:val="center"/>
              </w:trPr>
              <w:tc>
                <w:tcPr>
                  <w:tcW w:w="267" w:type="pct"/>
                  <w:vMerge w:val="continue"/>
                  <w:noWrap w:val="0"/>
                  <w:vAlign w:val="center"/>
                </w:tcPr>
                <w:p w14:paraId="2E5F828D">
                  <w:pPr>
                    <w:spacing w:line="320" w:lineRule="exact"/>
                    <w:jc w:val="center"/>
                    <w:rPr>
                      <w:rFonts w:hint="default" w:ascii="Times New Roman" w:hAnsi="Times New Roman" w:cs="Times New Roman"/>
                      <w:color w:val="000000" w:themeColor="text1"/>
                      <w:szCs w:val="21"/>
                      <w14:textFill>
                        <w14:solidFill>
                          <w14:schemeClr w14:val="tx1"/>
                        </w14:solidFill>
                      </w14:textFill>
                    </w:rPr>
                  </w:pPr>
                </w:p>
              </w:tc>
              <w:tc>
                <w:tcPr>
                  <w:tcW w:w="630" w:type="pct"/>
                  <w:noWrap w:val="0"/>
                  <w:vAlign w:val="center"/>
                </w:tcPr>
                <w:p w14:paraId="61EA2185">
                  <w:pPr>
                    <w:spacing w:line="320" w:lineRule="exact"/>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不合格产品</w:t>
                  </w:r>
                </w:p>
              </w:tc>
              <w:tc>
                <w:tcPr>
                  <w:tcW w:w="392" w:type="pct"/>
                  <w:noWrap w:val="0"/>
                  <w:vAlign w:val="center"/>
                </w:tcPr>
                <w:p w14:paraId="19FB70A0">
                  <w:pPr>
                    <w:spacing w:line="320" w:lineRule="exact"/>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w:t>
                  </w:r>
                </w:p>
              </w:tc>
              <w:tc>
                <w:tcPr>
                  <w:tcW w:w="313" w:type="pct"/>
                  <w:vMerge w:val="continue"/>
                  <w:noWrap w:val="0"/>
                  <w:vAlign w:val="center"/>
                </w:tcPr>
                <w:p w14:paraId="29931DD5">
                  <w:pPr>
                    <w:spacing w:line="320" w:lineRule="exact"/>
                    <w:jc w:val="center"/>
                    <w:rPr>
                      <w:rFonts w:hint="default" w:ascii="Times New Roman" w:hAnsi="Times New Roman" w:cs="Times New Roman"/>
                      <w:color w:val="000000" w:themeColor="text1"/>
                      <w:szCs w:val="21"/>
                      <w14:textFill>
                        <w14:solidFill>
                          <w14:schemeClr w14:val="tx1"/>
                        </w14:solidFill>
                      </w14:textFill>
                    </w:rPr>
                  </w:pPr>
                </w:p>
              </w:tc>
              <w:tc>
                <w:tcPr>
                  <w:tcW w:w="805" w:type="pct"/>
                  <w:noWrap w:val="0"/>
                  <w:vAlign w:val="center"/>
                </w:tcPr>
                <w:p w14:paraId="370648D3">
                  <w:pPr>
                    <w:spacing w:line="320" w:lineRule="exact"/>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w:t>
                  </w:r>
                </w:p>
              </w:tc>
              <w:tc>
                <w:tcPr>
                  <w:tcW w:w="531" w:type="pct"/>
                  <w:noWrap w:val="0"/>
                  <w:vAlign w:val="center"/>
                </w:tcPr>
                <w:p w14:paraId="2292E3EF">
                  <w:pPr>
                    <w:spacing w:line="320" w:lineRule="exact"/>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w:t>
                  </w:r>
                </w:p>
              </w:tc>
              <w:tc>
                <w:tcPr>
                  <w:tcW w:w="564" w:type="pct"/>
                  <w:noWrap w:val="0"/>
                  <w:vAlign w:val="center"/>
                </w:tcPr>
                <w:p w14:paraId="457C83EC">
                  <w:pPr>
                    <w:spacing w:line="320" w:lineRule="exact"/>
                    <w:jc w:val="center"/>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1.4</w:t>
                  </w:r>
                </w:p>
              </w:tc>
              <w:tc>
                <w:tcPr>
                  <w:tcW w:w="564" w:type="pct"/>
                  <w:noWrap w:val="0"/>
                  <w:vAlign w:val="center"/>
                </w:tcPr>
                <w:p w14:paraId="78CA8048">
                  <w:pPr>
                    <w:spacing w:line="320" w:lineRule="exact"/>
                    <w:jc w:val="center"/>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1.4</w:t>
                  </w:r>
                </w:p>
              </w:tc>
              <w:tc>
                <w:tcPr>
                  <w:tcW w:w="930" w:type="pct"/>
                  <w:noWrap w:val="0"/>
                  <w:vAlign w:val="center"/>
                </w:tcPr>
                <w:p w14:paraId="74DBDEC7">
                  <w:pPr>
                    <w:spacing w:line="320" w:lineRule="exact"/>
                    <w:jc w:val="center"/>
                    <w:rPr>
                      <w:rFonts w:hint="eastAsia"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cs="Times New Roman"/>
                      <w:color w:val="000000" w:themeColor="text1"/>
                      <w:kern w:val="0"/>
                      <w:szCs w:val="21"/>
                      <w:lang w:val="en-US" w:eastAsia="zh-CN"/>
                      <w14:textFill>
                        <w14:solidFill>
                          <w14:schemeClr w14:val="tx1"/>
                        </w14:solidFill>
                      </w14:textFill>
                    </w:rPr>
                    <w:t>外售</w:t>
                  </w:r>
                </w:p>
              </w:tc>
            </w:tr>
            <w:tr w14:paraId="38CCE6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2" w:hRule="atLeast"/>
                <w:jc w:val="center"/>
              </w:trPr>
              <w:tc>
                <w:tcPr>
                  <w:tcW w:w="267" w:type="pct"/>
                  <w:vMerge w:val="continue"/>
                  <w:noWrap w:val="0"/>
                  <w:vAlign w:val="center"/>
                </w:tcPr>
                <w:p w14:paraId="14B997B6">
                  <w:pPr>
                    <w:spacing w:line="320" w:lineRule="exact"/>
                    <w:jc w:val="center"/>
                    <w:rPr>
                      <w:rFonts w:hint="default" w:ascii="Times New Roman" w:hAnsi="Times New Roman" w:cs="Times New Roman"/>
                      <w:color w:val="000000" w:themeColor="text1"/>
                      <w:szCs w:val="21"/>
                      <w14:textFill>
                        <w14:solidFill>
                          <w14:schemeClr w14:val="tx1"/>
                        </w14:solidFill>
                      </w14:textFill>
                    </w:rPr>
                  </w:pPr>
                </w:p>
              </w:tc>
              <w:tc>
                <w:tcPr>
                  <w:tcW w:w="630" w:type="pct"/>
                  <w:noWrap w:val="0"/>
                  <w:vAlign w:val="center"/>
                </w:tcPr>
                <w:p w14:paraId="471A741B">
                  <w:pPr>
                    <w:spacing w:line="320" w:lineRule="exact"/>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沉渣</w:t>
                  </w:r>
                </w:p>
              </w:tc>
              <w:tc>
                <w:tcPr>
                  <w:tcW w:w="392" w:type="pct"/>
                  <w:noWrap w:val="0"/>
                  <w:vAlign w:val="center"/>
                </w:tcPr>
                <w:p w14:paraId="68587F89">
                  <w:pPr>
                    <w:spacing w:line="320" w:lineRule="exact"/>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w:t>
                  </w:r>
                </w:p>
              </w:tc>
              <w:tc>
                <w:tcPr>
                  <w:tcW w:w="313" w:type="pct"/>
                  <w:vMerge w:val="continue"/>
                  <w:noWrap w:val="0"/>
                  <w:vAlign w:val="center"/>
                </w:tcPr>
                <w:p w14:paraId="01AAD1A1">
                  <w:pPr>
                    <w:spacing w:line="320" w:lineRule="exact"/>
                    <w:jc w:val="center"/>
                    <w:rPr>
                      <w:rFonts w:hint="default" w:ascii="Times New Roman" w:hAnsi="Times New Roman" w:cs="Times New Roman"/>
                      <w:color w:val="000000" w:themeColor="text1"/>
                      <w:szCs w:val="21"/>
                      <w14:textFill>
                        <w14:solidFill>
                          <w14:schemeClr w14:val="tx1"/>
                        </w14:solidFill>
                      </w14:textFill>
                    </w:rPr>
                  </w:pPr>
                </w:p>
              </w:tc>
              <w:tc>
                <w:tcPr>
                  <w:tcW w:w="805" w:type="pct"/>
                  <w:noWrap w:val="0"/>
                  <w:vAlign w:val="center"/>
                </w:tcPr>
                <w:p w14:paraId="25A796BB">
                  <w:pPr>
                    <w:spacing w:line="320" w:lineRule="exact"/>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w:t>
                  </w:r>
                </w:p>
              </w:tc>
              <w:tc>
                <w:tcPr>
                  <w:tcW w:w="531" w:type="pct"/>
                  <w:noWrap w:val="0"/>
                  <w:vAlign w:val="center"/>
                </w:tcPr>
                <w:p w14:paraId="365836EE">
                  <w:pPr>
                    <w:spacing w:line="320" w:lineRule="exact"/>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w:t>
                  </w:r>
                </w:p>
              </w:tc>
              <w:tc>
                <w:tcPr>
                  <w:tcW w:w="564" w:type="pct"/>
                  <w:noWrap w:val="0"/>
                  <w:vAlign w:val="center"/>
                </w:tcPr>
                <w:p w14:paraId="719722AD">
                  <w:pPr>
                    <w:spacing w:line="320" w:lineRule="exact"/>
                    <w:jc w:val="center"/>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0.4</w:t>
                  </w:r>
                </w:p>
              </w:tc>
              <w:tc>
                <w:tcPr>
                  <w:tcW w:w="564" w:type="pct"/>
                  <w:noWrap w:val="0"/>
                  <w:vAlign w:val="center"/>
                </w:tcPr>
                <w:p w14:paraId="549BCBB7">
                  <w:pPr>
                    <w:spacing w:line="320" w:lineRule="exact"/>
                    <w:jc w:val="center"/>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0.4</w:t>
                  </w:r>
                </w:p>
              </w:tc>
              <w:tc>
                <w:tcPr>
                  <w:tcW w:w="930" w:type="pct"/>
                  <w:noWrap w:val="0"/>
                  <w:vAlign w:val="center"/>
                </w:tcPr>
                <w:p w14:paraId="6C4698D8">
                  <w:pPr>
                    <w:spacing w:line="320" w:lineRule="exact"/>
                    <w:jc w:val="center"/>
                    <w:rPr>
                      <w:rFonts w:hint="default" w:ascii="Times New Roman" w:hAnsi="Times New Roman" w:cs="Times New Roman"/>
                      <w:color w:val="000000" w:themeColor="text1"/>
                      <w:kern w:val="0"/>
                      <w:szCs w:val="21"/>
                      <w14:textFill>
                        <w14:solidFill>
                          <w14:schemeClr w14:val="tx1"/>
                        </w14:solidFill>
                      </w14:textFill>
                    </w:rPr>
                  </w:pPr>
                  <w:r>
                    <w:rPr>
                      <w:rFonts w:hint="eastAsia" w:cs="Times New Roman"/>
                      <w:color w:val="000000" w:themeColor="text1"/>
                      <w:kern w:val="0"/>
                      <w:szCs w:val="21"/>
                      <w:lang w:val="en-US" w:eastAsia="zh-CN"/>
                      <w14:textFill>
                        <w14:solidFill>
                          <w14:schemeClr w14:val="tx1"/>
                        </w14:solidFill>
                      </w14:textFill>
                    </w:rPr>
                    <w:t>回收作为原料回用</w:t>
                  </w:r>
                </w:p>
              </w:tc>
            </w:tr>
            <w:tr w14:paraId="3EED5D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2" w:hRule="atLeast"/>
                <w:jc w:val="center"/>
              </w:trPr>
              <w:tc>
                <w:tcPr>
                  <w:tcW w:w="267" w:type="pct"/>
                  <w:vMerge w:val="continue"/>
                  <w:noWrap w:val="0"/>
                  <w:vAlign w:val="center"/>
                </w:tcPr>
                <w:p w14:paraId="12FF299A">
                  <w:pPr>
                    <w:spacing w:line="320" w:lineRule="exact"/>
                    <w:jc w:val="center"/>
                    <w:rPr>
                      <w:rFonts w:hint="default" w:ascii="Times New Roman" w:hAnsi="Times New Roman" w:cs="Times New Roman"/>
                      <w:color w:val="000000" w:themeColor="text1"/>
                      <w:szCs w:val="21"/>
                      <w14:textFill>
                        <w14:solidFill>
                          <w14:schemeClr w14:val="tx1"/>
                        </w14:solidFill>
                      </w14:textFill>
                    </w:rPr>
                  </w:pPr>
                </w:p>
              </w:tc>
              <w:tc>
                <w:tcPr>
                  <w:tcW w:w="630" w:type="pct"/>
                  <w:noWrap w:val="0"/>
                  <w:vAlign w:val="center"/>
                </w:tcPr>
                <w:p w14:paraId="380830C4">
                  <w:pPr>
                    <w:spacing w:line="320" w:lineRule="exact"/>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污泥</w:t>
                  </w:r>
                </w:p>
              </w:tc>
              <w:tc>
                <w:tcPr>
                  <w:tcW w:w="392" w:type="pct"/>
                  <w:noWrap w:val="0"/>
                  <w:vAlign w:val="center"/>
                </w:tcPr>
                <w:p w14:paraId="7C6FDF7A">
                  <w:pPr>
                    <w:spacing w:line="320" w:lineRule="exact"/>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w:t>
                  </w:r>
                </w:p>
              </w:tc>
              <w:tc>
                <w:tcPr>
                  <w:tcW w:w="313" w:type="pct"/>
                  <w:vMerge w:val="continue"/>
                  <w:noWrap w:val="0"/>
                  <w:vAlign w:val="center"/>
                </w:tcPr>
                <w:p w14:paraId="2D241391">
                  <w:pPr>
                    <w:spacing w:line="320" w:lineRule="exact"/>
                    <w:jc w:val="center"/>
                    <w:rPr>
                      <w:rFonts w:hint="default" w:ascii="Times New Roman" w:hAnsi="Times New Roman" w:cs="Times New Roman"/>
                      <w:color w:val="000000" w:themeColor="text1"/>
                      <w:szCs w:val="21"/>
                      <w14:textFill>
                        <w14:solidFill>
                          <w14:schemeClr w14:val="tx1"/>
                        </w14:solidFill>
                      </w14:textFill>
                    </w:rPr>
                  </w:pPr>
                </w:p>
              </w:tc>
              <w:tc>
                <w:tcPr>
                  <w:tcW w:w="805" w:type="pct"/>
                  <w:noWrap w:val="0"/>
                  <w:vAlign w:val="center"/>
                </w:tcPr>
                <w:p w14:paraId="411A795F">
                  <w:pPr>
                    <w:spacing w:line="320" w:lineRule="exact"/>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w:t>
                  </w:r>
                </w:p>
              </w:tc>
              <w:tc>
                <w:tcPr>
                  <w:tcW w:w="531" w:type="pct"/>
                  <w:noWrap w:val="0"/>
                  <w:vAlign w:val="center"/>
                </w:tcPr>
                <w:p w14:paraId="188D295B">
                  <w:pPr>
                    <w:spacing w:line="320" w:lineRule="exact"/>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w:t>
                  </w:r>
                </w:p>
              </w:tc>
              <w:tc>
                <w:tcPr>
                  <w:tcW w:w="564" w:type="pct"/>
                  <w:noWrap w:val="0"/>
                  <w:vAlign w:val="center"/>
                </w:tcPr>
                <w:p w14:paraId="079E2E47">
                  <w:pPr>
                    <w:spacing w:line="320" w:lineRule="exact"/>
                    <w:jc w:val="center"/>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0.56</w:t>
                  </w:r>
                </w:p>
              </w:tc>
              <w:tc>
                <w:tcPr>
                  <w:tcW w:w="564" w:type="pct"/>
                  <w:noWrap w:val="0"/>
                  <w:vAlign w:val="center"/>
                </w:tcPr>
                <w:p w14:paraId="304DE68B">
                  <w:pPr>
                    <w:spacing w:line="320" w:lineRule="exact"/>
                    <w:jc w:val="center"/>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0.56</w:t>
                  </w:r>
                </w:p>
              </w:tc>
              <w:tc>
                <w:tcPr>
                  <w:tcW w:w="930" w:type="pct"/>
                  <w:noWrap w:val="0"/>
                  <w:vAlign w:val="center"/>
                </w:tcPr>
                <w:p w14:paraId="26DF5CC4">
                  <w:pPr>
                    <w:spacing w:line="32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cs="Times New Roman"/>
                      <w:color w:val="000000" w:themeColor="text1"/>
                      <w:kern w:val="0"/>
                      <w:szCs w:val="21"/>
                      <w:lang w:val="en-US" w:eastAsia="zh-CN"/>
                      <w14:textFill>
                        <w14:solidFill>
                          <w14:schemeClr w14:val="tx1"/>
                        </w14:solidFill>
                      </w14:textFill>
                    </w:rPr>
                    <w:t>外售综合利用</w:t>
                  </w:r>
                </w:p>
              </w:tc>
            </w:tr>
            <w:tr w14:paraId="3F5618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2" w:hRule="atLeast"/>
                <w:jc w:val="center"/>
              </w:trPr>
              <w:tc>
                <w:tcPr>
                  <w:tcW w:w="267" w:type="pct"/>
                  <w:vMerge w:val="continue"/>
                  <w:noWrap w:val="0"/>
                  <w:vAlign w:val="center"/>
                </w:tcPr>
                <w:p w14:paraId="7F2A5976">
                  <w:pPr>
                    <w:spacing w:line="320" w:lineRule="exact"/>
                    <w:jc w:val="center"/>
                    <w:rPr>
                      <w:rFonts w:hint="default" w:ascii="Times New Roman" w:hAnsi="Times New Roman" w:cs="Times New Roman"/>
                      <w:color w:val="000000" w:themeColor="text1"/>
                      <w:szCs w:val="21"/>
                      <w14:textFill>
                        <w14:solidFill>
                          <w14:schemeClr w14:val="tx1"/>
                        </w14:solidFill>
                      </w14:textFill>
                    </w:rPr>
                  </w:pPr>
                </w:p>
              </w:tc>
              <w:tc>
                <w:tcPr>
                  <w:tcW w:w="630" w:type="pct"/>
                  <w:noWrap w:val="0"/>
                  <w:vAlign w:val="center"/>
                </w:tcPr>
                <w:p w14:paraId="3C7B89E8">
                  <w:pPr>
                    <w:spacing w:line="320" w:lineRule="exact"/>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废反渗透膜</w:t>
                  </w:r>
                </w:p>
              </w:tc>
              <w:tc>
                <w:tcPr>
                  <w:tcW w:w="392" w:type="pct"/>
                  <w:noWrap w:val="0"/>
                  <w:vAlign w:val="center"/>
                </w:tcPr>
                <w:p w14:paraId="38941E00">
                  <w:pPr>
                    <w:spacing w:line="320" w:lineRule="exact"/>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w:t>
                  </w:r>
                </w:p>
              </w:tc>
              <w:tc>
                <w:tcPr>
                  <w:tcW w:w="313" w:type="pct"/>
                  <w:vMerge w:val="continue"/>
                  <w:noWrap w:val="0"/>
                  <w:vAlign w:val="center"/>
                </w:tcPr>
                <w:p w14:paraId="22571F38">
                  <w:pPr>
                    <w:spacing w:line="320" w:lineRule="exact"/>
                    <w:jc w:val="center"/>
                    <w:rPr>
                      <w:rFonts w:hint="default" w:ascii="Times New Roman" w:hAnsi="Times New Roman" w:cs="Times New Roman"/>
                      <w:color w:val="000000" w:themeColor="text1"/>
                      <w:szCs w:val="21"/>
                      <w14:textFill>
                        <w14:solidFill>
                          <w14:schemeClr w14:val="tx1"/>
                        </w14:solidFill>
                      </w14:textFill>
                    </w:rPr>
                  </w:pPr>
                </w:p>
              </w:tc>
              <w:tc>
                <w:tcPr>
                  <w:tcW w:w="805" w:type="pct"/>
                  <w:noWrap w:val="0"/>
                  <w:vAlign w:val="center"/>
                </w:tcPr>
                <w:p w14:paraId="70980E60">
                  <w:pPr>
                    <w:spacing w:line="320" w:lineRule="exact"/>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w:t>
                  </w:r>
                </w:p>
              </w:tc>
              <w:tc>
                <w:tcPr>
                  <w:tcW w:w="531" w:type="pct"/>
                  <w:noWrap w:val="0"/>
                  <w:vAlign w:val="center"/>
                </w:tcPr>
                <w:p w14:paraId="3569E611">
                  <w:pPr>
                    <w:spacing w:line="320" w:lineRule="exact"/>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w:t>
                  </w:r>
                </w:p>
              </w:tc>
              <w:tc>
                <w:tcPr>
                  <w:tcW w:w="564" w:type="pct"/>
                  <w:noWrap w:val="0"/>
                  <w:vAlign w:val="center"/>
                </w:tcPr>
                <w:p w14:paraId="14C611CC">
                  <w:pPr>
                    <w:spacing w:line="320" w:lineRule="exact"/>
                    <w:jc w:val="center"/>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0.00084</w:t>
                  </w:r>
                </w:p>
              </w:tc>
              <w:tc>
                <w:tcPr>
                  <w:tcW w:w="564" w:type="pct"/>
                  <w:noWrap w:val="0"/>
                  <w:vAlign w:val="center"/>
                </w:tcPr>
                <w:p w14:paraId="56C486EC">
                  <w:pPr>
                    <w:spacing w:line="320" w:lineRule="exact"/>
                    <w:jc w:val="center"/>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0.00084</w:t>
                  </w:r>
                </w:p>
              </w:tc>
              <w:tc>
                <w:tcPr>
                  <w:tcW w:w="930" w:type="pct"/>
                  <w:noWrap w:val="0"/>
                  <w:vAlign w:val="center"/>
                </w:tcPr>
                <w:p w14:paraId="40F76CC3">
                  <w:pPr>
                    <w:spacing w:line="320" w:lineRule="exact"/>
                    <w:jc w:val="center"/>
                    <w:rPr>
                      <w:rFonts w:hint="eastAsia"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cs="Times New Roman"/>
                      <w:color w:val="000000" w:themeColor="text1"/>
                      <w:kern w:val="0"/>
                      <w:szCs w:val="21"/>
                      <w:lang w:val="en-US" w:eastAsia="zh-CN"/>
                      <w14:textFill>
                        <w14:solidFill>
                          <w14:schemeClr w14:val="tx1"/>
                        </w14:solidFill>
                      </w14:textFill>
                    </w:rPr>
                    <w:t>厂家回收</w:t>
                  </w:r>
                </w:p>
              </w:tc>
            </w:tr>
            <w:tr w14:paraId="580E4E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2" w:hRule="atLeast"/>
                <w:jc w:val="center"/>
              </w:trPr>
              <w:tc>
                <w:tcPr>
                  <w:tcW w:w="267" w:type="pct"/>
                  <w:vMerge w:val="continue"/>
                  <w:noWrap w:val="0"/>
                  <w:vAlign w:val="center"/>
                </w:tcPr>
                <w:p w14:paraId="47BCFB49">
                  <w:pPr>
                    <w:spacing w:line="320" w:lineRule="exact"/>
                    <w:jc w:val="center"/>
                    <w:rPr>
                      <w:rFonts w:hint="default" w:ascii="Times New Roman" w:hAnsi="Times New Roman" w:cs="Times New Roman"/>
                      <w:color w:val="000000" w:themeColor="text1"/>
                      <w:szCs w:val="21"/>
                      <w:highlight w:val="yellow"/>
                      <w14:textFill>
                        <w14:solidFill>
                          <w14:schemeClr w14:val="tx1"/>
                        </w14:solidFill>
                      </w14:textFill>
                    </w:rPr>
                  </w:pPr>
                </w:p>
              </w:tc>
              <w:tc>
                <w:tcPr>
                  <w:tcW w:w="630" w:type="pct"/>
                  <w:noWrap w:val="0"/>
                  <w:vAlign w:val="center"/>
                </w:tcPr>
                <w:p w14:paraId="06EDB621">
                  <w:pPr>
                    <w:spacing w:line="320" w:lineRule="exact"/>
                    <w:jc w:val="center"/>
                    <w:rPr>
                      <w:rFonts w:hint="default" w:ascii="Times New Roman" w:hAnsi="Times New Roman" w:eastAsia="宋体" w:cs="Times New Roman"/>
                      <w:color w:val="000000" w:themeColor="text1"/>
                      <w:szCs w:val="21"/>
                      <w:lang w:eastAsia="zh-CN"/>
                      <w14:textFill>
                        <w14:solidFill>
                          <w14:schemeClr w14:val="tx1"/>
                        </w14:solidFill>
                      </w14:textFill>
                    </w:rPr>
                  </w:pPr>
                  <w:r>
                    <w:rPr>
                      <w:rFonts w:hint="default" w:ascii="Times New Roman" w:hAnsi="Times New Roman" w:cs="Times New Roman"/>
                      <w:color w:val="000000" w:themeColor="text1"/>
                      <w:szCs w:val="21"/>
                      <w:lang w:eastAsia="zh-CN"/>
                      <w14:textFill>
                        <w14:solidFill>
                          <w14:schemeClr w14:val="tx1"/>
                        </w14:solidFill>
                      </w14:textFill>
                    </w:rPr>
                    <w:t>废空压机油</w:t>
                  </w:r>
                </w:p>
              </w:tc>
              <w:tc>
                <w:tcPr>
                  <w:tcW w:w="392" w:type="pct"/>
                  <w:noWrap w:val="0"/>
                  <w:vAlign w:val="center"/>
                </w:tcPr>
                <w:p w14:paraId="045B4B43">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w:t>
                  </w:r>
                </w:p>
              </w:tc>
              <w:tc>
                <w:tcPr>
                  <w:tcW w:w="313" w:type="pct"/>
                  <w:vMerge w:val="restart"/>
                  <w:noWrap w:val="0"/>
                  <w:vAlign w:val="center"/>
                </w:tcPr>
                <w:p w14:paraId="4C1ADFC4">
                  <w:pPr>
                    <w:spacing w:line="32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危险废物</w:t>
                  </w:r>
                </w:p>
              </w:tc>
              <w:tc>
                <w:tcPr>
                  <w:tcW w:w="805" w:type="pct"/>
                  <w:noWrap w:val="0"/>
                  <w:vAlign w:val="center"/>
                </w:tcPr>
                <w:p w14:paraId="0AF338EB">
                  <w:pPr>
                    <w:spacing w:line="32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HW08</w:t>
                  </w:r>
                </w:p>
                <w:p w14:paraId="306AB13D">
                  <w:pPr>
                    <w:spacing w:line="32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900-21</w:t>
                  </w:r>
                  <w:r>
                    <w:rPr>
                      <w:rFonts w:hint="default" w:ascii="Times New Roman" w:hAnsi="Times New Roman" w:cs="Times New Roman"/>
                      <w:color w:val="000000" w:themeColor="text1"/>
                      <w:szCs w:val="21"/>
                      <w:lang w:val="en-US" w:eastAsia="zh-CN"/>
                      <w14:textFill>
                        <w14:solidFill>
                          <w14:schemeClr w14:val="tx1"/>
                        </w14:solidFill>
                      </w14:textFill>
                    </w:rPr>
                    <w:t>9</w:t>
                  </w:r>
                  <w:r>
                    <w:rPr>
                      <w:rFonts w:hint="default" w:ascii="Times New Roman" w:hAnsi="Times New Roman" w:cs="Times New Roman"/>
                      <w:color w:val="000000" w:themeColor="text1"/>
                      <w:szCs w:val="21"/>
                      <w14:textFill>
                        <w14:solidFill>
                          <w14:schemeClr w14:val="tx1"/>
                        </w14:solidFill>
                      </w14:textFill>
                    </w:rPr>
                    <w:t>-08</w:t>
                  </w:r>
                </w:p>
              </w:tc>
              <w:tc>
                <w:tcPr>
                  <w:tcW w:w="531" w:type="pct"/>
                  <w:noWrap w:val="0"/>
                  <w:vAlign w:val="center"/>
                </w:tcPr>
                <w:p w14:paraId="6E14F1B6">
                  <w:pPr>
                    <w:spacing w:line="320" w:lineRule="exact"/>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T, I</w:t>
                  </w:r>
                </w:p>
              </w:tc>
              <w:tc>
                <w:tcPr>
                  <w:tcW w:w="564" w:type="pct"/>
                  <w:noWrap w:val="0"/>
                  <w:vAlign w:val="center"/>
                </w:tcPr>
                <w:p w14:paraId="03A52F54">
                  <w:pPr>
                    <w:spacing w:line="320" w:lineRule="exact"/>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0.0</w:t>
                  </w:r>
                  <w:r>
                    <w:rPr>
                      <w:rFonts w:hint="eastAsia" w:cs="Times New Roman"/>
                      <w:color w:val="000000" w:themeColor="text1"/>
                      <w:szCs w:val="21"/>
                      <w:lang w:val="en-US" w:eastAsia="zh-CN"/>
                      <w14:textFill>
                        <w14:solidFill>
                          <w14:schemeClr w14:val="tx1"/>
                        </w14:solidFill>
                      </w14:textFill>
                    </w:rPr>
                    <w:t>2</w:t>
                  </w:r>
                </w:p>
              </w:tc>
              <w:tc>
                <w:tcPr>
                  <w:tcW w:w="564" w:type="pct"/>
                  <w:noWrap w:val="0"/>
                  <w:vAlign w:val="center"/>
                </w:tcPr>
                <w:p w14:paraId="5066FFE5">
                  <w:pPr>
                    <w:spacing w:line="32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cs="Times New Roman"/>
                      <w:color w:val="000000" w:themeColor="text1"/>
                      <w:kern w:val="0"/>
                      <w:szCs w:val="21"/>
                      <w:lang w:val="en-US" w:eastAsia="zh-CN"/>
                      <w14:textFill>
                        <w14:solidFill>
                          <w14:schemeClr w14:val="tx1"/>
                        </w14:solidFill>
                      </w14:textFill>
                    </w:rPr>
                    <w:t>0.0</w:t>
                  </w:r>
                  <w:r>
                    <w:rPr>
                      <w:rFonts w:hint="eastAsia" w:cs="Times New Roman"/>
                      <w:color w:val="000000" w:themeColor="text1"/>
                      <w:kern w:val="0"/>
                      <w:szCs w:val="21"/>
                      <w:lang w:val="en-US" w:eastAsia="zh-CN"/>
                      <w14:textFill>
                        <w14:solidFill>
                          <w14:schemeClr w14:val="tx1"/>
                        </w14:solidFill>
                      </w14:textFill>
                    </w:rPr>
                    <w:t>2</w:t>
                  </w:r>
                </w:p>
              </w:tc>
              <w:tc>
                <w:tcPr>
                  <w:tcW w:w="930" w:type="pct"/>
                  <w:vMerge w:val="restart"/>
                  <w:noWrap w:val="0"/>
                  <w:vAlign w:val="center"/>
                </w:tcPr>
                <w:p w14:paraId="37DFF2F3">
                  <w:pPr>
                    <w:spacing w:line="320" w:lineRule="exact"/>
                    <w:jc w:val="center"/>
                    <w:rPr>
                      <w:rFonts w:hint="default" w:ascii="Times New Roman" w:hAnsi="Times New Roman" w:eastAsia="宋体" w:cs="Times New Roman"/>
                      <w:bCs/>
                      <w:color w:val="000000" w:themeColor="text1"/>
                      <w:spacing w:val="4"/>
                      <w:szCs w:val="21"/>
                      <w:lang w:eastAsia="zh-CN"/>
                      <w14:textFill>
                        <w14:solidFill>
                          <w14:schemeClr w14:val="tx1"/>
                        </w14:solidFill>
                      </w14:textFill>
                    </w:rPr>
                  </w:pPr>
                  <w:r>
                    <w:rPr>
                      <w:rFonts w:hint="default" w:ascii="Times New Roman" w:hAnsi="Times New Roman" w:cs="Times New Roman"/>
                      <w:color w:val="000000" w:themeColor="text1"/>
                      <w:kern w:val="0"/>
                      <w:szCs w:val="21"/>
                      <w:lang w:val="en-US" w:eastAsia="zh-CN"/>
                      <w14:textFill>
                        <w14:solidFill>
                          <w14:schemeClr w14:val="tx1"/>
                        </w14:solidFill>
                      </w14:textFill>
                    </w:rPr>
                    <w:t>暂存于</w:t>
                  </w:r>
                  <w:r>
                    <w:rPr>
                      <w:rFonts w:hint="default" w:ascii="Times New Roman" w:hAnsi="Times New Roman" w:cs="Times New Roman"/>
                      <w:color w:val="000000" w:themeColor="text1"/>
                      <w:kern w:val="0"/>
                      <w:szCs w:val="21"/>
                      <w14:textFill>
                        <w14:solidFill>
                          <w14:schemeClr w14:val="tx1"/>
                        </w14:solidFill>
                      </w14:textFill>
                    </w:rPr>
                    <w:t>危废暂存间，定期委托有危废处理资质的单位处置</w:t>
                  </w:r>
                  <w:r>
                    <w:rPr>
                      <w:rFonts w:hint="default" w:ascii="Times New Roman" w:hAnsi="Times New Roman" w:cs="Times New Roman"/>
                      <w:color w:val="000000" w:themeColor="text1"/>
                      <w:kern w:val="0"/>
                      <w:szCs w:val="21"/>
                      <w:lang w:eastAsia="zh-CN"/>
                      <w14:textFill>
                        <w14:solidFill>
                          <w14:schemeClr w14:val="tx1"/>
                        </w14:solidFill>
                      </w14:textFill>
                    </w:rPr>
                    <w:t>。</w:t>
                  </w:r>
                </w:p>
              </w:tc>
            </w:tr>
            <w:tr w14:paraId="577828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2" w:hRule="atLeast"/>
                <w:jc w:val="center"/>
              </w:trPr>
              <w:tc>
                <w:tcPr>
                  <w:tcW w:w="267" w:type="pct"/>
                  <w:vMerge w:val="continue"/>
                  <w:noWrap w:val="0"/>
                  <w:vAlign w:val="center"/>
                </w:tcPr>
                <w:p w14:paraId="3C3E3DDF">
                  <w:pPr>
                    <w:spacing w:line="320" w:lineRule="exact"/>
                    <w:jc w:val="center"/>
                    <w:rPr>
                      <w:rFonts w:hint="default" w:ascii="Times New Roman" w:hAnsi="Times New Roman" w:cs="Times New Roman"/>
                      <w:color w:val="000000" w:themeColor="text1"/>
                      <w:szCs w:val="21"/>
                      <w:highlight w:val="yellow"/>
                      <w14:textFill>
                        <w14:solidFill>
                          <w14:schemeClr w14:val="tx1"/>
                        </w14:solidFill>
                      </w14:textFill>
                    </w:rPr>
                  </w:pPr>
                </w:p>
              </w:tc>
              <w:tc>
                <w:tcPr>
                  <w:tcW w:w="630" w:type="pct"/>
                  <w:noWrap w:val="0"/>
                  <w:vAlign w:val="center"/>
                </w:tcPr>
                <w:p w14:paraId="5481AE75">
                  <w:pPr>
                    <w:spacing w:line="320" w:lineRule="exact"/>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废润滑油</w:t>
                  </w:r>
                </w:p>
              </w:tc>
              <w:tc>
                <w:tcPr>
                  <w:tcW w:w="392" w:type="pct"/>
                  <w:noWrap w:val="0"/>
                  <w:vAlign w:val="center"/>
                </w:tcPr>
                <w:p w14:paraId="2A5FF037">
                  <w:pPr>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w:t>
                  </w:r>
                </w:p>
              </w:tc>
              <w:tc>
                <w:tcPr>
                  <w:tcW w:w="313" w:type="pct"/>
                  <w:vMerge w:val="continue"/>
                  <w:noWrap w:val="0"/>
                  <w:vAlign w:val="center"/>
                </w:tcPr>
                <w:p w14:paraId="7BFB6474">
                  <w:pPr>
                    <w:spacing w:line="320" w:lineRule="exact"/>
                    <w:jc w:val="center"/>
                    <w:rPr>
                      <w:rFonts w:hint="default" w:ascii="Times New Roman" w:hAnsi="Times New Roman" w:cs="Times New Roman"/>
                      <w:color w:val="000000" w:themeColor="text1"/>
                      <w:szCs w:val="21"/>
                      <w14:textFill>
                        <w14:solidFill>
                          <w14:schemeClr w14:val="tx1"/>
                        </w14:solidFill>
                      </w14:textFill>
                    </w:rPr>
                  </w:pPr>
                </w:p>
              </w:tc>
              <w:tc>
                <w:tcPr>
                  <w:tcW w:w="805" w:type="pct"/>
                  <w:noWrap w:val="0"/>
                  <w:vAlign w:val="center"/>
                </w:tcPr>
                <w:p w14:paraId="0BD7170D">
                  <w:pPr>
                    <w:spacing w:line="32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HW08</w:t>
                  </w:r>
                </w:p>
                <w:p w14:paraId="4AC96260">
                  <w:pPr>
                    <w:spacing w:line="32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900-21</w:t>
                  </w:r>
                  <w:r>
                    <w:rPr>
                      <w:rFonts w:hint="default" w:ascii="Times New Roman" w:hAnsi="Times New Roman" w:cs="Times New Roman"/>
                      <w:color w:val="000000" w:themeColor="text1"/>
                      <w:szCs w:val="21"/>
                      <w:lang w:val="en-US" w:eastAsia="zh-CN"/>
                      <w14:textFill>
                        <w14:solidFill>
                          <w14:schemeClr w14:val="tx1"/>
                        </w14:solidFill>
                      </w14:textFill>
                    </w:rPr>
                    <w:t>4</w:t>
                  </w:r>
                  <w:r>
                    <w:rPr>
                      <w:rFonts w:hint="default" w:ascii="Times New Roman" w:hAnsi="Times New Roman" w:cs="Times New Roman"/>
                      <w:color w:val="000000" w:themeColor="text1"/>
                      <w:szCs w:val="21"/>
                      <w14:textFill>
                        <w14:solidFill>
                          <w14:schemeClr w14:val="tx1"/>
                        </w14:solidFill>
                      </w14:textFill>
                    </w:rPr>
                    <w:t>-08</w:t>
                  </w:r>
                </w:p>
              </w:tc>
              <w:tc>
                <w:tcPr>
                  <w:tcW w:w="531" w:type="pct"/>
                  <w:noWrap w:val="0"/>
                  <w:vAlign w:val="center"/>
                </w:tcPr>
                <w:p w14:paraId="13C22202">
                  <w:pPr>
                    <w:spacing w:line="320" w:lineRule="exact"/>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T, I</w:t>
                  </w:r>
                </w:p>
              </w:tc>
              <w:tc>
                <w:tcPr>
                  <w:tcW w:w="564" w:type="pct"/>
                  <w:noWrap w:val="0"/>
                  <w:vAlign w:val="center"/>
                </w:tcPr>
                <w:p w14:paraId="42CA7709">
                  <w:pPr>
                    <w:spacing w:line="320" w:lineRule="exact"/>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0.0</w:t>
                  </w:r>
                  <w:r>
                    <w:rPr>
                      <w:rFonts w:hint="eastAsia" w:cs="Times New Roman"/>
                      <w:color w:val="000000" w:themeColor="text1"/>
                      <w:szCs w:val="21"/>
                      <w:lang w:val="en-US" w:eastAsia="zh-CN"/>
                      <w14:textFill>
                        <w14:solidFill>
                          <w14:schemeClr w14:val="tx1"/>
                        </w14:solidFill>
                      </w14:textFill>
                    </w:rPr>
                    <w:t>1</w:t>
                  </w:r>
                </w:p>
              </w:tc>
              <w:tc>
                <w:tcPr>
                  <w:tcW w:w="564" w:type="pct"/>
                  <w:noWrap w:val="0"/>
                  <w:vAlign w:val="center"/>
                </w:tcPr>
                <w:p w14:paraId="702593A7">
                  <w:pPr>
                    <w:spacing w:line="320" w:lineRule="exact"/>
                    <w:jc w:val="center"/>
                    <w:rPr>
                      <w:rFonts w:hint="default" w:ascii="Times New Roman" w:hAnsi="Times New Roman" w:cs="Times New Roman"/>
                      <w:color w:val="000000" w:themeColor="text1"/>
                      <w:kern w:val="0"/>
                      <w:szCs w:val="21"/>
                      <w:lang w:val="en-US" w:eastAsia="zh-CN"/>
                      <w14:textFill>
                        <w14:solidFill>
                          <w14:schemeClr w14:val="tx1"/>
                        </w14:solidFill>
                      </w14:textFill>
                    </w:rPr>
                  </w:pPr>
                  <w:r>
                    <w:rPr>
                      <w:rFonts w:hint="default" w:ascii="Times New Roman" w:hAnsi="Times New Roman" w:cs="Times New Roman"/>
                      <w:color w:val="000000" w:themeColor="text1"/>
                      <w:kern w:val="0"/>
                      <w:szCs w:val="21"/>
                      <w:lang w:val="en-US" w:eastAsia="zh-CN"/>
                      <w14:textFill>
                        <w14:solidFill>
                          <w14:schemeClr w14:val="tx1"/>
                        </w14:solidFill>
                      </w14:textFill>
                    </w:rPr>
                    <w:t>0.0</w:t>
                  </w:r>
                  <w:r>
                    <w:rPr>
                      <w:rFonts w:hint="eastAsia" w:cs="Times New Roman"/>
                      <w:color w:val="000000" w:themeColor="text1"/>
                      <w:kern w:val="0"/>
                      <w:szCs w:val="21"/>
                      <w:lang w:val="en-US" w:eastAsia="zh-CN"/>
                      <w14:textFill>
                        <w14:solidFill>
                          <w14:schemeClr w14:val="tx1"/>
                        </w14:solidFill>
                      </w14:textFill>
                    </w:rPr>
                    <w:t>1</w:t>
                  </w:r>
                </w:p>
              </w:tc>
              <w:tc>
                <w:tcPr>
                  <w:tcW w:w="930" w:type="pct"/>
                  <w:vMerge w:val="continue"/>
                  <w:noWrap w:val="0"/>
                  <w:vAlign w:val="center"/>
                </w:tcPr>
                <w:p w14:paraId="3DB1B347">
                  <w:pPr>
                    <w:spacing w:line="320" w:lineRule="exact"/>
                    <w:jc w:val="center"/>
                    <w:rPr>
                      <w:rFonts w:hint="default" w:ascii="Times New Roman" w:hAnsi="Times New Roman" w:cs="Times New Roman"/>
                      <w:color w:val="000000" w:themeColor="text1"/>
                      <w:kern w:val="0"/>
                      <w:szCs w:val="21"/>
                      <w:lang w:val="en-US" w:eastAsia="zh-CN"/>
                      <w14:textFill>
                        <w14:solidFill>
                          <w14:schemeClr w14:val="tx1"/>
                        </w14:solidFill>
                      </w14:textFill>
                    </w:rPr>
                  </w:pPr>
                </w:p>
              </w:tc>
            </w:tr>
            <w:tr w14:paraId="7D70A9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2" w:hRule="atLeast"/>
                <w:jc w:val="center"/>
              </w:trPr>
              <w:tc>
                <w:tcPr>
                  <w:tcW w:w="267" w:type="pct"/>
                  <w:vMerge w:val="continue"/>
                  <w:noWrap w:val="0"/>
                  <w:vAlign w:val="center"/>
                </w:tcPr>
                <w:p w14:paraId="6726AF2A">
                  <w:pPr>
                    <w:spacing w:line="320" w:lineRule="exact"/>
                    <w:jc w:val="center"/>
                    <w:rPr>
                      <w:rFonts w:hint="default" w:ascii="Times New Roman" w:hAnsi="Times New Roman" w:cs="Times New Roman"/>
                      <w:color w:val="000000" w:themeColor="text1"/>
                      <w:szCs w:val="21"/>
                      <w:highlight w:val="yellow"/>
                      <w14:textFill>
                        <w14:solidFill>
                          <w14:schemeClr w14:val="tx1"/>
                        </w14:solidFill>
                      </w14:textFill>
                    </w:rPr>
                  </w:pPr>
                </w:p>
              </w:tc>
              <w:tc>
                <w:tcPr>
                  <w:tcW w:w="630" w:type="pct"/>
                  <w:noWrap w:val="0"/>
                  <w:vAlign w:val="center"/>
                </w:tcPr>
                <w:p w14:paraId="741936D5">
                  <w:pPr>
                    <w:spacing w:line="320" w:lineRule="exact"/>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废油桶</w:t>
                  </w:r>
                </w:p>
              </w:tc>
              <w:tc>
                <w:tcPr>
                  <w:tcW w:w="392" w:type="pct"/>
                  <w:noWrap w:val="0"/>
                  <w:vAlign w:val="center"/>
                </w:tcPr>
                <w:p w14:paraId="1B529457">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w:t>
                  </w:r>
                </w:p>
              </w:tc>
              <w:tc>
                <w:tcPr>
                  <w:tcW w:w="313" w:type="pct"/>
                  <w:vMerge w:val="continue"/>
                  <w:noWrap w:val="0"/>
                  <w:vAlign w:val="center"/>
                </w:tcPr>
                <w:p w14:paraId="6825C13B">
                  <w:pPr>
                    <w:spacing w:line="320" w:lineRule="exact"/>
                    <w:jc w:val="center"/>
                    <w:rPr>
                      <w:rFonts w:hint="default" w:ascii="Times New Roman" w:hAnsi="Times New Roman" w:cs="Times New Roman"/>
                      <w:color w:val="000000" w:themeColor="text1"/>
                      <w:szCs w:val="21"/>
                      <w14:textFill>
                        <w14:solidFill>
                          <w14:schemeClr w14:val="tx1"/>
                        </w14:solidFill>
                      </w14:textFill>
                    </w:rPr>
                  </w:pPr>
                </w:p>
              </w:tc>
              <w:tc>
                <w:tcPr>
                  <w:tcW w:w="805" w:type="pct"/>
                  <w:tcBorders>
                    <w:bottom w:val="single" w:color="auto" w:sz="4" w:space="0"/>
                  </w:tcBorders>
                  <w:noWrap w:val="0"/>
                  <w:vAlign w:val="center"/>
                </w:tcPr>
                <w:p w14:paraId="5DBEC7E7">
                  <w:pPr>
                    <w:spacing w:line="320" w:lineRule="exact"/>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HW08</w:t>
                  </w:r>
                </w:p>
                <w:p w14:paraId="447FEDC5">
                  <w:pPr>
                    <w:spacing w:line="320" w:lineRule="exact"/>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900-249-08</w:t>
                  </w:r>
                </w:p>
              </w:tc>
              <w:tc>
                <w:tcPr>
                  <w:tcW w:w="531" w:type="pct"/>
                  <w:noWrap w:val="0"/>
                  <w:vAlign w:val="center"/>
                </w:tcPr>
                <w:p w14:paraId="0662CEC1">
                  <w:pPr>
                    <w:spacing w:line="320" w:lineRule="exact"/>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T, I</w:t>
                  </w:r>
                </w:p>
              </w:tc>
              <w:tc>
                <w:tcPr>
                  <w:tcW w:w="564" w:type="pct"/>
                  <w:noWrap w:val="0"/>
                  <w:vAlign w:val="center"/>
                </w:tcPr>
                <w:p w14:paraId="7C9E947F">
                  <w:pPr>
                    <w:spacing w:line="320" w:lineRule="exact"/>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0.009</w:t>
                  </w:r>
                </w:p>
              </w:tc>
              <w:tc>
                <w:tcPr>
                  <w:tcW w:w="564" w:type="pct"/>
                  <w:noWrap w:val="0"/>
                  <w:vAlign w:val="center"/>
                </w:tcPr>
                <w:p w14:paraId="5C64186D">
                  <w:pPr>
                    <w:spacing w:line="32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cs="Times New Roman"/>
                      <w:color w:val="000000" w:themeColor="text1"/>
                      <w:kern w:val="0"/>
                      <w:szCs w:val="21"/>
                      <w:lang w:val="en-US" w:eastAsia="zh-CN"/>
                      <w14:textFill>
                        <w14:solidFill>
                          <w14:schemeClr w14:val="tx1"/>
                        </w14:solidFill>
                      </w14:textFill>
                    </w:rPr>
                    <w:t>0.009</w:t>
                  </w:r>
                </w:p>
              </w:tc>
              <w:tc>
                <w:tcPr>
                  <w:tcW w:w="930" w:type="pct"/>
                  <w:vMerge w:val="continue"/>
                  <w:noWrap w:val="0"/>
                  <w:vAlign w:val="center"/>
                </w:tcPr>
                <w:p w14:paraId="099C7135">
                  <w:pPr>
                    <w:spacing w:line="320" w:lineRule="exact"/>
                    <w:jc w:val="center"/>
                    <w:rPr>
                      <w:rFonts w:hint="default" w:ascii="Times New Roman" w:hAnsi="Times New Roman" w:cs="Times New Roman"/>
                      <w:color w:val="000000" w:themeColor="text1"/>
                      <w:kern w:val="0"/>
                      <w:szCs w:val="21"/>
                      <w:highlight w:val="yellow"/>
                      <w14:textFill>
                        <w14:solidFill>
                          <w14:schemeClr w14:val="tx1"/>
                        </w14:solidFill>
                      </w14:textFill>
                    </w:rPr>
                  </w:pPr>
                </w:p>
              </w:tc>
            </w:tr>
            <w:tr w14:paraId="6288EE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2" w:hRule="atLeast"/>
                <w:jc w:val="center"/>
              </w:trPr>
              <w:tc>
                <w:tcPr>
                  <w:tcW w:w="267" w:type="pct"/>
                  <w:vMerge w:val="continue"/>
                  <w:noWrap w:val="0"/>
                  <w:vAlign w:val="center"/>
                </w:tcPr>
                <w:p w14:paraId="74CE797C">
                  <w:pPr>
                    <w:spacing w:line="320" w:lineRule="exact"/>
                    <w:jc w:val="center"/>
                    <w:rPr>
                      <w:rFonts w:hint="default" w:ascii="Times New Roman" w:hAnsi="Times New Roman" w:cs="Times New Roman"/>
                      <w:color w:val="000000" w:themeColor="text1"/>
                      <w:szCs w:val="21"/>
                      <w:highlight w:val="yellow"/>
                      <w14:textFill>
                        <w14:solidFill>
                          <w14:schemeClr w14:val="tx1"/>
                        </w14:solidFill>
                      </w14:textFill>
                    </w:rPr>
                  </w:pPr>
                </w:p>
              </w:tc>
              <w:tc>
                <w:tcPr>
                  <w:tcW w:w="630" w:type="pct"/>
                  <w:shd w:val="clear" w:color="auto" w:fill="auto"/>
                  <w:noWrap w:val="0"/>
                  <w:vAlign w:val="center"/>
                </w:tcPr>
                <w:p w14:paraId="64F1A7CE">
                  <w:pPr>
                    <w:spacing w:line="320" w:lineRule="exact"/>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废活性炭</w:t>
                  </w:r>
                </w:p>
              </w:tc>
              <w:tc>
                <w:tcPr>
                  <w:tcW w:w="392" w:type="pct"/>
                  <w:shd w:val="clear" w:color="auto" w:fill="auto"/>
                  <w:noWrap w:val="0"/>
                  <w:vAlign w:val="center"/>
                </w:tcPr>
                <w:p w14:paraId="45688348">
                  <w:pPr>
                    <w:adjustRightInd w:val="0"/>
                    <w:snapToGrid w:val="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w:t>
                  </w:r>
                </w:p>
              </w:tc>
              <w:tc>
                <w:tcPr>
                  <w:tcW w:w="313" w:type="pct"/>
                  <w:vMerge w:val="continue"/>
                  <w:shd w:val="clear" w:color="auto" w:fill="auto"/>
                  <w:noWrap w:val="0"/>
                  <w:vAlign w:val="center"/>
                </w:tcPr>
                <w:p w14:paraId="3CFC4898">
                  <w:pPr>
                    <w:spacing w:line="320" w:lineRule="exact"/>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805" w:type="pct"/>
                  <w:tcBorders>
                    <w:bottom w:val="single" w:color="auto" w:sz="4" w:space="0"/>
                  </w:tcBorders>
                  <w:shd w:val="clear" w:color="auto" w:fill="auto"/>
                  <w:noWrap w:val="0"/>
                  <w:vAlign w:val="center"/>
                </w:tcPr>
                <w:p w14:paraId="02D396D0">
                  <w:pPr>
                    <w:spacing w:line="320" w:lineRule="exact"/>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HW49</w:t>
                  </w:r>
                  <w:r>
                    <w:rPr>
                      <w:rFonts w:hint="default" w:ascii="Times New Roman" w:hAnsi="Times New Roman" w:eastAsia="宋体" w:cs="Times New Roman"/>
                      <w:color w:val="000000" w:themeColor="text1"/>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Cs w:val="21"/>
                      <w:lang w:eastAsia="zh-CN"/>
                      <w14:textFill>
                        <w14:solidFill>
                          <w14:schemeClr w14:val="tx1"/>
                        </w14:solidFill>
                      </w14:textFill>
                    </w:rPr>
                    <w:t>900</w:t>
                  </w:r>
                  <w:r>
                    <w:rPr>
                      <w:rFonts w:hint="default" w:ascii="Times New Roman" w:hAnsi="Times New Roman" w:eastAsia="宋体" w:cs="Times New Roman"/>
                      <w:color w:val="000000" w:themeColor="text1"/>
                      <w:szCs w:val="21"/>
                      <w14:textFill>
                        <w14:solidFill>
                          <w14:schemeClr w14:val="tx1"/>
                        </w14:solidFill>
                      </w14:textFill>
                    </w:rPr>
                    <w:t>-0</w:t>
                  </w:r>
                  <w:r>
                    <w:rPr>
                      <w:rFonts w:hint="default" w:ascii="Times New Roman" w:hAnsi="Times New Roman" w:eastAsia="宋体" w:cs="Times New Roman"/>
                      <w:color w:val="000000" w:themeColor="text1"/>
                      <w:szCs w:val="21"/>
                      <w:lang w:val="en-US" w:eastAsia="zh-CN"/>
                      <w14:textFill>
                        <w14:solidFill>
                          <w14:schemeClr w14:val="tx1"/>
                        </w14:solidFill>
                      </w14:textFill>
                    </w:rPr>
                    <w:t>39</w:t>
                  </w:r>
                  <w:r>
                    <w:rPr>
                      <w:rFonts w:hint="default" w:ascii="Times New Roman" w:hAnsi="Times New Roman" w:eastAsia="宋体" w:cs="Times New Roman"/>
                      <w:color w:val="000000" w:themeColor="text1"/>
                      <w:szCs w:val="21"/>
                      <w14:textFill>
                        <w14:solidFill>
                          <w14:schemeClr w14:val="tx1"/>
                        </w14:solidFill>
                      </w14:textFill>
                    </w:rPr>
                    <w:t>-49</w:t>
                  </w:r>
                </w:p>
              </w:tc>
              <w:tc>
                <w:tcPr>
                  <w:tcW w:w="531" w:type="pct"/>
                  <w:shd w:val="clear" w:color="auto" w:fill="auto"/>
                  <w:noWrap w:val="0"/>
                  <w:vAlign w:val="center"/>
                </w:tcPr>
                <w:p w14:paraId="0A73F08D">
                  <w:pPr>
                    <w:spacing w:line="320" w:lineRule="exact"/>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T</w:t>
                  </w:r>
                </w:p>
              </w:tc>
              <w:tc>
                <w:tcPr>
                  <w:tcW w:w="564" w:type="pct"/>
                  <w:shd w:val="clear" w:color="auto" w:fill="auto"/>
                  <w:noWrap w:val="0"/>
                  <w:vAlign w:val="center"/>
                </w:tcPr>
                <w:p w14:paraId="3EB999EF">
                  <w:pPr>
                    <w:spacing w:line="320" w:lineRule="exact"/>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7.7</w:t>
                  </w:r>
                </w:p>
              </w:tc>
              <w:tc>
                <w:tcPr>
                  <w:tcW w:w="564" w:type="pct"/>
                  <w:shd w:val="clear" w:color="auto" w:fill="auto"/>
                  <w:noWrap w:val="0"/>
                  <w:vAlign w:val="center"/>
                </w:tcPr>
                <w:p w14:paraId="659C3122">
                  <w:pPr>
                    <w:spacing w:line="320" w:lineRule="exact"/>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7.7</w:t>
                  </w:r>
                </w:p>
              </w:tc>
              <w:tc>
                <w:tcPr>
                  <w:tcW w:w="930" w:type="pct"/>
                  <w:vMerge w:val="continue"/>
                  <w:noWrap w:val="0"/>
                  <w:vAlign w:val="center"/>
                </w:tcPr>
                <w:p w14:paraId="6574DACE">
                  <w:pPr>
                    <w:spacing w:line="320" w:lineRule="exact"/>
                    <w:jc w:val="center"/>
                    <w:rPr>
                      <w:rFonts w:hint="default" w:ascii="Times New Roman" w:hAnsi="Times New Roman" w:cs="Times New Roman"/>
                      <w:color w:val="000000" w:themeColor="text1"/>
                      <w:kern w:val="0"/>
                      <w:szCs w:val="21"/>
                      <w:highlight w:val="yellow"/>
                      <w14:textFill>
                        <w14:solidFill>
                          <w14:schemeClr w14:val="tx1"/>
                        </w14:solidFill>
                      </w14:textFill>
                    </w:rPr>
                  </w:pPr>
                </w:p>
              </w:tc>
            </w:tr>
            <w:tr w14:paraId="3820D9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2" w:hRule="atLeast"/>
                <w:jc w:val="center"/>
              </w:trPr>
              <w:tc>
                <w:tcPr>
                  <w:tcW w:w="267" w:type="pct"/>
                  <w:vMerge w:val="continue"/>
                  <w:noWrap w:val="0"/>
                  <w:vAlign w:val="center"/>
                </w:tcPr>
                <w:p w14:paraId="009088FF">
                  <w:pPr>
                    <w:spacing w:line="320" w:lineRule="exact"/>
                    <w:jc w:val="center"/>
                    <w:rPr>
                      <w:rFonts w:hint="default" w:ascii="Times New Roman" w:hAnsi="Times New Roman" w:cs="Times New Roman"/>
                      <w:color w:val="000000" w:themeColor="text1"/>
                      <w:szCs w:val="21"/>
                      <w:highlight w:val="yellow"/>
                      <w14:textFill>
                        <w14:solidFill>
                          <w14:schemeClr w14:val="tx1"/>
                        </w14:solidFill>
                      </w14:textFill>
                    </w:rPr>
                  </w:pPr>
                </w:p>
              </w:tc>
              <w:tc>
                <w:tcPr>
                  <w:tcW w:w="630" w:type="pct"/>
                  <w:noWrap w:val="0"/>
                  <w:vAlign w:val="center"/>
                </w:tcPr>
                <w:p w14:paraId="38E14555">
                  <w:pPr>
                    <w:spacing w:line="320" w:lineRule="exact"/>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废过滤棉</w:t>
                  </w:r>
                </w:p>
              </w:tc>
              <w:tc>
                <w:tcPr>
                  <w:tcW w:w="392" w:type="pct"/>
                  <w:noWrap w:val="0"/>
                  <w:vAlign w:val="center"/>
                </w:tcPr>
                <w:p w14:paraId="69ECF988">
                  <w:pPr>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w:t>
                  </w:r>
                </w:p>
              </w:tc>
              <w:tc>
                <w:tcPr>
                  <w:tcW w:w="313" w:type="pct"/>
                  <w:vMerge w:val="continue"/>
                  <w:noWrap w:val="0"/>
                  <w:vAlign w:val="center"/>
                </w:tcPr>
                <w:p w14:paraId="0DBAC9AA">
                  <w:pPr>
                    <w:spacing w:line="320" w:lineRule="exact"/>
                    <w:jc w:val="center"/>
                    <w:rPr>
                      <w:rFonts w:hint="default" w:ascii="Times New Roman" w:hAnsi="Times New Roman" w:cs="Times New Roman"/>
                      <w:color w:val="000000" w:themeColor="text1"/>
                      <w:szCs w:val="21"/>
                      <w14:textFill>
                        <w14:solidFill>
                          <w14:schemeClr w14:val="tx1"/>
                        </w14:solidFill>
                      </w14:textFill>
                    </w:rPr>
                  </w:pPr>
                </w:p>
              </w:tc>
              <w:tc>
                <w:tcPr>
                  <w:tcW w:w="805" w:type="pct"/>
                  <w:tcBorders>
                    <w:top w:val="single" w:color="auto" w:sz="4" w:space="0"/>
                  </w:tcBorders>
                  <w:noWrap w:val="0"/>
                  <w:vAlign w:val="center"/>
                </w:tcPr>
                <w:p w14:paraId="69FCAA19">
                  <w:pPr>
                    <w:spacing w:line="32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HW49</w:t>
                  </w:r>
                </w:p>
                <w:p w14:paraId="5FA594AE">
                  <w:pPr>
                    <w:spacing w:line="320" w:lineRule="exact"/>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900-041-49</w:t>
                  </w:r>
                </w:p>
              </w:tc>
              <w:tc>
                <w:tcPr>
                  <w:tcW w:w="531" w:type="pct"/>
                  <w:noWrap w:val="0"/>
                  <w:vAlign w:val="center"/>
                </w:tcPr>
                <w:p w14:paraId="1F9E004F">
                  <w:pPr>
                    <w:spacing w:line="320" w:lineRule="exact"/>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T/In</w:t>
                  </w:r>
                </w:p>
              </w:tc>
              <w:tc>
                <w:tcPr>
                  <w:tcW w:w="564" w:type="pct"/>
                  <w:noWrap w:val="0"/>
                  <w:vAlign w:val="center"/>
                </w:tcPr>
                <w:p w14:paraId="3C5A4FC1">
                  <w:pPr>
                    <w:spacing w:line="320" w:lineRule="exact"/>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0.</w:t>
                  </w:r>
                  <w:r>
                    <w:rPr>
                      <w:rFonts w:hint="eastAsia" w:cs="Times New Roman"/>
                      <w:color w:val="000000" w:themeColor="text1"/>
                      <w:szCs w:val="21"/>
                      <w:lang w:val="en-US" w:eastAsia="zh-CN"/>
                      <w14:textFill>
                        <w14:solidFill>
                          <w14:schemeClr w14:val="tx1"/>
                        </w14:solidFill>
                      </w14:textFill>
                    </w:rPr>
                    <w:t>02</w:t>
                  </w:r>
                </w:p>
              </w:tc>
              <w:tc>
                <w:tcPr>
                  <w:tcW w:w="564" w:type="pct"/>
                  <w:noWrap w:val="0"/>
                  <w:vAlign w:val="center"/>
                </w:tcPr>
                <w:p w14:paraId="1F724B57">
                  <w:pPr>
                    <w:spacing w:line="320" w:lineRule="exact"/>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0.</w:t>
                  </w:r>
                  <w:r>
                    <w:rPr>
                      <w:rFonts w:hint="eastAsia" w:cs="Times New Roman"/>
                      <w:color w:val="000000" w:themeColor="text1"/>
                      <w:szCs w:val="21"/>
                      <w:lang w:val="en-US" w:eastAsia="zh-CN"/>
                      <w14:textFill>
                        <w14:solidFill>
                          <w14:schemeClr w14:val="tx1"/>
                        </w14:solidFill>
                      </w14:textFill>
                    </w:rPr>
                    <w:t>02</w:t>
                  </w:r>
                </w:p>
              </w:tc>
              <w:tc>
                <w:tcPr>
                  <w:tcW w:w="930" w:type="pct"/>
                  <w:vMerge w:val="continue"/>
                  <w:noWrap w:val="0"/>
                  <w:vAlign w:val="center"/>
                </w:tcPr>
                <w:p w14:paraId="15B87A24">
                  <w:pPr>
                    <w:spacing w:line="320" w:lineRule="exact"/>
                    <w:jc w:val="center"/>
                    <w:rPr>
                      <w:rFonts w:hint="default" w:ascii="Times New Roman" w:hAnsi="Times New Roman" w:cs="Times New Roman"/>
                      <w:color w:val="000000" w:themeColor="text1"/>
                      <w:kern w:val="0"/>
                      <w:szCs w:val="21"/>
                      <w:highlight w:val="yellow"/>
                      <w14:textFill>
                        <w14:solidFill>
                          <w14:schemeClr w14:val="tx1"/>
                        </w14:solidFill>
                      </w14:textFill>
                    </w:rPr>
                  </w:pPr>
                </w:p>
              </w:tc>
            </w:tr>
            <w:tr w14:paraId="18D0EC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2" w:hRule="atLeast"/>
                <w:jc w:val="center"/>
              </w:trPr>
              <w:tc>
                <w:tcPr>
                  <w:tcW w:w="267" w:type="pct"/>
                  <w:vMerge w:val="continue"/>
                  <w:noWrap w:val="0"/>
                  <w:vAlign w:val="center"/>
                </w:tcPr>
                <w:p w14:paraId="767BB4EC">
                  <w:pPr>
                    <w:spacing w:line="320" w:lineRule="exact"/>
                    <w:jc w:val="center"/>
                    <w:rPr>
                      <w:rFonts w:hint="default" w:ascii="Times New Roman" w:hAnsi="Times New Roman" w:cs="Times New Roman"/>
                      <w:color w:val="000000" w:themeColor="text1"/>
                      <w:szCs w:val="21"/>
                      <w:highlight w:val="yellow"/>
                      <w14:textFill>
                        <w14:solidFill>
                          <w14:schemeClr w14:val="tx1"/>
                        </w14:solidFill>
                      </w14:textFill>
                    </w:rPr>
                  </w:pPr>
                </w:p>
              </w:tc>
              <w:tc>
                <w:tcPr>
                  <w:tcW w:w="630" w:type="pct"/>
                  <w:noWrap w:val="0"/>
                  <w:vAlign w:val="center"/>
                </w:tcPr>
                <w:p w14:paraId="1192B550">
                  <w:pPr>
                    <w:spacing w:line="320" w:lineRule="exact"/>
                    <w:jc w:val="center"/>
                    <w:rPr>
                      <w:rFonts w:hint="default" w:ascii="Times New Roman" w:hAnsi="Times New Roman" w:eastAsia="宋体" w:cs="Times New Roman"/>
                      <w:color w:val="000000" w:themeColor="text1"/>
                      <w:szCs w:val="21"/>
                      <w:lang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沾染废物</w:t>
                  </w:r>
                </w:p>
              </w:tc>
              <w:tc>
                <w:tcPr>
                  <w:tcW w:w="392" w:type="pct"/>
                  <w:noWrap w:val="0"/>
                  <w:vAlign w:val="center"/>
                </w:tcPr>
                <w:p w14:paraId="5BE87024">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w:t>
                  </w:r>
                </w:p>
              </w:tc>
              <w:tc>
                <w:tcPr>
                  <w:tcW w:w="313" w:type="pct"/>
                  <w:vMerge w:val="continue"/>
                  <w:noWrap w:val="0"/>
                  <w:vAlign w:val="center"/>
                </w:tcPr>
                <w:p w14:paraId="0EFE5803">
                  <w:pPr>
                    <w:spacing w:line="320" w:lineRule="exact"/>
                    <w:jc w:val="center"/>
                    <w:rPr>
                      <w:rFonts w:hint="default" w:ascii="Times New Roman" w:hAnsi="Times New Roman" w:cs="Times New Roman"/>
                      <w:color w:val="000000" w:themeColor="text1"/>
                      <w:szCs w:val="21"/>
                      <w14:textFill>
                        <w14:solidFill>
                          <w14:schemeClr w14:val="tx1"/>
                        </w14:solidFill>
                      </w14:textFill>
                    </w:rPr>
                  </w:pPr>
                </w:p>
              </w:tc>
              <w:tc>
                <w:tcPr>
                  <w:tcW w:w="805" w:type="pct"/>
                  <w:noWrap w:val="0"/>
                  <w:vAlign w:val="center"/>
                </w:tcPr>
                <w:p w14:paraId="40CD639F">
                  <w:pPr>
                    <w:spacing w:line="320" w:lineRule="exact"/>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HW</w:t>
                  </w:r>
                  <w:r>
                    <w:rPr>
                      <w:rFonts w:hint="eastAsia" w:cs="Times New Roman"/>
                      <w:color w:val="000000" w:themeColor="text1"/>
                      <w:szCs w:val="21"/>
                      <w:lang w:val="en-US" w:eastAsia="zh-CN"/>
                      <w14:textFill>
                        <w14:solidFill>
                          <w14:schemeClr w14:val="tx1"/>
                        </w14:solidFill>
                      </w14:textFill>
                    </w:rPr>
                    <w:t>49</w:t>
                  </w:r>
                </w:p>
                <w:p w14:paraId="356410DB">
                  <w:pPr>
                    <w:spacing w:line="320" w:lineRule="exact"/>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900-</w:t>
                  </w:r>
                  <w:r>
                    <w:rPr>
                      <w:rFonts w:hint="eastAsia" w:cs="Times New Roman"/>
                      <w:color w:val="000000" w:themeColor="text1"/>
                      <w:szCs w:val="21"/>
                      <w:lang w:val="en-US" w:eastAsia="zh-CN"/>
                      <w14:textFill>
                        <w14:solidFill>
                          <w14:schemeClr w14:val="tx1"/>
                        </w14:solidFill>
                      </w14:textFill>
                    </w:rPr>
                    <w:t>041</w:t>
                  </w:r>
                  <w:r>
                    <w:rPr>
                      <w:rFonts w:hint="default" w:ascii="Times New Roman" w:hAnsi="Times New Roman" w:cs="Times New Roman"/>
                      <w:color w:val="000000" w:themeColor="text1"/>
                      <w:szCs w:val="21"/>
                      <w14:textFill>
                        <w14:solidFill>
                          <w14:schemeClr w14:val="tx1"/>
                        </w14:solidFill>
                      </w14:textFill>
                    </w:rPr>
                    <w:t>-</w:t>
                  </w:r>
                  <w:r>
                    <w:rPr>
                      <w:rFonts w:hint="eastAsia" w:cs="Times New Roman"/>
                      <w:color w:val="000000" w:themeColor="text1"/>
                      <w:szCs w:val="21"/>
                      <w:lang w:val="en-US" w:eastAsia="zh-CN"/>
                      <w14:textFill>
                        <w14:solidFill>
                          <w14:schemeClr w14:val="tx1"/>
                        </w14:solidFill>
                      </w14:textFill>
                    </w:rPr>
                    <w:t>49</w:t>
                  </w:r>
                </w:p>
              </w:tc>
              <w:tc>
                <w:tcPr>
                  <w:tcW w:w="531" w:type="pct"/>
                  <w:noWrap w:val="0"/>
                  <w:vAlign w:val="center"/>
                </w:tcPr>
                <w:p w14:paraId="326A7BE3">
                  <w:pPr>
                    <w:spacing w:line="320" w:lineRule="exact"/>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T, I</w:t>
                  </w:r>
                </w:p>
              </w:tc>
              <w:tc>
                <w:tcPr>
                  <w:tcW w:w="564" w:type="pct"/>
                  <w:noWrap w:val="0"/>
                  <w:vAlign w:val="center"/>
                </w:tcPr>
                <w:p w14:paraId="77952C80">
                  <w:pPr>
                    <w:spacing w:line="320" w:lineRule="exact"/>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0.1</w:t>
                  </w:r>
                </w:p>
              </w:tc>
              <w:tc>
                <w:tcPr>
                  <w:tcW w:w="564" w:type="pct"/>
                  <w:noWrap w:val="0"/>
                  <w:vAlign w:val="center"/>
                </w:tcPr>
                <w:p w14:paraId="187A1ED0">
                  <w:pPr>
                    <w:spacing w:line="32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cs="Times New Roman"/>
                      <w:color w:val="000000" w:themeColor="text1"/>
                      <w:kern w:val="0"/>
                      <w:szCs w:val="21"/>
                      <w:lang w:val="en-US" w:eastAsia="zh-CN"/>
                      <w14:textFill>
                        <w14:solidFill>
                          <w14:schemeClr w14:val="tx1"/>
                        </w14:solidFill>
                      </w14:textFill>
                    </w:rPr>
                    <w:t>0.1</w:t>
                  </w:r>
                </w:p>
              </w:tc>
              <w:tc>
                <w:tcPr>
                  <w:tcW w:w="930" w:type="pct"/>
                  <w:vMerge w:val="continue"/>
                  <w:noWrap w:val="0"/>
                  <w:vAlign w:val="center"/>
                </w:tcPr>
                <w:p w14:paraId="647A5973">
                  <w:pPr>
                    <w:spacing w:line="320" w:lineRule="exact"/>
                    <w:jc w:val="center"/>
                    <w:rPr>
                      <w:rFonts w:hint="default" w:ascii="Times New Roman" w:hAnsi="Times New Roman" w:cs="Times New Roman"/>
                      <w:color w:val="000000" w:themeColor="text1"/>
                      <w:kern w:val="0"/>
                      <w:szCs w:val="21"/>
                      <w14:textFill>
                        <w14:solidFill>
                          <w14:schemeClr w14:val="tx1"/>
                        </w14:solidFill>
                      </w14:textFill>
                    </w:rPr>
                  </w:pPr>
                </w:p>
              </w:tc>
            </w:tr>
          </w:tbl>
          <w:p w14:paraId="0B129B2E">
            <w:pPr>
              <w:keepNext/>
              <w:keepLines/>
              <w:widowControl/>
              <w:adjustRightInd w:val="0"/>
              <w:snapToGrid w:val="0"/>
              <w:spacing w:line="360" w:lineRule="auto"/>
              <w:jc w:val="left"/>
              <w:outlineLvl w:val="1"/>
              <w:rPr>
                <w:rFonts w:hint="default" w:ascii="Times New Roman" w:hAnsi="Times New Roman" w:eastAsia="黑体" w:cs="Times New Roman"/>
                <w:bCs/>
                <w:color w:val="000000" w:themeColor="text1"/>
                <w:sz w:val="24"/>
                <w:szCs w:val="28"/>
                <w14:textFill>
                  <w14:solidFill>
                    <w14:schemeClr w14:val="tx1"/>
                  </w14:solidFill>
                </w14:textFill>
              </w:rPr>
            </w:pPr>
            <w:r>
              <w:rPr>
                <w:rFonts w:hint="default" w:ascii="Times New Roman" w:hAnsi="Times New Roman" w:eastAsia="黑体" w:cs="Times New Roman"/>
                <w:bCs/>
                <w:color w:val="000000" w:themeColor="text1"/>
                <w:sz w:val="24"/>
                <w:szCs w:val="28"/>
                <w:lang w:eastAsia="zh-CN"/>
                <w14:textFill>
                  <w14:solidFill>
                    <w14:schemeClr w14:val="tx1"/>
                  </w14:solidFill>
                </w14:textFill>
              </w:rPr>
              <w:t>2.</w:t>
            </w:r>
            <w:r>
              <w:rPr>
                <w:rFonts w:hint="default" w:ascii="Times New Roman" w:hAnsi="Times New Roman" w:eastAsia="黑体" w:cs="Times New Roman"/>
                <w:bCs/>
                <w:color w:val="000000" w:themeColor="text1"/>
                <w:sz w:val="24"/>
                <w:szCs w:val="28"/>
                <w14:textFill>
                  <w14:solidFill>
                    <w14:schemeClr w14:val="tx1"/>
                  </w14:solidFill>
                </w14:textFill>
              </w:rPr>
              <w:t>环境管理要求</w:t>
            </w:r>
          </w:p>
          <w:p w14:paraId="52F39551">
            <w:pPr>
              <w:widowControl/>
              <w:spacing w:line="360" w:lineRule="auto"/>
              <w:ind w:firstLine="482"/>
              <w:rPr>
                <w:rFonts w:hint="default" w:ascii="Times New Roman" w:hAnsi="Times New Roman" w:cs="Times New Roman"/>
                <w:color w:val="000000" w:themeColor="text1"/>
                <w:sz w:val="24"/>
                <w:szCs w:val="28"/>
                <w14:textFill>
                  <w14:solidFill>
                    <w14:schemeClr w14:val="tx1"/>
                  </w14:solidFill>
                </w14:textFill>
              </w:rPr>
            </w:pPr>
            <w:r>
              <w:rPr>
                <w:rFonts w:hint="default" w:ascii="Times New Roman" w:hAnsi="Times New Roman" w:cs="Times New Roman"/>
                <w:color w:val="000000" w:themeColor="text1"/>
                <w:sz w:val="24"/>
                <w:szCs w:val="28"/>
                <w14:textFill>
                  <w14:solidFill>
                    <w14:schemeClr w14:val="tx1"/>
                  </w14:solidFill>
                </w14:textFill>
              </w:rPr>
              <w:t>本项目固体废物主要为</w:t>
            </w:r>
            <w:r>
              <w:rPr>
                <w:rFonts w:hint="default" w:ascii="Times New Roman" w:hAnsi="Times New Roman" w:cs="Times New Roman"/>
                <w:color w:val="000000" w:themeColor="text1"/>
                <w:sz w:val="24"/>
                <w:szCs w:val="28"/>
                <w:lang w:val="en-US" w:eastAsia="zh-CN"/>
                <w14:textFill>
                  <w14:solidFill>
                    <w14:schemeClr w14:val="tx1"/>
                  </w14:solidFill>
                </w14:textFill>
              </w:rPr>
              <w:t>生活垃圾、一般固废（</w:t>
            </w:r>
            <w:r>
              <w:rPr>
                <w:rFonts w:hint="default" w:ascii="Times New Roman" w:hAnsi="Times New Roman" w:cs="Times New Roman"/>
                <w:color w:val="000000" w:themeColor="text1"/>
                <w:sz w:val="24"/>
                <w:szCs w:val="28"/>
                <w14:textFill>
                  <w14:solidFill>
                    <w14:schemeClr w14:val="tx1"/>
                  </w14:solidFill>
                </w14:textFill>
              </w:rPr>
              <w:t>除尘器收尘灰、一般材料废包装袋/箱、废边角料、</w:t>
            </w:r>
            <w:r>
              <w:rPr>
                <w:rFonts w:hint="eastAsia" w:cs="Times New Roman"/>
                <w:color w:val="000000" w:themeColor="text1"/>
                <w:sz w:val="24"/>
                <w:szCs w:val="28"/>
                <w:lang w:val="en-US" w:eastAsia="zh-CN"/>
                <w14:textFill>
                  <w14:solidFill>
                    <w14:schemeClr w14:val="tx1"/>
                  </w14:solidFill>
                </w14:textFill>
              </w:rPr>
              <w:t>不合格产品、</w:t>
            </w:r>
            <w:r>
              <w:rPr>
                <w:rFonts w:hint="default" w:ascii="Times New Roman" w:hAnsi="Times New Roman" w:cs="Times New Roman"/>
                <w:color w:val="000000" w:themeColor="text1"/>
                <w:sz w:val="24"/>
                <w:szCs w:val="28"/>
                <w14:textFill>
                  <w14:solidFill>
                    <w14:schemeClr w14:val="tx1"/>
                  </w14:solidFill>
                </w14:textFill>
              </w:rPr>
              <w:t>沉渣、污泥、废反渗透膜</w:t>
            </w:r>
            <w:r>
              <w:rPr>
                <w:rFonts w:hint="default" w:ascii="Times New Roman" w:hAnsi="Times New Roman" w:cs="Times New Roman"/>
                <w:color w:val="000000" w:themeColor="text1"/>
                <w:sz w:val="24"/>
                <w:szCs w:val="28"/>
                <w:lang w:val="en-US" w:eastAsia="zh-CN"/>
                <w14:textFill>
                  <w14:solidFill>
                    <w14:schemeClr w14:val="tx1"/>
                  </w14:solidFill>
                </w14:textFill>
              </w:rPr>
              <w:t>）</w:t>
            </w:r>
            <w:r>
              <w:rPr>
                <w:rFonts w:hint="default" w:ascii="Times New Roman" w:hAnsi="Times New Roman" w:cs="Times New Roman"/>
                <w:color w:val="000000" w:themeColor="text1"/>
                <w:sz w:val="24"/>
                <w:szCs w:val="28"/>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危险废物（</w:t>
            </w:r>
            <w:r>
              <w:rPr>
                <w:rFonts w:hint="default" w:ascii="Times New Roman" w:hAnsi="Times New Roman" w:cs="Times New Roman"/>
                <w:color w:val="000000" w:themeColor="text1"/>
                <w:sz w:val="24"/>
                <w:lang w:eastAsia="zh-CN"/>
                <w14:textFill>
                  <w14:solidFill>
                    <w14:schemeClr w14:val="tx1"/>
                  </w14:solidFill>
                </w14:textFill>
              </w:rPr>
              <w:t>废空压机油、废润滑油、废油桶、废活性炭、废过滤棉、沾染废物</w:t>
            </w:r>
            <w:r>
              <w:rPr>
                <w:rFonts w:hint="default" w:ascii="Times New Roman" w:hAnsi="Times New Roman" w:cs="Times New Roman"/>
                <w:color w:val="000000" w:themeColor="text1"/>
                <w:sz w:val="24"/>
                <w14:textFill>
                  <w14:solidFill>
                    <w14:schemeClr w14:val="tx1"/>
                  </w14:solidFill>
                </w14:textFill>
              </w:rPr>
              <w:t>）等</w:t>
            </w:r>
            <w:r>
              <w:rPr>
                <w:rFonts w:hint="default" w:ascii="Times New Roman" w:hAnsi="Times New Roman" w:cs="Times New Roman"/>
                <w:color w:val="000000" w:themeColor="text1"/>
                <w:sz w:val="24"/>
                <w:szCs w:val="28"/>
                <w14:textFill>
                  <w14:solidFill>
                    <w14:schemeClr w14:val="tx1"/>
                  </w14:solidFill>
                </w14:textFill>
              </w:rPr>
              <w:t>。</w:t>
            </w:r>
          </w:p>
          <w:p w14:paraId="6A84E159">
            <w:pPr>
              <w:widowControl/>
              <w:spacing w:line="360" w:lineRule="auto"/>
              <w:ind w:firstLine="482"/>
              <w:rPr>
                <w:rFonts w:hint="default" w:ascii="Times New Roman" w:hAnsi="Times New Roman" w:cs="Times New Roman"/>
                <w:color w:val="000000" w:themeColor="text1"/>
                <w:sz w:val="24"/>
                <w:lang w:bidi="ar"/>
                <w14:textFill>
                  <w14:solidFill>
                    <w14:schemeClr w14:val="tx1"/>
                  </w14:solidFill>
                </w14:textFill>
              </w:rPr>
            </w:pPr>
            <w:r>
              <w:rPr>
                <w:rFonts w:hint="default" w:ascii="Times New Roman" w:hAnsi="Times New Roman" w:cs="Times New Roman"/>
                <w:color w:val="000000" w:themeColor="text1"/>
                <w:sz w:val="24"/>
                <w:lang w:bidi="ar"/>
                <w14:textFill>
                  <w14:solidFill>
                    <w14:schemeClr w14:val="tx1"/>
                  </w14:solidFill>
                </w14:textFill>
              </w:rPr>
              <w:t>根据固体废物判别结果可知，本企业产生的固体废物包括</w:t>
            </w:r>
            <w:r>
              <w:rPr>
                <w:rFonts w:hint="default" w:ascii="Times New Roman" w:hAnsi="Times New Roman" w:cs="Times New Roman"/>
                <w:color w:val="000000" w:themeColor="text1"/>
                <w:sz w:val="24"/>
                <w:lang w:val="en-US" w:eastAsia="zh-CN" w:bidi="ar"/>
                <w14:textFill>
                  <w14:solidFill>
                    <w14:schemeClr w14:val="tx1"/>
                  </w14:solidFill>
                </w14:textFill>
              </w:rPr>
              <w:t>生活垃圾、</w:t>
            </w:r>
            <w:r>
              <w:rPr>
                <w:rFonts w:hint="default" w:ascii="Times New Roman" w:hAnsi="Times New Roman" w:cs="Times New Roman"/>
                <w:color w:val="000000" w:themeColor="text1"/>
                <w:sz w:val="24"/>
                <w:lang w:bidi="ar"/>
                <w14:textFill>
                  <w14:solidFill>
                    <w14:schemeClr w14:val="tx1"/>
                  </w14:solidFill>
                </w14:textFill>
              </w:rPr>
              <w:t>一般工业</w:t>
            </w:r>
            <w:r>
              <w:rPr>
                <w:rFonts w:hint="default" w:ascii="Times New Roman" w:hAnsi="Times New Roman" w:cs="Times New Roman"/>
                <w:color w:val="000000" w:themeColor="text1"/>
                <w:sz w:val="24"/>
                <w:lang w:val="en-US" w:eastAsia="zh-CN" w:bidi="ar"/>
                <w14:textFill>
                  <w14:solidFill>
                    <w14:schemeClr w14:val="tx1"/>
                  </w14:solidFill>
                </w14:textFill>
              </w:rPr>
              <w:t>固体废物</w:t>
            </w:r>
            <w:r>
              <w:rPr>
                <w:rFonts w:hint="default" w:ascii="Times New Roman" w:hAnsi="Times New Roman" w:cs="Times New Roman"/>
                <w:color w:val="000000" w:themeColor="text1"/>
                <w:sz w:val="24"/>
                <w:lang w:bidi="ar"/>
                <w14:textFill>
                  <w14:solidFill>
                    <w14:schemeClr w14:val="tx1"/>
                  </w14:solidFill>
                </w14:textFill>
              </w:rPr>
              <w:t>以及危险废物。</w:t>
            </w:r>
            <w:bookmarkStart w:id="5" w:name="_Hlk40449701"/>
            <w:r>
              <w:rPr>
                <w:rFonts w:hint="default" w:ascii="Times New Roman" w:hAnsi="Times New Roman" w:cs="Times New Roman"/>
                <w:color w:val="000000" w:themeColor="text1"/>
                <w:sz w:val="24"/>
                <w:lang w:val="en-US" w:eastAsia="zh-CN" w:bidi="ar"/>
                <w14:textFill>
                  <w14:solidFill>
                    <w14:schemeClr w14:val="tx1"/>
                  </w14:solidFill>
                </w14:textFill>
              </w:rPr>
              <w:t>生活垃圾集中收集定点堆放，定期交由环卫部门处理；一般固体废物</w:t>
            </w:r>
            <w:r>
              <w:rPr>
                <w:rFonts w:hint="eastAsia" w:cs="Times New Roman"/>
                <w:color w:val="000000" w:themeColor="text1"/>
                <w:sz w:val="24"/>
                <w:lang w:val="en-US" w:eastAsia="zh-CN" w:bidi="ar"/>
                <w14:textFill>
                  <w14:solidFill>
                    <w14:schemeClr w14:val="tx1"/>
                  </w14:solidFill>
                </w14:textFill>
              </w:rPr>
              <w:t>中</w:t>
            </w:r>
            <w:r>
              <w:rPr>
                <w:rFonts w:hint="default" w:ascii="Times New Roman" w:hAnsi="Times New Roman" w:cs="Times New Roman"/>
                <w:color w:val="000000" w:themeColor="text1"/>
                <w:sz w:val="24"/>
                <w:szCs w:val="28"/>
                <w14:textFill>
                  <w14:solidFill>
                    <w14:schemeClr w14:val="tx1"/>
                  </w14:solidFill>
                </w14:textFill>
              </w:rPr>
              <w:t>一般材料废包装袋/箱、</w:t>
            </w:r>
            <w:r>
              <w:rPr>
                <w:rFonts w:hint="eastAsia" w:cs="Times New Roman"/>
                <w:color w:val="000000" w:themeColor="text1"/>
                <w:sz w:val="24"/>
                <w:szCs w:val="28"/>
                <w:lang w:val="en-US" w:eastAsia="zh-CN"/>
                <w14:textFill>
                  <w14:solidFill>
                    <w14:schemeClr w14:val="tx1"/>
                  </w14:solidFill>
                </w14:textFill>
              </w:rPr>
              <w:t>不合格产品、</w:t>
            </w:r>
            <w:r>
              <w:rPr>
                <w:rFonts w:hint="default" w:ascii="Times New Roman" w:hAnsi="Times New Roman" w:cs="Times New Roman"/>
                <w:color w:val="000000" w:themeColor="text1"/>
                <w:sz w:val="24"/>
                <w:szCs w:val="28"/>
                <w14:textFill>
                  <w14:solidFill>
                    <w14:schemeClr w14:val="tx1"/>
                  </w14:solidFill>
                </w14:textFill>
              </w:rPr>
              <w:t>废边角料</w:t>
            </w:r>
            <w:r>
              <w:rPr>
                <w:rFonts w:hint="eastAsia" w:cs="Times New Roman"/>
                <w:color w:val="000000" w:themeColor="text1"/>
                <w:sz w:val="24"/>
                <w:szCs w:val="28"/>
                <w:lang w:eastAsia="zh-CN"/>
                <w14:textFill>
                  <w14:solidFill>
                    <w14:schemeClr w14:val="tx1"/>
                  </w14:solidFill>
                </w14:textFill>
              </w:rPr>
              <w:t>、</w:t>
            </w:r>
            <w:r>
              <w:rPr>
                <w:rFonts w:hint="eastAsia" w:cs="Times New Roman"/>
                <w:color w:val="000000" w:themeColor="text1"/>
                <w:sz w:val="24"/>
                <w:szCs w:val="28"/>
                <w:lang w:val="en-US" w:eastAsia="zh-CN"/>
                <w14:textFill>
                  <w14:solidFill>
                    <w14:schemeClr w14:val="tx1"/>
                  </w14:solidFill>
                </w14:textFill>
              </w:rPr>
              <w:t>污泥</w:t>
            </w:r>
            <w:r>
              <w:rPr>
                <w:rFonts w:hint="eastAsia" w:cs="Times New Roman"/>
                <w:color w:val="000000" w:themeColor="text1"/>
                <w:sz w:val="24"/>
                <w:lang w:val="en-US" w:eastAsia="zh-CN" w:bidi="ar"/>
                <w14:textFill>
                  <w14:solidFill>
                    <w14:schemeClr w14:val="tx1"/>
                  </w14:solidFill>
                </w14:textFill>
              </w:rPr>
              <w:t>等</w:t>
            </w:r>
            <w:r>
              <w:rPr>
                <w:rFonts w:hint="default" w:ascii="Times New Roman" w:hAnsi="Times New Roman" w:cs="Times New Roman"/>
                <w:color w:val="000000" w:themeColor="text1"/>
                <w:sz w:val="24"/>
                <w:lang w:bidi="ar"/>
                <w14:textFill>
                  <w14:solidFill>
                    <w14:schemeClr w14:val="tx1"/>
                  </w14:solidFill>
                </w14:textFill>
              </w:rPr>
              <w:t>集中收集于一般固废暂存区，定期</w:t>
            </w:r>
            <w:r>
              <w:rPr>
                <w:rFonts w:hint="default" w:ascii="Times New Roman" w:hAnsi="Times New Roman" w:cs="Times New Roman"/>
                <w:color w:val="000000" w:themeColor="text1"/>
                <w:sz w:val="24"/>
                <w:lang w:val="en-US" w:eastAsia="zh-CN" w:bidi="ar"/>
                <w14:textFill>
                  <w14:solidFill>
                    <w14:schemeClr w14:val="tx1"/>
                  </w14:solidFill>
                </w14:textFill>
              </w:rPr>
              <w:t>外售综合利用</w:t>
            </w:r>
            <w:r>
              <w:rPr>
                <w:rFonts w:hint="default" w:ascii="Times New Roman" w:hAnsi="Times New Roman" w:cs="Times New Roman"/>
                <w:color w:val="000000" w:themeColor="text1"/>
                <w:sz w:val="24"/>
                <w:lang w:bidi="ar"/>
                <w14:textFill>
                  <w14:solidFill>
                    <w14:schemeClr w14:val="tx1"/>
                  </w14:solidFill>
                </w14:textFill>
              </w:rPr>
              <w:t>；</w:t>
            </w:r>
            <w:r>
              <w:rPr>
                <w:rFonts w:hint="eastAsia" w:cs="Times New Roman"/>
                <w:color w:val="000000" w:themeColor="text1"/>
                <w:sz w:val="24"/>
                <w:lang w:val="en-US" w:eastAsia="zh-CN" w:bidi="ar"/>
                <w14:textFill>
                  <w14:solidFill>
                    <w14:schemeClr w14:val="tx1"/>
                  </w14:solidFill>
                </w14:textFill>
              </w:rPr>
              <w:t>收尘灰、沉渣回收作为原料回用，废反渗透膜</w:t>
            </w:r>
            <w:r>
              <w:rPr>
                <w:rFonts w:hint="eastAsia" w:ascii="Times New Roman" w:hAnsi="Times New Roman" w:cs="Times New Roman"/>
                <w:color w:val="000000" w:themeColor="text1"/>
                <w:kern w:val="18"/>
                <w:sz w:val="24"/>
                <w:szCs w:val="24"/>
                <w:lang w:val="en-US" w:eastAsia="zh-CN"/>
                <w14:textFill>
                  <w14:solidFill>
                    <w14:schemeClr w14:val="tx1"/>
                  </w14:solidFill>
                </w14:textFill>
              </w:rPr>
              <w:t>每3-5年更换一次</w:t>
            </w:r>
            <w:r>
              <w:rPr>
                <w:rFonts w:hint="eastAsia" w:cs="Times New Roman"/>
                <w:color w:val="000000" w:themeColor="text1"/>
                <w:kern w:val="18"/>
                <w:sz w:val="24"/>
                <w:szCs w:val="24"/>
                <w:lang w:val="en-US" w:eastAsia="zh-CN"/>
                <w14:textFill>
                  <w14:solidFill>
                    <w14:schemeClr w14:val="tx1"/>
                  </w14:solidFill>
                </w14:textFill>
              </w:rPr>
              <w:t>，</w:t>
            </w:r>
            <w:r>
              <w:rPr>
                <w:rFonts w:hint="eastAsia" w:cs="Times New Roman"/>
                <w:color w:val="000000" w:themeColor="text1"/>
                <w:sz w:val="24"/>
                <w:lang w:val="en-US" w:eastAsia="zh-CN" w:bidi="ar"/>
                <w14:textFill>
                  <w14:solidFill>
                    <w14:schemeClr w14:val="tx1"/>
                  </w14:solidFill>
                </w14:textFill>
              </w:rPr>
              <w:t>由厂家回收带走。</w:t>
            </w:r>
            <w:r>
              <w:rPr>
                <w:rFonts w:hint="default" w:ascii="Times New Roman" w:hAnsi="Times New Roman" w:cs="Times New Roman"/>
                <w:color w:val="000000" w:themeColor="text1"/>
                <w:sz w:val="24"/>
                <w:lang w:bidi="ar"/>
                <w14:textFill>
                  <w14:solidFill>
                    <w14:schemeClr w14:val="tx1"/>
                  </w14:solidFill>
                </w14:textFill>
              </w:rPr>
              <w:t>危险废物</w:t>
            </w:r>
            <w:r>
              <w:rPr>
                <w:rFonts w:hint="default" w:ascii="Times New Roman" w:hAnsi="Times New Roman" w:cs="Times New Roman"/>
                <w:color w:val="000000" w:themeColor="text1"/>
                <w:sz w:val="24"/>
                <w:lang w:val="en-US" w:eastAsia="zh-CN" w:bidi="ar"/>
                <w14:textFill>
                  <w14:solidFill>
                    <w14:schemeClr w14:val="tx1"/>
                  </w14:solidFill>
                </w14:textFill>
              </w:rPr>
              <w:t>暂存于</w:t>
            </w:r>
            <w:r>
              <w:rPr>
                <w:rFonts w:hint="default" w:ascii="Times New Roman" w:hAnsi="Times New Roman" w:cs="Times New Roman"/>
                <w:color w:val="000000" w:themeColor="text1"/>
                <w:sz w:val="24"/>
                <w:lang w:bidi="ar"/>
                <w14:textFill>
                  <w14:solidFill>
                    <w14:schemeClr w14:val="tx1"/>
                  </w14:solidFill>
                </w14:textFill>
              </w:rPr>
              <w:t>危废暂存间，定期交由有资质的单位进行</w:t>
            </w:r>
            <w:r>
              <w:rPr>
                <w:rFonts w:hint="default" w:ascii="Times New Roman" w:hAnsi="Times New Roman" w:cs="Times New Roman"/>
                <w:color w:val="000000" w:themeColor="text1"/>
                <w:sz w:val="24"/>
                <w:lang w:eastAsia="zh-CN" w:bidi="ar"/>
                <w14:textFill>
                  <w14:solidFill>
                    <w14:schemeClr w14:val="tx1"/>
                  </w14:solidFill>
                </w14:textFill>
              </w:rPr>
              <w:t>处理</w:t>
            </w:r>
            <w:bookmarkEnd w:id="5"/>
            <w:r>
              <w:rPr>
                <w:rFonts w:hint="default" w:ascii="Times New Roman" w:hAnsi="Times New Roman" w:cs="Times New Roman"/>
                <w:color w:val="000000" w:themeColor="text1"/>
                <w:sz w:val="24"/>
                <w:lang w:bidi="ar"/>
                <w14:textFill>
                  <w14:solidFill>
                    <w14:schemeClr w14:val="tx1"/>
                  </w14:solidFill>
                </w14:textFill>
              </w:rPr>
              <w:t>。</w:t>
            </w:r>
          </w:p>
          <w:p w14:paraId="141A28B5">
            <w:pPr>
              <w:adjustRightInd w:val="0"/>
              <w:snapToGrid w:val="0"/>
              <w:spacing w:line="360" w:lineRule="auto"/>
              <w:ind w:firstLine="480" w:firstLineChars="200"/>
              <w:jc w:val="left"/>
              <w:rPr>
                <w:rFonts w:hint="default" w:ascii="Times New Roman" w:hAnsi="Times New Roman" w:cs="Times New Roman"/>
                <w:bCs/>
                <w:color w:val="000000" w:themeColor="text1"/>
                <w:sz w:val="24"/>
                <w:lang w:bidi="ar"/>
                <w14:textFill>
                  <w14:solidFill>
                    <w14:schemeClr w14:val="tx1"/>
                  </w14:solidFill>
                </w14:textFill>
              </w:rPr>
            </w:pPr>
            <w:r>
              <w:rPr>
                <w:rFonts w:hint="default" w:ascii="Times New Roman" w:hAnsi="Times New Roman" w:cs="Times New Roman"/>
                <w:color w:val="000000" w:themeColor="text1"/>
                <w:kern w:val="0"/>
                <w:sz w:val="24"/>
                <w14:textFill>
                  <w14:solidFill>
                    <w14:schemeClr w14:val="tx1"/>
                  </w14:solidFill>
                </w14:textFill>
              </w:rPr>
              <w:t>1）一般工业废物应执行《中华人民共和国固体废物污染环境防治法》中的有关规定，</w:t>
            </w:r>
            <w:r>
              <w:rPr>
                <w:rFonts w:hint="default" w:ascii="Times New Roman" w:hAnsi="Times New Roman" w:cs="Times New Roman"/>
                <w:color w:val="000000" w:themeColor="text1"/>
                <w:sz w:val="24"/>
                <w14:textFill>
                  <w14:solidFill>
                    <w14:schemeClr w14:val="tx1"/>
                  </w14:solidFill>
                </w14:textFill>
              </w:rPr>
              <w:t>采用库房、包装工具（罐、桶、包装袋等）贮存一般工业固体废物过程的污染控制，其贮存过程应满足相应防渗漏、防雨淋、防扬尘等环境保护要求</w:t>
            </w:r>
            <w:r>
              <w:rPr>
                <w:rFonts w:hint="default" w:ascii="Times New Roman" w:hAnsi="Times New Roman" w:cs="Times New Roman"/>
                <w:bCs/>
                <w:color w:val="000000" w:themeColor="text1"/>
                <w:sz w:val="24"/>
                <w:lang w:bidi="ar"/>
                <w14:textFill>
                  <w14:solidFill>
                    <w14:schemeClr w14:val="tx1"/>
                  </w14:solidFill>
                </w14:textFill>
              </w:rPr>
              <w:t>。</w:t>
            </w:r>
            <w:r>
              <w:rPr>
                <w:rFonts w:hint="default" w:ascii="Times New Roman" w:hAnsi="Times New Roman" w:cs="Times New Roman"/>
                <w:color w:val="000000" w:themeColor="text1"/>
                <w:kern w:val="0"/>
                <w:sz w:val="24"/>
                <w14:textFill>
                  <w14:solidFill>
                    <w14:schemeClr w14:val="tx1"/>
                  </w14:solidFill>
                </w14:textFill>
              </w:rPr>
              <w:t>各类废物可分类收集、定点堆放在厂区内专设区域，同时定期外运处理，作为物资回收再利用。</w:t>
            </w:r>
          </w:p>
          <w:p w14:paraId="65FF7115">
            <w:pPr>
              <w:widowControl/>
              <w:spacing w:line="360" w:lineRule="auto"/>
              <w:ind w:firstLine="482"/>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snapToGrid w:val="0"/>
                <w:color w:val="000000" w:themeColor="text1"/>
                <w:sz w:val="24"/>
                <w:lang w:bidi="ar"/>
                <w14:textFill>
                  <w14:solidFill>
                    <w14:schemeClr w14:val="tx1"/>
                  </w14:solidFill>
                </w14:textFill>
              </w:rPr>
              <w:t>2）危险废物贮存应</w:t>
            </w:r>
            <w:r>
              <w:rPr>
                <w:rFonts w:hint="default" w:ascii="Times New Roman" w:hAnsi="Times New Roman" w:cs="Times New Roman"/>
                <w:snapToGrid w:val="0"/>
                <w:color w:val="000000" w:themeColor="text1"/>
                <w:sz w:val="24"/>
                <w:lang w:eastAsia="zh-CN" w:bidi="ar"/>
                <w14:textFill>
                  <w14:solidFill>
                    <w14:schemeClr w14:val="tx1"/>
                  </w14:solidFill>
                </w14:textFill>
              </w:rPr>
              <w:t>按照</w:t>
            </w:r>
            <w:r>
              <w:rPr>
                <w:rFonts w:hint="default" w:ascii="Times New Roman" w:hAnsi="Times New Roman" w:cs="Times New Roman"/>
                <w:color w:val="000000" w:themeColor="text1"/>
                <w:sz w:val="24"/>
                <w:lang w:bidi="ar"/>
                <w14:textFill>
                  <w14:solidFill>
                    <w14:schemeClr w14:val="tx1"/>
                  </w14:solidFill>
                </w14:textFill>
              </w:rPr>
              <w:t>危险废物收集、贮存及运输过程</w:t>
            </w:r>
            <w:r>
              <w:rPr>
                <w:rFonts w:hint="default" w:ascii="Times New Roman" w:hAnsi="Times New Roman" w:cs="Times New Roman"/>
                <w:color w:val="000000" w:themeColor="text1"/>
                <w:sz w:val="24"/>
                <w:lang w:eastAsia="zh-CN" w:bidi="ar"/>
                <w14:textFill>
                  <w14:solidFill>
                    <w14:schemeClr w14:val="tx1"/>
                  </w14:solidFill>
                </w14:textFill>
              </w:rPr>
              <w:t>，</w:t>
            </w:r>
            <w:r>
              <w:rPr>
                <w:rFonts w:hint="default" w:ascii="Times New Roman" w:hAnsi="Times New Roman" w:cs="Times New Roman"/>
                <w:color w:val="000000" w:themeColor="text1"/>
                <w:sz w:val="24"/>
                <w:lang w:bidi="ar"/>
                <w14:textFill>
                  <w14:solidFill>
                    <w14:schemeClr w14:val="tx1"/>
                  </w14:solidFill>
                </w14:textFill>
              </w:rPr>
              <w:t>执行《危险废物收集贮存运输技术规范》（HJ</w:t>
            </w:r>
            <w:r>
              <w:rPr>
                <w:rFonts w:hint="default" w:ascii="Times New Roman" w:hAnsi="Times New Roman" w:cs="Times New Roman"/>
                <w:color w:val="000000" w:themeColor="text1"/>
                <w:sz w:val="24"/>
                <w:lang w:val="en-US" w:eastAsia="zh-CN" w:bidi="ar"/>
                <w14:textFill>
                  <w14:solidFill>
                    <w14:schemeClr w14:val="tx1"/>
                  </w14:solidFill>
                </w14:textFill>
              </w:rPr>
              <w:t xml:space="preserve"> </w:t>
            </w:r>
            <w:r>
              <w:rPr>
                <w:rFonts w:hint="default" w:ascii="Times New Roman" w:hAnsi="Times New Roman" w:cs="Times New Roman"/>
                <w:color w:val="000000" w:themeColor="text1"/>
                <w:sz w:val="24"/>
                <w:lang w:bidi="ar"/>
                <w14:textFill>
                  <w14:solidFill>
                    <w14:schemeClr w14:val="tx1"/>
                  </w14:solidFill>
                </w14:textFill>
              </w:rPr>
              <w:t>2025-2012）</w:t>
            </w:r>
            <w:r>
              <w:rPr>
                <w:rFonts w:hint="default" w:ascii="Times New Roman" w:hAnsi="Times New Roman" w:cs="Times New Roman"/>
                <w:color w:val="000000" w:themeColor="text1"/>
                <w:sz w:val="24"/>
                <w:lang w:eastAsia="zh-CN" w:bidi="ar"/>
                <w14:textFill>
                  <w14:solidFill>
                    <w14:schemeClr w14:val="tx1"/>
                  </w14:solidFill>
                </w14:textFill>
              </w:rPr>
              <w:t>及</w:t>
            </w:r>
            <w:r>
              <w:rPr>
                <w:rFonts w:hint="default" w:ascii="Times New Roman" w:hAnsi="Times New Roman" w:cs="Times New Roman"/>
                <w:color w:val="000000" w:themeColor="text1"/>
                <w:sz w:val="24"/>
                <w:lang w:bidi="ar"/>
                <w14:textFill>
                  <w14:solidFill>
                    <w14:schemeClr w14:val="tx1"/>
                  </w14:solidFill>
                </w14:textFill>
              </w:rPr>
              <w:t>《危险废物贮存污染控制标准》</w:t>
            </w:r>
            <w:r>
              <w:rPr>
                <w:rFonts w:hint="default" w:ascii="Times New Roman" w:hAnsi="Times New Roman" w:cs="Times New Roman"/>
                <w:color w:val="000000" w:themeColor="text1"/>
                <w:sz w:val="24"/>
                <w:lang w:eastAsia="zh-CN" w:bidi="ar"/>
                <w14:textFill>
                  <w14:solidFill>
                    <w14:schemeClr w14:val="tx1"/>
                  </w14:solidFill>
                </w14:textFill>
              </w:rPr>
              <w:t>（GB 18597-2023）</w:t>
            </w:r>
            <w:r>
              <w:rPr>
                <w:rFonts w:hint="default" w:ascii="Times New Roman" w:hAnsi="Times New Roman" w:cs="Times New Roman"/>
                <w:bCs/>
                <w:color w:val="000000" w:themeColor="text1"/>
                <w:sz w:val="24"/>
                <w:lang w:bidi="ar"/>
                <w14:textFill>
                  <w14:solidFill>
                    <w14:schemeClr w14:val="tx1"/>
                  </w14:solidFill>
                </w14:textFill>
              </w:rPr>
              <w:t>中的相关</w:t>
            </w:r>
            <w:r>
              <w:rPr>
                <w:rFonts w:hint="default" w:ascii="Times New Roman" w:hAnsi="Times New Roman" w:cs="Times New Roman"/>
                <w:bCs/>
                <w:color w:val="000000" w:themeColor="text1"/>
                <w:sz w:val="24"/>
                <w:lang w:eastAsia="zh-CN" w:bidi="ar"/>
                <w14:textFill>
                  <w14:solidFill>
                    <w14:schemeClr w14:val="tx1"/>
                  </w14:solidFill>
                </w14:textFill>
              </w:rPr>
              <w:t>规定</w:t>
            </w:r>
            <w:r>
              <w:rPr>
                <w:rFonts w:hint="default" w:ascii="Times New Roman" w:hAnsi="Times New Roman" w:cs="Times New Roman"/>
                <w:color w:val="000000" w:themeColor="text1"/>
                <w:sz w:val="24"/>
                <w:lang w:bidi="ar"/>
                <w14:textFill>
                  <w14:solidFill>
                    <w14:schemeClr w14:val="tx1"/>
                  </w14:solidFill>
                </w14:textFill>
              </w:rPr>
              <w:t>。本项目将产生的危险废物</w:t>
            </w:r>
            <w:r>
              <w:rPr>
                <w:rFonts w:hint="default" w:ascii="Times New Roman" w:hAnsi="Times New Roman" w:cs="Times New Roman"/>
                <w:color w:val="000000" w:themeColor="text1"/>
                <w:sz w:val="24"/>
                <w:lang w:val="en-US" w:eastAsia="zh-CN" w:bidi="ar"/>
                <w14:textFill>
                  <w14:solidFill>
                    <w14:schemeClr w14:val="tx1"/>
                  </w14:solidFill>
                </w14:textFill>
              </w:rPr>
              <w:t>暂存于</w:t>
            </w:r>
            <w:r>
              <w:rPr>
                <w:rFonts w:hint="default" w:ascii="Times New Roman" w:hAnsi="Times New Roman" w:cs="Times New Roman"/>
                <w:color w:val="000000" w:themeColor="text1"/>
                <w:sz w:val="24"/>
                <w:lang w:bidi="ar"/>
                <w14:textFill>
                  <w14:solidFill>
                    <w14:schemeClr w14:val="tx1"/>
                  </w14:solidFill>
                </w14:textFill>
              </w:rPr>
              <w:t>危废暂存间，《中华人民共和国固体废物污染环境防治法》规定：对于危险废物，企业应按照国家有关规定进行申报登记，执行联单制度；对危险废物的容器和包装物以及收集、储存、运输、处置危险废物的设施、场所必须设置危险废物识别标志。另据《危险废物贮存污染控制标准》</w:t>
            </w:r>
            <w:r>
              <w:rPr>
                <w:rFonts w:hint="default" w:ascii="Times New Roman" w:hAnsi="Times New Roman" w:cs="Times New Roman"/>
                <w:color w:val="000000" w:themeColor="text1"/>
                <w:sz w:val="24"/>
                <w:lang w:eastAsia="zh-CN" w:bidi="ar"/>
                <w14:textFill>
                  <w14:solidFill>
                    <w14:schemeClr w14:val="tx1"/>
                  </w14:solidFill>
                </w14:textFill>
              </w:rPr>
              <w:t>（</w:t>
            </w:r>
            <w:r>
              <w:rPr>
                <w:rFonts w:hint="default" w:ascii="Times New Roman" w:hAnsi="Times New Roman" w:cs="Times New Roman"/>
                <w:color w:val="000000" w:themeColor="text1"/>
                <w:sz w:val="24"/>
                <w:lang w:bidi="ar"/>
                <w14:textFill>
                  <w14:solidFill>
                    <w14:schemeClr w14:val="tx1"/>
                  </w14:solidFill>
                </w14:textFill>
              </w:rPr>
              <w:t>GB</w:t>
            </w:r>
            <w:r>
              <w:rPr>
                <w:rFonts w:hint="default" w:ascii="Times New Roman" w:hAnsi="Times New Roman" w:cs="Times New Roman"/>
                <w:color w:val="000000" w:themeColor="text1"/>
                <w:sz w:val="24"/>
                <w:lang w:val="en-US" w:eastAsia="zh-CN" w:bidi="ar"/>
                <w14:textFill>
                  <w14:solidFill>
                    <w14:schemeClr w14:val="tx1"/>
                  </w14:solidFill>
                </w14:textFill>
              </w:rPr>
              <w:t xml:space="preserve"> </w:t>
            </w:r>
            <w:r>
              <w:rPr>
                <w:rFonts w:hint="default" w:ascii="Times New Roman" w:hAnsi="Times New Roman" w:cs="Times New Roman"/>
                <w:color w:val="000000" w:themeColor="text1"/>
                <w:sz w:val="24"/>
                <w:lang w:bidi="ar"/>
                <w14:textFill>
                  <w14:solidFill>
                    <w14:schemeClr w14:val="tx1"/>
                  </w14:solidFill>
                </w14:textFill>
              </w:rPr>
              <w:t>18597-20</w:t>
            </w:r>
            <w:r>
              <w:rPr>
                <w:rFonts w:hint="default" w:ascii="Times New Roman" w:hAnsi="Times New Roman" w:cs="Times New Roman"/>
                <w:color w:val="000000" w:themeColor="text1"/>
                <w:sz w:val="24"/>
                <w:lang w:val="en-US" w:eastAsia="zh-CN" w:bidi="ar"/>
                <w14:textFill>
                  <w14:solidFill>
                    <w14:schemeClr w14:val="tx1"/>
                  </w14:solidFill>
                </w14:textFill>
              </w:rPr>
              <w:t>23</w:t>
            </w:r>
            <w:r>
              <w:rPr>
                <w:rFonts w:hint="default" w:ascii="Times New Roman" w:hAnsi="Times New Roman" w:cs="Times New Roman"/>
                <w:color w:val="000000" w:themeColor="text1"/>
                <w:sz w:val="24"/>
                <w:lang w:eastAsia="zh-CN" w:bidi="ar"/>
                <w14:textFill>
                  <w14:solidFill>
                    <w14:schemeClr w14:val="tx1"/>
                  </w14:solidFill>
                </w14:textFill>
              </w:rPr>
              <w:t>）</w:t>
            </w:r>
            <w:r>
              <w:rPr>
                <w:rFonts w:hint="default" w:ascii="Times New Roman" w:hAnsi="Times New Roman" w:cs="Times New Roman"/>
                <w:color w:val="000000" w:themeColor="text1"/>
                <w:sz w:val="24"/>
                <w:lang w:bidi="ar"/>
                <w14:textFill>
                  <w14:solidFill>
                    <w14:schemeClr w14:val="tx1"/>
                  </w14:solidFill>
                </w14:textFill>
              </w:rPr>
              <w:t>中的规定，危险废物要有专门的容器进行分类贮存，装载危险废物的容器及材质要满足相应的强度要求；必须定期对所贮存的危险废物包装容器及贮存设施进行检查，发现破损，应及时采取措施清理更换；危险废物贮存</w:t>
            </w:r>
            <w:r>
              <w:rPr>
                <w:rFonts w:hint="default" w:ascii="Times New Roman" w:hAnsi="Times New Roman" w:cs="Times New Roman"/>
                <w:color w:val="000000" w:themeColor="text1"/>
                <w:sz w:val="24"/>
                <w:lang w:eastAsia="zh-CN" w:bidi="ar"/>
                <w14:textFill>
                  <w14:solidFill>
                    <w14:schemeClr w14:val="tx1"/>
                  </w14:solidFill>
                </w14:textFill>
              </w:rPr>
              <w:t>设施</w:t>
            </w:r>
            <w:r>
              <w:rPr>
                <w:rFonts w:hint="default" w:ascii="Times New Roman" w:hAnsi="Times New Roman" w:cs="Times New Roman"/>
                <w:color w:val="000000" w:themeColor="text1"/>
                <w:sz w:val="24"/>
                <w:lang w:bidi="ar"/>
                <w14:textFill>
                  <w14:solidFill>
                    <w14:schemeClr w14:val="tx1"/>
                  </w14:solidFill>
                </w14:textFill>
              </w:rPr>
              <w:t>必须按GB</w:t>
            </w:r>
            <w:r>
              <w:rPr>
                <w:rFonts w:hint="default" w:ascii="Times New Roman" w:hAnsi="Times New Roman" w:cs="Times New Roman"/>
                <w:color w:val="000000" w:themeColor="text1"/>
                <w:sz w:val="24"/>
                <w:lang w:val="en-US" w:eastAsia="zh-CN" w:bidi="ar"/>
                <w14:textFill>
                  <w14:solidFill>
                    <w14:schemeClr w14:val="tx1"/>
                  </w14:solidFill>
                </w14:textFill>
              </w:rPr>
              <w:t xml:space="preserve"> </w:t>
            </w:r>
            <w:r>
              <w:rPr>
                <w:rFonts w:hint="default" w:ascii="Times New Roman" w:hAnsi="Times New Roman" w:cs="Times New Roman"/>
                <w:color w:val="000000" w:themeColor="text1"/>
                <w:sz w:val="24"/>
                <w:lang w:bidi="ar"/>
                <w14:textFill>
                  <w14:solidFill>
                    <w14:schemeClr w14:val="tx1"/>
                  </w14:solidFill>
                </w14:textFill>
              </w:rPr>
              <w:t>15562.2的规定设置警示标志；管理及运输人员必须采取必要的安全防护措施。</w:t>
            </w:r>
          </w:p>
          <w:p w14:paraId="62357D19">
            <w:pPr>
              <w:widowControl/>
              <w:spacing w:line="360" w:lineRule="auto"/>
              <w:ind w:firstLine="482"/>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lang w:bidi="ar"/>
                <w14:textFill>
                  <w14:solidFill>
                    <w14:schemeClr w14:val="tx1"/>
                  </w14:solidFill>
                </w14:textFill>
              </w:rPr>
              <w:t>A</w:t>
            </w:r>
            <w:r>
              <w:rPr>
                <w:rFonts w:hint="default" w:ascii="Times New Roman" w:hAnsi="Times New Roman" w:cs="Times New Roman"/>
                <w:color w:val="000000" w:themeColor="text1"/>
                <w:sz w:val="24"/>
                <w:lang w:eastAsia="zh-CN" w:bidi="ar"/>
                <w14:textFill>
                  <w14:solidFill>
                    <w14:schemeClr w14:val="tx1"/>
                  </w14:solidFill>
                </w14:textFill>
              </w:rPr>
              <w:t>.</w:t>
            </w:r>
            <w:r>
              <w:rPr>
                <w:rFonts w:hint="default" w:ascii="Times New Roman" w:hAnsi="Times New Roman" w:cs="Times New Roman"/>
                <w:color w:val="000000" w:themeColor="text1"/>
                <w:sz w:val="24"/>
                <w:lang w:bidi="ar"/>
                <w14:textFill>
                  <w14:solidFill>
                    <w14:schemeClr w14:val="tx1"/>
                  </w14:solidFill>
                </w14:textFill>
              </w:rPr>
              <w:t>本项目危废</w:t>
            </w:r>
            <w:r>
              <w:rPr>
                <w:rFonts w:hint="default" w:ascii="Times New Roman" w:hAnsi="Times New Roman" w:cs="Times New Roman"/>
                <w:color w:val="000000" w:themeColor="text1"/>
                <w:sz w:val="24"/>
                <w:lang w:eastAsia="zh-CN" w:bidi="ar"/>
                <w14:textFill>
                  <w14:solidFill>
                    <w14:schemeClr w14:val="tx1"/>
                  </w14:solidFill>
                </w14:textFill>
              </w:rPr>
              <w:t>暂存</w:t>
            </w:r>
            <w:r>
              <w:rPr>
                <w:rFonts w:hint="default" w:ascii="Times New Roman" w:hAnsi="Times New Roman" w:cs="Times New Roman"/>
                <w:color w:val="000000" w:themeColor="text1"/>
                <w:sz w:val="24"/>
                <w:lang w:bidi="ar"/>
                <w14:textFill>
                  <w14:solidFill>
                    <w14:schemeClr w14:val="tx1"/>
                  </w14:solidFill>
                </w14:textFill>
              </w:rPr>
              <w:t>间地面与裙角要用坚固、防渗的材料</w:t>
            </w:r>
            <w:r>
              <w:rPr>
                <w:rFonts w:hint="default" w:ascii="Times New Roman" w:hAnsi="Times New Roman" w:cs="Times New Roman"/>
                <w:color w:val="000000" w:themeColor="text1"/>
                <w:sz w:val="24"/>
                <w:lang w:eastAsia="zh-CN" w:bidi="ar"/>
                <w14:textFill>
                  <w14:solidFill>
                    <w14:schemeClr w14:val="tx1"/>
                  </w14:solidFill>
                </w14:textFill>
              </w:rPr>
              <w:t>建造</w:t>
            </w:r>
            <w:r>
              <w:rPr>
                <w:rFonts w:hint="default" w:ascii="Times New Roman" w:hAnsi="Times New Roman" w:cs="Times New Roman"/>
                <w:color w:val="000000" w:themeColor="text1"/>
                <w:sz w:val="24"/>
                <w:lang w:bidi="ar"/>
                <w14:textFill>
                  <w14:solidFill>
                    <w14:schemeClr w14:val="tx1"/>
                  </w14:solidFill>
                </w14:textFill>
              </w:rPr>
              <w:t>，</w:t>
            </w:r>
            <w:r>
              <w:rPr>
                <w:rFonts w:hint="default" w:ascii="Times New Roman" w:hAnsi="Times New Roman" w:cs="Times New Roman"/>
                <w:color w:val="000000" w:themeColor="text1"/>
                <w:sz w:val="24"/>
                <w:lang w:eastAsia="zh-CN" w:bidi="ar"/>
                <w14:textFill>
                  <w14:solidFill>
                    <w14:schemeClr w14:val="tx1"/>
                  </w14:solidFill>
                </w14:textFill>
              </w:rPr>
              <w:t>并且材料</w:t>
            </w:r>
            <w:r>
              <w:rPr>
                <w:rFonts w:hint="default" w:ascii="Times New Roman" w:hAnsi="Times New Roman" w:cs="Times New Roman"/>
                <w:color w:val="000000" w:themeColor="text1"/>
                <w:sz w:val="24"/>
                <w:lang w:bidi="ar"/>
                <w14:textFill>
                  <w14:solidFill>
                    <w14:schemeClr w14:val="tx1"/>
                  </w14:solidFill>
                </w14:textFill>
              </w:rPr>
              <w:t>必须与危险废物相容；内部</w:t>
            </w:r>
            <w:r>
              <w:rPr>
                <w:rFonts w:hint="default" w:ascii="Times New Roman" w:hAnsi="Times New Roman" w:cs="Times New Roman"/>
                <w:color w:val="000000" w:themeColor="text1"/>
                <w:sz w:val="24"/>
                <w:lang w:eastAsia="zh-CN" w:bidi="ar"/>
                <w14:textFill>
                  <w14:solidFill>
                    <w14:schemeClr w14:val="tx1"/>
                  </w14:solidFill>
                </w14:textFill>
              </w:rPr>
              <w:t>应有</w:t>
            </w:r>
            <w:r>
              <w:rPr>
                <w:rFonts w:hint="default" w:ascii="Times New Roman" w:hAnsi="Times New Roman" w:cs="Times New Roman"/>
                <w:color w:val="000000" w:themeColor="text1"/>
                <w:sz w:val="24"/>
                <w:lang w:bidi="ar"/>
                <w14:textFill>
                  <w14:solidFill>
                    <w14:schemeClr w14:val="tx1"/>
                  </w14:solidFill>
                </w14:textFill>
              </w:rPr>
              <w:t>安全照明设施和观察窗口；内部场地要有耐腐蚀的硬化地面且表面无裂隙；不相容的危险废物必须分开存放并设有隔离</w:t>
            </w:r>
            <w:r>
              <w:rPr>
                <w:rFonts w:hint="default" w:ascii="Times New Roman" w:hAnsi="Times New Roman" w:cs="Times New Roman"/>
                <w:color w:val="000000" w:themeColor="text1"/>
                <w:sz w:val="24"/>
                <w:lang w:eastAsia="zh-CN" w:bidi="ar"/>
                <w14:textFill>
                  <w14:solidFill>
                    <w14:schemeClr w14:val="tx1"/>
                  </w14:solidFill>
                </w14:textFill>
              </w:rPr>
              <w:t>间</w:t>
            </w:r>
            <w:r>
              <w:rPr>
                <w:rFonts w:hint="default" w:ascii="Times New Roman" w:hAnsi="Times New Roman" w:cs="Times New Roman"/>
                <w:color w:val="000000" w:themeColor="text1"/>
                <w:sz w:val="24"/>
                <w:lang w:bidi="ar"/>
                <w14:textFill>
                  <w14:solidFill>
                    <w14:schemeClr w14:val="tx1"/>
                  </w14:solidFill>
                </w14:textFill>
              </w:rPr>
              <w:t>；地面应进行防渗（推荐方法：混凝土地面用环氧树脂处理或铺设一层2mm高密度聚乙烯后再铺设厚瓷砖或</w:t>
            </w:r>
            <w:r>
              <w:rPr>
                <w:rFonts w:hint="default" w:ascii="Times New Roman" w:hAnsi="Times New Roman" w:cs="Times New Roman"/>
                <w:color w:val="000000" w:themeColor="text1"/>
                <w:sz w:val="24"/>
                <w14:textFill>
                  <w14:solidFill>
                    <w14:schemeClr w14:val="tx1"/>
                  </w14:solidFill>
                </w14:textFill>
              </w:rPr>
              <w:t>防渗层至少1m厚粘土层，渗透系数≦1.0×10</w:t>
            </w:r>
            <w:r>
              <w:rPr>
                <w:rFonts w:hint="default" w:ascii="Times New Roman" w:hAnsi="Times New Roman" w:cs="Times New Roman"/>
                <w:color w:val="000000" w:themeColor="text1"/>
                <w:sz w:val="24"/>
                <w:vertAlign w:val="superscript"/>
                <w14:textFill>
                  <w14:solidFill>
                    <w14:schemeClr w14:val="tx1"/>
                  </w14:solidFill>
                </w14:textFill>
              </w:rPr>
              <w:t>-7</w:t>
            </w:r>
            <w:r>
              <w:rPr>
                <w:rFonts w:hint="default" w:ascii="Times New Roman" w:hAnsi="Times New Roman" w:cs="Times New Roman"/>
                <w:color w:val="000000" w:themeColor="text1"/>
                <w:sz w:val="24"/>
                <w14:textFill>
                  <w14:solidFill>
                    <w14:schemeClr w14:val="tx1"/>
                  </w14:solidFill>
                </w14:textFill>
              </w:rPr>
              <w:t>cm/s，或至少2mm厚其他人工材料，渗透系数≦1.0×10</w:t>
            </w:r>
            <w:r>
              <w:rPr>
                <w:rFonts w:hint="default" w:ascii="Times New Roman" w:hAnsi="Times New Roman" w:cs="Times New Roman"/>
                <w:color w:val="000000" w:themeColor="text1"/>
                <w:sz w:val="24"/>
                <w:vertAlign w:val="superscript"/>
                <w14:textFill>
                  <w14:solidFill>
                    <w14:schemeClr w14:val="tx1"/>
                  </w14:solidFill>
                </w14:textFill>
              </w:rPr>
              <w:t>-10</w:t>
            </w:r>
            <w:r>
              <w:rPr>
                <w:rFonts w:hint="default" w:ascii="Times New Roman" w:hAnsi="Times New Roman" w:cs="Times New Roman"/>
                <w:color w:val="000000" w:themeColor="text1"/>
                <w:sz w:val="24"/>
                <w14:textFill>
                  <w14:solidFill>
                    <w14:schemeClr w14:val="tx1"/>
                  </w14:solidFill>
                </w14:textFill>
              </w:rPr>
              <w:t>cm/s</w:t>
            </w:r>
            <w:r>
              <w:rPr>
                <w:rFonts w:hint="default" w:ascii="Times New Roman" w:hAnsi="Times New Roman" w:cs="Times New Roman"/>
                <w:color w:val="000000" w:themeColor="text1"/>
                <w:sz w:val="24"/>
                <w:lang w:bidi="ar"/>
                <w14:textFill>
                  <w14:solidFill>
                    <w14:schemeClr w14:val="tx1"/>
                  </w14:solidFill>
                </w14:textFill>
              </w:rPr>
              <w:t>）；不相容的危险废物必须分开存放并设有隔离间隔离，</w:t>
            </w:r>
            <w:r>
              <w:rPr>
                <w:rFonts w:hint="default" w:ascii="Times New Roman" w:hAnsi="Times New Roman" w:cs="Times New Roman"/>
                <w:color w:val="000000" w:themeColor="text1"/>
                <w:sz w:val="24"/>
                <w14:textFill>
                  <w14:solidFill>
                    <w14:schemeClr w14:val="tx1"/>
                  </w14:solidFill>
                </w14:textFill>
              </w:rPr>
              <w:t>设备维护产生的</w:t>
            </w:r>
            <w:r>
              <w:rPr>
                <w:rFonts w:hint="default" w:ascii="Times New Roman" w:hAnsi="Times New Roman" w:cs="Times New Roman"/>
                <w:color w:val="000000" w:themeColor="text1"/>
                <w:sz w:val="24"/>
                <w:lang w:eastAsia="zh-CN"/>
                <w14:textFill>
                  <w14:solidFill>
                    <w14:schemeClr w14:val="tx1"/>
                  </w14:solidFill>
                </w14:textFill>
              </w:rPr>
              <w:t>废空压机油</w:t>
            </w:r>
            <w:r>
              <w:rPr>
                <w:rFonts w:hint="default" w:ascii="Times New Roman" w:hAnsi="Times New Roman" w:cs="Times New Roman"/>
                <w:color w:val="000000" w:themeColor="text1"/>
                <w:sz w:val="24"/>
                <w14:textFill>
                  <w14:solidFill>
                    <w14:schemeClr w14:val="tx1"/>
                  </w14:solidFill>
                </w14:textFill>
              </w:rPr>
              <w:t>均采用专用容器进行收集，放置</w:t>
            </w:r>
            <w:r>
              <w:rPr>
                <w:rFonts w:hint="default" w:ascii="Times New Roman" w:hAnsi="Times New Roman" w:cs="Times New Roman"/>
                <w:color w:val="000000" w:themeColor="text1"/>
                <w:sz w:val="24"/>
                <w:lang w:eastAsia="zh-CN"/>
                <w14:textFill>
                  <w14:solidFill>
                    <w14:schemeClr w14:val="tx1"/>
                  </w14:solidFill>
                </w14:textFill>
              </w:rPr>
              <w:t>在危</w:t>
            </w:r>
            <w:r>
              <w:rPr>
                <w:rFonts w:hint="default" w:ascii="Times New Roman" w:hAnsi="Times New Roman" w:cs="Times New Roman"/>
                <w:color w:val="000000" w:themeColor="text1"/>
                <w:sz w:val="24"/>
                <w14:textFill>
                  <w14:solidFill>
                    <w14:schemeClr w14:val="tx1"/>
                  </w14:solidFill>
                </w14:textFill>
              </w:rPr>
              <w:t>废暂存间，</w:t>
            </w:r>
            <w:r>
              <w:rPr>
                <w:rFonts w:hint="default" w:ascii="Times New Roman" w:hAnsi="Times New Roman" w:cs="Times New Roman"/>
                <w:color w:val="000000" w:themeColor="text1"/>
                <w:sz w:val="24"/>
                <w:lang w:eastAsia="zh-CN"/>
                <w14:textFill>
                  <w14:solidFill>
                    <w14:schemeClr w14:val="tx1"/>
                  </w14:solidFill>
                </w14:textFill>
              </w:rPr>
              <w:t>并设立</w:t>
            </w:r>
            <w:r>
              <w:rPr>
                <w:rFonts w:hint="default" w:ascii="Times New Roman" w:hAnsi="Times New Roman" w:cs="Times New Roman"/>
                <w:color w:val="000000" w:themeColor="text1"/>
                <w:sz w:val="24"/>
                <w14:textFill>
                  <w14:solidFill>
                    <w14:schemeClr w14:val="tx1"/>
                  </w14:solidFill>
                </w14:textFill>
              </w:rPr>
              <w:t>危险废物</w:t>
            </w:r>
            <w:r>
              <w:rPr>
                <w:rFonts w:hint="default" w:ascii="Times New Roman" w:hAnsi="Times New Roman" w:cs="Times New Roman"/>
                <w:color w:val="000000" w:themeColor="text1"/>
                <w:sz w:val="24"/>
                <w:lang w:eastAsia="zh-CN"/>
                <w14:textFill>
                  <w14:solidFill>
                    <w14:schemeClr w14:val="tx1"/>
                  </w14:solidFill>
                </w14:textFill>
              </w:rPr>
              <w:t>标识</w:t>
            </w:r>
            <w:r>
              <w:rPr>
                <w:rFonts w:hint="default" w:ascii="Times New Roman" w:hAnsi="Times New Roman" w:cs="Times New Roman"/>
                <w:color w:val="000000" w:themeColor="text1"/>
                <w:sz w:val="24"/>
                <w:lang w:bidi="ar"/>
                <w14:textFill>
                  <w14:solidFill>
                    <w14:schemeClr w14:val="tx1"/>
                  </w14:solidFill>
                </w14:textFill>
              </w:rPr>
              <w:t>。</w:t>
            </w:r>
          </w:p>
          <w:p w14:paraId="110C2829">
            <w:pPr>
              <w:widowControl/>
              <w:spacing w:line="360" w:lineRule="auto"/>
              <w:ind w:firstLine="482"/>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lang w:bidi="ar"/>
                <w14:textFill>
                  <w14:solidFill>
                    <w14:schemeClr w14:val="tx1"/>
                  </w14:solidFill>
                </w14:textFill>
              </w:rPr>
              <w:t>B</w:t>
            </w:r>
            <w:r>
              <w:rPr>
                <w:rFonts w:hint="default" w:ascii="Times New Roman" w:hAnsi="Times New Roman" w:cs="Times New Roman"/>
                <w:color w:val="000000" w:themeColor="text1"/>
                <w:sz w:val="24"/>
                <w:lang w:eastAsia="zh-CN" w:bidi="ar"/>
                <w14:textFill>
                  <w14:solidFill>
                    <w14:schemeClr w14:val="tx1"/>
                  </w14:solidFill>
                </w14:textFill>
              </w:rPr>
              <w:t>.</w:t>
            </w:r>
            <w:r>
              <w:rPr>
                <w:rFonts w:hint="default" w:ascii="Times New Roman" w:hAnsi="Times New Roman" w:cs="Times New Roman"/>
                <w:color w:val="000000" w:themeColor="text1"/>
                <w:sz w:val="24"/>
                <w:lang w:bidi="ar"/>
                <w14:textFill>
                  <w14:solidFill>
                    <w14:schemeClr w14:val="tx1"/>
                  </w14:solidFill>
                </w14:textFill>
              </w:rPr>
              <w:t>在常温常压下易爆、易燃及排出有毒气体的危险废物必须进行预处理，使之稳定后贮存，否则，按易爆、易燃危险品贮存。</w:t>
            </w:r>
          </w:p>
          <w:p w14:paraId="6A425ED8">
            <w:pPr>
              <w:widowControl/>
              <w:spacing w:line="360" w:lineRule="auto"/>
              <w:ind w:firstLine="482"/>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lang w:bidi="ar"/>
                <w14:textFill>
                  <w14:solidFill>
                    <w14:schemeClr w14:val="tx1"/>
                  </w14:solidFill>
                </w14:textFill>
              </w:rPr>
              <w:t>C</w:t>
            </w:r>
            <w:r>
              <w:rPr>
                <w:rFonts w:hint="default" w:ascii="Times New Roman" w:hAnsi="Times New Roman" w:cs="Times New Roman"/>
                <w:color w:val="000000" w:themeColor="text1"/>
                <w:sz w:val="24"/>
                <w:lang w:eastAsia="zh-CN" w:bidi="ar"/>
                <w14:textFill>
                  <w14:solidFill>
                    <w14:schemeClr w14:val="tx1"/>
                  </w14:solidFill>
                </w14:textFill>
              </w:rPr>
              <w:t>.</w:t>
            </w:r>
            <w:r>
              <w:rPr>
                <w:rFonts w:hint="default" w:ascii="Times New Roman" w:hAnsi="Times New Roman" w:cs="Times New Roman"/>
                <w:color w:val="000000" w:themeColor="text1"/>
                <w:sz w:val="24"/>
                <w:lang w:bidi="ar"/>
                <w14:textFill>
                  <w14:solidFill>
                    <w14:schemeClr w14:val="tx1"/>
                  </w14:solidFill>
                </w14:textFill>
              </w:rPr>
              <w:t>装载液体、半固体危险废物的容器内须留足够空间，容器顶部与液体表面之间保留100毫米以上的空间。</w:t>
            </w:r>
          </w:p>
          <w:p w14:paraId="7ACD8DB8">
            <w:pPr>
              <w:widowControl/>
              <w:spacing w:line="360" w:lineRule="auto"/>
              <w:ind w:firstLine="482"/>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lang w:bidi="ar"/>
                <w14:textFill>
                  <w14:solidFill>
                    <w14:schemeClr w14:val="tx1"/>
                  </w14:solidFill>
                </w14:textFill>
              </w:rPr>
              <w:t>D</w:t>
            </w:r>
            <w:r>
              <w:rPr>
                <w:rFonts w:hint="default" w:ascii="Times New Roman" w:hAnsi="Times New Roman" w:cs="Times New Roman"/>
                <w:color w:val="000000" w:themeColor="text1"/>
                <w:sz w:val="24"/>
                <w:lang w:eastAsia="zh-CN" w:bidi="ar"/>
                <w14:textFill>
                  <w14:solidFill>
                    <w14:schemeClr w14:val="tx1"/>
                  </w14:solidFill>
                </w14:textFill>
              </w:rPr>
              <w:t>.</w:t>
            </w:r>
            <w:r>
              <w:rPr>
                <w:rFonts w:hint="default" w:ascii="Times New Roman" w:hAnsi="Times New Roman" w:cs="Times New Roman"/>
                <w:color w:val="000000" w:themeColor="text1"/>
                <w:sz w:val="24"/>
                <w:lang w:bidi="ar"/>
                <w14:textFill>
                  <w14:solidFill>
                    <w14:schemeClr w14:val="tx1"/>
                  </w14:solidFill>
                </w14:textFill>
              </w:rPr>
              <w:t>盛装危险废物的容器上必须粘贴符合标准的标签。</w:t>
            </w:r>
          </w:p>
          <w:p w14:paraId="1B21997A">
            <w:pPr>
              <w:widowControl/>
              <w:spacing w:line="360" w:lineRule="auto"/>
              <w:ind w:firstLine="482"/>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lang w:bidi="ar"/>
                <w14:textFill>
                  <w14:solidFill>
                    <w14:schemeClr w14:val="tx1"/>
                  </w14:solidFill>
                </w14:textFill>
              </w:rPr>
              <w:t>E</w:t>
            </w:r>
            <w:r>
              <w:rPr>
                <w:rFonts w:hint="default" w:ascii="Times New Roman" w:hAnsi="Times New Roman" w:cs="Times New Roman"/>
                <w:color w:val="000000" w:themeColor="text1"/>
                <w:sz w:val="24"/>
                <w:lang w:eastAsia="zh-CN" w:bidi="ar"/>
                <w14:textFill>
                  <w14:solidFill>
                    <w14:schemeClr w14:val="tx1"/>
                  </w14:solidFill>
                </w14:textFill>
              </w:rPr>
              <w:t>.</w:t>
            </w:r>
            <w:r>
              <w:rPr>
                <w:rFonts w:hint="default" w:ascii="Times New Roman" w:hAnsi="Times New Roman" w:cs="Times New Roman"/>
                <w:color w:val="000000" w:themeColor="text1"/>
                <w:sz w:val="24"/>
                <w:lang w:bidi="ar"/>
                <w14:textFill>
                  <w14:solidFill>
                    <w14:schemeClr w14:val="tx1"/>
                  </w14:solidFill>
                </w14:textFill>
              </w:rPr>
              <w:t>装载危险废物的容器必须完好无损，材质要满足相应的强度要求，容器材质与衬里要与危险废物相容</w:t>
            </w:r>
            <w:r>
              <w:rPr>
                <w:rFonts w:hint="default" w:ascii="Times New Roman" w:hAnsi="Times New Roman" w:cs="Times New Roman"/>
                <w:color w:val="000000" w:themeColor="text1"/>
                <w:sz w:val="24"/>
                <w:lang w:eastAsia="zh-CN" w:bidi="ar"/>
                <w14:textFill>
                  <w14:solidFill>
                    <w14:schemeClr w14:val="tx1"/>
                  </w14:solidFill>
                </w14:textFill>
              </w:rPr>
              <w:t>（</w:t>
            </w:r>
            <w:r>
              <w:rPr>
                <w:rFonts w:hint="default" w:ascii="Times New Roman" w:hAnsi="Times New Roman" w:cs="Times New Roman"/>
                <w:color w:val="000000" w:themeColor="text1"/>
                <w:sz w:val="24"/>
                <w:lang w:bidi="ar"/>
                <w14:textFill>
                  <w14:solidFill>
                    <w14:schemeClr w14:val="tx1"/>
                  </w14:solidFill>
                </w14:textFill>
              </w:rPr>
              <w:t>不相互反应</w:t>
            </w:r>
            <w:r>
              <w:rPr>
                <w:rFonts w:hint="default" w:ascii="Times New Roman" w:hAnsi="Times New Roman" w:cs="Times New Roman"/>
                <w:color w:val="000000" w:themeColor="text1"/>
                <w:sz w:val="24"/>
                <w:lang w:eastAsia="zh-CN" w:bidi="ar"/>
                <w14:textFill>
                  <w14:solidFill>
                    <w14:schemeClr w14:val="tx1"/>
                  </w14:solidFill>
                </w14:textFill>
              </w:rPr>
              <w:t>）</w:t>
            </w:r>
            <w:r>
              <w:rPr>
                <w:rFonts w:hint="default" w:ascii="Times New Roman" w:hAnsi="Times New Roman" w:cs="Times New Roman"/>
                <w:color w:val="000000" w:themeColor="text1"/>
                <w:sz w:val="24"/>
                <w:lang w:bidi="ar"/>
                <w14:textFill>
                  <w14:solidFill>
                    <w14:schemeClr w14:val="tx1"/>
                  </w14:solidFill>
                </w14:textFill>
              </w:rPr>
              <w:t>。</w:t>
            </w:r>
          </w:p>
          <w:p w14:paraId="1DCEBB44">
            <w:pPr>
              <w:widowControl/>
              <w:spacing w:line="360" w:lineRule="auto"/>
              <w:ind w:firstLine="482"/>
              <w:rPr>
                <w:rFonts w:hint="default" w:ascii="Times New Roman" w:hAnsi="Times New Roman" w:cs="Times New Roman"/>
                <w:color w:val="000000" w:themeColor="text1"/>
                <w:sz w:val="24"/>
                <w:lang w:bidi="ar"/>
                <w14:textFill>
                  <w14:solidFill>
                    <w14:schemeClr w14:val="tx1"/>
                  </w14:solidFill>
                </w14:textFill>
              </w:rPr>
            </w:pPr>
            <w:r>
              <w:rPr>
                <w:rFonts w:hint="default" w:ascii="Times New Roman" w:hAnsi="Times New Roman" w:cs="Times New Roman"/>
                <w:color w:val="000000" w:themeColor="text1"/>
                <w:sz w:val="24"/>
                <w:lang w:bidi="ar"/>
                <w14:textFill>
                  <w14:solidFill>
                    <w14:schemeClr w14:val="tx1"/>
                  </w14:solidFill>
                </w14:textFill>
              </w:rPr>
              <w:t>F</w:t>
            </w:r>
            <w:r>
              <w:rPr>
                <w:rFonts w:hint="default" w:ascii="Times New Roman" w:hAnsi="Times New Roman" w:cs="Times New Roman"/>
                <w:color w:val="000000" w:themeColor="text1"/>
                <w:sz w:val="24"/>
                <w:lang w:eastAsia="zh-CN" w:bidi="ar"/>
                <w14:textFill>
                  <w14:solidFill>
                    <w14:schemeClr w14:val="tx1"/>
                  </w14:solidFill>
                </w14:textFill>
              </w:rPr>
              <w:t>.</w:t>
            </w:r>
            <w:r>
              <w:rPr>
                <w:rFonts w:hint="default" w:ascii="Times New Roman" w:hAnsi="Times New Roman" w:cs="Times New Roman"/>
                <w:color w:val="000000" w:themeColor="text1"/>
                <w:sz w:val="24"/>
                <w:lang w:bidi="ar"/>
                <w14:textFill>
                  <w14:solidFill>
                    <w14:schemeClr w14:val="tx1"/>
                  </w14:solidFill>
                </w14:textFill>
              </w:rPr>
              <w:t>安排专人对危险废物暂存库进行定期检查，制定危险废物事故应急预案并配备相应的应急物资，按要求切实做到防渗漏、防雨淋、防流失的“三防”措施。切实落实防渗措施，做好地面硬化，</w:t>
            </w:r>
            <w:r>
              <w:rPr>
                <w:rFonts w:hint="default" w:ascii="Times New Roman" w:hAnsi="Times New Roman" w:cs="Times New Roman"/>
                <w:color w:val="000000" w:themeColor="text1"/>
                <w:sz w:val="24"/>
                <w:lang w:eastAsia="zh-CN" w:bidi="ar"/>
                <w14:textFill>
                  <w14:solidFill>
                    <w14:schemeClr w14:val="tx1"/>
                  </w14:solidFill>
                </w14:textFill>
              </w:rPr>
              <w:t>防止</w:t>
            </w:r>
            <w:r>
              <w:rPr>
                <w:rFonts w:hint="default" w:ascii="Times New Roman" w:hAnsi="Times New Roman" w:cs="Times New Roman"/>
                <w:color w:val="000000" w:themeColor="text1"/>
                <w:sz w:val="24"/>
                <w:lang w:bidi="ar"/>
                <w14:textFill>
                  <w14:solidFill>
                    <w14:schemeClr w14:val="tx1"/>
                  </w14:solidFill>
                </w14:textFill>
              </w:rPr>
              <w:t>危险废物对地下水的影响。除此之外，建设单位还应</w:t>
            </w:r>
            <w:r>
              <w:rPr>
                <w:rFonts w:hint="default" w:ascii="Times New Roman" w:hAnsi="Times New Roman" w:cs="Times New Roman"/>
                <w:color w:val="000000" w:themeColor="text1"/>
                <w:sz w:val="24"/>
                <w14:textFill>
                  <w14:solidFill>
                    <w14:schemeClr w14:val="tx1"/>
                  </w14:solidFill>
                </w14:textFill>
              </w:rPr>
              <w:t>建立台账，明确标识，委托有资质单位按规范处置。</w:t>
            </w:r>
          </w:p>
          <w:p w14:paraId="21FA4CE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lang w:bidi="ar"/>
                <w14:textFill>
                  <w14:solidFill>
                    <w14:schemeClr w14:val="tx1"/>
                  </w14:solidFill>
                </w14:textFill>
              </w:rPr>
              <w:t>G</w:t>
            </w:r>
            <w:r>
              <w:rPr>
                <w:rFonts w:hint="default" w:ascii="Times New Roman" w:hAnsi="Times New Roman" w:cs="Times New Roman"/>
                <w:color w:val="000000" w:themeColor="text1"/>
                <w:sz w:val="24"/>
                <w:lang w:eastAsia="zh-CN" w:bidi="ar"/>
                <w14:textFill>
                  <w14:solidFill>
                    <w14:schemeClr w14:val="tx1"/>
                  </w14:solidFill>
                </w14:textFill>
              </w:rPr>
              <w:t>.</w:t>
            </w:r>
            <w:r>
              <w:rPr>
                <w:rFonts w:hint="default" w:ascii="Times New Roman" w:hAnsi="Times New Roman" w:cs="Times New Roman"/>
                <w:color w:val="000000" w:themeColor="text1"/>
                <w:sz w:val="24"/>
                <w:lang w:bidi="ar"/>
                <w14:textFill>
                  <w14:solidFill>
                    <w14:schemeClr w14:val="tx1"/>
                  </w14:solidFill>
                </w14:textFill>
              </w:rPr>
              <w:t>危险废物贮存</w:t>
            </w:r>
            <w:r>
              <w:rPr>
                <w:rFonts w:hint="default" w:ascii="Times New Roman" w:hAnsi="Times New Roman" w:cs="Times New Roman"/>
                <w:color w:val="000000" w:themeColor="text1"/>
                <w:sz w:val="24"/>
                <w:lang w:eastAsia="zh-CN" w:bidi="ar"/>
                <w14:textFill>
                  <w14:solidFill>
                    <w14:schemeClr w14:val="tx1"/>
                  </w14:solidFill>
                </w14:textFill>
              </w:rPr>
              <w:t>设施</w:t>
            </w:r>
            <w:r>
              <w:rPr>
                <w:rFonts w:hint="default" w:ascii="Times New Roman" w:hAnsi="Times New Roman" w:cs="Times New Roman"/>
                <w:color w:val="000000" w:themeColor="text1"/>
                <w:sz w:val="24"/>
                <w:lang w:bidi="ar"/>
                <w14:textFill>
                  <w14:solidFill>
                    <w14:schemeClr w14:val="tx1"/>
                  </w14:solidFill>
                </w14:textFill>
              </w:rPr>
              <w:t>必须按GB15562.2的规定设置警示标志；管理及运输人员必须采取必要的安全防护措施。定期对所贮存的危险废物包装容器及贮存设施进行检查，发现破损，应及时采取措施清理更换。</w:t>
            </w:r>
          </w:p>
          <w:p w14:paraId="611B045F">
            <w:pPr>
              <w:keepNext/>
              <w:keepLines/>
              <w:widowControl/>
              <w:adjustRightInd w:val="0"/>
              <w:snapToGrid w:val="0"/>
              <w:spacing w:line="360" w:lineRule="auto"/>
              <w:jc w:val="left"/>
              <w:outlineLvl w:val="1"/>
              <w:rPr>
                <w:rFonts w:hint="default" w:ascii="Times New Roman" w:hAnsi="Times New Roman" w:eastAsia="黑体" w:cs="Times New Roman"/>
                <w:bCs/>
                <w:color w:val="000000" w:themeColor="text1"/>
                <w:sz w:val="24"/>
                <w:szCs w:val="28"/>
                <w14:textFill>
                  <w14:solidFill>
                    <w14:schemeClr w14:val="tx1"/>
                  </w14:solidFill>
                </w14:textFill>
              </w:rPr>
            </w:pPr>
            <w:r>
              <w:rPr>
                <w:rFonts w:hint="default" w:ascii="Times New Roman" w:hAnsi="Times New Roman" w:eastAsia="黑体" w:cs="Times New Roman"/>
                <w:bCs/>
                <w:color w:val="000000" w:themeColor="text1"/>
                <w:sz w:val="24"/>
                <w:szCs w:val="28"/>
                <w14:textFill>
                  <w14:solidFill>
                    <w14:schemeClr w14:val="tx1"/>
                  </w14:solidFill>
                </w14:textFill>
              </w:rPr>
              <w:t>五、</w:t>
            </w:r>
            <w:r>
              <w:rPr>
                <w:rFonts w:hint="default" w:ascii="Times New Roman" w:hAnsi="Times New Roman" w:eastAsia="黑体" w:cs="Times New Roman"/>
                <w:bCs/>
                <w:color w:val="000000" w:themeColor="text1"/>
                <w:sz w:val="24"/>
                <w:szCs w:val="28"/>
                <w:lang w:val="en-US" w:eastAsia="zh-CN"/>
                <w14:textFill>
                  <w14:solidFill>
                    <w14:schemeClr w14:val="tx1"/>
                  </w14:solidFill>
                </w14:textFill>
              </w:rPr>
              <w:t>土壤、</w:t>
            </w:r>
            <w:r>
              <w:rPr>
                <w:rFonts w:hint="default" w:ascii="Times New Roman" w:hAnsi="Times New Roman" w:eastAsia="黑体" w:cs="Times New Roman"/>
                <w:bCs/>
                <w:color w:val="000000" w:themeColor="text1"/>
                <w:sz w:val="24"/>
                <w:szCs w:val="28"/>
                <w14:textFill>
                  <w14:solidFill>
                    <w14:schemeClr w14:val="tx1"/>
                  </w14:solidFill>
                </w14:textFill>
              </w:rPr>
              <w:t>地下水环境影响分析</w:t>
            </w:r>
          </w:p>
          <w:p w14:paraId="0F19B5C5">
            <w:pPr>
              <w:keepNext w:val="0"/>
              <w:keepLines w:val="0"/>
              <w:pageBreakBefore w:val="0"/>
              <w:kinsoku/>
              <w:wordWrap/>
              <w:overflowPunct/>
              <w:topLinePunct w:val="0"/>
              <w:autoSpaceDE/>
              <w:autoSpaceDN/>
              <w:bidi w:val="0"/>
              <w:adjustRightInd w:val="0"/>
              <w:snapToGrid/>
              <w:spacing w:line="360" w:lineRule="auto"/>
              <w:ind w:firstLine="480" w:firstLineChars="200"/>
              <w:jc w:val="left"/>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⑴污染源、污染物类型及污染途径</w:t>
            </w:r>
          </w:p>
          <w:p w14:paraId="41E1F839">
            <w:pPr>
              <w:keepNext w:val="0"/>
              <w:keepLines w:val="0"/>
              <w:pageBreakBefore w:val="0"/>
              <w:kinsoku/>
              <w:wordWrap/>
              <w:overflowPunct/>
              <w:topLinePunct w:val="0"/>
              <w:autoSpaceDE/>
              <w:autoSpaceDN/>
              <w:bidi w:val="0"/>
              <w:adjustRightInd w:val="0"/>
              <w:snapToGrid/>
              <w:spacing w:line="360" w:lineRule="auto"/>
              <w:ind w:firstLine="480" w:firstLineChars="200"/>
              <w:jc w:val="left"/>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本项目有机废气不含苯系物，因此无大气沉降型污染因子；本项目空压机油、润滑油、</w:t>
            </w:r>
            <w:r>
              <w:rPr>
                <w:rFonts w:hint="default" w:ascii="Times New Roman" w:hAnsi="Times New Roman" w:cs="Times New Roman"/>
                <w:color w:val="000000" w:themeColor="text1"/>
                <w:sz w:val="24"/>
                <w:szCs w:val="24"/>
                <w:lang w:val="en-US" w:eastAsia="zh-CN"/>
                <w14:textFill>
                  <w14:solidFill>
                    <w14:schemeClr w14:val="tx1"/>
                  </w14:solidFill>
                </w14:textFill>
              </w:rPr>
              <w:t>废空压机油、废润滑油</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使用及</w:t>
            </w:r>
            <w:r>
              <w:rPr>
                <w:rFonts w:hint="default" w:ascii="Times New Roman" w:hAnsi="Times New Roman" w:eastAsia="宋体" w:cs="Times New Roman"/>
                <w:color w:val="000000" w:themeColor="text1"/>
                <w:sz w:val="24"/>
                <w:szCs w:val="24"/>
                <w14:textFill>
                  <w14:solidFill>
                    <w14:schemeClr w14:val="tx1"/>
                  </w14:solidFill>
                </w14:textFill>
              </w:rPr>
              <w:t>贮存场所在不采用防控措施的情况下，可能发生</w:t>
            </w:r>
            <w:r>
              <w:rPr>
                <w:rFonts w:hint="default" w:ascii="Times New Roman" w:hAnsi="Times New Roman" w:cs="Times New Roman"/>
                <w:color w:val="000000" w:themeColor="text1"/>
                <w:sz w:val="24"/>
                <w:szCs w:val="24"/>
                <w:lang w:val="en-US" w:eastAsia="zh-CN"/>
                <w14:textFill>
                  <w14:solidFill>
                    <w14:schemeClr w14:val="tx1"/>
                  </w14:solidFill>
                </w14:textFill>
              </w:rPr>
              <w:t>废空压机油</w:t>
            </w:r>
            <w:r>
              <w:rPr>
                <w:rFonts w:hint="default" w:ascii="Times New Roman" w:hAnsi="Times New Roman" w:eastAsia="宋体" w:cs="Times New Roman"/>
                <w:color w:val="000000" w:themeColor="text1"/>
                <w:sz w:val="24"/>
                <w:szCs w:val="24"/>
                <w14:textFill>
                  <w14:solidFill>
                    <w14:schemeClr w14:val="tx1"/>
                  </w14:solidFill>
                </w14:textFill>
              </w:rPr>
              <w:t>渗漏通过垂直入渗污染土壤、地下水环境。</w:t>
            </w:r>
          </w:p>
          <w:p w14:paraId="4B88F071">
            <w:pPr>
              <w:keepNext w:val="0"/>
              <w:keepLines w:val="0"/>
              <w:pageBreakBefore w:val="0"/>
              <w:kinsoku/>
              <w:wordWrap/>
              <w:overflowPunct/>
              <w:topLinePunct w:val="0"/>
              <w:autoSpaceDE/>
              <w:autoSpaceDN/>
              <w:bidi w:val="0"/>
              <w:adjustRightInd w:val="0"/>
              <w:snapToGrid/>
              <w:spacing w:line="360" w:lineRule="auto"/>
              <w:ind w:firstLine="480" w:firstLineChars="200"/>
              <w:jc w:val="left"/>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⑵防控措施</w:t>
            </w:r>
          </w:p>
          <w:p w14:paraId="3EDCFDDE">
            <w:pPr>
              <w:keepNext w:val="0"/>
              <w:keepLines w:val="0"/>
              <w:pageBreakBefore w:val="0"/>
              <w:kinsoku/>
              <w:wordWrap/>
              <w:overflowPunct/>
              <w:topLinePunct w:val="0"/>
              <w:autoSpaceDE/>
              <w:autoSpaceDN/>
              <w:bidi w:val="0"/>
              <w:adjustRightInd w:val="0"/>
              <w:snapToGrid/>
              <w:spacing w:line="360" w:lineRule="auto"/>
              <w:ind w:firstLine="480" w:firstLineChars="200"/>
              <w:jc w:val="left"/>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建设单位租赁的生产厂房及厂区道路均已进行水泥硬化，地面已做基础防渗处理，在此基础上，建设单位采用分区防渗措施，原料机油储存区及危险废物储存区为重点防渗区域，要求</w:t>
            </w:r>
            <w:r>
              <w:rPr>
                <w:rFonts w:hint="default" w:ascii="Times New Roman" w:hAnsi="Times New Roman" w:eastAsia="宋体" w:cs="Times New Roman"/>
                <w:color w:val="000000" w:themeColor="text1"/>
                <w:spacing w:val="-1"/>
                <w:sz w:val="24"/>
                <w:szCs w:val="24"/>
                <w14:textFill>
                  <w14:solidFill>
                    <w14:schemeClr w14:val="tx1"/>
                  </w14:solidFill>
                </w14:textFill>
              </w:rPr>
              <w:t>渗透系数≤10</w:t>
            </w:r>
            <w:r>
              <w:rPr>
                <w:rFonts w:hint="default" w:ascii="Times New Roman" w:hAnsi="Times New Roman" w:cs="Times New Roman"/>
                <w:color w:val="000000" w:themeColor="text1"/>
                <w:spacing w:val="-1"/>
                <w:position w:val="7"/>
                <w:sz w:val="24"/>
                <w:szCs w:val="24"/>
                <w:lang w:val="en-US" w:eastAsia="zh-CN"/>
                <w14:textFill>
                  <w14:solidFill>
                    <w14:schemeClr w14:val="tx1"/>
                  </w14:solidFill>
                </w14:textFill>
              </w:rPr>
              <w:t>-7</w:t>
            </w:r>
            <w:r>
              <w:rPr>
                <w:rFonts w:hint="default" w:ascii="Times New Roman" w:hAnsi="Times New Roman" w:eastAsia="宋体" w:cs="Times New Roman"/>
                <w:color w:val="000000" w:themeColor="text1"/>
                <w:spacing w:val="-1"/>
                <w:sz w:val="24"/>
                <w:szCs w:val="24"/>
                <w14:textFill>
                  <w14:solidFill>
                    <w14:schemeClr w14:val="tx1"/>
                  </w14:solidFill>
                </w14:textFill>
              </w:rPr>
              <w:t>cm/s</w:t>
            </w:r>
            <w:r>
              <w:rPr>
                <w:rFonts w:hint="default" w:ascii="Times New Roman" w:hAnsi="Times New Roman" w:eastAsia="宋体" w:cs="Times New Roman"/>
                <w:color w:val="000000" w:themeColor="text1"/>
                <w:spacing w:val="-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废空压机油</w:t>
            </w:r>
            <w:r>
              <w:rPr>
                <w:rFonts w:hint="default" w:ascii="Times New Roman" w:hAnsi="Times New Roman" w:eastAsia="宋体" w:cs="Times New Roman"/>
                <w:color w:val="000000" w:themeColor="text1"/>
                <w:sz w:val="24"/>
                <w:szCs w:val="24"/>
                <w14:textFill>
                  <w14:solidFill>
                    <w14:schemeClr w14:val="tx1"/>
                  </w14:solidFill>
                </w14:textFill>
              </w:rPr>
              <w:t>等采用桶装并置于托盘内，即使发生渗漏，也会经托盘收集，不会流入地表，污染土壤、地下水环境，因此，在采取上述防控措施情况下，本项目不会对土壤、地下水环境造成污染影响。</w:t>
            </w:r>
          </w:p>
          <w:p w14:paraId="4DEDBBAD">
            <w:pPr>
              <w:keepNext w:val="0"/>
              <w:keepLines w:val="0"/>
              <w:pageBreakBefore w:val="0"/>
              <w:widowControl/>
              <w:kinsoku/>
              <w:wordWrap/>
              <w:overflowPunct/>
              <w:topLinePunct w:val="0"/>
              <w:autoSpaceDE/>
              <w:autoSpaceDN/>
              <w:bidi w:val="0"/>
              <w:snapToGrid/>
              <w:spacing w:line="360" w:lineRule="auto"/>
              <w:jc w:val="center"/>
              <w:textAlignment w:val="auto"/>
              <w:rPr>
                <w:rFonts w:hint="default" w:ascii="Times New Roman" w:hAnsi="Times New Roman" w:eastAsia="宋体" w:cs="Times New Roman"/>
                <w:b/>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color w:val="000000" w:themeColor="text1"/>
                <w:sz w:val="24"/>
                <w:szCs w:val="24"/>
                <w:lang w:val="en-US" w:eastAsia="zh-CN"/>
                <w14:textFill>
                  <w14:solidFill>
                    <w14:schemeClr w14:val="tx1"/>
                  </w14:solidFill>
                </w14:textFill>
              </w:rPr>
              <w:t>表</w:t>
            </w:r>
            <w:r>
              <w:rPr>
                <w:rFonts w:hint="default" w:ascii="Times New Roman" w:hAnsi="Times New Roman" w:eastAsia="宋体" w:cs="Times New Roman"/>
                <w:b/>
                <w:color w:val="000000" w:themeColor="text1"/>
                <w:sz w:val="24"/>
                <w:szCs w:val="24"/>
                <w14:textFill>
                  <w14:solidFill>
                    <w14:schemeClr w14:val="tx1"/>
                  </w14:solidFill>
                </w14:textFill>
              </w:rPr>
              <w:t>4-</w:t>
            </w:r>
            <w:r>
              <w:rPr>
                <w:rFonts w:hint="default" w:ascii="Times New Roman" w:hAnsi="Times New Roman" w:eastAsia="宋体" w:cs="Times New Roman"/>
                <w:b/>
                <w:color w:val="000000" w:themeColor="text1"/>
                <w:sz w:val="24"/>
                <w:szCs w:val="24"/>
                <w:lang w:val="en-US" w:eastAsia="zh-CN"/>
                <w14:textFill>
                  <w14:solidFill>
                    <w14:schemeClr w14:val="tx1"/>
                  </w14:solidFill>
                </w14:textFill>
              </w:rPr>
              <w:t>11  项目厂区分区污染防治措施一览表</w:t>
            </w:r>
          </w:p>
          <w:tbl>
            <w:tblPr>
              <w:tblStyle w:val="37"/>
              <w:tblW w:w="0" w:type="auto"/>
              <w:tblInd w:w="-10"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1391"/>
              <w:gridCol w:w="2555"/>
              <w:gridCol w:w="3970"/>
            </w:tblGrid>
            <w:tr w14:paraId="7796BD5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c>
                <w:tcPr>
                  <w:tcW w:w="1391" w:type="dxa"/>
                  <w:tcBorders>
                    <w:tl2br w:val="nil"/>
                    <w:tr2bl w:val="nil"/>
                  </w:tcBorders>
                  <w:noWrap w:val="0"/>
                  <w:vAlign w:val="top"/>
                </w:tcPr>
                <w:p w14:paraId="7CE47D11">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b/>
                      <w:color w:val="000000" w:themeColor="text1"/>
                      <w:spacing w:val="0"/>
                      <w:position w:val="0"/>
                      <w:sz w:val="21"/>
                      <w:szCs w:val="21"/>
                      <w:lang w:val="en-US" w:eastAsia="zh-CN"/>
                      <w14:textFill>
                        <w14:solidFill>
                          <w14:schemeClr w14:val="tx1"/>
                        </w14:solidFill>
                      </w14:textFill>
                    </w:rPr>
                  </w:pPr>
                  <w:r>
                    <w:rPr>
                      <w:rFonts w:hint="default" w:ascii="Times New Roman" w:hAnsi="Times New Roman" w:eastAsia="宋体" w:cs="Times New Roman"/>
                      <w:b/>
                      <w:color w:val="000000" w:themeColor="text1"/>
                      <w:spacing w:val="0"/>
                      <w:position w:val="0"/>
                      <w:sz w:val="21"/>
                      <w:szCs w:val="21"/>
                      <w:lang w:val="en-US" w:eastAsia="zh-CN"/>
                      <w14:textFill>
                        <w14:solidFill>
                          <w14:schemeClr w14:val="tx1"/>
                        </w14:solidFill>
                      </w14:textFill>
                    </w:rPr>
                    <w:t>厂区规划</w:t>
                  </w:r>
                </w:p>
              </w:tc>
              <w:tc>
                <w:tcPr>
                  <w:tcW w:w="2555" w:type="dxa"/>
                  <w:tcBorders>
                    <w:tl2br w:val="nil"/>
                    <w:tr2bl w:val="nil"/>
                  </w:tcBorders>
                  <w:noWrap w:val="0"/>
                  <w:vAlign w:val="top"/>
                </w:tcPr>
                <w:p w14:paraId="07ECC44F">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b/>
                      <w:color w:val="000000" w:themeColor="text1"/>
                      <w:spacing w:val="0"/>
                      <w:position w:val="0"/>
                      <w:sz w:val="21"/>
                      <w:szCs w:val="21"/>
                      <w:lang w:val="en-US" w:eastAsia="zh-CN"/>
                      <w14:textFill>
                        <w14:solidFill>
                          <w14:schemeClr w14:val="tx1"/>
                        </w14:solidFill>
                      </w14:textFill>
                    </w:rPr>
                  </w:pPr>
                  <w:r>
                    <w:rPr>
                      <w:rFonts w:hint="default" w:ascii="Times New Roman" w:hAnsi="Times New Roman" w:eastAsia="宋体" w:cs="Times New Roman"/>
                      <w:b/>
                      <w:color w:val="000000" w:themeColor="text1"/>
                      <w:spacing w:val="0"/>
                      <w:position w:val="0"/>
                      <w:sz w:val="21"/>
                      <w:szCs w:val="21"/>
                      <w:lang w:val="en-US" w:eastAsia="zh-CN"/>
                      <w14:textFill>
                        <w14:solidFill>
                          <w14:schemeClr w14:val="tx1"/>
                        </w14:solidFill>
                      </w14:textFill>
                    </w:rPr>
                    <w:t>具体生产单元</w:t>
                  </w:r>
                </w:p>
              </w:tc>
              <w:tc>
                <w:tcPr>
                  <w:tcW w:w="3970" w:type="dxa"/>
                  <w:tcBorders>
                    <w:tl2br w:val="nil"/>
                    <w:tr2bl w:val="nil"/>
                  </w:tcBorders>
                  <w:noWrap w:val="0"/>
                  <w:vAlign w:val="top"/>
                </w:tcPr>
                <w:p w14:paraId="31D5F8DA">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b/>
                      <w:color w:val="000000" w:themeColor="text1"/>
                      <w:spacing w:val="0"/>
                      <w:position w:val="0"/>
                      <w:sz w:val="21"/>
                      <w:szCs w:val="21"/>
                      <w:lang w:val="en-US" w:eastAsia="zh-CN"/>
                      <w14:textFill>
                        <w14:solidFill>
                          <w14:schemeClr w14:val="tx1"/>
                        </w14:solidFill>
                      </w14:textFill>
                    </w:rPr>
                  </w:pPr>
                  <w:r>
                    <w:rPr>
                      <w:rFonts w:hint="default" w:ascii="Times New Roman" w:hAnsi="Times New Roman" w:eastAsia="宋体" w:cs="Times New Roman"/>
                      <w:b/>
                      <w:color w:val="000000" w:themeColor="text1"/>
                      <w:spacing w:val="0"/>
                      <w:position w:val="0"/>
                      <w:sz w:val="21"/>
                      <w:szCs w:val="21"/>
                      <w:lang w:val="en-US" w:eastAsia="zh-CN"/>
                      <w14:textFill>
                        <w14:solidFill>
                          <w14:schemeClr w14:val="tx1"/>
                        </w14:solidFill>
                      </w14:textFill>
                    </w:rPr>
                    <w:t>防渗系数的要求</w:t>
                  </w:r>
                </w:p>
              </w:tc>
            </w:tr>
            <w:tr w14:paraId="057AEFF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c>
                <w:tcPr>
                  <w:tcW w:w="1391" w:type="dxa"/>
                  <w:tcBorders>
                    <w:tl2br w:val="nil"/>
                    <w:tr2bl w:val="nil"/>
                  </w:tcBorders>
                  <w:noWrap w:val="0"/>
                  <w:vAlign w:val="center"/>
                </w:tcPr>
                <w:p w14:paraId="198BC19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b w:val="0"/>
                      <w:bCs/>
                      <w:color w:val="000000" w:themeColor="text1"/>
                      <w:spacing w:val="0"/>
                      <w:position w:val="0"/>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position w:val="0"/>
                      <w:sz w:val="21"/>
                      <w:szCs w:val="21"/>
                      <w:lang w:val="en-US" w:eastAsia="zh-CN"/>
                      <w14:textFill>
                        <w14:solidFill>
                          <w14:schemeClr w14:val="tx1"/>
                        </w14:solidFill>
                      </w14:textFill>
                    </w:rPr>
                    <w:t>重点防渗区</w:t>
                  </w:r>
                </w:p>
              </w:tc>
              <w:tc>
                <w:tcPr>
                  <w:tcW w:w="2555" w:type="dxa"/>
                  <w:tcBorders>
                    <w:tl2br w:val="nil"/>
                    <w:tr2bl w:val="nil"/>
                  </w:tcBorders>
                  <w:noWrap w:val="0"/>
                  <w:vAlign w:val="center"/>
                </w:tcPr>
                <w:p w14:paraId="46FF5057">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b w:val="0"/>
                      <w:bCs/>
                      <w:color w:val="000000" w:themeColor="text1"/>
                      <w:spacing w:val="0"/>
                      <w:position w:val="0"/>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position w:val="0"/>
                      <w:sz w:val="21"/>
                      <w:szCs w:val="21"/>
                      <w:lang w:val="en-US" w:eastAsia="zh-CN"/>
                      <w14:textFill>
                        <w14:solidFill>
                          <w14:schemeClr w14:val="tx1"/>
                        </w14:solidFill>
                      </w14:textFill>
                    </w:rPr>
                    <w:t>空压机油、润滑油储存区、危废暂存间</w:t>
                  </w:r>
                </w:p>
              </w:tc>
              <w:tc>
                <w:tcPr>
                  <w:tcW w:w="3970" w:type="dxa"/>
                  <w:tcBorders>
                    <w:tl2br w:val="nil"/>
                    <w:tr2bl w:val="nil"/>
                  </w:tcBorders>
                  <w:noWrap w:val="0"/>
                  <w:vAlign w:val="center"/>
                </w:tcPr>
                <w:p w14:paraId="21E1DA8B">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b w:val="0"/>
                      <w:bCs/>
                      <w:color w:val="000000" w:themeColor="text1"/>
                      <w:spacing w:val="0"/>
                      <w:position w:val="0"/>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position w:val="0"/>
                      <w:sz w:val="21"/>
                      <w:szCs w:val="21"/>
                      <w:lang w:val="en-US" w:eastAsia="zh-CN"/>
                      <w14:textFill>
                        <w14:solidFill>
                          <w14:schemeClr w14:val="tx1"/>
                        </w14:solidFill>
                      </w14:textFill>
                    </w:rPr>
                    <w:t>防渗性能不应低于</w:t>
                  </w:r>
                  <w:r>
                    <w:rPr>
                      <w:rFonts w:hint="default" w:ascii="Times New Roman" w:hAnsi="Times New Roman" w:cs="Times New Roman"/>
                      <w:b w:val="0"/>
                      <w:bCs/>
                      <w:color w:val="000000" w:themeColor="text1"/>
                      <w:spacing w:val="0"/>
                      <w:position w:val="0"/>
                      <w:sz w:val="21"/>
                      <w:szCs w:val="21"/>
                      <w:lang w:val="en-US" w:eastAsia="zh-CN"/>
                      <w14:textFill>
                        <w14:solidFill>
                          <w14:schemeClr w14:val="tx1"/>
                        </w14:solidFill>
                      </w14:textFill>
                    </w:rPr>
                    <w:t>厚度</w:t>
                  </w:r>
                  <w:r>
                    <w:rPr>
                      <w:rFonts w:hint="default" w:ascii="Times New Roman" w:hAnsi="Times New Roman" w:eastAsia="宋体" w:cs="Times New Roman"/>
                      <w:b w:val="0"/>
                      <w:bCs/>
                      <w:color w:val="000000" w:themeColor="text1"/>
                      <w:spacing w:val="0"/>
                      <w:position w:val="0"/>
                      <w:sz w:val="21"/>
                      <w:szCs w:val="21"/>
                      <w:lang w:val="en-US" w:eastAsia="zh-CN"/>
                      <w14:textFill>
                        <w14:solidFill>
                          <w14:schemeClr w14:val="tx1"/>
                        </w14:solidFill>
                      </w14:textFill>
                    </w:rPr>
                    <w:t>6.0m</w:t>
                  </w:r>
                  <w:r>
                    <w:rPr>
                      <w:rFonts w:hint="default" w:ascii="Times New Roman" w:hAnsi="Times New Roman" w:cs="Times New Roman"/>
                      <w:b w:val="0"/>
                      <w:bCs/>
                      <w:color w:val="000000" w:themeColor="text1"/>
                      <w:spacing w:val="0"/>
                      <w:position w:val="0"/>
                      <w:sz w:val="21"/>
                      <w:szCs w:val="21"/>
                      <w:lang w:val="en-US" w:eastAsia="zh-CN"/>
                      <w14:textFill>
                        <w14:solidFill>
                          <w14:schemeClr w14:val="tx1"/>
                        </w14:solidFill>
                      </w14:textFill>
                    </w:rPr>
                    <w:t>、</w:t>
                  </w:r>
                  <w:r>
                    <w:rPr>
                      <w:rFonts w:hint="default" w:ascii="Times New Roman" w:hAnsi="Times New Roman" w:eastAsia="宋体" w:cs="Times New Roman"/>
                      <w:b w:val="0"/>
                      <w:bCs/>
                      <w:color w:val="000000" w:themeColor="text1"/>
                      <w:spacing w:val="0"/>
                      <w:position w:val="0"/>
                      <w:sz w:val="21"/>
                      <w:szCs w:val="21"/>
                      <w:lang w:val="en-US" w:eastAsia="zh-CN"/>
                      <w14:textFill>
                        <w14:solidFill>
                          <w14:schemeClr w14:val="tx1"/>
                        </w14:solidFill>
                      </w14:textFill>
                    </w:rPr>
                    <w:t>渗透系数为1.0*10</w:t>
                  </w:r>
                  <w:r>
                    <w:rPr>
                      <w:rFonts w:hint="default" w:ascii="Times New Roman" w:hAnsi="Times New Roman" w:eastAsia="宋体" w:cs="Times New Roman"/>
                      <w:b w:val="0"/>
                      <w:bCs/>
                      <w:color w:val="000000" w:themeColor="text1"/>
                      <w:spacing w:val="0"/>
                      <w:position w:val="0"/>
                      <w:sz w:val="21"/>
                      <w:szCs w:val="21"/>
                      <w:vertAlign w:val="superscript"/>
                      <w:lang w:val="en-US" w:eastAsia="zh-CN"/>
                      <w14:textFill>
                        <w14:solidFill>
                          <w14:schemeClr w14:val="tx1"/>
                        </w14:solidFill>
                      </w14:textFill>
                    </w:rPr>
                    <w:t>-7</w:t>
                  </w:r>
                  <w:r>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t>cm/s</w:t>
                  </w:r>
                  <w:r>
                    <w:rPr>
                      <w:rFonts w:hint="default" w:ascii="Times New Roman" w:hAnsi="Times New Roman" w:eastAsia="宋体" w:cs="Times New Roman"/>
                      <w:b w:val="0"/>
                      <w:bCs/>
                      <w:color w:val="000000" w:themeColor="text1"/>
                      <w:spacing w:val="0"/>
                      <w:position w:val="0"/>
                      <w:sz w:val="21"/>
                      <w:szCs w:val="21"/>
                      <w:lang w:val="en-US" w:eastAsia="zh-CN"/>
                      <w14:textFill>
                        <w14:solidFill>
                          <w14:schemeClr w14:val="tx1"/>
                        </w14:solidFill>
                      </w14:textFill>
                    </w:rPr>
                    <w:t>的粘土层的防渗性能</w:t>
                  </w:r>
                </w:p>
              </w:tc>
            </w:tr>
          </w:tbl>
          <w:p w14:paraId="59EBE799">
            <w:pPr>
              <w:widowControl/>
              <w:snapToGrid w:val="0"/>
              <w:spacing w:line="360" w:lineRule="auto"/>
              <w:jc w:val="left"/>
              <w:rPr>
                <w:rFonts w:hint="default" w:ascii="Times New Roman" w:hAnsi="Times New Roman" w:eastAsia="黑体" w:cs="Times New Roman"/>
                <w:color w:val="000000" w:themeColor="text1"/>
                <w:spacing w:val="-4"/>
                <w:sz w:val="28"/>
                <w:szCs w:val="28"/>
                <w:highlight w:val="none"/>
                <w14:textFill>
                  <w14:solidFill>
                    <w14:schemeClr w14:val="tx1"/>
                  </w14:solidFill>
                </w14:textFill>
              </w:rPr>
            </w:pPr>
            <w:r>
              <w:rPr>
                <w:rFonts w:hint="default" w:ascii="Times New Roman" w:hAnsi="Times New Roman" w:eastAsia="黑体" w:cs="Times New Roman"/>
                <w:color w:val="000000" w:themeColor="text1"/>
                <w:spacing w:val="-4"/>
                <w:sz w:val="28"/>
                <w:szCs w:val="28"/>
                <w:highlight w:val="none"/>
                <w:lang w:val="en-US" w:eastAsia="zh-CN"/>
                <w14:textFill>
                  <w14:solidFill>
                    <w14:schemeClr w14:val="tx1"/>
                  </w14:solidFill>
                </w14:textFill>
              </w:rPr>
              <w:t>六</w:t>
            </w:r>
            <w:r>
              <w:rPr>
                <w:rFonts w:hint="default" w:ascii="Times New Roman" w:hAnsi="Times New Roman" w:eastAsia="黑体" w:cs="Times New Roman"/>
                <w:color w:val="000000" w:themeColor="text1"/>
                <w:spacing w:val="-4"/>
                <w:sz w:val="28"/>
                <w:szCs w:val="28"/>
                <w:highlight w:val="none"/>
                <w14:textFill>
                  <w14:solidFill>
                    <w14:schemeClr w14:val="tx1"/>
                  </w14:solidFill>
                </w14:textFill>
              </w:rPr>
              <w:t>、环境风险分析</w:t>
            </w:r>
          </w:p>
          <w:p w14:paraId="7B7F891A">
            <w:pPr>
              <w:spacing w:line="360" w:lineRule="auto"/>
              <w:ind w:firstLine="480" w:firstLineChars="200"/>
              <w:outlineLvl w:val="2"/>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根据《建设项目环境风险评价技术导则》</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HJ</w:t>
            </w:r>
            <w:r>
              <w:rPr>
                <w:rFonts w:hint="default" w:ascii="Times New Roman" w:hAnsi="Times New Roman" w:cs="Times New Roman"/>
                <w:color w:val="000000" w:themeColor="text1"/>
                <w:sz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14:textFill>
                  <w14:solidFill>
                    <w14:schemeClr w14:val="tx1"/>
                  </w14:solidFill>
                </w14:textFill>
              </w:rPr>
              <w:t>169-2018</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中辨识重大危险源的依据和方法：凡生产、加工运输、使用或贮存危险性物质，且危险性物质的数量等于或超过临界量的功能单元，定为重大危险源。对照危险物质名称及临界量表，本项目所涉及的危险物质最大储存量及临界量见表4-</w:t>
            </w:r>
            <w:r>
              <w:rPr>
                <w:rFonts w:hint="default" w:ascii="Times New Roman" w:hAnsi="Times New Roman" w:cs="Times New Roman"/>
                <w:color w:val="000000" w:themeColor="text1"/>
                <w:sz w:val="24"/>
                <w:lang w:val="en-US" w:eastAsia="zh-CN"/>
                <w14:textFill>
                  <w14:solidFill>
                    <w14:schemeClr w14:val="tx1"/>
                  </w14:solidFill>
                </w14:textFill>
              </w:rPr>
              <w:t>12</w:t>
            </w:r>
            <w:r>
              <w:rPr>
                <w:rFonts w:hint="default" w:ascii="Times New Roman" w:hAnsi="Times New Roman" w:cs="Times New Roman"/>
                <w:color w:val="000000" w:themeColor="text1"/>
                <w:sz w:val="24"/>
                <w14:textFill>
                  <w14:solidFill>
                    <w14:schemeClr w14:val="tx1"/>
                  </w14:solidFill>
                </w14:textFill>
              </w:rPr>
              <w:t>。</w:t>
            </w:r>
          </w:p>
          <w:p w14:paraId="413F232B">
            <w:pPr>
              <w:widowControl/>
              <w:spacing w:line="440" w:lineRule="exact"/>
              <w:jc w:val="center"/>
              <w:rPr>
                <w:rFonts w:hint="default" w:ascii="Times New Roman" w:hAnsi="Times New Roman" w:cs="Times New Roman"/>
                <w:b/>
                <w:color w:val="000000" w:themeColor="text1"/>
                <w:sz w:val="24"/>
                <w14:textFill>
                  <w14:solidFill>
                    <w14:schemeClr w14:val="tx1"/>
                  </w14:solidFill>
                </w14:textFill>
              </w:rPr>
            </w:pPr>
            <w:r>
              <w:rPr>
                <w:rFonts w:hint="default" w:ascii="Times New Roman" w:hAnsi="Times New Roman" w:cs="Times New Roman"/>
                <w:b/>
                <w:color w:val="000000" w:themeColor="text1"/>
                <w:sz w:val="24"/>
                <w14:textFill>
                  <w14:solidFill>
                    <w14:schemeClr w14:val="tx1"/>
                  </w14:solidFill>
                </w14:textFill>
              </w:rPr>
              <w:t>表4-</w:t>
            </w:r>
            <w:r>
              <w:rPr>
                <w:rFonts w:hint="default" w:ascii="Times New Roman" w:hAnsi="Times New Roman" w:cs="Times New Roman"/>
                <w:b/>
                <w:color w:val="000000" w:themeColor="text1"/>
                <w:sz w:val="24"/>
                <w:lang w:val="en-US" w:eastAsia="zh-CN"/>
                <w14:textFill>
                  <w14:solidFill>
                    <w14:schemeClr w14:val="tx1"/>
                  </w14:solidFill>
                </w14:textFill>
              </w:rPr>
              <w:t>12</w:t>
            </w:r>
            <w:r>
              <w:rPr>
                <w:rFonts w:hint="default" w:ascii="Times New Roman" w:hAnsi="Times New Roman" w:cs="Times New Roman"/>
                <w:b/>
                <w:color w:val="000000" w:themeColor="text1"/>
                <w:sz w:val="24"/>
                <w14:textFill>
                  <w14:solidFill>
                    <w14:schemeClr w14:val="tx1"/>
                  </w14:solidFill>
                </w14:textFill>
              </w:rPr>
              <w:t xml:space="preserve">  项目危险物质的最大储存量和临界量</w:t>
            </w:r>
          </w:p>
          <w:tbl>
            <w:tblPr>
              <w:tblStyle w:val="3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027"/>
              <w:gridCol w:w="2070"/>
              <w:gridCol w:w="1842"/>
              <w:gridCol w:w="2030"/>
            </w:tblGrid>
            <w:tr w14:paraId="6EFCE2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72" w:type="pct"/>
                  <w:noWrap w:val="0"/>
                  <w:vAlign w:val="center"/>
                </w:tcPr>
                <w:p w14:paraId="30510167">
                  <w:pPr>
                    <w:pStyle w:val="98"/>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名称</w:t>
                  </w:r>
                </w:p>
              </w:tc>
              <w:tc>
                <w:tcPr>
                  <w:tcW w:w="1299" w:type="pct"/>
                  <w:noWrap w:val="0"/>
                  <w:vAlign w:val="center"/>
                </w:tcPr>
                <w:p w14:paraId="0F4CC9FF">
                  <w:pPr>
                    <w:pStyle w:val="98"/>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最大储量qn（t）</w:t>
                  </w:r>
                </w:p>
              </w:tc>
              <w:tc>
                <w:tcPr>
                  <w:tcW w:w="1156" w:type="pct"/>
                  <w:noWrap w:val="0"/>
                  <w:vAlign w:val="center"/>
                </w:tcPr>
                <w:p w14:paraId="0C063CE9">
                  <w:pPr>
                    <w:pStyle w:val="98"/>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临界量Qn（t）</w:t>
                  </w:r>
                </w:p>
              </w:tc>
              <w:tc>
                <w:tcPr>
                  <w:tcW w:w="1273" w:type="pct"/>
                  <w:noWrap w:val="0"/>
                  <w:vAlign w:val="center"/>
                </w:tcPr>
                <w:p w14:paraId="1CA60F17">
                  <w:pPr>
                    <w:pStyle w:val="98"/>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qn/Qn</w:t>
                  </w:r>
                </w:p>
              </w:tc>
            </w:tr>
            <w:tr w14:paraId="34CF1D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72" w:type="pct"/>
                  <w:noWrap w:val="0"/>
                  <w:vAlign w:val="center"/>
                </w:tcPr>
                <w:p w14:paraId="0C2297AF">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空压机油</w:t>
                  </w:r>
                  <w:r>
                    <w:rPr>
                      <w:rFonts w:hint="default" w:ascii="Times New Roman" w:hAnsi="Times New Roman" w:cs="Times New Roman"/>
                      <w:color w:val="000000" w:themeColor="text1"/>
                      <w:szCs w:val="21"/>
                      <w:lang w:eastAsia="zh-CN"/>
                      <w14:textFill>
                        <w14:solidFill>
                          <w14:schemeClr w14:val="tx1"/>
                        </w14:solidFill>
                      </w14:textFill>
                    </w:rPr>
                    <w:t>、</w:t>
                  </w:r>
                  <w:r>
                    <w:rPr>
                      <w:rFonts w:hint="default" w:ascii="Times New Roman" w:hAnsi="Times New Roman" w:cs="Times New Roman"/>
                      <w:color w:val="000000" w:themeColor="text1"/>
                      <w:szCs w:val="21"/>
                      <w:lang w:val="en-US" w:eastAsia="zh-CN"/>
                      <w14:textFill>
                        <w14:solidFill>
                          <w14:schemeClr w14:val="tx1"/>
                        </w14:solidFill>
                      </w14:textFill>
                    </w:rPr>
                    <w:t>润滑油</w:t>
                  </w:r>
                </w:p>
              </w:tc>
              <w:tc>
                <w:tcPr>
                  <w:tcW w:w="1299" w:type="pct"/>
                  <w:noWrap w:val="0"/>
                  <w:vAlign w:val="center"/>
                </w:tcPr>
                <w:p w14:paraId="20A434BA">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0.</w:t>
                  </w:r>
                  <w:r>
                    <w:rPr>
                      <w:rFonts w:hint="eastAsia" w:cs="Times New Roman"/>
                      <w:color w:val="000000" w:themeColor="text1"/>
                      <w:szCs w:val="21"/>
                      <w:lang w:val="en-US" w:eastAsia="zh-CN"/>
                      <w14:textFill>
                        <w14:solidFill>
                          <w14:schemeClr w14:val="tx1"/>
                        </w14:solidFill>
                      </w14:textFill>
                    </w:rPr>
                    <w:t>15</w:t>
                  </w:r>
                </w:p>
              </w:tc>
              <w:tc>
                <w:tcPr>
                  <w:tcW w:w="1156" w:type="pct"/>
                  <w:vMerge w:val="restart"/>
                  <w:noWrap w:val="0"/>
                  <w:vAlign w:val="center"/>
                </w:tcPr>
                <w:p w14:paraId="57BCB677">
                  <w:pPr>
                    <w:pStyle w:val="98"/>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2500</w:t>
                  </w:r>
                </w:p>
              </w:tc>
              <w:tc>
                <w:tcPr>
                  <w:tcW w:w="1273" w:type="pct"/>
                  <w:vMerge w:val="restart"/>
                  <w:noWrap w:val="0"/>
                  <w:vAlign w:val="center"/>
                </w:tcPr>
                <w:p w14:paraId="6B478DDA">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0.000072</w:t>
                  </w:r>
                </w:p>
              </w:tc>
            </w:tr>
            <w:tr w14:paraId="303DB8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72" w:type="pct"/>
                  <w:noWrap w:val="0"/>
                  <w:vAlign w:val="center"/>
                </w:tcPr>
                <w:p w14:paraId="187270BC">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eastAsia="zh-CN"/>
                      <w14:textFill>
                        <w14:solidFill>
                          <w14:schemeClr w14:val="tx1"/>
                        </w14:solidFill>
                      </w14:textFill>
                    </w:rPr>
                    <w:t>废空压机油、</w:t>
                  </w:r>
                  <w:r>
                    <w:rPr>
                      <w:rFonts w:hint="default" w:ascii="Times New Roman" w:hAnsi="Times New Roman" w:cs="Times New Roman"/>
                      <w:color w:val="000000" w:themeColor="text1"/>
                      <w:szCs w:val="21"/>
                      <w:lang w:val="en-US" w:eastAsia="zh-CN"/>
                      <w14:textFill>
                        <w14:solidFill>
                          <w14:schemeClr w14:val="tx1"/>
                        </w14:solidFill>
                      </w14:textFill>
                    </w:rPr>
                    <w:t>废润滑油</w:t>
                  </w:r>
                </w:p>
              </w:tc>
              <w:tc>
                <w:tcPr>
                  <w:tcW w:w="1299" w:type="pct"/>
                  <w:noWrap w:val="0"/>
                  <w:vAlign w:val="center"/>
                </w:tcPr>
                <w:p w14:paraId="64C8259B">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0.</w:t>
                  </w:r>
                  <w:r>
                    <w:rPr>
                      <w:rFonts w:hint="eastAsia" w:cs="Times New Roman"/>
                      <w:color w:val="000000" w:themeColor="text1"/>
                      <w:szCs w:val="21"/>
                      <w:lang w:val="en-US" w:eastAsia="zh-CN"/>
                      <w14:textFill>
                        <w14:solidFill>
                          <w14:schemeClr w14:val="tx1"/>
                        </w14:solidFill>
                      </w14:textFill>
                    </w:rPr>
                    <w:t>03</w:t>
                  </w:r>
                </w:p>
              </w:tc>
              <w:tc>
                <w:tcPr>
                  <w:tcW w:w="1156" w:type="pct"/>
                  <w:vMerge w:val="continue"/>
                  <w:noWrap w:val="0"/>
                  <w:vAlign w:val="center"/>
                </w:tcPr>
                <w:p w14:paraId="31ABA123">
                  <w:pPr>
                    <w:pStyle w:val="98"/>
                    <w:rPr>
                      <w:rFonts w:hint="default" w:ascii="Times New Roman" w:hAnsi="Times New Roman" w:cs="Times New Roman"/>
                      <w:color w:val="000000" w:themeColor="text1"/>
                      <w:szCs w:val="21"/>
                      <w14:textFill>
                        <w14:solidFill>
                          <w14:schemeClr w14:val="tx1"/>
                        </w14:solidFill>
                      </w14:textFill>
                    </w:rPr>
                  </w:pPr>
                </w:p>
              </w:tc>
              <w:tc>
                <w:tcPr>
                  <w:tcW w:w="1273" w:type="pct"/>
                  <w:vMerge w:val="continue"/>
                  <w:noWrap w:val="0"/>
                  <w:vAlign w:val="center"/>
                </w:tcPr>
                <w:p w14:paraId="30F3A7F6">
                  <w:pPr>
                    <w:pStyle w:val="98"/>
                    <w:rPr>
                      <w:rFonts w:hint="default" w:ascii="Times New Roman" w:hAnsi="Times New Roman" w:cs="Times New Roman"/>
                      <w:color w:val="000000" w:themeColor="text1"/>
                      <w:szCs w:val="21"/>
                      <w14:textFill>
                        <w14:solidFill>
                          <w14:schemeClr w14:val="tx1"/>
                        </w14:solidFill>
                      </w14:textFill>
                    </w:rPr>
                  </w:pPr>
                </w:p>
              </w:tc>
            </w:tr>
            <w:tr w14:paraId="652492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727" w:type="pct"/>
                  <w:gridSpan w:val="3"/>
                  <w:noWrap w:val="0"/>
                  <w:vAlign w:val="center"/>
                </w:tcPr>
                <w:p w14:paraId="5EC99AF3">
                  <w:pPr>
                    <w:pStyle w:val="98"/>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合计</w:t>
                  </w:r>
                </w:p>
              </w:tc>
              <w:tc>
                <w:tcPr>
                  <w:tcW w:w="1273" w:type="pct"/>
                  <w:noWrap w:val="0"/>
                  <w:vAlign w:val="center"/>
                </w:tcPr>
                <w:p w14:paraId="0AE18EE6">
                  <w:pPr>
                    <w:pStyle w:val="98"/>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0.000</w:t>
                  </w:r>
                  <w:r>
                    <w:rPr>
                      <w:rFonts w:hint="default" w:ascii="Times New Roman" w:hAnsi="Times New Roman" w:cs="Times New Roman"/>
                      <w:color w:val="000000" w:themeColor="text1"/>
                      <w:szCs w:val="21"/>
                      <w:lang w:val="en-US" w:eastAsia="zh-CN"/>
                      <w14:textFill>
                        <w14:solidFill>
                          <w14:schemeClr w14:val="tx1"/>
                        </w14:solidFill>
                      </w14:textFill>
                    </w:rPr>
                    <w:t>0</w:t>
                  </w:r>
                  <w:r>
                    <w:rPr>
                      <w:rFonts w:hint="eastAsia" w:cs="Times New Roman"/>
                      <w:color w:val="000000" w:themeColor="text1"/>
                      <w:szCs w:val="21"/>
                      <w:lang w:val="en-US" w:eastAsia="zh-CN"/>
                      <w14:textFill>
                        <w14:solidFill>
                          <w14:schemeClr w14:val="tx1"/>
                        </w14:solidFill>
                      </w14:textFill>
                    </w:rPr>
                    <w:t>72</w:t>
                  </w:r>
                </w:p>
              </w:tc>
            </w:tr>
          </w:tbl>
          <w:p w14:paraId="0885DBF9">
            <w:pPr>
              <w:spacing w:line="360" w:lineRule="auto"/>
              <w:ind w:firstLine="480" w:firstLineChars="200"/>
              <w:outlineLvl w:val="2"/>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本项目Q=0.000</w:t>
            </w:r>
            <w:r>
              <w:rPr>
                <w:rFonts w:hint="default" w:ascii="Times New Roman" w:hAnsi="Times New Roman" w:cs="Times New Roman"/>
                <w:color w:val="000000" w:themeColor="text1"/>
                <w:sz w:val="24"/>
                <w:lang w:val="en-US" w:eastAsia="zh-CN"/>
                <w14:textFill>
                  <w14:solidFill>
                    <w14:schemeClr w14:val="tx1"/>
                  </w14:solidFill>
                </w14:textFill>
              </w:rPr>
              <w:t>0</w:t>
            </w:r>
            <w:r>
              <w:rPr>
                <w:rFonts w:hint="eastAsia" w:cs="Times New Roman"/>
                <w:color w:val="000000" w:themeColor="text1"/>
                <w:sz w:val="24"/>
                <w:lang w:val="en-US" w:eastAsia="zh-CN"/>
                <w14:textFill>
                  <w14:solidFill>
                    <w14:schemeClr w14:val="tx1"/>
                  </w14:solidFill>
                </w14:textFill>
              </w:rPr>
              <w:t>72</w:t>
            </w:r>
            <w:r>
              <w:rPr>
                <w:rFonts w:hint="default" w:ascii="Times New Roman" w:hAnsi="Times New Roman" w:cs="Times New Roman"/>
                <w:color w:val="000000" w:themeColor="text1"/>
                <w:sz w:val="24"/>
                <w14:textFill>
                  <w14:solidFill>
                    <w14:schemeClr w14:val="tx1"/>
                  </w14:solidFill>
                </w14:textFill>
              </w:rPr>
              <w:t>＜1，则本项目环境风险潜势为Ⅰ，因此环境风险评价等级为简单分析。</w:t>
            </w:r>
          </w:p>
          <w:p w14:paraId="0C03D67B">
            <w:pPr>
              <w:spacing w:line="360" w:lineRule="auto"/>
              <w:ind w:firstLine="480" w:firstLineChars="200"/>
              <w:outlineLvl w:val="2"/>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（1）危险物质和风险源分布情况及影响途径</w:t>
            </w:r>
          </w:p>
          <w:p w14:paraId="0C265F30">
            <w:pPr>
              <w:pStyle w:val="134"/>
              <w:spacing w:line="360" w:lineRule="auto"/>
              <w:ind w:firstLine="480"/>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本项目投入的风险物料为生产使用的</w:t>
            </w:r>
            <w:r>
              <w:rPr>
                <w:rFonts w:hint="default" w:ascii="Times New Roman" w:hAnsi="Times New Roman" w:cs="Times New Roman"/>
                <w:color w:val="000000" w:themeColor="text1"/>
                <w:lang w:eastAsia="zh-CN"/>
                <w14:textFill>
                  <w14:solidFill>
                    <w14:schemeClr w14:val="tx1"/>
                  </w14:solidFill>
                </w14:textFill>
              </w:rPr>
              <w:t>空压机油、</w:t>
            </w:r>
            <w:r>
              <w:rPr>
                <w:rFonts w:hint="default" w:ascii="Times New Roman" w:hAnsi="Times New Roman" w:cs="Times New Roman"/>
                <w:color w:val="000000" w:themeColor="text1"/>
                <w:lang w:val="en-US" w:eastAsia="zh-CN"/>
                <w14:textFill>
                  <w14:solidFill>
                    <w14:schemeClr w14:val="tx1"/>
                  </w14:solidFill>
                </w14:textFill>
              </w:rPr>
              <w:t>润滑油</w:t>
            </w:r>
            <w:r>
              <w:rPr>
                <w:rFonts w:hint="default" w:ascii="Times New Roman" w:hAnsi="Times New Roman" w:cs="Times New Roman"/>
                <w:color w:val="000000" w:themeColor="text1"/>
                <w14:textFill>
                  <w14:solidFill>
                    <w14:schemeClr w14:val="tx1"/>
                  </w14:solidFill>
                </w14:textFill>
              </w:rPr>
              <w:t>及</w:t>
            </w:r>
            <w:r>
              <w:rPr>
                <w:rFonts w:hint="default" w:ascii="Times New Roman" w:hAnsi="Times New Roman" w:cs="Times New Roman"/>
                <w:color w:val="000000" w:themeColor="text1"/>
                <w:lang w:eastAsia="zh-CN"/>
                <w14:textFill>
                  <w14:solidFill>
                    <w14:schemeClr w14:val="tx1"/>
                  </w14:solidFill>
                </w14:textFill>
              </w:rPr>
              <w:t>废空压机油、</w:t>
            </w:r>
            <w:r>
              <w:rPr>
                <w:rFonts w:hint="default" w:ascii="Times New Roman" w:hAnsi="Times New Roman" w:cs="Times New Roman"/>
                <w:color w:val="000000" w:themeColor="text1"/>
                <w:lang w:val="en-US" w:eastAsia="zh-CN"/>
                <w14:textFill>
                  <w14:solidFill>
                    <w14:schemeClr w14:val="tx1"/>
                  </w14:solidFill>
                </w14:textFill>
              </w:rPr>
              <w:t>废润滑油等</w:t>
            </w:r>
            <w:r>
              <w:rPr>
                <w:rFonts w:hint="default" w:ascii="Times New Roman" w:hAnsi="Times New Roman" w:cs="Times New Roman"/>
                <w:color w:val="000000" w:themeColor="text1"/>
                <w14:textFill>
                  <w14:solidFill>
                    <w14:schemeClr w14:val="tx1"/>
                  </w14:solidFill>
                </w14:textFill>
              </w:rPr>
              <w:t>。</w:t>
            </w:r>
          </w:p>
          <w:p w14:paraId="40A81B95">
            <w:pPr>
              <w:widowControl/>
              <w:spacing w:line="440" w:lineRule="exact"/>
              <w:jc w:val="center"/>
              <w:rPr>
                <w:rFonts w:hint="default" w:ascii="Times New Roman" w:hAnsi="Times New Roman" w:cs="Times New Roman"/>
                <w:b/>
                <w:color w:val="000000" w:themeColor="text1"/>
                <w:sz w:val="24"/>
                <w14:textFill>
                  <w14:solidFill>
                    <w14:schemeClr w14:val="tx1"/>
                  </w14:solidFill>
                </w14:textFill>
              </w:rPr>
            </w:pPr>
            <w:r>
              <w:rPr>
                <w:rFonts w:hint="default" w:ascii="Times New Roman" w:hAnsi="Times New Roman" w:cs="Times New Roman"/>
                <w:b/>
                <w:color w:val="000000" w:themeColor="text1"/>
                <w:sz w:val="24"/>
                <w14:textFill>
                  <w14:solidFill>
                    <w14:schemeClr w14:val="tx1"/>
                  </w14:solidFill>
                </w14:textFill>
              </w:rPr>
              <w:t>表4-1</w:t>
            </w:r>
            <w:r>
              <w:rPr>
                <w:rFonts w:hint="default" w:ascii="Times New Roman" w:hAnsi="Times New Roman" w:cs="Times New Roman"/>
                <w:b/>
                <w:color w:val="000000" w:themeColor="text1"/>
                <w:sz w:val="24"/>
                <w:lang w:val="en-US" w:eastAsia="zh-CN"/>
                <w14:textFill>
                  <w14:solidFill>
                    <w14:schemeClr w14:val="tx1"/>
                  </w14:solidFill>
                </w14:textFill>
              </w:rPr>
              <w:t>3</w:t>
            </w:r>
            <w:r>
              <w:rPr>
                <w:rFonts w:hint="default" w:ascii="Times New Roman" w:hAnsi="Times New Roman" w:cs="Times New Roman"/>
                <w:b/>
                <w:color w:val="000000" w:themeColor="text1"/>
                <w:sz w:val="24"/>
                <w14:textFill>
                  <w14:solidFill>
                    <w14:schemeClr w14:val="tx1"/>
                  </w14:solidFill>
                </w14:textFill>
              </w:rPr>
              <w:t xml:space="preserve">   危险物质分布及影响途径</w:t>
            </w:r>
          </w:p>
          <w:tbl>
            <w:tblPr>
              <w:tblStyle w:val="3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1304"/>
              <w:gridCol w:w="848"/>
              <w:gridCol w:w="1130"/>
              <w:gridCol w:w="3971"/>
            </w:tblGrid>
            <w:tr w14:paraId="4311A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1" w:type="pct"/>
                  <w:noWrap w:val="0"/>
                  <w:vAlign w:val="center"/>
                </w:tcPr>
                <w:p w14:paraId="07E158FE">
                  <w:pPr>
                    <w:jc w:val="center"/>
                    <w:outlineLvl w:val="2"/>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要素</w:t>
                  </w:r>
                </w:p>
              </w:tc>
              <w:tc>
                <w:tcPr>
                  <w:tcW w:w="816" w:type="pct"/>
                  <w:noWrap w:val="0"/>
                  <w:vAlign w:val="center"/>
                </w:tcPr>
                <w:p w14:paraId="52FED3D2">
                  <w:pPr>
                    <w:jc w:val="center"/>
                    <w:outlineLvl w:val="2"/>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物质名称</w:t>
                  </w:r>
                </w:p>
              </w:tc>
              <w:tc>
                <w:tcPr>
                  <w:tcW w:w="531" w:type="pct"/>
                  <w:noWrap w:val="0"/>
                  <w:vAlign w:val="center"/>
                </w:tcPr>
                <w:p w14:paraId="44824E80">
                  <w:pPr>
                    <w:jc w:val="center"/>
                    <w:outlineLvl w:val="2"/>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形态</w:t>
                  </w:r>
                </w:p>
              </w:tc>
              <w:tc>
                <w:tcPr>
                  <w:tcW w:w="707" w:type="pct"/>
                  <w:noWrap w:val="0"/>
                  <w:vAlign w:val="center"/>
                </w:tcPr>
                <w:p w14:paraId="615A314E">
                  <w:pPr>
                    <w:jc w:val="center"/>
                    <w:outlineLvl w:val="2"/>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分布位置</w:t>
                  </w:r>
                </w:p>
              </w:tc>
              <w:tc>
                <w:tcPr>
                  <w:tcW w:w="2485" w:type="pct"/>
                  <w:noWrap w:val="0"/>
                  <w:vAlign w:val="center"/>
                </w:tcPr>
                <w:p w14:paraId="3BA37A03">
                  <w:pPr>
                    <w:jc w:val="center"/>
                    <w:outlineLvl w:val="2"/>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影响途径</w:t>
                  </w:r>
                </w:p>
              </w:tc>
            </w:tr>
            <w:tr w14:paraId="2B26D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1" w:type="pct"/>
                  <w:noWrap w:val="0"/>
                  <w:vAlign w:val="center"/>
                </w:tcPr>
                <w:p w14:paraId="66F8ACF6">
                  <w:pPr>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原辅</w:t>
                  </w:r>
                </w:p>
                <w:p w14:paraId="67701E7C">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材料</w:t>
                  </w:r>
                  <w:r>
                    <w:rPr>
                      <w:rFonts w:hint="eastAsia" w:cs="Times New Roman"/>
                      <w:color w:val="000000" w:themeColor="text1"/>
                      <w:szCs w:val="21"/>
                      <w:lang w:eastAsia="zh-CN"/>
                      <w14:textFill>
                        <w14:solidFill>
                          <w14:schemeClr w14:val="tx1"/>
                        </w14:solidFill>
                      </w14:textFill>
                    </w:rPr>
                    <w:t>、</w:t>
                  </w:r>
                  <w:r>
                    <w:rPr>
                      <w:rFonts w:hint="eastAsia" w:cs="Times New Roman"/>
                      <w:color w:val="000000" w:themeColor="text1"/>
                      <w:szCs w:val="21"/>
                      <w:lang w:val="en-US" w:eastAsia="zh-CN"/>
                      <w14:textFill>
                        <w14:solidFill>
                          <w14:schemeClr w14:val="tx1"/>
                        </w14:solidFill>
                      </w14:textFill>
                    </w:rPr>
                    <w:t>危险废物</w:t>
                  </w:r>
                </w:p>
              </w:tc>
              <w:tc>
                <w:tcPr>
                  <w:tcW w:w="816" w:type="pct"/>
                  <w:noWrap w:val="0"/>
                  <w:vAlign w:val="center"/>
                </w:tcPr>
                <w:p w14:paraId="1A0B3FD2">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空压机油</w:t>
                  </w:r>
                  <w:r>
                    <w:rPr>
                      <w:rFonts w:hint="default" w:ascii="Times New Roman" w:hAnsi="Times New Roman" w:cs="Times New Roman"/>
                      <w:color w:val="000000" w:themeColor="text1"/>
                      <w:szCs w:val="21"/>
                      <w:lang w:eastAsia="zh-CN"/>
                      <w14:textFill>
                        <w14:solidFill>
                          <w14:schemeClr w14:val="tx1"/>
                        </w14:solidFill>
                      </w14:textFill>
                    </w:rPr>
                    <w:t>、</w:t>
                  </w:r>
                  <w:r>
                    <w:rPr>
                      <w:rFonts w:hint="default" w:ascii="Times New Roman" w:hAnsi="Times New Roman" w:cs="Times New Roman"/>
                      <w:color w:val="000000" w:themeColor="text1"/>
                      <w:szCs w:val="21"/>
                      <w:lang w:val="en-US" w:eastAsia="zh-CN"/>
                      <w14:textFill>
                        <w14:solidFill>
                          <w14:schemeClr w14:val="tx1"/>
                        </w14:solidFill>
                      </w14:textFill>
                    </w:rPr>
                    <w:t>润滑油、</w:t>
                  </w:r>
                  <w:r>
                    <w:rPr>
                      <w:rFonts w:hint="default" w:ascii="Times New Roman" w:hAnsi="Times New Roman" w:cs="Times New Roman"/>
                      <w:color w:val="000000" w:themeColor="text1"/>
                      <w:szCs w:val="21"/>
                      <w14:textFill>
                        <w14:solidFill>
                          <w14:schemeClr w14:val="tx1"/>
                        </w14:solidFill>
                      </w14:textFill>
                    </w:rPr>
                    <w:t>废</w:t>
                  </w:r>
                  <w:r>
                    <w:rPr>
                      <w:rFonts w:hint="default" w:ascii="Times New Roman" w:hAnsi="Times New Roman" w:cs="Times New Roman"/>
                      <w:color w:val="000000" w:themeColor="text1"/>
                      <w:szCs w:val="21"/>
                      <w:lang w:val="en-US" w:eastAsia="zh-CN"/>
                      <w14:textFill>
                        <w14:solidFill>
                          <w14:schemeClr w14:val="tx1"/>
                        </w14:solidFill>
                      </w14:textFill>
                    </w:rPr>
                    <w:t>空压</w:t>
                  </w:r>
                  <w:r>
                    <w:rPr>
                      <w:rFonts w:hint="default" w:ascii="Times New Roman" w:hAnsi="Times New Roman" w:cs="Times New Roman"/>
                      <w:color w:val="000000" w:themeColor="text1"/>
                      <w:szCs w:val="21"/>
                      <w14:textFill>
                        <w14:solidFill>
                          <w14:schemeClr w14:val="tx1"/>
                        </w14:solidFill>
                      </w14:textFill>
                    </w:rPr>
                    <w:t>机油</w:t>
                  </w:r>
                  <w:r>
                    <w:rPr>
                      <w:rFonts w:hint="default" w:ascii="Times New Roman" w:hAnsi="Times New Roman" w:cs="Times New Roman"/>
                      <w:color w:val="000000" w:themeColor="text1"/>
                      <w:szCs w:val="21"/>
                      <w:lang w:eastAsia="zh-CN"/>
                      <w14:textFill>
                        <w14:solidFill>
                          <w14:schemeClr w14:val="tx1"/>
                        </w14:solidFill>
                      </w14:textFill>
                    </w:rPr>
                    <w:t>、</w:t>
                  </w:r>
                  <w:r>
                    <w:rPr>
                      <w:rFonts w:hint="default" w:ascii="Times New Roman" w:hAnsi="Times New Roman" w:cs="Times New Roman"/>
                      <w:color w:val="000000" w:themeColor="text1"/>
                      <w:szCs w:val="21"/>
                      <w:lang w:val="en-US" w:eastAsia="zh-CN"/>
                      <w14:textFill>
                        <w14:solidFill>
                          <w14:schemeClr w14:val="tx1"/>
                        </w14:solidFill>
                      </w14:textFill>
                    </w:rPr>
                    <w:t>废润滑油</w:t>
                  </w:r>
                </w:p>
              </w:tc>
              <w:tc>
                <w:tcPr>
                  <w:tcW w:w="531" w:type="pct"/>
                  <w:noWrap w:val="0"/>
                  <w:vAlign w:val="center"/>
                </w:tcPr>
                <w:p w14:paraId="036CC95D">
                  <w:pPr>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液态</w:t>
                  </w:r>
                </w:p>
              </w:tc>
              <w:tc>
                <w:tcPr>
                  <w:tcW w:w="707" w:type="pct"/>
                  <w:noWrap w:val="0"/>
                  <w:vAlign w:val="center"/>
                </w:tcPr>
                <w:p w14:paraId="16834DFC">
                  <w:pPr>
                    <w:jc w:val="center"/>
                    <w:outlineLvl w:val="2"/>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原料库房及危废暂存间</w:t>
                  </w:r>
                </w:p>
              </w:tc>
              <w:tc>
                <w:tcPr>
                  <w:tcW w:w="2485" w:type="pct"/>
                  <w:noWrap w:val="0"/>
                  <w:vAlign w:val="center"/>
                </w:tcPr>
                <w:p w14:paraId="3EA021BE">
                  <w:pPr>
                    <w:jc w:val="center"/>
                    <w:outlineLvl w:val="2"/>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空压机油</w:t>
                  </w:r>
                  <w:r>
                    <w:rPr>
                      <w:rFonts w:hint="default" w:ascii="Times New Roman" w:hAnsi="Times New Roman" w:cs="Times New Roman"/>
                      <w:color w:val="000000" w:themeColor="text1"/>
                      <w:szCs w:val="21"/>
                      <w:lang w:eastAsia="zh-CN"/>
                      <w14:textFill>
                        <w14:solidFill>
                          <w14:schemeClr w14:val="tx1"/>
                        </w14:solidFill>
                      </w14:textFill>
                    </w:rPr>
                    <w:t>、</w:t>
                  </w:r>
                  <w:r>
                    <w:rPr>
                      <w:rFonts w:hint="default" w:ascii="Times New Roman" w:hAnsi="Times New Roman" w:cs="Times New Roman"/>
                      <w:color w:val="000000" w:themeColor="text1"/>
                      <w:szCs w:val="21"/>
                      <w:lang w:val="en-US" w:eastAsia="zh-CN"/>
                      <w14:textFill>
                        <w14:solidFill>
                          <w14:schemeClr w14:val="tx1"/>
                        </w14:solidFill>
                      </w14:textFill>
                    </w:rPr>
                    <w:t>润滑油、</w:t>
                  </w:r>
                  <w:r>
                    <w:rPr>
                      <w:rFonts w:hint="default" w:ascii="Times New Roman" w:hAnsi="Times New Roman" w:cs="Times New Roman"/>
                      <w:color w:val="000000" w:themeColor="text1"/>
                      <w:szCs w:val="21"/>
                      <w14:textFill>
                        <w14:solidFill>
                          <w14:schemeClr w14:val="tx1"/>
                        </w14:solidFill>
                      </w14:textFill>
                    </w:rPr>
                    <w:t>废</w:t>
                  </w:r>
                  <w:r>
                    <w:rPr>
                      <w:rFonts w:hint="default" w:ascii="Times New Roman" w:hAnsi="Times New Roman" w:cs="Times New Roman"/>
                      <w:color w:val="000000" w:themeColor="text1"/>
                      <w:szCs w:val="21"/>
                      <w:lang w:val="en-US" w:eastAsia="zh-CN"/>
                      <w14:textFill>
                        <w14:solidFill>
                          <w14:schemeClr w14:val="tx1"/>
                        </w14:solidFill>
                      </w14:textFill>
                    </w:rPr>
                    <w:t>空压</w:t>
                  </w:r>
                  <w:r>
                    <w:rPr>
                      <w:rFonts w:hint="default" w:ascii="Times New Roman" w:hAnsi="Times New Roman" w:cs="Times New Roman"/>
                      <w:color w:val="000000" w:themeColor="text1"/>
                      <w:szCs w:val="21"/>
                      <w14:textFill>
                        <w14:solidFill>
                          <w14:schemeClr w14:val="tx1"/>
                        </w14:solidFill>
                      </w14:textFill>
                    </w:rPr>
                    <w:t>机油</w:t>
                  </w:r>
                  <w:r>
                    <w:rPr>
                      <w:rFonts w:hint="default" w:ascii="Times New Roman" w:hAnsi="Times New Roman" w:cs="Times New Roman"/>
                      <w:color w:val="000000" w:themeColor="text1"/>
                      <w:szCs w:val="21"/>
                      <w:lang w:eastAsia="zh-CN"/>
                      <w14:textFill>
                        <w14:solidFill>
                          <w14:schemeClr w14:val="tx1"/>
                        </w14:solidFill>
                      </w14:textFill>
                    </w:rPr>
                    <w:t>、</w:t>
                  </w:r>
                  <w:r>
                    <w:rPr>
                      <w:rFonts w:hint="default" w:ascii="Times New Roman" w:hAnsi="Times New Roman" w:cs="Times New Roman"/>
                      <w:color w:val="000000" w:themeColor="text1"/>
                      <w:szCs w:val="21"/>
                      <w:lang w:val="en-US" w:eastAsia="zh-CN"/>
                      <w14:textFill>
                        <w14:solidFill>
                          <w14:schemeClr w14:val="tx1"/>
                        </w14:solidFill>
                      </w14:textFill>
                    </w:rPr>
                    <w:t>废润滑油</w:t>
                  </w:r>
                  <w:r>
                    <w:rPr>
                      <w:rFonts w:hint="default" w:ascii="Times New Roman" w:hAnsi="Times New Roman" w:cs="Times New Roman"/>
                      <w:color w:val="000000" w:themeColor="text1"/>
                      <w:kern w:val="0"/>
                      <w:szCs w:val="21"/>
                      <w14:textFill>
                        <w14:solidFill>
                          <w14:schemeClr w14:val="tx1"/>
                        </w14:solidFill>
                      </w14:textFill>
                    </w:rPr>
                    <w:t>的</w:t>
                  </w:r>
                  <w:r>
                    <w:rPr>
                      <w:rFonts w:hint="default" w:ascii="Times New Roman" w:hAnsi="Times New Roman" w:cs="Times New Roman"/>
                      <w:color w:val="000000" w:themeColor="text1"/>
                      <w:kern w:val="0"/>
                      <w:szCs w:val="21"/>
                      <w:lang w:eastAsia="zh-CN"/>
                      <w14:textFill>
                        <w14:solidFill>
                          <w14:schemeClr w14:val="tx1"/>
                        </w14:solidFill>
                      </w14:textFill>
                    </w:rPr>
                    <w:t>泄漏</w:t>
                  </w:r>
                  <w:r>
                    <w:rPr>
                      <w:rFonts w:hint="default" w:ascii="Times New Roman" w:hAnsi="Times New Roman" w:cs="Times New Roman"/>
                      <w:color w:val="000000" w:themeColor="text1"/>
                      <w:kern w:val="0"/>
                      <w:szCs w:val="21"/>
                      <w14:textFill>
                        <w14:solidFill>
                          <w14:schemeClr w14:val="tx1"/>
                        </w14:solidFill>
                      </w14:textFill>
                    </w:rPr>
                    <w:t>，随地表径流进入地表水体污染河流，或垂直入渗进入地下水造成地下水污染。</w:t>
                  </w:r>
                </w:p>
              </w:tc>
            </w:tr>
          </w:tbl>
          <w:p w14:paraId="3CDC98B2">
            <w:pPr>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w:t>
            </w:r>
            <w:r>
              <w:rPr>
                <w:rFonts w:hint="default" w:ascii="Times New Roman" w:hAnsi="Times New Roman" w:cs="Times New Roman"/>
                <w:color w:val="000000" w:themeColor="text1"/>
                <w:sz w:val="24"/>
                <w:lang w:val="en-US" w:eastAsia="zh-CN"/>
                <w14:textFill>
                  <w14:solidFill>
                    <w14:schemeClr w14:val="tx1"/>
                  </w14:solidFill>
                </w14:textFill>
              </w:rPr>
              <w:t>2</w:t>
            </w:r>
            <w:r>
              <w:rPr>
                <w:rFonts w:hint="default" w:ascii="Times New Roman" w:hAnsi="Times New Roman" w:cs="Times New Roman"/>
                <w:color w:val="000000" w:themeColor="text1"/>
                <w:sz w:val="24"/>
                <w14:textFill>
                  <w14:solidFill>
                    <w14:schemeClr w14:val="tx1"/>
                  </w14:solidFill>
                </w14:textFill>
              </w:rPr>
              <w:t>）环境风险防范措施</w:t>
            </w:r>
          </w:p>
          <w:p w14:paraId="6ADE8B69">
            <w:pPr>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1）环境风险防范措施</w:t>
            </w:r>
          </w:p>
          <w:p w14:paraId="6DC7FAA0">
            <w:pPr>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A</w:t>
            </w:r>
            <w:r>
              <w:rPr>
                <w:rFonts w:hint="default" w:ascii="Times New Roman" w:hAnsi="Times New Roman" w:cs="Times New Roman"/>
                <w:color w:val="000000" w:themeColor="text1"/>
                <w:sz w:val="24"/>
                <w:lang w:eastAsia="zh-CN"/>
                <w14:textFill>
                  <w14:solidFill>
                    <w14:schemeClr w14:val="tx1"/>
                  </w14:solidFill>
                </w14:textFill>
              </w:rPr>
              <w:t>. 厂区布局</w:t>
            </w:r>
            <w:r>
              <w:rPr>
                <w:rFonts w:hint="default" w:ascii="Times New Roman" w:hAnsi="Times New Roman" w:cs="Times New Roman"/>
                <w:color w:val="000000" w:themeColor="text1"/>
                <w:sz w:val="24"/>
                <w14:textFill>
                  <w14:solidFill>
                    <w14:schemeClr w14:val="tx1"/>
                  </w14:solidFill>
                </w14:textFill>
              </w:rPr>
              <w:t>及建筑安全防范措施。</w:t>
            </w:r>
          </w:p>
          <w:p w14:paraId="7749720A">
            <w:pPr>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油类物质存在发生泄漏的风险，主要原因是操作失误和管理不</w:t>
            </w:r>
            <w:r>
              <w:rPr>
                <w:rFonts w:hint="default" w:ascii="Times New Roman" w:hAnsi="Times New Roman" w:cs="Times New Roman"/>
                <w:color w:val="000000" w:themeColor="text1"/>
                <w:sz w:val="24"/>
                <w:lang w:eastAsia="zh-CN"/>
                <w14:textFill>
                  <w14:solidFill>
                    <w14:schemeClr w14:val="tx1"/>
                  </w14:solidFill>
                </w14:textFill>
              </w:rPr>
              <w:t>到位</w:t>
            </w:r>
            <w:r>
              <w:rPr>
                <w:rFonts w:hint="default" w:ascii="Times New Roman" w:hAnsi="Times New Roman" w:cs="Times New Roman"/>
                <w:color w:val="000000" w:themeColor="text1"/>
                <w:sz w:val="24"/>
                <w14:textFill>
                  <w14:solidFill>
                    <w14:schemeClr w14:val="tx1"/>
                  </w14:solidFill>
                </w14:textFill>
              </w:rPr>
              <w:t>。防止油类物质出现</w:t>
            </w:r>
            <w:r>
              <w:rPr>
                <w:rFonts w:hint="default" w:ascii="Times New Roman" w:hAnsi="Times New Roman" w:cs="Times New Roman"/>
                <w:color w:val="000000" w:themeColor="text1"/>
                <w:sz w:val="24"/>
                <w:lang w:eastAsia="zh-CN"/>
                <w14:textFill>
                  <w14:solidFill>
                    <w14:schemeClr w14:val="tx1"/>
                  </w14:solidFill>
                </w14:textFill>
              </w:rPr>
              <w:t>泄漏</w:t>
            </w:r>
            <w:r>
              <w:rPr>
                <w:rFonts w:hint="default" w:ascii="Times New Roman" w:hAnsi="Times New Roman" w:cs="Times New Roman"/>
                <w:color w:val="000000" w:themeColor="text1"/>
                <w:sz w:val="24"/>
                <w14:textFill>
                  <w14:solidFill>
                    <w14:schemeClr w14:val="tx1"/>
                  </w14:solidFill>
                </w14:textFill>
              </w:rPr>
              <w:t>，造成污染，以免发生爆炸、火灾等。</w:t>
            </w:r>
          </w:p>
          <w:p w14:paraId="5E70B50E">
            <w:pPr>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B</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危险化学品贮运安全防范措施。</w:t>
            </w:r>
          </w:p>
          <w:p w14:paraId="21AE83BA">
            <w:pPr>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2）危险物质贮存过程</w:t>
            </w:r>
          </w:p>
          <w:p w14:paraId="52DD159D">
            <w:pPr>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A</w:t>
            </w:r>
            <w:r>
              <w:rPr>
                <w:rFonts w:hint="default" w:ascii="Times New Roman" w:hAnsi="Times New Roman" w:cs="Times New Roman"/>
                <w:color w:val="000000" w:themeColor="text1"/>
                <w:sz w:val="24"/>
                <w:lang w:eastAsia="zh-CN"/>
                <w14:textFill>
                  <w14:solidFill>
                    <w14:schemeClr w14:val="tx1"/>
                  </w14:solidFill>
                </w14:textFill>
              </w:rPr>
              <w:t xml:space="preserve">. </w:t>
            </w:r>
            <w:r>
              <w:rPr>
                <w:rFonts w:hint="default" w:ascii="Times New Roman" w:hAnsi="Times New Roman" w:cs="Times New Roman"/>
                <w:color w:val="000000" w:themeColor="text1"/>
                <w:sz w:val="24"/>
                <w14:textFill>
                  <w14:solidFill>
                    <w14:schemeClr w14:val="tx1"/>
                  </w14:solidFill>
                </w14:textFill>
              </w:rPr>
              <w:t>危险物质储存场所四周应设置围栏或非实体围墙，围栏或非实体围墙采用不</w:t>
            </w:r>
            <w:r>
              <w:rPr>
                <w:rFonts w:hint="default" w:ascii="Times New Roman" w:hAnsi="Times New Roman" w:cs="Times New Roman"/>
                <w:color w:val="000000" w:themeColor="text1"/>
                <w:sz w:val="24"/>
                <w:lang w:eastAsia="zh-CN"/>
                <w14:textFill>
                  <w14:solidFill>
                    <w14:schemeClr w14:val="tx1"/>
                  </w14:solidFill>
                </w14:textFill>
              </w:rPr>
              <w:t>燃</w:t>
            </w:r>
            <w:r>
              <w:rPr>
                <w:rFonts w:hint="default" w:ascii="Times New Roman" w:hAnsi="Times New Roman" w:cs="Times New Roman"/>
                <w:color w:val="000000" w:themeColor="text1"/>
                <w:sz w:val="24"/>
                <w14:textFill>
                  <w14:solidFill>
                    <w14:schemeClr w14:val="tx1"/>
                  </w14:solidFill>
                </w14:textFill>
              </w:rPr>
              <w:t>材料；</w:t>
            </w:r>
          </w:p>
          <w:p w14:paraId="6346F472">
            <w:pPr>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B</w:t>
            </w:r>
            <w:r>
              <w:rPr>
                <w:rFonts w:hint="default" w:ascii="Times New Roman" w:hAnsi="Times New Roman" w:cs="Times New Roman"/>
                <w:color w:val="000000" w:themeColor="text1"/>
                <w:sz w:val="24"/>
                <w:lang w:eastAsia="zh-CN"/>
                <w14:textFill>
                  <w14:solidFill>
                    <w14:schemeClr w14:val="tx1"/>
                  </w14:solidFill>
                </w14:textFill>
              </w:rPr>
              <w:t>. 危险</w:t>
            </w:r>
            <w:r>
              <w:rPr>
                <w:rFonts w:hint="default" w:ascii="Times New Roman" w:hAnsi="Times New Roman" w:cs="Times New Roman"/>
                <w:color w:val="000000" w:themeColor="text1"/>
                <w:sz w:val="24"/>
                <w14:textFill>
                  <w14:solidFill>
                    <w14:schemeClr w14:val="tx1"/>
                  </w14:solidFill>
                </w14:textFill>
              </w:rPr>
              <w:t>物质储存场所应设置警示牌</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警示语</w:t>
            </w:r>
            <w:r>
              <w:rPr>
                <w:rFonts w:hint="default" w:ascii="Times New Roman" w:hAnsi="Times New Roman" w:cs="Times New Roman"/>
                <w:color w:val="000000" w:themeColor="text1"/>
                <w:sz w:val="24"/>
                <w:lang w:eastAsia="zh-CN"/>
                <w14:textFill>
                  <w14:solidFill>
                    <w14:schemeClr w14:val="tx1"/>
                  </w14:solidFill>
                </w14:textFill>
              </w:rPr>
              <w:t>和</w:t>
            </w:r>
            <w:r>
              <w:rPr>
                <w:rFonts w:hint="default" w:ascii="Times New Roman" w:hAnsi="Times New Roman" w:cs="Times New Roman"/>
                <w:color w:val="000000" w:themeColor="text1"/>
                <w:sz w:val="24"/>
                <w14:textFill>
                  <w14:solidFill>
                    <w14:schemeClr w14:val="tx1"/>
                  </w14:solidFill>
                </w14:textFill>
              </w:rPr>
              <w:t>安全告知牌，提醒人们注意，避免碰撞</w:t>
            </w:r>
            <w:r>
              <w:rPr>
                <w:rFonts w:hint="default" w:ascii="Times New Roman" w:hAnsi="Times New Roman" w:cs="Times New Roman"/>
                <w:color w:val="000000" w:themeColor="text1"/>
                <w:sz w:val="24"/>
                <w:lang w:eastAsia="zh-CN"/>
                <w14:textFill>
                  <w14:solidFill>
                    <w14:schemeClr w14:val="tx1"/>
                  </w14:solidFill>
                </w14:textFill>
              </w:rPr>
              <w:t>或</w:t>
            </w:r>
            <w:r>
              <w:rPr>
                <w:rFonts w:hint="default" w:ascii="Times New Roman" w:hAnsi="Times New Roman" w:cs="Times New Roman"/>
                <w:color w:val="000000" w:themeColor="text1"/>
                <w:sz w:val="24"/>
                <w14:textFill>
                  <w14:solidFill>
                    <w14:schemeClr w14:val="tx1"/>
                  </w14:solidFill>
                </w14:textFill>
              </w:rPr>
              <w:t>携带火种等；</w:t>
            </w:r>
          </w:p>
          <w:p w14:paraId="2B6CE544">
            <w:pPr>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C</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加强对油类物质的管理和检修</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定期对油类物质进行检查，发现轻微泄漏事故或怀疑有泄漏时，应立即进行维修；</w:t>
            </w:r>
          </w:p>
          <w:p w14:paraId="7D3AF618">
            <w:pPr>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3）严格控制设备质量和安装质量</w:t>
            </w:r>
          </w:p>
          <w:p w14:paraId="69A597A5">
            <w:pPr>
              <w:numPr>
                <w:ilvl w:val="0"/>
                <w:numId w:val="5"/>
              </w:numPr>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对设备、泵等定期检查、保养、维修；</w:t>
            </w:r>
          </w:p>
          <w:p w14:paraId="14D75390">
            <w:pPr>
              <w:numPr>
                <w:ilvl w:val="0"/>
                <w:numId w:val="5"/>
              </w:numPr>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电器线路定期进行检查、维修、保养；</w:t>
            </w:r>
          </w:p>
          <w:p w14:paraId="7D1C9DE8">
            <w:pPr>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4）加强管理、严格纪律</w:t>
            </w:r>
          </w:p>
          <w:p w14:paraId="7498B332">
            <w:pPr>
              <w:numPr>
                <w:ilvl w:val="0"/>
                <w:numId w:val="6"/>
              </w:numPr>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遵守各项规章制度和操作规程，严格执行岗位责任制；</w:t>
            </w:r>
          </w:p>
          <w:p w14:paraId="2F4D0589">
            <w:pPr>
              <w:numPr>
                <w:ilvl w:val="0"/>
                <w:numId w:val="6"/>
              </w:numPr>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坚持巡回检查，发现问题及时处理，如通风、管线是否有问题，消防通道、地沟是否通畅等；</w:t>
            </w:r>
          </w:p>
          <w:p w14:paraId="1C0F6A80">
            <w:pPr>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C.</w:t>
            </w:r>
            <w:r>
              <w:rPr>
                <w:rFonts w:hint="default" w:ascii="Times New Roman" w:hAnsi="Times New Roman" w:cs="Times New Roman"/>
                <w:color w:val="000000" w:themeColor="text1"/>
                <w:sz w:val="24"/>
                <w:lang w:eastAsia="zh-CN"/>
                <w14:textFill>
                  <w14:solidFill>
                    <w14:schemeClr w14:val="tx1"/>
                  </w14:solidFill>
                </w14:textFill>
              </w:rPr>
              <w:t xml:space="preserve"> 加强</w:t>
            </w:r>
            <w:r>
              <w:rPr>
                <w:rFonts w:hint="default" w:ascii="Times New Roman" w:hAnsi="Times New Roman" w:cs="Times New Roman"/>
                <w:color w:val="000000" w:themeColor="text1"/>
                <w:sz w:val="24"/>
                <w14:textFill>
                  <w14:solidFill>
                    <w14:schemeClr w14:val="tx1"/>
                  </w14:solidFill>
                </w14:textFill>
              </w:rPr>
              <w:t>对油类物质的管理和检修</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定期对油类物质存放场所等容易发生泄漏的部位进行检查，发现轻微泄漏事故或怀疑有泄漏时，应立即进行维修。</w:t>
            </w:r>
          </w:p>
          <w:p w14:paraId="473104A3">
            <w:pPr>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D.</w:t>
            </w:r>
            <w:r>
              <w:rPr>
                <w:rFonts w:hint="default" w:ascii="Times New Roman" w:hAnsi="Times New Roman" w:cs="Times New Roman"/>
                <w:color w:val="000000" w:themeColor="text1"/>
                <w:sz w:val="24"/>
                <w:lang w:eastAsia="zh-CN"/>
                <w14:textFill>
                  <w14:solidFill>
                    <w14:schemeClr w14:val="tx1"/>
                  </w14:solidFill>
                </w14:textFill>
              </w:rPr>
              <w:t xml:space="preserve"> 检修</w:t>
            </w:r>
            <w:r>
              <w:rPr>
                <w:rFonts w:hint="default" w:ascii="Times New Roman" w:hAnsi="Times New Roman" w:cs="Times New Roman"/>
                <w:color w:val="000000" w:themeColor="text1"/>
                <w:sz w:val="24"/>
                <w14:textFill>
                  <w14:solidFill>
                    <w14:schemeClr w14:val="tx1"/>
                  </w14:solidFill>
                </w14:textFill>
              </w:rPr>
              <w:t>时，做好隔离，清洗干净，分析合格后，要有现场监护</w:t>
            </w:r>
            <w:r>
              <w:rPr>
                <w:rFonts w:hint="default" w:ascii="Times New Roman" w:hAnsi="Times New Roman" w:cs="Times New Roman"/>
                <w:color w:val="000000" w:themeColor="text1"/>
                <w:sz w:val="24"/>
                <w:lang w:eastAsia="zh-CN"/>
                <w14:textFill>
                  <w14:solidFill>
                    <w14:schemeClr w14:val="tx1"/>
                  </w14:solidFill>
                </w14:textFill>
              </w:rPr>
              <w:t>，在</w:t>
            </w:r>
            <w:r>
              <w:rPr>
                <w:rFonts w:hint="default" w:ascii="Times New Roman" w:hAnsi="Times New Roman" w:cs="Times New Roman"/>
                <w:color w:val="000000" w:themeColor="text1"/>
                <w:sz w:val="24"/>
                <w14:textFill>
                  <w14:solidFill>
                    <w14:schemeClr w14:val="tx1"/>
                  </w14:solidFill>
                </w14:textFill>
              </w:rPr>
              <w:t>通风良好的条件</w:t>
            </w:r>
            <w:r>
              <w:rPr>
                <w:rFonts w:hint="default" w:ascii="Times New Roman" w:hAnsi="Times New Roman" w:cs="Times New Roman"/>
                <w:color w:val="000000" w:themeColor="text1"/>
                <w:sz w:val="24"/>
                <w:lang w:eastAsia="zh-CN"/>
                <w14:textFill>
                  <w14:solidFill>
                    <w14:schemeClr w14:val="tx1"/>
                  </w14:solidFill>
                </w14:textFill>
              </w:rPr>
              <w:t>下才能动火</w:t>
            </w:r>
            <w:r>
              <w:rPr>
                <w:rFonts w:hint="default" w:ascii="Times New Roman" w:hAnsi="Times New Roman" w:cs="Times New Roman"/>
                <w:color w:val="000000" w:themeColor="text1"/>
                <w:sz w:val="24"/>
                <w14:textFill>
                  <w14:solidFill>
                    <w14:schemeClr w14:val="tx1"/>
                  </w14:solidFill>
                </w14:textFill>
              </w:rPr>
              <w:t>；</w:t>
            </w:r>
          </w:p>
          <w:p w14:paraId="42C4BE32">
            <w:pPr>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E.加强培训、教育和考核工作。</w:t>
            </w:r>
          </w:p>
          <w:p w14:paraId="24AE23CE">
            <w:pPr>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5）安全措施</w:t>
            </w:r>
          </w:p>
          <w:p w14:paraId="3C4CB21A">
            <w:pPr>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A</w:t>
            </w:r>
            <w:r>
              <w:rPr>
                <w:rFonts w:hint="default" w:ascii="Times New Roman" w:hAnsi="Times New Roman" w:cs="Times New Roman"/>
                <w:color w:val="000000" w:themeColor="text1"/>
                <w:sz w:val="24"/>
                <w:lang w:eastAsia="zh-CN"/>
                <w14:textFill>
                  <w14:solidFill>
                    <w14:schemeClr w14:val="tx1"/>
                  </w14:solidFill>
                </w14:textFill>
              </w:rPr>
              <w:t xml:space="preserve">. </w:t>
            </w:r>
            <w:r>
              <w:rPr>
                <w:rFonts w:hint="default" w:ascii="Times New Roman" w:hAnsi="Times New Roman" w:cs="Times New Roman"/>
                <w:color w:val="000000" w:themeColor="text1"/>
                <w:sz w:val="24"/>
                <w14:textFill>
                  <w14:solidFill>
                    <w14:schemeClr w14:val="tx1"/>
                  </w14:solidFill>
                </w14:textFill>
              </w:rPr>
              <w:t>消防设施要保持完好；</w:t>
            </w:r>
          </w:p>
          <w:p w14:paraId="741C3A3E">
            <w:pPr>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B</w:t>
            </w:r>
            <w:r>
              <w:rPr>
                <w:rFonts w:hint="default" w:ascii="Times New Roman" w:hAnsi="Times New Roman" w:cs="Times New Roman"/>
                <w:color w:val="000000" w:themeColor="text1"/>
                <w:sz w:val="24"/>
                <w:lang w:eastAsia="zh-CN"/>
                <w14:textFill>
                  <w14:solidFill>
                    <w14:schemeClr w14:val="tx1"/>
                  </w14:solidFill>
                </w14:textFill>
              </w:rPr>
              <w:t xml:space="preserve">. </w:t>
            </w:r>
            <w:r>
              <w:rPr>
                <w:rFonts w:hint="default" w:ascii="Times New Roman" w:hAnsi="Times New Roman" w:cs="Times New Roman"/>
                <w:color w:val="000000" w:themeColor="text1"/>
                <w:sz w:val="24"/>
                <w14:textFill>
                  <w14:solidFill>
                    <w14:schemeClr w14:val="tx1"/>
                  </w14:solidFill>
                </w14:textFill>
              </w:rPr>
              <w:t>要正确佩戴相应的劳动防护用品</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正确使用防毒面具等防护用具；</w:t>
            </w:r>
          </w:p>
          <w:p w14:paraId="1C1BC653">
            <w:pPr>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C</w:t>
            </w:r>
            <w:r>
              <w:rPr>
                <w:rFonts w:hint="default" w:ascii="Times New Roman" w:hAnsi="Times New Roman" w:cs="Times New Roman"/>
                <w:color w:val="000000" w:themeColor="text1"/>
                <w:sz w:val="24"/>
                <w:lang w:eastAsia="zh-CN"/>
                <w14:textFill>
                  <w14:solidFill>
                    <w14:schemeClr w14:val="tx1"/>
                  </w14:solidFill>
                </w14:textFill>
              </w:rPr>
              <w:t xml:space="preserve">. </w:t>
            </w:r>
            <w:r>
              <w:rPr>
                <w:rFonts w:hint="default" w:ascii="Times New Roman" w:hAnsi="Times New Roman" w:cs="Times New Roman"/>
                <w:color w:val="000000" w:themeColor="text1"/>
                <w:sz w:val="24"/>
                <w14:textFill>
                  <w14:solidFill>
                    <w14:schemeClr w14:val="tx1"/>
                  </w14:solidFill>
                </w14:textFill>
              </w:rPr>
              <w:t>采取必要的防静电措施。</w:t>
            </w:r>
          </w:p>
          <w:p w14:paraId="16AAA75A">
            <w:pPr>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6）</w:t>
            </w:r>
            <w:r>
              <w:rPr>
                <w:rFonts w:hint="default" w:ascii="Times New Roman" w:hAnsi="Times New Roman" w:cs="Times New Roman"/>
                <w:color w:val="000000" w:themeColor="text1"/>
                <w:sz w:val="24"/>
                <w:lang w:eastAsia="zh-CN"/>
                <w14:textFill>
                  <w14:solidFill>
                    <w14:schemeClr w14:val="tx1"/>
                  </w14:solidFill>
                </w14:textFill>
              </w:rPr>
              <w:t>泄漏</w:t>
            </w:r>
            <w:r>
              <w:rPr>
                <w:rFonts w:hint="default" w:ascii="Times New Roman" w:hAnsi="Times New Roman" w:cs="Times New Roman"/>
                <w:color w:val="000000" w:themeColor="text1"/>
                <w:sz w:val="24"/>
                <w14:textFill>
                  <w14:solidFill>
                    <w14:schemeClr w14:val="tx1"/>
                  </w14:solidFill>
                </w14:textFill>
              </w:rPr>
              <w:t>事故排放防范措施 处理泄漏事故时注意事项</w:t>
            </w:r>
          </w:p>
          <w:p w14:paraId="0786916F">
            <w:pPr>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A</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实施堵漏</w:t>
            </w:r>
            <w:r>
              <w:rPr>
                <w:rFonts w:hint="default" w:ascii="Times New Roman" w:hAnsi="Times New Roman" w:cs="Times New Roman"/>
                <w:color w:val="000000" w:themeColor="text1"/>
                <w:sz w:val="24"/>
                <w:lang w:val="en-US" w:eastAsia="zh-CN"/>
                <w14:textFill>
                  <w14:solidFill>
                    <w14:schemeClr w14:val="tx1"/>
                  </w14:solidFill>
                </w14:textFill>
              </w:rPr>
              <w:t>工作</w:t>
            </w:r>
            <w:r>
              <w:rPr>
                <w:rFonts w:hint="default" w:ascii="Times New Roman" w:hAnsi="Times New Roman" w:cs="Times New Roman"/>
                <w:color w:val="000000" w:themeColor="text1"/>
                <w:sz w:val="24"/>
                <w14:textFill>
                  <w14:solidFill>
                    <w14:schemeClr w14:val="tx1"/>
                  </w14:solidFill>
                </w14:textFill>
              </w:rPr>
              <w:t>人员必须经过专门训练，并配备专门的堵漏器材和工具，作业时必须严格执行防火、防静电、防中毒等安全技术要求。</w:t>
            </w:r>
          </w:p>
          <w:p w14:paraId="47AA129E">
            <w:pPr>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B</w:t>
            </w:r>
            <w:r>
              <w:rPr>
                <w:rFonts w:hint="default" w:ascii="Times New Roman" w:hAnsi="Times New Roman" w:cs="Times New Roman"/>
                <w:color w:val="000000" w:themeColor="text1"/>
                <w:sz w:val="24"/>
                <w:lang w:eastAsia="zh-CN"/>
                <w14:textFill>
                  <w14:solidFill>
                    <w14:schemeClr w14:val="tx1"/>
                  </w14:solidFill>
                </w14:textFill>
              </w:rPr>
              <w:t xml:space="preserve">. </w:t>
            </w:r>
            <w:r>
              <w:rPr>
                <w:rFonts w:hint="default" w:ascii="Times New Roman" w:hAnsi="Times New Roman" w:cs="Times New Roman"/>
                <w:color w:val="000000" w:themeColor="text1"/>
                <w:sz w:val="24"/>
                <w14:textFill>
                  <w14:solidFill>
                    <w14:schemeClr w14:val="tx1"/>
                  </w14:solidFill>
                </w14:textFill>
              </w:rPr>
              <w:t>佩戴防毒面具、空气呼吸器、穿全密封阻燃防化服。堵较大泄漏时，应穿棉衣裤，外穿防化服。</w:t>
            </w:r>
          </w:p>
          <w:p w14:paraId="11E5C9CF">
            <w:pPr>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C</w:t>
            </w:r>
            <w:r>
              <w:rPr>
                <w:rFonts w:hint="default" w:ascii="Times New Roman" w:hAnsi="Times New Roman" w:cs="Times New Roman"/>
                <w:color w:val="000000" w:themeColor="text1"/>
                <w:sz w:val="24"/>
                <w:lang w:eastAsia="zh-CN"/>
                <w14:textFill>
                  <w14:solidFill>
                    <w14:schemeClr w14:val="tx1"/>
                  </w14:solidFill>
                </w14:textFill>
              </w:rPr>
              <w:t xml:space="preserve">. </w:t>
            </w:r>
            <w:r>
              <w:rPr>
                <w:rFonts w:hint="default" w:ascii="Times New Roman" w:hAnsi="Times New Roman" w:cs="Times New Roman"/>
                <w:color w:val="000000" w:themeColor="text1"/>
                <w:sz w:val="24"/>
                <w14:textFill>
                  <w14:solidFill>
                    <w14:schemeClr w14:val="tx1"/>
                  </w14:solidFill>
                </w14:textFill>
              </w:rPr>
              <w:t>根据现场情况确定堵漏方案。如现场情况变化，应重新制定方案，不得随意蛮干。</w:t>
            </w:r>
          </w:p>
          <w:p w14:paraId="01517BB7">
            <w:pPr>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D</w:t>
            </w:r>
            <w:r>
              <w:rPr>
                <w:rFonts w:hint="default" w:ascii="Times New Roman" w:hAnsi="Times New Roman" w:cs="Times New Roman"/>
                <w:color w:val="000000" w:themeColor="text1"/>
                <w:sz w:val="24"/>
                <w:lang w:eastAsia="zh-CN"/>
                <w14:textFill>
                  <w14:solidFill>
                    <w14:schemeClr w14:val="tx1"/>
                  </w14:solidFill>
                </w14:textFill>
              </w:rPr>
              <w:t xml:space="preserve">. </w:t>
            </w:r>
            <w:r>
              <w:rPr>
                <w:rFonts w:hint="default" w:ascii="Times New Roman" w:hAnsi="Times New Roman" w:cs="Times New Roman"/>
                <w:color w:val="000000" w:themeColor="text1"/>
                <w:sz w:val="24"/>
                <w14:textFill>
                  <w14:solidFill>
                    <w14:schemeClr w14:val="tx1"/>
                  </w14:solidFill>
                </w14:textFill>
              </w:rPr>
              <w:t>抢救人员进入事故现场时，应多人一组，以便相互照应。</w:t>
            </w:r>
          </w:p>
          <w:p w14:paraId="078AE599">
            <w:pPr>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E</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事故救援应以人员安全为首要任务，在必要的情况下，应迅速撤离事故现场。</w:t>
            </w:r>
          </w:p>
          <w:p w14:paraId="751C5982">
            <w:pPr>
              <w:spacing w:line="360" w:lineRule="auto"/>
              <w:ind w:firstLine="480" w:firstLineChars="200"/>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（3）</w:t>
            </w:r>
            <w:r>
              <w:rPr>
                <w:rFonts w:hint="default" w:ascii="Times New Roman" w:hAnsi="Times New Roman" w:eastAsia="宋体" w:cs="Times New Roman"/>
                <w:color w:val="000000" w:themeColor="text1"/>
                <w:sz w:val="24"/>
                <w14:textFill>
                  <w14:solidFill>
                    <w14:schemeClr w14:val="tx1"/>
                  </w14:solidFill>
                </w14:textFill>
              </w:rPr>
              <w:t>环境风险评价结论</w:t>
            </w:r>
          </w:p>
          <w:p w14:paraId="7118DD69">
            <w:pPr>
              <w:keepNext/>
              <w:keepLines/>
              <w:pageBreakBefore w:val="0"/>
              <w:widowControl/>
              <w:kinsoku/>
              <w:wordWrap/>
              <w:overflowPunct/>
              <w:topLinePunct w:val="0"/>
              <w:autoSpaceDE/>
              <w:autoSpaceDN/>
              <w:bidi w:val="0"/>
              <w:adjustRightInd/>
              <w:snapToGrid/>
              <w:spacing w:line="360" w:lineRule="auto"/>
              <w:ind w:firstLine="480" w:firstLineChars="200"/>
              <w:jc w:val="left"/>
              <w:textAlignment w:val="auto"/>
              <w:outlineLvl w:val="1"/>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建设单位应做到思想上高度重视、认识上见微知著</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防范上时刻不忘，按国家有关技术规范和本报告表落实相关环境风险防范措施，切实加强组织领导，扎实加强应急能力建设，努力规范和完善应急预案，认真组织应急预案演练，力争在风险发生的最初时间就确保风险源能够得到及时</w:t>
            </w:r>
            <w:r>
              <w:rPr>
                <w:rFonts w:hint="default" w:ascii="Times New Roman" w:hAnsi="Times New Roman" w:cs="Times New Roman"/>
                <w:color w:val="000000" w:themeColor="text1"/>
                <w:sz w:val="24"/>
                <w:szCs w:val="24"/>
                <w:lang w:eastAsia="zh-CN"/>
                <w14:textFill>
                  <w14:solidFill>
                    <w14:schemeClr w14:val="tx1"/>
                  </w14:solidFill>
                </w14:textFill>
              </w:rPr>
              <w:t>有效地控制</w:t>
            </w:r>
            <w:r>
              <w:rPr>
                <w:rFonts w:hint="default" w:ascii="Times New Roman" w:hAnsi="Times New Roman" w:cs="Times New Roman"/>
                <w:color w:val="000000" w:themeColor="text1"/>
                <w:sz w:val="24"/>
                <w:szCs w:val="24"/>
                <w14:textFill>
                  <w14:solidFill>
                    <w14:schemeClr w14:val="tx1"/>
                  </w14:solidFill>
                </w14:textFill>
              </w:rPr>
              <w:t>，尽可能避免重大人员伤亡和财产损失事故的发生，同时尽可能减轻</w:t>
            </w:r>
            <w:r>
              <w:rPr>
                <w:rFonts w:hint="default" w:ascii="Times New Roman" w:hAnsi="Times New Roman" w:cs="Times New Roman"/>
                <w:color w:val="000000" w:themeColor="text1"/>
                <w:sz w:val="24"/>
                <w:szCs w:val="24"/>
                <w:lang w:val="en-US" w:eastAsia="zh-CN"/>
                <w14:textFill>
                  <w14:solidFill>
                    <w14:schemeClr w14:val="tx1"/>
                  </w14:solidFill>
                </w14:textFill>
              </w:rPr>
              <w:t>风险</w:t>
            </w:r>
            <w:r>
              <w:rPr>
                <w:rFonts w:hint="default" w:ascii="Times New Roman" w:hAnsi="Times New Roman" w:cs="Times New Roman"/>
                <w:color w:val="000000" w:themeColor="text1"/>
                <w:sz w:val="24"/>
                <w:szCs w:val="24"/>
                <w14:textFill>
                  <w14:solidFill>
                    <w14:schemeClr w14:val="tx1"/>
                  </w14:solidFill>
                </w14:textFill>
              </w:rPr>
              <w:t>对周围环境造成</w:t>
            </w:r>
            <w:r>
              <w:rPr>
                <w:rFonts w:hint="default" w:ascii="Times New Roman" w:hAnsi="Times New Roman" w:cs="Times New Roman"/>
                <w:color w:val="000000" w:themeColor="text1"/>
                <w:sz w:val="24"/>
                <w:szCs w:val="24"/>
                <w:lang w:eastAsia="zh-CN"/>
                <w14:textFill>
                  <w14:solidFill>
                    <w14:schemeClr w14:val="tx1"/>
                  </w14:solidFill>
                </w14:textFill>
              </w:rPr>
              <w:t>的</w:t>
            </w:r>
            <w:r>
              <w:rPr>
                <w:rFonts w:hint="default" w:ascii="Times New Roman" w:hAnsi="Times New Roman" w:cs="Times New Roman"/>
                <w:color w:val="000000" w:themeColor="text1"/>
                <w:sz w:val="24"/>
                <w:szCs w:val="24"/>
                <w14:textFill>
                  <w14:solidFill>
                    <w14:schemeClr w14:val="tx1"/>
                  </w14:solidFill>
                </w14:textFill>
              </w:rPr>
              <w:t>影响。</w:t>
            </w:r>
          </w:p>
          <w:p w14:paraId="145628AC">
            <w:pPr>
              <w:pStyle w:val="31"/>
              <w:jc w:val="center"/>
              <w:outlineLvl w:val="0"/>
              <w:rPr>
                <w:rFonts w:hint="default" w:ascii="Times New Roman" w:hAnsi="Times New Roman" w:eastAsia="黑体" w:cs="Times New Roman"/>
                <w:snapToGrid w:val="0"/>
                <w:color w:val="000000" w:themeColor="text1"/>
                <w:sz w:val="30"/>
                <w:szCs w:val="30"/>
                <w:vertAlign w:val="baseline"/>
                <w14:textFill>
                  <w14:solidFill>
                    <w14:schemeClr w14:val="tx1"/>
                  </w14:solidFill>
                </w14:textFill>
              </w:rPr>
            </w:pPr>
          </w:p>
        </w:tc>
      </w:tr>
    </w:tbl>
    <w:p w14:paraId="3DA6EAEA">
      <w:pPr>
        <w:pStyle w:val="31"/>
        <w:jc w:val="center"/>
        <w:outlineLvl w:val="0"/>
        <w:rPr>
          <w:rFonts w:hint="default" w:ascii="Times New Roman" w:hAnsi="Times New Roman" w:eastAsia="黑体" w:cs="Times New Roman"/>
          <w:snapToGrid w:val="0"/>
          <w:color w:val="000000" w:themeColor="text1"/>
          <w:sz w:val="30"/>
          <w:szCs w:val="30"/>
          <w14:textFill>
            <w14:solidFill>
              <w14:schemeClr w14:val="tx1"/>
            </w14:solidFill>
          </w14:textFill>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084807D5">
      <w:pPr>
        <w:pStyle w:val="31"/>
        <w:jc w:val="center"/>
        <w:outlineLvl w:val="0"/>
        <w:rPr>
          <w:rFonts w:hint="default" w:ascii="Times New Roman" w:hAnsi="Times New Roman" w:eastAsia="黑体" w:cs="Times New Roman"/>
          <w:snapToGrid w:val="0"/>
          <w:color w:val="000000" w:themeColor="text1"/>
          <w:sz w:val="30"/>
          <w:szCs w:val="30"/>
          <w14:textFill>
            <w14:solidFill>
              <w14:schemeClr w14:val="tx1"/>
            </w14:solidFill>
          </w14:textFill>
        </w:rPr>
      </w:pPr>
      <w:r>
        <w:rPr>
          <w:rFonts w:hint="default" w:ascii="Times New Roman" w:hAnsi="Times New Roman" w:eastAsia="黑体" w:cs="Times New Roman"/>
          <w:snapToGrid w:val="0"/>
          <w:color w:val="000000" w:themeColor="text1"/>
          <w:sz w:val="30"/>
          <w:szCs w:val="30"/>
          <w14:textFill>
            <w14:solidFill>
              <w14:schemeClr w14:val="tx1"/>
            </w14:solidFill>
          </w14:textFill>
        </w:rPr>
        <w:t>五、</w:t>
      </w:r>
      <w:bookmarkStart w:id="6" w:name="_Hlk54167917"/>
      <w:r>
        <w:rPr>
          <w:rFonts w:hint="default" w:ascii="Times New Roman" w:hAnsi="Times New Roman" w:eastAsia="黑体" w:cs="Times New Roman"/>
          <w:snapToGrid w:val="0"/>
          <w:color w:val="000000" w:themeColor="text1"/>
          <w:sz w:val="30"/>
          <w:szCs w:val="30"/>
          <w14:textFill>
            <w14:solidFill>
              <w14:schemeClr w14:val="tx1"/>
            </w14:solidFill>
          </w14:textFill>
        </w:rPr>
        <w:t>环境保护措施监督检查清单</w:t>
      </w:r>
      <w:bookmarkEnd w:id="6"/>
    </w:p>
    <w:tbl>
      <w:tblPr>
        <w:tblStyle w:val="36"/>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516"/>
        <w:gridCol w:w="436"/>
        <w:gridCol w:w="1321"/>
        <w:gridCol w:w="1313"/>
        <w:gridCol w:w="1580"/>
        <w:gridCol w:w="2797"/>
      </w:tblGrid>
      <w:tr w14:paraId="0925E91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5" w:hRule="atLeast"/>
          <w:jc w:val="center"/>
        </w:trPr>
        <w:tc>
          <w:tcPr>
            <w:tcW w:w="1516" w:type="dxa"/>
            <w:tcBorders>
              <w:tl2br w:val="nil"/>
              <w:tr2bl w:val="nil"/>
            </w:tcBorders>
            <w:noWrap w:val="0"/>
            <w:vAlign w:val="top"/>
          </w:tcPr>
          <w:p w14:paraId="5565CD0A">
            <w:pPr>
              <w:adjustRightInd w:val="0"/>
              <w:snapToGrid w:val="0"/>
              <w:ind w:firstLine="84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内容</w:t>
            </w:r>
          </w:p>
          <w:p w14:paraId="7C58138A">
            <w:pPr>
              <w:adjustRightInd w:val="0"/>
              <w:snapToGrid w:val="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要素</w:t>
            </w:r>
          </w:p>
        </w:tc>
        <w:tc>
          <w:tcPr>
            <w:tcW w:w="1757" w:type="dxa"/>
            <w:gridSpan w:val="2"/>
            <w:tcBorders>
              <w:tl2br w:val="nil"/>
              <w:tr2bl w:val="nil"/>
            </w:tcBorders>
            <w:noWrap w:val="0"/>
            <w:vAlign w:val="center"/>
          </w:tcPr>
          <w:p w14:paraId="061E0E55">
            <w:pPr>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排放口</w:t>
            </w:r>
            <w:r>
              <w:rPr>
                <w:rFonts w:hint="default" w:ascii="Times New Roman" w:hAnsi="Times New Roman"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编号、名称</w:t>
            </w:r>
            <w:r>
              <w:rPr>
                <w:rFonts w:hint="default" w:ascii="Times New Roman" w:hAnsi="Times New Roman"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/污染源</w:t>
            </w:r>
          </w:p>
        </w:tc>
        <w:tc>
          <w:tcPr>
            <w:tcW w:w="1313" w:type="dxa"/>
            <w:tcBorders>
              <w:tl2br w:val="nil"/>
              <w:tr2bl w:val="nil"/>
            </w:tcBorders>
            <w:noWrap w:val="0"/>
            <w:vAlign w:val="center"/>
          </w:tcPr>
          <w:p w14:paraId="133CBC85">
            <w:pPr>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污染物项目</w:t>
            </w:r>
          </w:p>
        </w:tc>
        <w:tc>
          <w:tcPr>
            <w:tcW w:w="1580" w:type="dxa"/>
            <w:tcBorders>
              <w:tl2br w:val="nil"/>
              <w:tr2bl w:val="nil"/>
            </w:tcBorders>
            <w:noWrap w:val="0"/>
            <w:vAlign w:val="center"/>
          </w:tcPr>
          <w:p w14:paraId="5380457F">
            <w:pPr>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环境保护措施</w:t>
            </w:r>
          </w:p>
        </w:tc>
        <w:tc>
          <w:tcPr>
            <w:tcW w:w="2797" w:type="dxa"/>
            <w:tcBorders>
              <w:tl2br w:val="nil"/>
              <w:tr2bl w:val="nil"/>
            </w:tcBorders>
            <w:noWrap w:val="0"/>
            <w:vAlign w:val="center"/>
          </w:tcPr>
          <w:p w14:paraId="73437234">
            <w:pPr>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执行标准</w:t>
            </w:r>
          </w:p>
        </w:tc>
      </w:tr>
      <w:tr w14:paraId="086C049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647" w:hRule="atLeast"/>
          <w:jc w:val="center"/>
        </w:trPr>
        <w:tc>
          <w:tcPr>
            <w:tcW w:w="1516" w:type="dxa"/>
            <w:vMerge w:val="restart"/>
            <w:tcBorders>
              <w:tl2br w:val="nil"/>
              <w:tr2bl w:val="nil"/>
            </w:tcBorders>
            <w:noWrap w:val="0"/>
            <w:vAlign w:val="center"/>
          </w:tcPr>
          <w:p w14:paraId="7CC45013">
            <w:pPr>
              <w:keepNext w:val="0"/>
              <w:keepLines w:val="0"/>
              <w:widowControl w:val="0"/>
              <w:suppressLineNumbers w:val="0"/>
              <w:adjustRightInd w:val="0"/>
              <w:snapToGrid w:val="0"/>
              <w:spacing w:before="0" w:beforeAutospacing="0" w:after="0" w:afterAutospacing="0"/>
              <w:ind w:left="0" w:right="0"/>
              <w:jc w:val="center"/>
              <w:rPr>
                <w:rFonts w:hint="eastAsia" w:ascii="Times New Roman" w:hAnsi="Times New Roman" w:eastAsia="宋体" w:cs="宋体"/>
                <w:color w:val="000000" w:themeColor="text1"/>
                <w:kern w:val="2"/>
                <w:sz w:val="21"/>
                <w:szCs w:val="21"/>
                <w:lang w:val="en-US" w:eastAsia="zh-CN" w:bidi="ar"/>
                <w14:textFill>
                  <w14:solidFill>
                    <w14:schemeClr w14:val="tx1"/>
                  </w14:solidFill>
                </w14:textFill>
              </w:rPr>
            </w:pPr>
            <w:r>
              <w:rPr>
                <w:rFonts w:hint="eastAsia" w:ascii="Times New Roman" w:hAnsi="Times New Roman" w:eastAsia="宋体" w:cs="宋体"/>
                <w:color w:val="000000" w:themeColor="text1"/>
                <w:kern w:val="2"/>
                <w:sz w:val="21"/>
                <w:szCs w:val="21"/>
                <w:lang w:val="en-US" w:eastAsia="zh-CN" w:bidi="ar"/>
                <w14:textFill>
                  <w14:solidFill>
                    <w14:schemeClr w14:val="tx1"/>
                  </w14:solidFill>
                </w14:textFill>
              </w:rPr>
              <w:t>大气环境</w:t>
            </w:r>
          </w:p>
          <w:p w14:paraId="220AFB6C">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eastAsia="宋体" w:cs="宋体"/>
                <w:snapToGrid/>
                <w:color w:val="000000" w:themeColor="text1"/>
                <w:sz w:val="21"/>
                <w:szCs w:val="21"/>
                <w:lang w:val="en-US" w:eastAsia="zh-CN"/>
                <w14:textFill>
                  <w14:solidFill>
                    <w14:schemeClr w14:val="tx1"/>
                  </w14:solidFill>
                </w14:textFill>
              </w:rPr>
              <w:t>(一期)</w:t>
            </w:r>
          </w:p>
        </w:tc>
        <w:tc>
          <w:tcPr>
            <w:tcW w:w="436" w:type="dxa"/>
            <w:vMerge w:val="restart"/>
            <w:tcBorders>
              <w:tl2br w:val="nil"/>
              <w:tr2bl w:val="nil"/>
            </w:tcBorders>
            <w:noWrap w:val="0"/>
            <w:vAlign w:val="center"/>
          </w:tcPr>
          <w:p w14:paraId="5BEAE75D">
            <w:pPr>
              <w:keepNext w:val="0"/>
              <w:keepLines w:val="0"/>
              <w:suppressLineNumbers w:val="0"/>
              <w:adjustRightInd w:val="0"/>
              <w:snapToGrid w:val="0"/>
              <w:spacing w:before="0" w:beforeAutospacing="0" w:after="0" w:afterAutospacing="0"/>
              <w:ind w:left="0" w:leftChars="0" w:right="0" w:rightChars="0"/>
              <w:jc w:val="center"/>
              <w:rPr>
                <w:rFonts w:hint="eastAsia" w:cs="宋体"/>
                <w:color w:val="000000" w:themeColor="text1"/>
                <w:sz w:val="21"/>
                <w:szCs w:val="21"/>
                <w:lang w:val="en-US" w:eastAsia="zh-CN"/>
                <w14:textFill>
                  <w14:solidFill>
                    <w14:schemeClr w14:val="tx1"/>
                  </w14:solidFill>
                </w14:textFill>
              </w:rPr>
            </w:pPr>
            <w:r>
              <w:rPr>
                <w:rFonts w:hint="eastAsia" w:cs="宋体"/>
                <w:color w:val="000000" w:themeColor="text1"/>
                <w:sz w:val="21"/>
                <w:szCs w:val="21"/>
                <w:lang w:val="en-US" w:eastAsia="zh-CN"/>
                <w14:textFill>
                  <w14:solidFill>
                    <w14:schemeClr w14:val="tx1"/>
                  </w14:solidFill>
                </w14:textFill>
              </w:rPr>
              <w:t>有组织</w:t>
            </w:r>
          </w:p>
          <w:p w14:paraId="0E66067A">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000000" w:themeColor="text1"/>
                <w:sz w:val="21"/>
                <w:szCs w:val="21"/>
                <w14:textFill>
                  <w14:solidFill>
                    <w14:schemeClr w14:val="tx1"/>
                  </w14:solidFill>
                </w14:textFill>
              </w:rPr>
            </w:pPr>
            <w:r>
              <w:rPr>
                <w:rFonts w:hint="eastAsia" w:cs="宋体"/>
                <w:color w:val="000000" w:themeColor="text1"/>
                <w:kern w:val="2"/>
                <w:sz w:val="21"/>
                <w:szCs w:val="21"/>
                <w:lang w:val="en-US" w:eastAsia="zh-CN" w:bidi="ar-SA"/>
                <w14:textFill>
                  <w14:solidFill>
                    <w14:schemeClr w14:val="tx1"/>
                  </w14:solidFill>
                </w14:textFill>
              </w:rPr>
              <w:t>废气</w:t>
            </w:r>
          </w:p>
        </w:tc>
        <w:tc>
          <w:tcPr>
            <w:tcW w:w="1321" w:type="dxa"/>
            <w:tcBorders>
              <w:tl2br w:val="nil"/>
              <w:tr2bl w:val="nil"/>
            </w:tcBorders>
            <w:noWrap w:val="0"/>
            <w:vAlign w:val="center"/>
          </w:tcPr>
          <w:p w14:paraId="24B7E94B">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eastAsia" w:cs="宋体"/>
                <w:color w:val="000000" w:themeColor="text1"/>
                <w:sz w:val="21"/>
                <w:szCs w:val="21"/>
                <w:lang w:val="en-US" w:eastAsia="zh-CN"/>
                <w14:textFill>
                  <w14:solidFill>
                    <w14:schemeClr w14:val="tx1"/>
                  </w14:solidFill>
                </w14:textFill>
              </w:rPr>
              <w:t>进料粉尘、造粒废气（DA001）</w:t>
            </w:r>
          </w:p>
        </w:tc>
        <w:tc>
          <w:tcPr>
            <w:tcW w:w="1313" w:type="dxa"/>
            <w:tcBorders>
              <w:tl2br w:val="nil"/>
              <w:tr2bl w:val="nil"/>
            </w:tcBorders>
            <w:noWrap w:val="0"/>
            <w:vAlign w:val="center"/>
          </w:tcPr>
          <w:p w14:paraId="4FB5E4D7">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颗粒物</w:t>
            </w:r>
          </w:p>
        </w:tc>
        <w:tc>
          <w:tcPr>
            <w:tcW w:w="1580" w:type="dxa"/>
            <w:tcBorders>
              <w:tl2br w:val="nil"/>
              <w:tr2bl w:val="nil"/>
            </w:tcBorders>
            <w:noWrap w:val="0"/>
            <w:vAlign w:val="center"/>
          </w:tcPr>
          <w:p w14:paraId="2A84114F">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000000" w:themeColor="text1"/>
                <w:sz w:val="21"/>
                <w:szCs w:val="21"/>
                <w14:textFill>
                  <w14:solidFill>
                    <w14:schemeClr w14:val="tx1"/>
                  </w14:solidFill>
                </w14:textFill>
              </w:rPr>
            </w:pPr>
            <w:r>
              <w:rPr>
                <w:rFonts w:hint="eastAsia" w:cs="宋体"/>
                <w:color w:val="000000" w:themeColor="text1"/>
                <w:sz w:val="21"/>
                <w:szCs w:val="21"/>
                <w:lang w:val="en-US" w:eastAsia="zh-CN"/>
                <w14:textFill>
                  <w14:solidFill>
                    <w14:schemeClr w14:val="tx1"/>
                  </w14:solidFill>
                </w14:textFill>
              </w:rPr>
              <w:t>密闭车间+集气管道+</w:t>
            </w:r>
            <w:r>
              <w:rPr>
                <w:rFonts w:hint="eastAsia" w:ascii="Times New Roman" w:hAnsi="Times New Roman" w:eastAsia="宋体" w:cs="宋体"/>
                <w:color w:val="000000" w:themeColor="text1"/>
                <w:sz w:val="21"/>
                <w:szCs w:val="21"/>
                <w:lang w:val="en-US" w:eastAsia="zh-CN"/>
                <w14:textFill>
                  <w14:solidFill>
                    <w14:schemeClr w14:val="tx1"/>
                  </w14:solidFill>
                </w14:textFill>
              </w:rPr>
              <w:t>布袋除尘器</w:t>
            </w:r>
            <w:r>
              <w:rPr>
                <w:rFonts w:hint="eastAsia" w:cs="宋体"/>
                <w:color w:val="000000" w:themeColor="text1"/>
                <w:sz w:val="21"/>
                <w:szCs w:val="21"/>
                <w:lang w:val="en-US" w:eastAsia="zh-CN"/>
                <w14:textFill>
                  <w14:solidFill>
                    <w14:schemeClr w14:val="tx1"/>
                  </w14:solidFill>
                </w14:textFill>
              </w:rPr>
              <w:t>（TA001）</w:t>
            </w:r>
            <w:r>
              <w:rPr>
                <w:rFonts w:hint="eastAsia" w:ascii="Times New Roman" w:hAnsi="Times New Roman" w:eastAsia="宋体" w:cs="宋体"/>
                <w:color w:val="000000" w:themeColor="text1"/>
                <w:sz w:val="21"/>
                <w:szCs w:val="21"/>
                <w:lang w:val="en-US" w:eastAsia="zh-CN"/>
                <w14:textFill>
                  <w14:solidFill>
                    <w14:schemeClr w14:val="tx1"/>
                  </w14:solidFill>
                </w14:textFill>
              </w:rPr>
              <w:t>+15m排气筒</w:t>
            </w:r>
          </w:p>
        </w:tc>
        <w:tc>
          <w:tcPr>
            <w:tcW w:w="2797" w:type="dxa"/>
            <w:tcBorders>
              <w:tl2br w:val="nil"/>
              <w:tr2bl w:val="nil"/>
            </w:tcBorders>
            <w:noWrap w:val="0"/>
            <w:vAlign w:val="center"/>
          </w:tcPr>
          <w:p w14:paraId="10EB1EF9">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000000" w:themeColor="text1"/>
                <w:sz w:val="21"/>
                <w:szCs w:val="21"/>
                <w:lang w:val="en-US"/>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《大气污染物综合排放标准》（GB</w:t>
            </w:r>
            <w:r>
              <w:rPr>
                <w:rFonts w:hint="eastAsia" w:cs="宋体"/>
                <w:color w:val="000000" w:themeColor="text1"/>
                <w:sz w:val="21"/>
                <w:szCs w:val="21"/>
                <w:lang w:val="en-US" w:eastAsia="zh-CN"/>
                <w14:textFill>
                  <w14:solidFill>
                    <w14:schemeClr w14:val="tx1"/>
                  </w14:solidFill>
                </w14:textFill>
              </w:rPr>
              <w:t xml:space="preserve"> </w:t>
            </w:r>
            <w:r>
              <w:rPr>
                <w:rFonts w:hint="eastAsia" w:ascii="Times New Roman" w:hAnsi="Times New Roman" w:eastAsia="宋体" w:cs="宋体"/>
                <w:color w:val="000000" w:themeColor="text1"/>
                <w:sz w:val="21"/>
                <w:szCs w:val="21"/>
                <w:lang w:val="en-US" w:eastAsia="zh-CN"/>
                <w14:textFill>
                  <w14:solidFill>
                    <w14:schemeClr w14:val="tx1"/>
                  </w14:solidFill>
                </w14:textFill>
              </w:rPr>
              <w:t>16297-1996）表2二级标准</w:t>
            </w:r>
          </w:p>
        </w:tc>
      </w:tr>
      <w:tr w14:paraId="5B13A5E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85" w:hRule="atLeast"/>
          <w:jc w:val="center"/>
        </w:trPr>
        <w:tc>
          <w:tcPr>
            <w:tcW w:w="1516" w:type="dxa"/>
            <w:vMerge w:val="continue"/>
            <w:tcBorders>
              <w:tl2br w:val="nil"/>
              <w:tr2bl w:val="nil"/>
            </w:tcBorders>
            <w:noWrap w:val="0"/>
            <w:vAlign w:val="center"/>
          </w:tcPr>
          <w:p w14:paraId="4DA07067">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000000" w:themeColor="text1"/>
                <w:sz w:val="21"/>
                <w:szCs w:val="21"/>
                <w14:textFill>
                  <w14:solidFill>
                    <w14:schemeClr w14:val="tx1"/>
                  </w14:solidFill>
                </w14:textFill>
              </w:rPr>
            </w:pPr>
          </w:p>
        </w:tc>
        <w:tc>
          <w:tcPr>
            <w:tcW w:w="436" w:type="dxa"/>
            <w:vMerge w:val="continue"/>
            <w:tcBorders>
              <w:tl2br w:val="nil"/>
              <w:tr2bl w:val="nil"/>
            </w:tcBorders>
            <w:noWrap w:val="0"/>
            <w:vAlign w:val="center"/>
          </w:tcPr>
          <w:p w14:paraId="6BB126C5">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000000" w:themeColor="text1"/>
                <w:sz w:val="21"/>
                <w:szCs w:val="21"/>
                <w14:textFill>
                  <w14:solidFill>
                    <w14:schemeClr w14:val="tx1"/>
                  </w14:solidFill>
                </w14:textFill>
              </w:rPr>
            </w:pPr>
          </w:p>
        </w:tc>
        <w:tc>
          <w:tcPr>
            <w:tcW w:w="1321" w:type="dxa"/>
            <w:tcBorders>
              <w:tl2br w:val="nil"/>
              <w:tr2bl w:val="nil"/>
            </w:tcBorders>
            <w:noWrap w:val="0"/>
            <w:vAlign w:val="center"/>
          </w:tcPr>
          <w:p w14:paraId="7184BA77">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eastAsia" w:cs="宋体"/>
                <w:color w:val="000000" w:themeColor="text1"/>
                <w:sz w:val="21"/>
                <w:szCs w:val="21"/>
                <w:lang w:val="en-US" w:eastAsia="zh-CN"/>
                <w14:textFill>
                  <w14:solidFill>
                    <w14:schemeClr w14:val="tx1"/>
                  </w14:solidFill>
                </w14:textFill>
              </w:rPr>
              <w:t>烧结废气、烘干废气、固化废气、（DA002）</w:t>
            </w:r>
          </w:p>
        </w:tc>
        <w:tc>
          <w:tcPr>
            <w:tcW w:w="1313" w:type="dxa"/>
            <w:tcBorders>
              <w:tl2br w:val="nil"/>
              <w:tr2bl w:val="nil"/>
            </w:tcBorders>
            <w:noWrap w:val="0"/>
            <w:vAlign w:val="center"/>
          </w:tcPr>
          <w:p w14:paraId="7E1EDA92">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000000" w:themeColor="text1"/>
                <w:sz w:val="21"/>
                <w:szCs w:val="21"/>
                <w14:textFill>
                  <w14:solidFill>
                    <w14:schemeClr w14:val="tx1"/>
                  </w14:solidFill>
                </w14:textFill>
              </w:rPr>
            </w:pPr>
            <w:r>
              <w:rPr>
                <w:rFonts w:hint="eastAsia" w:cs="宋体"/>
                <w:color w:val="000000" w:themeColor="text1"/>
                <w:sz w:val="21"/>
                <w:szCs w:val="21"/>
                <w:lang w:val="en-US" w:eastAsia="zh-CN"/>
                <w14:textFill>
                  <w14:solidFill>
                    <w14:schemeClr w14:val="tx1"/>
                  </w14:solidFill>
                </w14:textFill>
              </w:rPr>
              <w:t>非甲烷总烃</w:t>
            </w:r>
          </w:p>
        </w:tc>
        <w:tc>
          <w:tcPr>
            <w:tcW w:w="1580" w:type="dxa"/>
            <w:vMerge w:val="restart"/>
            <w:tcBorders>
              <w:tl2br w:val="nil"/>
              <w:tr2bl w:val="nil"/>
            </w:tcBorders>
            <w:noWrap w:val="0"/>
            <w:vAlign w:val="center"/>
          </w:tcPr>
          <w:p w14:paraId="4E02D204">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000000" w:themeColor="text1"/>
                <w:sz w:val="21"/>
                <w:szCs w:val="21"/>
                <w14:textFill>
                  <w14:solidFill>
                    <w14:schemeClr w14:val="tx1"/>
                  </w14:solidFill>
                </w14:textFill>
              </w:rPr>
            </w:pPr>
            <w:r>
              <w:rPr>
                <w:rFonts w:hint="eastAsia" w:cs="宋体"/>
                <w:color w:val="000000" w:themeColor="text1"/>
                <w:sz w:val="21"/>
                <w:szCs w:val="21"/>
                <w:lang w:val="en-US" w:eastAsia="zh-CN"/>
                <w14:textFill>
                  <w14:solidFill>
                    <w14:schemeClr w14:val="tx1"/>
                  </w14:solidFill>
                </w14:textFill>
              </w:rPr>
              <w:t>密闭车间+</w:t>
            </w:r>
            <w:r>
              <w:rPr>
                <w:rFonts w:hint="eastAsia" w:ascii="Times New Roman" w:hAnsi="Times New Roman" w:eastAsia="宋体" w:cs="宋体"/>
                <w:color w:val="000000" w:themeColor="text1"/>
                <w:sz w:val="21"/>
                <w:szCs w:val="21"/>
                <w:lang w:val="en-US" w:eastAsia="zh-CN"/>
                <w14:textFill>
                  <w14:solidFill>
                    <w14:schemeClr w14:val="tx1"/>
                  </w14:solidFill>
                </w14:textFill>
              </w:rPr>
              <w:t>集气罩+</w:t>
            </w:r>
            <w:r>
              <w:rPr>
                <w:rFonts w:hint="eastAsia" w:cs="宋体"/>
                <w:color w:val="000000" w:themeColor="text1"/>
                <w:sz w:val="21"/>
                <w:szCs w:val="21"/>
                <w:lang w:val="en-US" w:eastAsia="zh-CN"/>
                <w14:textFill>
                  <w14:solidFill>
                    <w14:schemeClr w14:val="tx1"/>
                  </w14:solidFill>
                </w14:textFill>
              </w:rPr>
              <w:t>过滤棉+二级</w:t>
            </w:r>
            <w:r>
              <w:rPr>
                <w:rFonts w:hint="eastAsia" w:ascii="Times New Roman" w:hAnsi="Times New Roman" w:eastAsia="宋体" w:cs="宋体"/>
                <w:color w:val="000000" w:themeColor="text1"/>
                <w:sz w:val="21"/>
                <w:szCs w:val="21"/>
                <w:lang w:val="en-US" w:eastAsia="zh-CN"/>
                <w14:textFill>
                  <w14:solidFill>
                    <w14:schemeClr w14:val="tx1"/>
                  </w14:solidFill>
                </w14:textFill>
              </w:rPr>
              <w:t>活性炭吸附装置</w:t>
            </w:r>
            <w:r>
              <w:rPr>
                <w:rFonts w:hint="eastAsia" w:cs="宋体"/>
                <w:color w:val="000000" w:themeColor="text1"/>
                <w:sz w:val="21"/>
                <w:szCs w:val="21"/>
                <w:lang w:val="en-US" w:eastAsia="zh-CN"/>
                <w14:textFill>
                  <w14:solidFill>
                    <w14:schemeClr w14:val="tx1"/>
                  </w14:solidFill>
                </w14:textFill>
              </w:rPr>
              <w:t>（TA002）</w:t>
            </w:r>
            <w:r>
              <w:rPr>
                <w:rFonts w:hint="eastAsia" w:ascii="Times New Roman" w:hAnsi="Times New Roman" w:eastAsia="宋体" w:cs="宋体"/>
                <w:color w:val="000000" w:themeColor="text1"/>
                <w:sz w:val="21"/>
                <w:szCs w:val="21"/>
                <w:lang w:val="en-US" w:eastAsia="zh-CN"/>
                <w14:textFill>
                  <w14:solidFill>
                    <w14:schemeClr w14:val="tx1"/>
                  </w14:solidFill>
                </w14:textFill>
              </w:rPr>
              <w:t>+15m排气筒</w:t>
            </w:r>
          </w:p>
        </w:tc>
        <w:tc>
          <w:tcPr>
            <w:tcW w:w="2797" w:type="dxa"/>
            <w:tcBorders>
              <w:tl2br w:val="nil"/>
              <w:tr2bl w:val="nil"/>
            </w:tcBorders>
            <w:noWrap w:val="0"/>
            <w:vAlign w:val="center"/>
          </w:tcPr>
          <w:p w14:paraId="0BCE2C28">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陕西省《挥发性有机物排放控制标准》（DB61//T 1061-2017）表1电子产品制造行业有组织排放限值</w:t>
            </w:r>
          </w:p>
        </w:tc>
      </w:tr>
      <w:tr w14:paraId="1508E98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5" w:hRule="atLeast"/>
          <w:jc w:val="center"/>
        </w:trPr>
        <w:tc>
          <w:tcPr>
            <w:tcW w:w="1516" w:type="dxa"/>
            <w:vMerge w:val="continue"/>
            <w:tcBorders>
              <w:tl2br w:val="nil"/>
              <w:tr2bl w:val="nil"/>
            </w:tcBorders>
            <w:noWrap w:val="0"/>
            <w:vAlign w:val="center"/>
          </w:tcPr>
          <w:p w14:paraId="7EA71BA4">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000000" w:themeColor="text1"/>
                <w:sz w:val="21"/>
                <w:szCs w:val="21"/>
                <w14:textFill>
                  <w14:solidFill>
                    <w14:schemeClr w14:val="tx1"/>
                  </w14:solidFill>
                </w14:textFill>
              </w:rPr>
            </w:pPr>
          </w:p>
        </w:tc>
        <w:tc>
          <w:tcPr>
            <w:tcW w:w="436" w:type="dxa"/>
            <w:vMerge w:val="continue"/>
            <w:tcBorders>
              <w:tl2br w:val="nil"/>
              <w:tr2bl w:val="nil"/>
            </w:tcBorders>
            <w:noWrap w:val="0"/>
            <w:vAlign w:val="center"/>
          </w:tcPr>
          <w:p w14:paraId="0AC61EB3">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000000" w:themeColor="text1"/>
                <w:sz w:val="21"/>
                <w:szCs w:val="21"/>
                <w14:textFill>
                  <w14:solidFill>
                    <w14:schemeClr w14:val="tx1"/>
                  </w14:solidFill>
                </w14:textFill>
              </w:rPr>
            </w:pPr>
          </w:p>
        </w:tc>
        <w:tc>
          <w:tcPr>
            <w:tcW w:w="1321" w:type="dxa"/>
            <w:tcBorders>
              <w:tl2br w:val="nil"/>
              <w:tr2bl w:val="nil"/>
            </w:tcBorders>
            <w:noWrap w:val="0"/>
            <w:vAlign w:val="center"/>
          </w:tcPr>
          <w:p w14:paraId="57E71279">
            <w:pPr>
              <w:keepNext w:val="0"/>
              <w:keepLines w:val="0"/>
              <w:suppressLineNumbers w:val="0"/>
              <w:adjustRightInd w:val="0"/>
              <w:snapToGrid w:val="0"/>
              <w:spacing w:before="0" w:beforeAutospacing="0" w:after="0" w:afterAutospacing="0"/>
              <w:ind w:left="0" w:leftChars="0" w:right="0" w:rightChars="0"/>
              <w:jc w:val="center"/>
              <w:rPr>
                <w:rFonts w:hint="eastAsia" w:cs="宋体"/>
                <w:color w:val="000000" w:themeColor="text1"/>
                <w:sz w:val="21"/>
                <w:szCs w:val="21"/>
                <w:lang w:val="en-US" w:eastAsia="zh-CN"/>
                <w14:textFill>
                  <w14:solidFill>
                    <w14:schemeClr w14:val="tx1"/>
                  </w14:solidFill>
                </w14:textFill>
              </w:rPr>
            </w:pPr>
            <w:r>
              <w:rPr>
                <w:rFonts w:hint="eastAsia" w:cs="宋体"/>
                <w:color w:val="000000" w:themeColor="text1"/>
                <w:sz w:val="21"/>
                <w:szCs w:val="21"/>
                <w:lang w:val="en-US" w:eastAsia="zh-CN"/>
                <w14:textFill>
                  <w14:solidFill>
                    <w14:schemeClr w14:val="tx1"/>
                  </w14:solidFill>
                </w14:textFill>
              </w:rPr>
              <w:t>焊接废气（DA002）</w:t>
            </w:r>
          </w:p>
        </w:tc>
        <w:tc>
          <w:tcPr>
            <w:tcW w:w="1313" w:type="dxa"/>
            <w:tcBorders>
              <w:tl2br w:val="nil"/>
              <w:tr2bl w:val="nil"/>
            </w:tcBorders>
            <w:noWrap w:val="0"/>
            <w:vAlign w:val="center"/>
          </w:tcPr>
          <w:p w14:paraId="5CFBD208">
            <w:pPr>
              <w:keepNext w:val="0"/>
              <w:keepLines w:val="0"/>
              <w:suppressLineNumbers w:val="0"/>
              <w:adjustRightInd w:val="0"/>
              <w:snapToGrid w:val="0"/>
              <w:spacing w:before="0" w:beforeAutospacing="0" w:after="0" w:afterAutospacing="0"/>
              <w:ind w:left="0" w:leftChars="0" w:right="0" w:rightChars="0"/>
              <w:jc w:val="center"/>
              <w:rPr>
                <w:rFonts w:hint="default" w:cs="宋体"/>
                <w:color w:val="000000" w:themeColor="text1"/>
                <w:sz w:val="21"/>
                <w:szCs w:val="21"/>
                <w:lang w:val="en-US" w:eastAsia="zh-CN"/>
                <w14:textFill>
                  <w14:solidFill>
                    <w14:schemeClr w14:val="tx1"/>
                  </w14:solidFill>
                </w14:textFill>
              </w:rPr>
            </w:pPr>
            <w:r>
              <w:rPr>
                <w:rFonts w:hint="eastAsia" w:cs="宋体"/>
                <w:color w:val="000000" w:themeColor="text1"/>
                <w:sz w:val="21"/>
                <w:szCs w:val="21"/>
                <w:lang w:val="en-US" w:eastAsia="zh-CN"/>
                <w14:textFill>
                  <w14:solidFill>
                    <w14:schemeClr w14:val="tx1"/>
                  </w14:solidFill>
                </w14:textFill>
              </w:rPr>
              <w:t>锡及其化合物</w:t>
            </w:r>
          </w:p>
        </w:tc>
        <w:tc>
          <w:tcPr>
            <w:tcW w:w="1580" w:type="dxa"/>
            <w:vMerge w:val="continue"/>
            <w:tcBorders>
              <w:tl2br w:val="nil"/>
              <w:tr2bl w:val="nil"/>
            </w:tcBorders>
            <w:noWrap w:val="0"/>
            <w:vAlign w:val="center"/>
          </w:tcPr>
          <w:p w14:paraId="5B9DD211">
            <w:pPr>
              <w:keepNext w:val="0"/>
              <w:keepLines w:val="0"/>
              <w:suppressLineNumbers w:val="0"/>
              <w:adjustRightInd w:val="0"/>
              <w:snapToGrid w:val="0"/>
              <w:spacing w:before="0" w:beforeAutospacing="0" w:after="0" w:afterAutospacing="0"/>
              <w:ind w:left="0" w:leftChars="0" w:right="0" w:rightChars="0"/>
              <w:jc w:val="center"/>
              <w:rPr>
                <w:rFonts w:hint="eastAsia" w:cs="宋体"/>
                <w:color w:val="000000" w:themeColor="text1"/>
                <w:sz w:val="21"/>
                <w:szCs w:val="21"/>
                <w:lang w:val="en-US" w:eastAsia="zh-CN"/>
                <w14:textFill>
                  <w14:solidFill>
                    <w14:schemeClr w14:val="tx1"/>
                  </w14:solidFill>
                </w14:textFill>
              </w:rPr>
            </w:pPr>
          </w:p>
        </w:tc>
        <w:tc>
          <w:tcPr>
            <w:tcW w:w="2797" w:type="dxa"/>
            <w:tcBorders>
              <w:tl2br w:val="nil"/>
              <w:tr2bl w:val="nil"/>
            </w:tcBorders>
            <w:noWrap w:val="0"/>
            <w:vAlign w:val="center"/>
          </w:tcPr>
          <w:p w14:paraId="0867E073">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eastAsia="宋体" w:cs="宋体"/>
                <w:color w:val="000000" w:themeColor="text1"/>
                <w:sz w:val="21"/>
                <w:szCs w:val="21"/>
                <w:lang w:val="en-US" w:eastAsia="zh-CN"/>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《大气污染物综合排放标准》（GB</w:t>
            </w:r>
            <w:r>
              <w:rPr>
                <w:rFonts w:hint="eastAsia" w:cs="宋体"/>
                <w:color w:val="000000" w:themeColor="text1"/>
                <w:sz w:val="21"/>
                <w:szCs w:val="21"/>
                <w:lang w:val="en-US" w:eastAsia="zh-CN"/>
                <w14:textFill>
                  <w14:solidFill>
                    <w14:schemeClr w14:val="tx1"/>
                  </w14:solidFill>
                </w14:textFill>
              </w:rPr>
              <w:t xml:space="preserve"> </w:t>
            </w:r>
            <w:r>
              <w:rPr>
                <w:rFonts w:hint="eastAsia" w:ascii="Times New Roman" w:hAnsi="Times New Roman" w:eastAsia="宋体" w:cs="宋体"/>
                <w:color w:val="000000" w:themeColor="text1"/>
                <w:sz w:val="21"/>
                <w:szCs w:val="21"/>
                <w:lang w:val="en-US" w:eastAsia="zh-CN"/>
                <w14:textFill>
                  <w14:solidFill>
                    <w14:schemeClr w14:val="tx1"/>
                  </w14:solidFill>
                </w14:textFill>
              </w:rPr>
              <w:t>16297-1996）表2二级标准</w:t>
            </w:r>
          </w:p>
        </w:tc>
      </w:tr>
      <w:tr w14:paraId="1444F77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34" w:hRule="atLeast"/>
          <w:jc w:val="center"/>
        </w:trPr>
        <w:tc>
          <w:tcPr>
            <w:tcW w:w="1516" w:type="dxa"/>
            <w:vMerge w:val="continue"/>
            <w:tcBorders>
              <w:tl2br w:val="nil"/>
              <w:tr2bl w:val="nil"/>
            </w:tcBorders>
            <w:noWrap w:val="0"/>
            <w:vAlign w:val="center"/>
          </w:tcPr>
          <w:p w14:paraId="4263BC80">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000000" w:themeColor="text1"/>
                <w:sz w:val="21"/>
                <w:szCs w:val="21"/>
                <w14:textFill>
                  <w14:solidFill>
                    <w14:schemeClr w14:val="tx1"/>
                  </w14:solidFill>
                </w14:textFill>
              </w:rPr>
            </w:pPr>
          </w:p>
        </w:tc>
        <w:tc>
          <w:tcPr>
            <w:tcW w:w="436" w:type="dxa"/>
            <w:vMerge w:val="restart"/>
            <w:tcBorders>
              <w:tl2br w:val="nil"/>
              <w:tr2bl w:val="nil"/>
            </w:tcBorders>
            <w:noWrap w:val="0"/>
            <w:vAlign w:val="center"/>
          </w:tcPr>
          <w:p w14:paraId="703F7AE6">
            <w:pPr>
              <w:keepNext w:val="0"/>
              <w:keepLines w:val="0"/>
              <w:suppressLineNumbers w:val="0"/>
              <w:adjustRightInd w:val="0"/>
              <w:snapToGrid w:val="0"/>
              <w:spacing w:before="0" w:beforeAutospacing="0" w:after="0" w:afterAutospacing="0"/>
              <w:ind w:left="0" w:leftChars="0" w:right="0" w:rightChars="0"/>
              <w:jc w:val="center"/>
              <w:rPr>
                <w:rFonts w:hint="eastAsia" w:cs="宋体"/>
                <w:color w:val="000000" w:themeColor="text1"/>
                <w:sz w:val="21"/>
                <w:szCs w:val="21"/>
                <w:lang w:val="en-US" w:eastAsia="zh-CN"/>
                <w14:textFill>
                  <w14:solidFill>
                    <w14:schemeClr w14:val="tx1"/>
                  </w14:solidFill>
                </w14:textFill>
              </w:rPr>
            </w:pPr>
            <w:r>
              <w:rPr>
                <w:rFonts w:hint="eastAsia" w:cs="宋体"/>
                <w:color w:val="000000" w:themeColor="text1"/>
                <w:sz w:val="21"/>
                <w:szCs w:val="21"/>
                <w:lang w:val="en-US" w:eastAsia="zh-CN"/>
                <w14:textFill>
                  <w14:solidFill>
                    <w14:schemeClr w14:val="tx1"/>
                  </w14:solidFill>
                </w14:textFill>
              </w:rPr>
              <w:t>无组织</w:t>
            </w:r>
          </w:p>
          <w:p w14:paraId="26862EDB">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eastAsia="宋体" w:cs="宋体"/>
                <w:color w:val="000000" w:themeColor="text1"/>
                <w:kern w:val="2"/>
                <w:sz w:val="21"/>
                <w:szCs w:val="21"/>
                <w:lang w:val="en-US" w:eastAsia="zh-CN" w:bidi="ar-SA"/>
                <w14:textFill>
                  <w14:solidFill>
                    <w14:schemeClr w14:val="tx1"/>
                  </w14:solidFill>
                </w14:textFill>
              </w:rPr>
            </w:pPr>
            <w:r>
              <w:rPr>
                <w:rFonts w:hint="eastAsia" w:cs="宋体"/>
                <w:color w:val="000000" w:themeColor="text1"/>
                <w:kern w:val="2"/>
                <w:sz w:val="21"/>
                <w:szCs w:val="21"/>
                <w:lang w:val="en-US" w:eastAsia="zh-CN" w:bidi="ar-SA"/>
                <w14:textFill>
                  <w14:solidFill>
                    <w14:schemeClr w14:val="tx1"/>
                  </w14:solidFill>
                </w14:textFill>
              </w:rPr>
              <w:t>废气</w:t>
            </w:r>
          </w:p>
          <w:p w14:paraId="5F1297F9">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000000" w:themeColor="text1"/>
                <w:sz w:val="21"/>
                <w:szCs w:val="21"/>
                <w14:textFill>
                  <w14:solidFill>
                    <w14:schemeClr w14:val="tx1"/>
                  </w14:solidFill>
                </w14:textFill>
              </w:rPr>
            </w:pPr>
          </w:p>
        </w:tc>
        <w:tc>
          <w:tcPr>
            <w:tcW w:w="1321" w:type="dxa"/>
            <w:tcBorders>
              <w:tl2br w:val="nil"/>
              <w:tr2bl w:val="nil"/>
            </w:tcBorders>
            <w:noWrap w:val="0"/>
            <w:vAlign w:val="center"/>
          </w:tcPr>
          <w:p w14:paraId="737301DA">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宋体"/>
                <w:color w:val="000000" w:themeColor="text1"/>
                <w:sz w:val="21"/>
                <w:szCs w:val="21"/>
                <w:lang w:val="en-US" w:eastAsia="zh-CN"/>
                <w14:textFill>
                  <w14:solidFill>
                    <w14:schemeClr w14:val="tx1"/>
                  </w14:solidFill>
                </w14:textFill>
              </w:rPr>
              <w:t>烧结废气、烘干废气、固化废气</w:t>
            </w:r>
          </w:p>
        </w:tc>
        <w:tc>
          <w:tcPr>
            <w:tcW w:w="1313" w:type="dxa"/>
            <w:tcBorders>
              <w:tl2br w:val="nil"/>
              <w:tr2bl w:val="nil"/>
            </w:tcBorders>
            <w:noWrap w:val="0"/>
            <w:vAlign w:val="center"/>
          </w:tcPr>
          <w:p w14:paraId="6BFCAEFC">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宋体"/>
                <w:color w:val="000000" w:themeColor="text1"/>
                <w:sz w:val="21"/>
                <w:szCs w:val="21"/>
                <w:lang w:val="en-US" w:eastAsia="zh-CN"/>
                <w14:textFill>
                  <w14:solidFill>
                    <w14:schemeClr w14:val="tx1"/>
                  </w14:solidFill>
                </w14:textFill>
              </w:rPr>
              <w:t>非甲烷总烃</w:t>
            </w:r>
          </w:p>
        </w:tc>
        <w:tc>
          <w:tcPr>
            <w:tcW w:w="1580" w:type="dxa"/>
            <w:tcBorders>
              <w:tl2br w:val="nil"/>
              <w:tr2bl w:val="nil"/>
            </w:tcBorders>
            <w:noWrap w:val="0"/>
            <w:vAlign w:val="center"/>
          </w:tcPr>
          <w:p w14:paraId="3A570293">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宋体"/>
                <w:color w:val="000000" w:themeColor="text1"/>
                <w:sz w:val="21"/>
                <w:szCs w:val="21"/>
                <w:lang w:val="en-US" w:eastAsia="zh-CN"/>
                <w14:textFill>
                  <w14:solidFill>
                    <w14:schemeClr w14:val="tx1"/>
                  </w14:solidFill>
                </w14:textFill>
              </w:rPr>
              <w:t>密闭车间</w:t>
            </w:r>
          </w:p>
        </w:tc>
        <w:tc>
          <w:tcPr>
            <w:tcW w:w="2797" w:type="dxa"/>
            <w:tcBorders>
              <w:tl2br w:val="nil"/>
              <w:tr2bl w:val="nil"/>
            </w:tcBorders>
            <w:noWrap w:val="0"/>
            <w:vAlign w:val="center"/>
          </w:tcPr>
          <w:p w14:paraId="40B0FDF8">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陕西省《挥发性有机物排放控制标准》（DB61//T 1061-2017）表3企业边界监控点浓度限值、《挥发性有机物无组织排放控制标准》（GB</w:t>
            </w:r>
            <w:r>
              <w:rPr>
                <w:rFonts w:hint="eastAsia" w:cs="宋体"/>
                <w:color w:val="000000" w:themeColor="text1"/>
                <w:sz w:val="21"/>
                <w:szCs w:val="21"/>
                <w:lang w:val="en-US" w:eastAsia="zh-CN"/>
                <w14:textFill>
                  <w14:solidFill>
                    <w14:schemeClr w14:val="tx1"/>
                  </w14:solidFill>
                </w14:textFill>
              </w:rPr>
              <w:t xml:space="preserve"> </w:t>
            </w:r>
            <w:r>
              <w:rPr>
                <w:rFonts w:hint="eastAsia" w:ascii="Times New Roman" w:hAnsi="Times New Roman" w:eastAsia="宋体" w:cs="宋体"/>
                <w:color w:val="000000" w:themeColor="text1"/>
                <w:sz w:val="21"/>
                <w:szCs w:val="21"/>
                <w:lang w:val="en-US" w:eastAsia="zh-CN"/>
                <w14:textFill>
                  <w14:solidFill>
                    <w14:schemeClr w14:val="tx1"/>
                  </w14:solidFill>
                </w14:textFill>
              </w:rPr>
              <w:t>37822-2019）附录A表A.1厂区内VOCs无组织排放限值</w:t>
            </w:r>
          </w:p>
        </w:tc>
      </w:tr>
      <w:tr w14:paraId="209D6EA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7" w:hRule="atLeast"/>
          <w:jc w:val="center"/>
        </w:trPr>
        <w:tc>
          <w:tcPr>
            <w:tcW w:w="1516" w:type="dxa"/>
            <w:vMerge w:val="continue"/>
            <w:tcBorders>
              <w:tl2br w:val="nil"/>
              <w:tr2bl w:val="nil"/>
            </w:tcBorders>
            <w:noWrap w:val="0"/>
            <w:vAlign w:val="center"/>
          </w:tcPr>
          <w:p w14:paraId="7737F0CA">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000000" w:themeColor="text1"/>
                <w:sz w:val="21"/>
                <w:szCs w:val="21"/>
                <w14:textFill>
                  <w14:solidFill>
                    <w14:schemeClr w14:val="tx1"/>
                  </w14:solidFill>
                </w14:textFill>
              </w:rPr>
            </w:pPr>
          </w:p>
        </w:tc>
        <w:tc>
          <w:tcPr>
            <w:tcW w:w="436" w:type="dxa"/>
            <w:vMerge w:val="continue"/>
            <w:tcBorders>
              <w:tl2br w:val="nil"/>
              <w:tr2bl w:val="nil"/>
            </w:tcBorders>
            <w:noWrap w:val="0"/>
            <w:vAlign w:val="center"/>
          </w:tcPr>
          <w:p w14:paraId="1C38FDAA">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000000" w:themeColor="text1"/>
                <w:sz w:val="21"/>
                <w:szCs w:val="21"/>
                <w14:textFill>
                  <w14:solidFill>
                    <w14:schemeClr w14:val="tx1"/>
                  </w14:solidFill>
                </w14:textFill>
              </w:rPr>
            </w:pPr>
          </w:p>
        </w:tc>
        <w:tc>
          <w:tcPr>
            <w:tcW w:w="1321" w:type="dxa"/>
            <w:tcBorders>
              <w:tl2br w:val="nil"/>
              <w:tr2bl w:val="nil"/>
            </w:tcBorders>
            <w:noWrap w:val="0"/>
            <w:vAlign w:val="center"/>
          </w:tcPr>
          <w:p w14:paraId="3CF9CB97">
            <w:pPr>
              <w:keepNext w:val="0"/>
              <w:keepLines w:val="0"/>
              <w:suppressLineNumbers w:val="0"/>
              <w:adjustRightInd w:val="0"/>
              <w:snapToGrid w:val="0"/>
              <w:spacing w:before="0" w:beforeAutospacing="0" w:after="0" w:afterAutospacing="0"/>
              <w:ind w:left="0" w:leftChars="0" w:right="0" w:rightChars="0"/>
              <w:jc w:val="center"/>
              <w:rPr>
                <w:rFonts w:hint="default" w:cs="宋体"/>
                <w:color w:val="000000" w:themeColor="text1"/>
                <w:sz w:val="21"/>
                <w:szCs w:val="21"/>
                <w:lang w:val="en-US" w:eastAsia="zh-CN"/>
                <w14:textFill>
                  <w14:solidFill>
                    <w14:schemeClr w14:val="tx1"/>
                  </w14:solidFill>
                </w14:textFill>
              </w:rPr>
            </w:pPr>
            <w:r>
              <w:rPr>
                <w:rFonts w:hint="eastAsia" w:cs="宋体"/>
                <w:color w:val="000000" w:themeColor="text1"/>
                <w:sz w:val="21"/>
                <w:szCs w:val="21"/>
                <w:lang w:val="en-US" w:eastAsia="zh-CN"/>
                <w14:textFill>
                  <w14:solidFill>
                    <w14:schemeClr w14:val="tx1"/>
                  </w14:solidFill>
                </w14:textFill>
              </w:rPr>
              <w:t>进料粉尘</w:t>
            </w:r>
          </w:p>
        </w:tc>
        <w:tc>
          <w:tcPr>
            <w:tcW w:w="1313" w:type="dxa"/>
            <w:tcBorders>
              <w:tl2br w:val="nil"/>
              <w:tr2bl w:val="nil"/>
            </w:tcBorders>
            <w:noWrap w:val="0"/>
            <w:vAlign w:val="center"/>
          </w:tcPr>
          <w:p w14:paraId="55771142">
            <w:pPr>
              <w:keepNext w:val="0"/>
              <w:keepLines w:val="0"/>
              <w:suppressLineNumbers w:val="0"/>
              <w:adjustRightInd w:val="0"/>
              <w:snapToGrid w:val="0"/>
              <w:spacing w:before="0" w:beforeAutospacing="0" w:after="0" w:afterAutospacing="0"/>
              <w:ind w:left="0" w:leftChars="0" w:right="0" w:rightChars="0"/>
              <w:jc w:val="center"/>
              <w:rPr>
                <w:rFonts w:hint="default" w:cs="宋体"/>
                <w:color w:val="000000" w:themeColor="text1"/>
                <w:sz w:val="21"/>
                <w:szCs w:val="21"/>
                <w:lang w:val="en-US" w:eastAsia="zh-CN"/>
                <w14:textFill>
                  <w14:solidFill>
                    <w14:schemeClr w14:val="tx1"/>
                  </w14:solidFill>
                </w14:textFill>
              </w:rPr>
            </w:pPr>
            <w:r>
              <w:rPr>
                <w:rFonts w:hint="eastAsia" w:cs="宋体"/>
                <w:color w:val="000000" w:themeColor="text1"/>
                <w:sz w:val="21"/>
                <w:szCs w:val="21"/>
                <w:lang w:val="en-US" w:eastAsia="zh-CN"/>
                <w14:textFill>
                  <w14:solidFill>
                    <w14:schemeClr w14:val="tx1"/>
                  </w14:solidFill>
                </w14:textFill>
              </w:rPr>
              <w:t>颗粒物</w:t>
            </w:r>
          </w:p>
        </w:tc>
        <w:tc>
          <w:tcPr>
            <w:tcW w:w="1580" w:type="dxa"/>
            <w:tcBorders>
              <w:tl2br w:val="nil"/>
              <w:tr2bl w:val="nil"/>
            </w:tcBorders>
            <w:noWrap w:val="0"/>
            <w:vAlign w:val="center"/>
          </w:tcPr>
          <w:p w14:paraId="0BD04835">
            <w:pPr>
              <w:keepNext w:val="0"/>
              <w:keepLines w:val="0"/>
              <w:suppressLineNumbers w:val="0"/>
              <w:adjustRightInd w:val="0"/>
              <w:snapToGrid w:val="0"/>
              <w:spacing w:before="0" w:beforeAutospacing="0" w:after="0" w:afterAutospacing="0"/>
              <w:ind w:left="0" w:leftChars="0" w:right="0" w:rightChars="0"/>
              <w:jc w:val="center"/>
              <w:rPr>
                <w:rFonts w:hint="eastAsia" w:cs="宋体"/>
                <w:color w:val="000000" w:themeColor="text1"/>
                <w:sz w:val="21"/>
                <w:szCs w:val="21"/>
                <w:lang w:val="en-US" w:eastAsia="zh-CN"/>
                <w14:textFill>
                  <w14:solidFill>
                    <w14:schemeClr w14:val="tx1"/>
                  </w14:solidFill>
                </w14:textFill>
              </w:rPr>
            </w:pPr>
            <w:r>
              <w:rPr>
                <w:rFonts w:hint="eastAsia" w:cs="宋体"/>
                <w:color w:val="000000" w:themeColor="text1"/>
                <w:sz w:val="21"/>
                <w:szCs w:val="21"/>
                <w:lang w:val="en-US" w:eastAsia="zh-CN"/>
                <w14:textFill>
                  <w14:solidFill>
                    <w14:schemeClr w14:val="tx1"/>
                  </w14:solidFill>
                </w14:textFill>
              </w:rPr>
              <w:t>密闭车间</w:t>
            </w:r>
          </w:p>
        </w:tc>
        <w:tc>
          <w:tcPr>
            <w:tcW w:w="2797" w:type="dxa"/>
            <w:vMerge w:val="restart"/>
            <w:tcBorders>
              <w:tl2br w:val="nil"/>
              <w:tr2bl w:val="nil"/>
            </w:tcBorders>
            <w:noWrap w:val="0"/>
            <w:vAlign w:val="center"/>
          </w:tcPr>
          <w:p w14:paraId="4CE4C967">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eastAsia="宋体" w:cs="宋体"/>
                <w:color w:val="000000" w:themeColor="text1"/>
                <w:sz w:val="21"/>
                <w:szCs w:val="21"/>
                <w:lang w:val="en-US" w:eastAsia="zh-CN"/>
                <w14:textFill>
                  <w14:solidFill>
                    <w14:schemeClr w14:val="tx1"/>
                  </w14:solidFill>
                </w14:textFill>
              </w:rPr>
            </w:pPr>
            <w:r>
              <w:rPr>
                <w:rFonts w:hint="eastAsia" w:ascii="Times New Roman" w:hAnsi="Times New Roman" w:eastAsia="宋体" w:cs="宋体"/>
                <w:color w:val="000000" w:themeColor="text1"/>
                <w:sz w:val="21"/>
                <w:szCs w:val="21"/>
                <w:lang w:val="en-US" w:eastAsia="zh-CN"/>
                <w14:textFill>
                  <w14:solidFill>
                    <w14:schemeClr w14:val="tx1"/>
                  </w14:solidFill>
                </w14:textFill>
              </w:rPr>
              <w:t>《大气污染物综合排放标准》（GB</w:t>
            </w:r>
            <w:r>
              <w:rPr>
                <w:rFonts w:hint="eastAsia" w:cs="宋体"/>
                <w:color w:val="000000" w:themeColor="text1"/>
                <w:sz w:val="21"/>
                <w:szCs w:val="21"/>
                <w:lang w:val="en-US" w:eastAsia="zh-CN"/>
                <w14:textFill>
                  <w14:solidFill>
                    <w14:schemeClr w14:val="tx1"/>
                  </w14:solidFill>
                </w14:textFill>
              </w:rPr>
              <w:t xml:space="preserve"> </w:t>
            </w:r>
            <w:r>
              <w:rPr>
                <w:rFonts w:hint="eastAsia" w:ascii="Times New Roman" w:hAnsi="Times New Roman" w:eastAsia="宋体" w:cs="宋体"/>
                <w:color w:val="000000" w:themeColor="text1"/>
                <w:sz w:val="21"/>
                <w:szCs w:val="21"/>
                <w:lang w:val="en-US" w:eastAsia="zh-CN"/>
                <w14:textFill>
                  <w14:solidFill>
                    <w14:schemeClr w14:val="tx1"/>
                  </w14:solidFill>
                </w14:textFill>
              </w:rPr>
              <w:t>16297-1996）表2无组织排放监控浓度限值</w:t>
            </w:r>
          </w:p>
        </w:tc>
      </w:tr>
      <w:tr w14:paraId="2C6577C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16" w:type="dxa"/>
            <w:vMerge w:val="continue"/>
            <w:tcBorders>
              <w:tl2br w:val="nil"/>
              <w:tr2bl w:val="nil"/>
            </w:tcBorders>
            <w:noWrap w:val="0"/>
            <w:vAlign w:val="center"/>
          </w:tcPr>
          <w:p w14:paraId="6CD98F12">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000000" w:themeColor="text1"/>
                <w:sz w:val="21"/>
                <w:szCs w:val="21"/>
                <w14:textFill>
                  <w14:solidFill>
                    <w14:schemeClr w14:val="tx1"/>
                  </w14:solidFill>
                </w14:textFill>
              </w:rPr>
            </w:pPr>
          </w:p>
        </w:tc>
        <w:tc>
          <w:tcPr>
            <w:tcW w:w="436" w:type="dxa"/>
            <w:vMerge w:val="continue"/>
            <w:tcBorders>
              <w:tl2br w:val="nil"/>
              <w:tr2bl w:val="nil"/>
            </w:tcBorders>
            <w:noWrap w:val="0"/>
            <w:vAlign w:val="center"/>
          </w:tcPr>
          <w:p w14:paraId="2343154A">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000000" w:themeColor="text1"/>
                <w:sz w:val="21"/>
                <w:szCs w:val="21"/>
                <w14:textFill>
                  <w14:solidFill>
                    <w14:schemeClr w14:val="tx1"/>
                  </w14:solidFill>
                </w14:textFill>
              </w:rPr>
            </w:pPr>
          </w:p>
        </w:tc>
        <w:tc>
          <w:tcPr>
            <w:tcW w:w="1321" w:type="dxa"/>
            <w:tcBorders>
              <w:tl2br w:val="nil"/>
              <w:tr2bl w:val="nil"/>
            </w:tcBorders>
            <w:noWrap w:val="0"/>
            <w:vAlign w:val="center"/>
          </w:tcPr>
          <w:p w14:paraId="061A3DFD">
            <w:pPr>
              <w:keepNext w:val="0"/>
              <w:keepLines w:val="0"/>
              <w:suppressLineNumbers w:val="0"/>
              <w:adjustRightInd w:val="0"/>
              <w:snapToGrid w:val="0"/>
              <w:spacing w:before="0" w:beforeAutospacing="0" w:after="0" w:afterAutospacing="0"/>
              <w:ind w:left="0" w:leftChars="0" w:right="0" w:rightChars="0"/>
              <w:jc w:val="center"/>
              <w:rPr>
                <w:rFonts w:hint="eastAsia" w:cs="宋体"/>
                <w:color w:val="000000" w:themeColor="text1"/>
                <w:sz w:val="21"/>
                <w:szCs w:val="21"/>
                <w:lang w:val="en-US" w:eastAsia="zh-CN"/>
                <w14:textFill>
                  <w14:solidFill>
                    <w14:schemeClr w14:val="tx1"/>
                  </w14:solidFill>
                </w14:textFill>
              </w:rPr>
            </w:pPr>
            <w:r>
              <w:rPr>
                <w:rFonts w:hint="eastAsia" w:cs="宋体"/>
                <w:color w:val="000000" w:themeColor="text1"/>
                <w:sz w:val="21"/>
                <w:szCs w:val="21"/>
                <w:lang w:val="en-US" w:eastAsia="zh-CN"/>
                <w14:textFill>
                  <w14:solidFill>
                    <w14:schemeClr w14:val="tx1"/>
                  </w14:solidFill>
                </w14:textFill>
              </w:rPr>
              <w:t>焊接废气</w:t>
            </w:r>
          </w:p>
        </w:tc>
        <w:tc>
          <w:tcPr>
            <w:tcW w:w="1313" w:type="dxa"/>
            <w:tcBorders>
              <w:tl2br w:val="nil"/>
              <w:tr2bl w:val="nil"/>
            </w:tcBorders>
            <w:noWrap w:val="0"/>
            <w:vAlign w:val="center"/>
          </w:tcPr>
          <w:p w14:paraId="777E3B31">
            <w:pPr>
              <w:keepNext w:val="0"/>
              <w:keepLines w:val="0"/>
              <w:suppressLineNumbers w:val="0"/>
              <w:adjustRightInd w:val="0"/>
              <w:snapToGrid w:val="0"/>
              <w:spacing w:before="0" w:beforeAutospacing="0" w:after="0" w:afterAutospacing="0"/>
              <w:ind w:left="0" w:leftChars="0" w:right="0" w:rightChars="0"/>
              <w:jc w:val="center"/>
              <w:rPr>
                <w:rFonts w:hint="default" w:cs="宋体"/>
                <w:color w:val="000000" w:themeColor="text1"/>
                <w:sz w:val="21"/>
                <w:szCs w:val="21"/>
                <w:lang w:val="en-US" w:eastAsia="zh-CN"/>
                <w14:textFill>
                  <w14:solidFill>
                    <w14:schemeClr w14:val="tx1"/>
                  </w14:solidFill>
                </w14:textFill>
              </w:rPr>
            </w:pPr>
            <w:r>
              <w:rPr>
                <w:rFonts w:hint="eastAsia" w:cs="宋体"/>
                <w:color w:val="000000" w:themeColor="text1"/>
                <w:sz w:val="21"/>
                <w:szCs w:val="21"/>
                <w:lang w:val="en-US" w:eastAsia="zh-CN"/>
                <w14:textFill>
                  <w14:solidFill>
                    <w14:schemeClr w14:val="tx1"/>
                  </w14:solidFill>
                </w14:textFill>
              </w:rPr>
              <w:t>锡及其化合物</w:t>
            </w:r>
          </w:p>
        </w:tc>
        <w:tc>
          <w:tcPr>
            <w:tcW w:w="1580" w:type="dxa"/>
            <w:tcBorders>
              <w:tl2br w:val="nil"/>
              <w:tr2bl w:val="nil"/>
            </w:tcBorders>
            <w:noWrap w:val="0"/>
            <w:vAlign w:val="center"/>
          </w:tcPr>
          <w:p w14:paraId="08A58DFB">
            <w:pPr>
              <w:keepNext w:val="0"/>
              <w:keepLines w:val="0"/>
              <w:suppressLineNumbers w:val="0"/>
              <w:adjustRightInd w:val="0"/>
              <w:snapToGrid w:val="0"/>
              <w:spacing w:before="0" w:beforeAutospacing="0" w:after="0" w:afterAutospacing="0"/>
              <w:ind w:left="0" w:leftChars="0" w:right="0" w:rightChars="0"/>
              <w:jc w:val="center"/>
              <w:rPr>
                <w:rFonts w:hint="eastAsia" w:cs="宋体"/>
                <w:color w:val="000000" w:themeColor="text1"/>
                <w:sz w:val="21"/>
                <w:szCs w:val="21"/>
                <w:lang w:val="en-US" w:eastAsia="zh-CN"/>
                <w14:textFill>
                  <w14:solidFill>
                    <w14:schemeClr w14:val="tx1"/>
                  </w14:solidFill>
                </w14:textFill>
              </w:rPr>
            </w:pPr>
            <w:r>
              <w:rPr>
                <w:rFonts w:hint="eastAsia" w:cs="宋体"/>
                <w:color w:val="000000" w:themeColor="text1"/>
                <w:sz w:val="21"/>
                <w:szCs w:val="21"/>
                <w:lang w:val="en-US" w:eastAsia="zh-CN"/>
                <w14:textFill>
                  <w14:solidFill>
                    <w14:schemeClr w14:val="tx1"/>
                  </w14:solidFill>
                </w14:textFill>
              </w:rPr>
              <w:t>密闭车间</w:t>
            </w:r>
          </w:p>
        </w:tc>
        <w:tc>
          <w:tcPr>
            <w:tcW w:w="2797" w:type="dxa"/>
            <w:vMerge w:val="continue"/>
            <w:tcBorders>
              <w:tl2br w:val="nil"/>
              <w:tr2bl w:val="nil"/>
            </w:tcBorders>
            <w:noWrap w:val="0"/>
            <w:vAlign w:val="center"/>
          </w:tcPr>
          <w:p w14:paraId="7ED338D3">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eastAsia="宋体" w:cs="宋体"/>
                <w:color w:val="000000" w:themeColor="text1"/>
                <w:sz w:val="21"/>
                <w:szCs w:val="21"/>
                <w:lang w:val="en-US" w:eastAsia="zh-CN"/>
                <w14:textFill>
                  <w14:solidFill>
                    <w14:schemeClr w14:val="tx1"/>
                  </w14:solidFill>
                </w14:textFill>
              </w:rPr>
            </w:pPr>
          </w:p>
        </w:tc>
      </w:tr>
      <w:tr w14:paraId="4D98C7A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59" w:hRule="atLeast"/>
          <w:jc w:val="center"/>
        </w:trPr>
        <w:tc>
          <w:tcPr>
            <w:tcW w:w="1516" w:type="dxa"/>
            <w:tcBorders>
              <w:tl2br w:val="nil"/>
              <w:tr2bl w:val="nil"/>
            </w:tcBorders>
            <w:noWrap w:val="0"/>
            <w:vAlign w:val="center"/>
          </w:tcPr>
          <w:p w14:paraId="3B378FD6">
            <w:pPr>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水环境</w:t>
            </w:r>
          </w:p>
        </w:tc>
        <w:tc>
          <w:tcPr>
            <w:tcW w:w="436" w:type="dxa"/>
            <w:tcBorders>
              <w:tl2br w:val="nil"/>
              <w:tr2bl w:val="nil"/>
            </w:tcBorders>
            <w:noWrap w:val="0"/>
            <w:vAlign w:val="center"/>
          </w:tcPr>
          <w:p w14:paraId="71CEB3D4">
            <w:pPr>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运营期</w:t>
            </w:r>
          </w:p>
        </w:tc>
        <w:tc>
          <w:tcPr>
            <w:tcW w:w="7011" w:type="dxa"/>
            <w:gridSpan w:val="4"/>
            <w:tcBorders>
              <w:tl2br w:val="nil"/>
              <w:tr2bl w:val="nil"/>
            </w:tcBorders>
            <w:noWrap w:val="0"/>
            <w:vAlign w:val="center"/>
          </w:tcPr>
          <w:p w14:paraId="4B0C0F6F">
            <w:pPr>
              <w:adjustRightInd w:val="0"/>
              <w:snapToGrid w:val="0"/>
              <w:jc w:val="center"/>
              <w:rPr>
                <w:rFonts w:hint="default" w:ascii="Times New Roman" w:hAnsi="Times New Roman" w:eastAsia="宋体" w:cs="Times New Roman"/>
                <w:bCs/>
                <w:color w:val="000000" w:themeColor="text1"/>
                <w:sz w:val="21"/>
                <w:szCs w:val="21"/>
                <w:lang w:val="en-US" w:eastAsia="zh-CN" w:bidi="ar"/>
                <w14:textFill>
                  <w14:solidFill>
                    <w14:schemeClr w14:val="tx1"/>
                  </w14:solidFill>
                </w14:textFill>
              </w:rPr>
            </w:pPr>
            <w:r>
              <w:rPr>
                <w:rFonts w:hint="default" w:ascii="Times New Roman" w:hAnsi="Times New Roman" w:cs="Times New Roman"/>
                <w:snapToGrid w:val="0"/>
                <w:color w:val="000000" w:themeColor="text1"/>
                <w:sz w:val="21"/>
                <w:szCs w:val="21"/>
                <w14:textFill>
                  <w14:solidFill>
                    <w14:schemeClr w14:val="tx1"/>
                  </w14:solidFill>
                </w14:textFill>
              </w:rPr>
              <w:t>本项目</w:t>
            </w:r>
            <w:r>
              <w:rPr>
                <w:rFonts w:hint="default" w:ascii="Times New Roman" w:hAnsi="Times New Roman" w:cs="Times New Roman"/>
                <w:snapToGrid w:val="0"/>
                <w:color w:val="000000" w:themeColor="text1"/>
                <w:sz w:val="21"/>
                <w:szCs w:val="21"/>
                <w:lang w:val="en-US" w:eastAsia="zh-CN"/>
                <w14:textFill>
                  <w14:solidFill>
                    <w14:schemeClr w14:val="tx1"/>
                  </w14:solidFill>
                </w14:textFill>
              </w:rPr>
              <w:t>设备清洗用水沉淀后综合利用</w:t>
            </w:r>
            <w:r>
              <w:rPr>
                <w:rFonts w:hint="default" w:ascii="Times New Roman" w:hAnsi="Times New Roman" w:cs="Times New Roman"/>
                <w:snapToGrid w:val="0"/>
                <w:color w:val="000000" w:themeColor="text1"/>
                <w:sz w:val="21"/>
                <w:szCs w:val="21"/>
                <w:lang w:eastAsia="zh-CN"/>
                <w14:textFill>
                  <w14:solidFill>
                    <w14:schemeClr w14:val="tx1"/>
                  </w14:solidFill>
                </w14:textFill>
              </w:rPr>
              <w:t>，</w:t>
            </w:r>
            <w:r>
              <w:rPr>
                <w:rFonts w:hint="eastAsia" w:ascii="Times New Roman" w:hAnsi="Times New Roman" w:cs="Times New Roman"/>
                <w:snapToGrid w:val="0"/>
                <w:color w:val="000000" w:themeColor="text1"/>
                <w:sz w:val="21"/>
                <w:szCs w:val="21"/>
                <w:lang w:val="en-US" w:eastAsia="zh-CN"/>
                <w14:textFill>
                  <w14:solidFill>
                    <w14:schemeClr w14:val="tx1"/>
                  </w14:solidFill>
                </w14:textFill>
              </w:rPr>
              <w:t>浓水和膜冲洗废水经处理后与其他</w:t>
            </w:r>
            <w:r>
              <w:rPr>
                <w:rFonts w:hint="default" w:ascii="Times New Roman" w:hAnsi="Times New Roman" w:cs="Times New Roman"/>
                <w:snapToGrid w:val="0"/>
                <w:color w:val="000000" w:themeColor="text1"/>
                <w:sz w:val="21"/>
                <w:szCs w:val="21"/>
                <w:lang w:eastAsia="zh-CN"/>
                <w14:textFill>
                  <w14:solidFill>
                    <w14:schemeClr w14:val="tx1"/>
                  </w14:solidFill>
                </w14:textFill>
              </w:rPr>
              <w:t>生活污水经</w:t>
            </w:r>
            <w:r>
              <w:rPr>
                <w:rFonts w:hint="default" w:ascii="Times New Roman" w:hAnsi="Times New Roman" w:cs="Times New Roman"/>
                <w:snapToGrid w:val="0"/>
                <w:color w:val="000000" w:themeColor="text1"/>
                <w:sz w:val="21"/>
                <w:szCs w:val="21"/>
                <w:lang w:val="en-US" w:eastAsia="zh-CN"/>
                <w14:textFill>
                  <w14:solidFill>
                    <w14:schemeClr w14:val="tx1"/>
                  </w14:solidFill>
                </w14:textFill>
              </w:rPr>
              <w:t>园区公用</w:t>
            </w:r>
            <w:r>
              <w:rPr>
                <w:rFonts w:hint="default" w:ascii="Times New Roman" w:hAnsi="Times New Roman" w:cs="Times New Roman"/>
                <w:snapToGrid w:val="0"/>
                <w:color w:val="000000" w:themeColor="text1"/>
                <w:sz w:val="21"/>
                <w:szCs w:val="21"/>
                <w:lang w:eastAsia="zh-CN"/>
                <w14:textFill>
                  <w14:solidFill>
                    <w14:schemeClr w14:val="tx1"/>
                  </w14:solidFill>
                </w14:textFill>
              </w:rPr>
              <w:t>化粪池处理后沿市政污水管网排入凤翔区第二污水处理厂</w:t>
            </w:r>
            <w:r>
              <w:rPr>
                <w:rFonts w:hint="default" w:ascii="Times New Roman" w:hAnsi="Times New Roman" w:cs="Times New Roman"/>
                <w:snapToGrid w:val="0"/>
                <w:color w:val="000000" w:themeColor="text1"/>
                <w:sz w:val="21"/>
                <w:szCs w:val="21"/>
                <w:lang w:val="en-US" w:eastAsia="zh-CN"/>
                <w14:textFill>
                  <w14:solidFill>
                    <w14:schemeClr w14:val="tx1"/>
                  </w14:solidFill>
                </w14:textFill>
              </w:rPr>
              <w:t>处理</w:t>
            </w:r>
            <w:r>
              <w:rPr>
                <w:rFonts w:hint="default" w:ascii="Times New Roman" w:hAnsi="Times New Roman" w:cs="Times New Roman"/>
                <w:snapToGrid w:val="0"/>
                <w:color w:val="000000" w:themeColor="text1"/>
                <w:sz w:val="21"/>
                <w:szCs w:val="21"/>
                <w14:textFill>
                  <w14:solidFill>
                    <w14:schemeClr w14:val="tx1"/>
                  </w14:solidFill>
                </w14:textFill>
              </w:rPr>
              <w:t>。</w:t>
            </w:r>
            <w:r>
              <w:rPr>
                <w:rFonts w:hint="default" w:ascii="Times New Roman" w:hAnsi="Times New Roman" w:cs="Times New Roman"/>
                <w:snapToGrid w:val="0"/>
                <w:color w:val="000000" w:themeColor="text1"/>
                <w:sz w:val="21"/>
                <w:szCs w:val="21"/>
                <w:lang w:val="en-US" w:eastAsia="zh-CN"/>
                <w14:textFill>
                  <w14:solidFill>
                    <w14:schemeClr w14:val="tx1"/>
                  </w14:solidFill>
                </w14:textFill>
              </w:rPr>
              <w:t>排入污水管网的水质达到《污水排入城镇下水道水质标准》</w:t>
            </w:r>
            <w:r>
              <w:rPr>
                <w:rFonts w:hint="default" w:ascii="Times New Roman" w:hAnsi="Times New Roman" w:cs="Times New Roman"/>
                <w:snapToGrid w:val="0"/>
                <w:color w:val="000000" w:themeColor="text1"/>
                <w:sz w:val="21"/>
                <w:szCs w:val="21"/>
                <w:lang w:eastAsia="zh-CN"/>
                <w14:textFill>
                  <w14:solidFill>
                    <w14:schemeClr w14:val="tx1"/>
                  </w14:solidFill>
                </w14:textFill>
              </w:rPr>
              <w:t>（</w:t>
            </w:r>
            <w:r>
              <w:rPr>
                <w:rFonts w:hint="default" w:ascii="Times New Roman" w:hAnsi="Times New Roman" w:cs="Times New Roman"/>
                <w:snapToGrid w:val="0"/>
                <w:color w:val="000000" w:themeColor="text1"/>
                <w:sz w:val="21"/>
                <w:szCs w:val="21"/>
                <w:lang w:val="en-US" w:eastAsia="zh-CN"/>
                <w14:textFill>
                  <w14:solidFill>
                    <w14:schemeClr w14:val="tx1"/>
                  </w14:solidFill>
                </w14:textFill>
              </w:rPr>
              <w:t>GB/T</w:t>
            </w:r>
            <w:r>
              <w:rPr>
                <w:rFonts w:hint="eastAsia" w:cs="Times New Roman"/>
                <w:snapToGrid w:val="0"/>
                <w:color w:val="000000" w:themeColor="text1"/>
                <w:sz w:val="21"/>
                <w:szCs w:val="21"/>
                <w:lang w:val="en-US" w:eastAsia="zh-CN"/>
                <w14:textFill>
                  <w14:solidFill>
                    <w14:schemeClr w14:val="tx1"/>
                  </w14:solidFill>
                </w14:textFill>
              </w:rPr>
              <w:t xml:space="preserve"> </w:t>
            </w:r>
            <w:r>
              <w:rPr>
                <w:rFonts w:hint="default" w:ascii="Times New Roman" w:hAnsi="Times New Roman" w:cs="Times New Roman"/>
                <w:snapToGrid w:val="0"/>
                <w:color w:val="000000" w:themeColor="text1"/>
                <w:sz w:val="21"/>
                <w:szCs w:val="21"/>
                <w:lang w:val="en-US" w:eastAsia="zh-CN"/>
                <w14:textFill>
                  <w14:solidFill>
                    <w14:schemeClr w14:val="tx1"/>
                  </w14:solidFill>
                </w14:textFill>
              </w:rPr>
              <w:t>31962-2015</w:t>
            </w:r>
            <w:r>
              <w:rPr>
                <w:rFonts w:hint="default" w:ascii="Times New Roman" w:hAnsi="Times New Roman" w:cs="Times New Roman"/>
                <w:snapToGrid w:val="0"/>
                <w:color w:val="000000" w:themeColor="text1"/>
                <w:sz w:val="21"/>
                <w:szCs w:val="21"/>
                <w:lang w:eastAsia="zh-CN"/>
                <w14:textFill>
                  <w14:solidFill>
                    <w14:schemeClr w14:val="tx1"/>
                  </w14:solidFill>
                </w14:textFill>
              </w:rPr>
              <w:t>）</w:t>
            </w:r>
            <w:r>
              <w:rPr>
                <w:rFonts w:hint="default" w:ascii="Times New Roman" w:hAnsi="Times New Roman" w:cs="Times New Roman"/>
                <w:snapToGrid w:val="0"/>
                <w:color w:val="000000" w:themeColor="text1"/>
                <w:sz w:val="21"/>
                <w:szCs w:val="21"/>
                <w:lang w:val="en-US" w:eastAsia="zh-CN"/>
                <w14:textFill>
                  <w14:solidFill>
                    <w14:schemeClr w14:val="tx1"/>
                  </w14:solidFill>
                </w14:textFill>
              </w:rPr>
              <w:t>中B级标准</w:t>
            </w:r>
            <w:r>
              <w:rPr>
                <w:rFonts w:hint="eastAsia" w:cs="Times New Roman"/>
                <w:snapToGrid w:val="0"/>
                <w:color w:val="000000" w:themeColor="text1"/>
                <w:sz w:val="21"/>
                <w:szCs w:val="21"/>
                <w:lang w:val="en-US" w:eastAsia="zh-CN"/>
                <w14:textFill>
                  <w14:solidFill>
                    <w14:schemeClr w14:val="tx1"/>
                  </w14:solidFill>
                </w14:textFill>
              </w:rPr>
              <w:t>。</w:t>
            </w:r>
          </w:p>
        </w:tc>
      </w:tr>
      <w:tr w14:paraId="13FB3F5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5" w:hRule="atLeast"/>
          <w:jc w:val="center"/>
        </w:trPr>
        <w:tc>
          <w:tcPr>
            <w:tcW w:w="1516" w:type="dxa"/>
            <w:tcBorders>
              <w:tl2br w:val="nil"/>
              <w:tr2bl w:val="nil"/>
            </w:tcBorders>
            <w:noWrap w:val="0"/>
            <w:vAlign w:val="center"/>
          </w:tcPr>
          <w:p w14:paraId="544D7788">
            <w:pPr>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声环境</w:t>
            </w:r>
          </w:p>
        </w:tc>
        <w:tc>
          <w:tcPr>
            <w:tcW w:w="436" w:type="dxa"/>
            <w:tcBorders>
              <w:tl2br w:val="nil"/>
              <w:tr2bl w:val="nil"/>
            </w:tcBorders>
            <w:noWrap w:val="0"/>
            <w:vAlign w:val="center"/>
          </w:tcPr>
          <w:p w14:paraId="45223907">
            <w:pPr>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运营期</w:t>
            </w:r>
          </w:p>
        </w:tc>
        <w:tc>
          <w:tcPr>
            <w:tcW w:w="4214" w:type="dxa"/>
            <w:gridSpan w:val="3"/>
            <w:tcBorders>
              <w:tl2br w:val="nil"/>
              <w:tr2bl w:val="nil"/>
            </w:tcBorders>
            <w:noWrap w:val="0"/>
            <w:vAlign w:val="center"/>
          </w:tcPr>
          <w:p w14:paraId="682BFFBC">
            <w:pPr>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snapToGrid w:val="0"/>
                <w:color w:val="000000" w:themeColor="text1"/>
                <w:sz w:val="21"/>
                <w:szCs w:val="21"/>
                <w14:textFill>
                  <w14:solidFill>
                    <w14:schemeClr w14:val="tx1"/>
                  </w14:solidFill>
                </w14:textFill>
              </w:rPr>
              <w:t>基础减振、厂房隔声、距离衰减</w:t>
            </w:r>
            <w:r>
              <w:rPr>
                <w:rFonts w:hint="default" w:ascii="Times New Roman" w:hAnsi="Times New Roman" w:cs="Times New Roman"/>
                <w:snapToGrid w:val="0"/>
                <w:color w:val="000000" w:themeColor="text1"/>
                <w:sz w:val="21"/>
                <w:szCs w:val="21"/>
                <w:lang w:eastAsia="zh-CN"/>
                <w14:textFill>
                  <w14:solidFill>
                    <w14:schemeClr w14:val="tx1"/>
                  </w14:solidFill>
                </w14:textFill>
              </w:rPr>
              <w:t>、</w:t>
            </w:r>
            <w:r>
              <w:rPr>
                <w:rFonts w:hint="default" w:ascii="Times New Roman" w:hAnsi="Times New Roman" w:cs="Times New Roman"/>
                <w:snapToGrid w:val="0"/>
                <w:color w:val="000000" w:themeColor="text1"/>
                <w:sz w:val="21"/>
                <w:szCs w:val="21"/>
                <w:lang w:val="en-US" w:eastAsia="zh-CN"/>
                <w14:textFill>
                  <w14:solidFill>
                    <w14:schemeClr w14:val="tx1"/>
                  </w14:solidFill>
                </w14:textFill>
              </w:rPr>
              <w:t>空压机设置</w:t>
            </w:r>
            <w:r>
              <w:rPr>
                <w:rFonts w:hint="eastAsia" w:cs="Times New Roman"/>
                <w:snapToGrid w:val="0"/>
                <w:color w:val="000000" w:themeColor="text1"/>
                <w:sz w:val="21"/>
                <w:szCs w:val="21"/>
                <w:lang w:val="en-US" w:eastAsia="zh-CN"/>
                <w14:textFill>
                  <w14:solidFill>
                    <w14:schemeClr w14:val="tx1"/>
                  </w14:solidFill>
                </w14:textFill>
              </w:rPr>
              <w:t>、风机等均设置在室内</w:t>
            </w:r>
            <w:r>
              <w:rPr>
                <w:rFonts w:hint="default" w:ascii="Times New Roman" w:hAnsi="Times New Roman" w:cs="Times New Roman"/>
                <w:snapToGrid w:val="0"/>
                <w:color w:val="000000" w:themeColor="text1"/>
                <w:sz w:val="21"/>
                <w:szCs w:val="21"/>
                <w14:textFill>
                  <w14:solidFill>
                    <w14:schemeClr w14:val="tx1"/>
                  </w14:solidFill>
                </w14:textFill>
              </w:rPr>
              <w:t>等</w:t>
            </w:r>
          </w:p>
        </w:tc>
        <w:tc>
          <w:tcPr>
            <w:tcW w:w="2797" w:type="dxa"/>
            <w:tcBorders>
              <w:tl2br w:val="nil"/>
              <w:tr2bl w:val="nil"/>
            </w:tcBorders>
            <w:noWrap w:val="0"/>
            <w:vAlign w:val="center"/>
          </w:tcPr>
          <w:p w14:paraId="0C13562E">
            <w:pPr>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《工业企业厂界环境噪声排放标准》（GB</w:t>
            </w:r>
            <w:r>
              <w:rPr>
                <w:rFonts w:hint="eastAsia" w:cs="Times New Roman"/>
                <w:color w:val="000000" w:themeColor="text1"/>
                <w:sz w:val="21"/>
                <w:szCs w:val="21"/>
                <w:lang w:val="en-US" w:eastAsia="zh-CN"/>
                <w14:textFill>
                  <w14:solidFill>
                    <w14:schemeClr w14:val="tx1"/>
                  </w14:solidFill>
                </w14:textFill>
              </w:rPr>
              <w:t xml:space="preserve"> </w:t>
            </w:r>
            <w:r>
              <w:rPr>
                <w:rFonts w:hint="default" w:ascii="Times New Roman" w:hAnsi="Times New Roman" w:cs="Times New Roman"/>
                <w:color w:val="000000" w:themeColor="text1"/>
                <w:sz w:val="21"/>
                <w:szCs w:val="21"/>
                <w14:textFill>
                  <w14:solidFill>
                    <w14:schemeClr w14:val="tx1"/>
                  </w14:solidFill>
                </w14:textFill>
              </w:rPr>
              <w:t>12348-2008）</w:t>
            </w:r>
            <w:r>
              <w:rPr>
                <w:rFonts w:hint="eastAsia" w:cs="Times New Roman"/>
                <w:color w:val="000000" w:themeColor="text1"/>
                <w:sz w:val="21"/>
                <w:szCs w:val="21"/>
                <w:lang w:val="en-US" w:eastAsia="zh-CN"/>
                <w14:textFill>
                  <w14:solidFill>
                    <w14:schemeClr w14:val="tx1"/>
                  </w14:solidFill>
                </w14:textFill>
              </w:rPr>
              <w:t>2</w:t>
            </w:r>
            <w:r>
              <w:rPr>
                <w:rFonts w:hint="default" w:ascii="Times New Roman" w:hAnsi="Times New Roman" w:cs="Times New Roman"/>
                <w:color w:val="000000" w:themeColor="text1"/>
                <w:sz w:val="21"/>
                <w:szCs w:val="21"/>
                <w14:textFill>
                  <w14:solidFill>
                    <w14:schemeClr w14:val="tx1"/>
                  </w14:solidFill>
                </w14:textFill>
              </w:rPr>
              <w:t>类标准</w:t>
            </w:r>
          </w:p>
        </w:tc>
      </w:tr>
      <w:tr w14:paraId="0841902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0" w:hRule="atLeast"/>
          <w:jc w:val="center"/>
        </w:trPr>
        <w:tc>
          <w:tcPr>
            <w:tcW w:w="1516" w:type="dxa"/>
            <w:vMerge w:val="restart"/>
            <w:tcBorders>
              <w:tl2br w:val="nil"/>
              <w:tr2bl w:val="nil"/>
            </w:tcBorders>
            <w:noWrap w:val="0"/>
            <w:vAlign w:val="center"/>
          </w:tcPr>
          <w:p w14:paraId="72E7FE75">
            <w:pPr>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固体废物</w:t>
            </w:r>
          </w:p>
        </w:tc>
        <w:tc>
          <w:tcPr>
            <w:tcW w:w="1757" w:type="dxa"/>
            <w:gridSpan w:val="2"/>
            <w:tcBorders>
              <w:tl2br w:val="nil"/>
              <w:tr2bl w:val="nil"/>
            </w:tcBorders>
            <w:noWrap w:val="0"/>
            <w:vAlign w:val="center"/>
          </w:tcPr>
          <w:p w14:paraId="2B9CFE77">
            <w:pPr>
              <w:adjustRightInd w:val="0"/>
              <w:snapToGrid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生活垃圾</w:t>
            </w:r>
          </w:p>
        </w:tc>
        <w:tc>
          <w:tcPr>
            <w:tcW w:w="5690" w:type="dxa"/>
            <w:gridSpan w:val="3"/>
            <w:tcBorders>
              <w:tl2br w:val="nil"/>
              <w:tr2bl w:val="nil"/>
            </w:tcBorders>
            <w:noWrap w:val="0"/>
            <w:vAlign w:val="center"/>
          </w:tcPr>
          <w:p w14:paraId="2113154D">
            <w:pPr>
              <w:adjustRightInd w:val="0"/>
              <w:snapToGrid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集中收集后定点堆放，定期交由环卫部门处理。</w:t>
            </w:r>
          </w:p>
        </w:tc>
      </w:tr>
      <w:tr w14:paraId="74473AA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1" w:hRule="atLeast"/>
          <w:jc w:val="center"/>
        </w:trPr>
        <w:tc>
          <w:tcPr>
            <w:tcW w:w="1516" w:type="dxa"/>
            <w:vMerge w:val="continue"/>
            <w:tcBorders>
              <w:tl2br w:val="nil"/>
              <w:tr2bl w:val="nil"/>
            </w:tcBorders>
            <w:noWrap w:val="0"/>
            <w:vAlign w:val="center"/>
          </w:tcPr>
          <w:p w14:paraId="4A66F480">
            <w:pPr>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p>
        </w:tc>
        <w:tc>
          <w:tcPr>
            <w:tcW w:w="1757" w:type="dxa"/>
            <w:gridSpan w:val="2"/>
            <w:tcBorders>
              <w:tl2br w:val="nil"/>
              <w:tr2bl w:val="nil"/>
            </w:tcBorders>
            <w:noWrap w:val="0"/>
            <w:vAlign w:val="center"/>
          </w:tcPr>
          <w:p w14:paraId="0C16168E">
            <w:pPr>
              <w:adjustRightInd w:val="0"/>
              <w:snapToGrid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收尘灰、沉渣</w:t>
            </w:r>
          </w:p>
        </w:tc>
        <w:tc>
          <w:tcPr>
            <w:tcW w:w="5690" w:type="dxa"/>
            <w:gridSpan w:val="3"/>
            <w:tcBorders>
              <w:tl2br w:val="nil"/>
              <w:tr2bl w:val="nil"/>
            </w:tcBorders>
            <w:noWrap w:val="0"/>
            <w:vAlign w:val="center"/>
          </w:tcPr>
          <w:p w14:paraId="5165B05C">
            <w:pPr>
              <w:adjustRightInd w:val="0"/>
              <w:snapToGrid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回收作为原料回用。</w:t>
            </w:r>
          </w:p>
        </w:tc>
      </w:tr>
      <w:tr w14:paraId="6DF838B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1" w:hRule="atLeast"/>
          <w:jc w:val="center"/>
        </w:trPr>
        <w:tc>
          <w:tcPr>
            <w:tcW w:w="1516" w:type="dxa"/>
            <w:vMerge w:val="continue"/>
            <w:tcBorders>
              <w:tl2br w:val="nil"/>
              <w:tr2bl w:val="nil"/>
            </w:tcBorders>
            <w:noWrap w:val="0"/>
            <w:vAlign w:val="center"/>
          </w:tcPr>
          <w:p w14:paraId="5FB96085">
            <w:pPr>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p>
        </w:tc>
        <w:tc>
          <w:tcPr>
            <w:tcW w:w="1757" w:type="dxa"/>
            <w:gridSpan w:val="2"/>
            <w:tcBorders>
              <w:tl2br w:val="nil"/>
              <w:tr2bl w:val="nil"/>
            </w:tcBorders>
            <w:noWrap w:val="0"/>
            <w:vAlign w:val="center"/>
          </w:tcPr>
          <w:p w14:paraId="67DB4C49">
            <w:pPr>
              <w:adjustRightInd w:val="0"/>
              <w:snapToGrid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不合格产品</w:t>
            </w:r>
          </w:p>
        </w:tc>
        <w:tc>
          <w:tcPr>
            <w:tcW w:w="5690" w:type="dxa"/>
            <w:gridSpan w:val="3"/>
            <w:vMerge w:val="restart"/>
            <w:tcBorders>
              <w:tl2br w:val="nil"/>
              <w:tr2bl w:val="nil"/>
            </w:tcBorders>
            <w:noWrap w:val="0"/>
            <w:vAlign w:val="center"/>
          </w:tcPr>
          <w:p w14:paraId="44F11271">
            <w:pPr>
              <w:adjustRightInd w:val="0"/>
              <w:snapToGrid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建设单位统一收集至一般固废暂存区（15m</w:t>
            </w:r>
            <w:r>
              <w:rPr>
                <w:rFonts w:hint="default" w:ascii="Times New Roman" w:hAnsi="Times New Roman" w:eastAsia="宋体" w:cs="Times New Roman"/>
                <w:color w:val="000000" w:themeColor="text1"/>
                <w:sz w:val="21"/>
                <w:szCs w:val="21"/>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），定期外售综合利用。</w:t>
            </w:r>
          </w:p>
        </w:tc>
      </w:tr>
      <w:tr w14:paraId="5E240D4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0" w:hRule="atLeast"/>
          <w:jc w:val="center"/>
        </w:trPr>
        <w:tc>
          <w:tcPr>
            <w:tcW w:w="1516" w:type="dxa"/>
            <w:vMerge w:val="continue"/>
            <w:tcBorders>
              <w:tl2br w:val="nil"/>
              <w:tr2bl w:val="nil"/>
            </w:tcBorders>
            <w:noWrap w:val="0"/>
            <w:vAlign w:val="center"/>
          </w:tcPr>
          <w:p w14:paraId="64B859F7">
            <w:pPr>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p>
        </w:tc>
        <w:tc>
          <w:tcPr>
            <w:tcW w:w="1757" w:type="dxa"/>
            <w:gridSpan w:val="2"/>
            <w:tcBorders>
              <w:tl2br w:val="nil"/>
              <w:tr2bl w:val="nil"/>
            </w:tcBorders>
            <w:noWrap w:val="0"/>
            <w:vAlign w:val="center"/>
          </w:tcPr>
          <w:p w14:paraId="45F38B93">
            <w:pPr>
              <w:adjustRightInd w:val="0"/>
              <w:snapToGrid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一般材料废包装袋/箱、废边角料、污泥</w:t>
            </w:r>
          </w:p>
        </w:tc>
        <w:tc>
          <w:tcPr>
            <w:tcW w:w="5690" w:type="dxa"/>
            <w:gridSpan w:val="3"/>
            <w:vMerge w:val="continue"/>
            <w:tcBorders>
              <w:tl2br w:val="nil"/>
              <w:tr2bl w:val="nil"/>
            </w:tcBorders>
            <w:noWrap w:val="0"/>
            <w:vAlign w:val="center"/>
          </w:tcPr>
          <w:p w14:paraId="3FE68E48">
            <w:pPr>
              <w:adjustRightInd w:val="0"/>
              <w:snapToGrid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r>
      <w:tr w14:paraId="25C6DDE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516" w:type="dxa"/>
            <w:vMerge w:val="continue"/>
            <w:tcBorders>
              <w:tl2br w:val="nil"/>
              <w:tr2bl w:val="nil"/>
            </w:tcBorders>
            <w:noWrap w:val="0"/>
            <w:vAlign w:val="center"/>
          </w:tcPr>
          <w:p w14:paraId="1EDD5EB0">
            <w:pPr>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p>
        </w:tc>
        <w:tc>
          <w:tcPr>
            <w:tcW w:w="1757" w:type="dxa"/>
            <w:gridSpan w:val="2"/>
            <w:tcBorders>
              <w:tl2br w:val="nil"/>
              <w:tr2bl w:val="nil"/>
            </w:tcBorders>
            <w:noWrap w:val="0"/>
            <w:vAlign w:val="center"/>
          </w:tcPr>
          <w:p w14:paraId="276D9BFD">
            <w:pPr>
              <w:adjustRightInd w:val="0"/>
              <w:snapToGrid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废反渗透膜</w:t>
            </w:r>
          </w:p>
        </w:tc>
        <w:tc>
          <w:tcPr>
            <w:tcW w:w="5690" w:type="dxa"/>
            <w:gridSpan w:val="3"/>
            <w:tcBorders>
              <w:tl2br w:val="nil"/>
              <w:tr2bl w:val="nil"/>
            </w:tcBorders>
            <w:noWrap w:val="0"/>
            <w:vAlign w:val="center"/>
          </w:tcPr>
          <w:p w14:paraId="0BC81BDB">
            <w:pPr>
              <w:adjustRightInd w:val="0"/>
              <w:snapToGrid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每3-5年更换一次，由厂家回收带走。</w:t>
            </w:r>
          </w:p>
        </w:tc>
      </w:tr>
      <w:tr w14:paraId="6C0D1F0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516" w:type="dxa"/>
            <w:vMerge w:val="continue"/>
            <w:tcBorders>
              <w:tl2br w:val="nil"/>
              <w:tr2bl w:val="nil"/>
            </w:tcBorders>
            <w:noWrap w:val="0"/>
            <w:vAlign w:val="center"/>
          </w:tcPr>
          <w:p w14:paraId="03942409">
            <w:pPr>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p>
        </w:tc>
        <w:tc>
          <w:tcPr>
            <w:tcW w:w="1757" w:type="dxa"/>
            <w:gridSpan w:val="2"/>
            <w:tcBorders>
              <w:tl2br w:val="nil"/>
              <w:tr2bl w:val="nil"/>
            </w:tcBorders>
            <w:noWrap w:val="0"/>
            <w:vAlign w:val="center"/>
          </w:tcPr>
          <w:p w14:paraId="60F700D0">
            <w:pPr>
              <w:adjustRightInd w:val="0"/>
              <w:snapToGrid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废空压机油、废润滑油</w:t>
            </w:r>
          </w:p>
        </w:tc>
        <w:tc>
          <w:tcPr>
            <w:tcW w:w="5690" w:type="dxa"/>
            <w:gridSpan w:val="3"/>
            <w:vMerge w:val="restart"/>
            <w:tcBorders>
              <w:tl2br w:val="nil"/>
              <w:tr2bl w:val="nil"/>
            </w:tcBorders>
            <w:noWrap w:val="0"/>
            <w:vAlign w:val="center"/>
          </w:tcPr>
          <w:p w14:paraId="72C5E029">
            <w:pPr>
              <w:adjustRightInd w:val="0"/>
              <w:snapToGrid w:val="0"/>
              <w:jc w:val="center"/>
              <w:rPr>
                <w:rFonts w:hint="default" w:ascii="Times New Roman" w:hAnsi="Times New Roman" w:eastAsia="宋体" w:cs="Times New Roman"/>
                <w:color w:val="000000" w:themeColor="text1"/>
                <w:kern w:val="0"/>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暂存于危险废物贮存设施</w:t>
            </w:r>
            <w:r>
              <w:rPr>
                <w:rFonts w:hint="default" w:ascii="Times New Roman" w:hAnsi="Times New Roman"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lang w:val="en-US" w:eastAsia="zh-CN"/>
                <w14:textFill>
                  <w14:solidFill>
                    <w14:schemeClr w14:val="tx1"/>
                  </w14:solidFill>
                </w14:textFill>
              </w:rPr>
              <w:t>10m</w:t>
            </w:r>
            <w:r>
              <w:rPr>
                <w:rFonts w:hint="default" w:ascii="Times New Roman" w:hAnsi="Times New Roman" w:cs="Times New Roman"/>
                <w:color w:val="000000" w:themeColor="text1"/>
                <w:sz w:val="21"/>
                <w:szCs w:val="21"/>
                <w:vertAlign w:val="superscript"/>
                <w:lang w:val="en-US" w:eastAsia="zh-CN"/>
                <w14:textFill>
                  <w14:solidFill>
                    <w14:schemeClr w14:val="tx1"/>
                  </w14:solidFill>
                </w14:textFill>
              </w:rPr>
              <w:t>2</w:t>
            </w:r>
            <w:r>
              <w:rPr>
                <w:rFonts w:hint="default" w:ascii="Times New Roman" w:hAnsi="Times New Roman"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，定期交由有资质单位处理</w:t>
            </w:r>
            <w:r>
              <w:rPr>
                <w:rFonts w:hint="default" w:ascii="Times New Roman" w:hAnsi="Times New Roman" w:cs="Times New Roman"/>
                <w:color w:val="000000" w:themeColor="text1"/>
                <w:sz w:val="21"/>
                <w:szCs w:val="21"/>
                <w:lang w:eastAsia="zh-CN"/>
                <w14:textFill>
                  <w14:solidFill>
                    <w14:schemeClr w14:val="tx1"/>
                  </w14:solidFill>
                </w14:textFill>
              </w:rPr>
              <w:t>。</w:t>
            </w:r>
          </w:p>
        </w:tc>
      </w:tr>
      <w:tr w14:paraId="5F9B845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3" w:hRule="atLeast"/>
          <w:jc w:val="center"/>
        </w:trPr>
        <w:tc>
          <w:tcPr>
            <w:tcW w:w="1516" w:type="dxa"/>
            <w:vMerge w:val="continue"/>
            <w:tcBorders>
              <w:tl2br w:val="nil"/>
              <w:tr2bl w:val="nil"/>
            </w:tcBorders>
            <w:noWrap w:val="0"/>
            <w:vAlign w:val="center"/>
          </w:tcPr>
          <w:p w14:paraId="0FEBE8E2">
            <w:pPr>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p>
        </w:tc>
        <w:tc>
          <w:tcPr>
            <w:tcW w:w="1757" w:type="dxa"/>
            <w:gridSpan w:val="2"/>
            <w:tcBorders>
              <w:tl2br w:val="nil"/>
              <w:tr2bl w:val="nil"/>
            </w:tcBorders>
            <w:noWrap w:val="0"/>
            <w:vAlign w:val="center"/>
          </w:tcPr>
          <w:p w14:paraId="395258E0">
            <w:pPr>
              <w:adjustRightInd w:val="0"/>
              <w:snapToGrid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废油桶</w:t>
            </w:r>
          </w:p>
        </w:tc>
        <w:tc>
          <w:tcPr>
            <w:tcW w:w="5690" w:type="dxa"/>
            <w:gridSpan w:val="3"/>
            <w:vMerge w:val="continue"/>
            <w:tcBorders>
              <w:tl2br w:val="nil"/>
              <w:tr2bl w:val="nil"/>
            </w:tcBorders>
            <w:noWrap w:val="0"/>
            <w:vAlign w:val="center"/>
          </w:tcPr>
          <w:p w14:paraId="5C429975">
            <w:pPr>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p>
        </w:tc>
      </w:tr>
      <w:tr w14:paraId="563BFD3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3" w:hRule="atLeast"/>
          <w:jc w:val="center"/>
        </w:trPr>
        <w:tc>
          <w:tcPr>
            <w:tcW w:w="1516" w:type="dxa"/>
            <w:vMerge w:val="continue"/>
            <w:tcBorders>
              <w:tl2br w:val="nil"/>
              <w:tr2bl w:val="nil"/>
            </w:tcBorders>
            <w:noWrap w:val="0"/>
            <w:vAlign w:val="center"/>
          </w:tcPr>
          <w:p w14:paraId="7BFFD314">
            <w:pPr>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p>
        </w:tc>
        <w:tc>
          <w:tcPr>
            <w:tcW w:w="1757" w:type="dxa"/>
            <w:gridSpan w:val="2"/>
            <w:tcBorders>
              <w:tl2br w:val="nil"/>
              <w:tr2bl w:val="nil"/>
            </w:tcBorders>
            <w:noWrap w:val="0"/>
            <w:vAlign w:val="center"/>
          </w:tcPr>
          <w:p w14:paraId="1FEB43ED">
            <w:pPr>
              <w:adjustRightInd w:val="0"/>
              <w:snapToGrid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废过滤棉</w:t>
            </w:r>
          </w:p>
        </w:tc>
        <w:tc>
          <w:tcPr>
            <w:tcW w:w="5690" w:type="dxa"/>
            <w:gridSpan w:val="3"/>
            <w:vMerge w:val="continue"/>
            <w:tcBorders>
              <w:tl2br w:val="nil"/>
              <w:tr2bl w:val="nil"/>
            </w:tcBorders>
            <w:noWrap w:val="0"/>
            <w:vAlign w:val="center"/>
          </w:tcPr>
          <w:p w14:paraId="77E136AA">
            <w:pPr>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p>
        </w:tc>
      </w:tr>
      <w:tr w14:paraId="599D4F2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9" w:hRule="atLeast"/>
          <w:jc w:val="center"/>
        </w:trPr>
        <w:tc>
          <w:tcPr>
            <w:tcW w:w="1516" w:type="dxa"/>
            <w:vMerge w:val="continue"/>
            <w:tcBorders>
              <w:tl2br w:val="nil"/>
              <w:tr2bl w:val="nil"/>
            </w:tcBorders>
            <w:noWrap w:val="0"/>
            <w:vAlign w:val="center"/>
          </w:tcPr>
          <w:p w14:paraId="45C2EE6F">
            <w:pPr>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p>
        </w:tc>
        <w:tc>
          <w:tcPr>
            <w:tcW w:w="1757" w:type="dxa"/>
            <w:gridSpan w:val="2"/>
            <w:tcBorders>
              <w:tl2br w:val="nil"/>
              <w:tr2bl w:val="nil"/>
            </w:tcBorders>
            <w:noWrap w:val="0"/>
            <w:vAlign w:val="center"/>
          </w:tcPr>
          <w:p w14:paraId="0C95C2B5">
            <w:pPr>
              <w:adjustRightInd w:val="0"/>
              <w:snapToGrid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废活性炭</w:t>
            </w:r>
          </w:p>
        </w:tc>
        <w:tc>
          <w:tcPr>
            <w:tcW w:w="5690" w:type="dxa"/>
            <w:gridSpan w:val="3"/>
            <w:vMerge w:val="continue"/>
            <w:tcBorders>
              <w:tl2br w:val="nil"/>
              <w:tr2bl w:val="nil"/>
            </w:tcBorders>
            <w:noWrap w:val="0"/>
            <w:vAlign w:val="center"/>
          </w:tcPr>
          <w:p w14:paraId="0292752D">
            <w:pPr>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p>
        </w:tc>
      </w:tr>
      <w:tr w14:paraId="0554AF0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65" w:hRule="atLeast"/>
          <w:jc w:val="center"/>
        </w:trPr>
        <w:tc>
          <w:tcPr>
            <w:tcW w:w="1516" w:type="dxa"/>
            <w:vMerge w:val="continue"/>
            <w:tcBorders>
              <w:tl2br w:val="nil"/>
              <w:tr2bl w:val="nil"/>
            </w:tcBorders>
            <w:noWrap w:val="0"/>
            <w:vAlign w:val="center"/>
          </w:tcPr>
          <w:p w14:paraId="094B91CF">
            <w:pPr>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p>
        </w:tc>
        <w:tc>
          <w:tcPr>
            <w:tcW w:w="1757" w:type="dxa"/>
            <w:gridSpan w:val="2"/>
            <w:tcBorders>
              <w:tl2br w:val="nil"/>
              <w:tr2bl w:val="nil"/>
            </w:tcBorders>
            <w:noWrap w:val="0"/>
            <w:vAlign w:val="center"/>
          </w:tcPr>
          <w:p w14:paraId="00269E72">
            <w:pPr>
              <w:adjustRightInd w:val="0"/>
              <w:snapToGrid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沾染废物</w:t>
            </w:r>
          </w:p>
        </w:tc>
        <w:tc>
          <w:tcPr>
            <w:tcW w:w="5690" w:type="dxa"/>
            <w:gridSpan w:val="3"/>
            <w:vMerge w:val="continue"/>
            <w:tcBorders>
              <w:tl2br w:val="nil"/>
              <w:tr2bl w:val="nil"/>
            </w:tcBorders>
            <w:noWrap w:val="0"/>
            <w:vAlign w:val="center"/>
          </w:tcPr>
          <w:p w14:paraId="6F595485">
            <w:pPr>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p>
        </w:tc>
      </w:tr>
      <w:tr w14:paraId="423E474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0" w:hRule="atLeast"/>
          <w:jc w:val="center"/>
        </w:trPr>
        <w:tc>
          <w:tcPr>
            <w:tcW w:w="1516" w:type="dxa"/>
            <w:tcBorders>
              <w:tl2br w:val="nil"/>
              <w:tr2bl w:val="nil"/>
            </w:tcBorders>
            <w:noWrap w:val="0"/>
            <w:vAlign w:val="center"/>
          </w:tcPr>
          <w:p w14:paraId="51BEB025">
            <w:pPr>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土壤及地下水</w:t>
            </w:r>
          </w:p>
          <w:p w14:paraId="4452F405">
            <w:pPr>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污染防治措施</w:t>
            </w:r>
          </w:p>
        </w:tc>
        <w:tc>
          <w:tcPr>
            <w:tcW w:w="7447" w:type="dxa"/>
            <w:gridSpan w:val="5"/>
            <w:tcBorders>
              <w:tl2br w:val="nil"/>
              <w:tr2bl w:val="nil"/>
            </w:tcBorders>
            <w:noWrap w:val="0"/>
            <w:vAlign w:val="center"/>
          </w:tcPr>
          <w:p w14:paraId="22250C04">
            <w:pPr>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分区防渗，</w:t>
            </w:r>
            <w:r>
              <w:rPr>
                <w:rFonts w:hint="eastAsia" w:cs="Times New Roman"/>
                <w:color w:val="000000" w:themeColor="text1"/>
                <w:sz w:val="21"/>
                <w:szCs w:val="21"/>
                <w:lang w:val="en-US" w:eastAsia="zh-CN"/>
                <w14:textFill>
                  <w14:solidFill>
                    <w14:schemeClr w14:val="tx1"/>
                  </w14:solidFill>
                </w14:textFill>
              </w:rPr>
              <w:t>矿物油存放区及</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危废间采用重点防渗，车间地面进行硬化。</w:t>
            </w:r>
          </w:p>
        </w:tc>
      </w:tr>
      <w:tr w14:paraId="7169C5B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3" w:hRule="atLeast"/>
          <w:jc w:val="center"/>
        </w:trPr>
        <w:tc>
          <w:tcPr>
            <w:tcW w:w="1516" w:type="dxa"/>
            <w:tcBorders>
              <w:tl2br w:val="nil"/>
              <w:tr2bl w:val="nil"/>
            </w:tcBorders>
            <w:noWrap w:val="0"/>
            <w:vAlign w:val="center"/>
          </w:tcPr>
          <w:p w14:paraId="75F76F51">
            <w:pPr>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生态保护措施</w:t>
            </w:r>
          </w:p>
        </w:tc>
        <w:tc>
          <w:tcPr>
            <w:tcW w:w="7447" w:type="dxa"/>
            <w:gridSpan w:val="5"/>
            <w:tcBorders>
              <w:tl2br w:val="nil"/>
              <w:tr2bl w:val="nil"/>
            </w:tcBorders>
            <w:noWrap w:val="0"/>
            <w:vAlign w:val="center"/>
          </w:tcPr>
          <w:p w14:paraId="7B2B5B81">
            <w:pPr>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r>
      <w:tr w14:paraId="611EAF6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3" w:hRule="atLeast"/>
          <w:jc w:val="center"/>
        </w:trPr>
        <w:tc>
          <w:tcPr>
            <w:tcW w:w="1516" w:type="dxa"/>
            <w:tcBorders>
              <w:tl2br w:val="nil"/>
              <w:tr2bl w:val="nil"/>
            </w:tcBorders>
            <w:noWrap w:val="0"/>
            <w:vAlign w:val="center"/>
          </w:tcPr>
          <w:p w14:paraId="4F6C7C30">
            <w:pPr>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电磁辐射</w:t>
            </w:r>
          </w:p>
        </w:tc>
        <w:tc>
          <w:tcPr>
            <w:tcW w:w="7447" w:type="dxa"/>
            <w:gridSpan w:val="5"/>
            <w:tcBorders>
              <w:tl2br w:val="nil"/>
              <w:tr2bl w:val="nil"/>
            </w:tcBorders>
            <w:noWrap w:val="0"/>
            <w:vAlign w:val="center"/>
          </w:tcPr>
          <w:p w14:paraId="36C723EB">
            <w:pPr>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r>
      <w:tr w14:paraId="13B6FFD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56" w:hRule="atLeast"/>
          <w:jc w:val="center"/>
        </w:trPr>
        <w:tc>
          <w:tcPr>
            <w:tcW w:w="1516" w:type="dxa"/>
            <w:tcBorders>
              <w:tl2br w:val="nil"/>
              <w:tr2bl w:val="nil"/>
            </w:tcBorders>
            <w:noWrap w:val="0"/>
            <w:vAlign w:val="center"/>
          </w:tcPr>
          <w:p w14:paraId="0083091B">
            <w:pPr>
              <w:adjustRightInd w:val="0"/>
              <w:snapToGrid w:val="0"/>
              <w:jc w:val="center"/>
              <w:rPr>
                <w:rFonts w:hint="default" w:ascii="Times New Roman" w:hAnsi="Times New Roman" w:cs="Times New Roman"/>
                <w:color w:val="000000" w:themeColor="text1"/>
                <w:spacing w:val="-8"/>
                <w:sz w:val="21"/>
                <w:szCs w:val="21"/>
                <w14:textFill>
                  <w14:solidFill>
                    <w14:schemeClr w14:val="tx1"/>
                  </w14:solidFill>
                </w14:textFill>
              </w:rPr>
            </w:pPr>
            <w:r>
              <w:rPr>
                <w:rFonts w:hint="default" w:ascii="Times New Roman" w:hAnsi="Times New Roman" w:cs="Times New Roman"/>
                <w:color w:val="000000" w:themeColor="text1"/>
                <w:spacing w:val="-8"/>
                <w:sz w:val="21"/>
                <w:szCs w:val="21"/>
                <w14:textFill>
                  <w14:solidFill>
                    <w14:schemeClr w14:val="tx1"/>
                  </w14:solidFill>
                </w14:textFill>
              </w:rPr>
              <w:t>环境风险</w:t>
            </w:r>
          </w:p>
          <w:p w14:paraId="0EED97A7">
            <w:pPr>
              <w:adjustRightInd w:val="0"/>
              <w:snapToGrid w:val="0"/>
              <w:jc w:val="center"/>
              <w:rPr>
                <w:rFonts w:hint="default" w:ascii="Times New Roman" w:hAnsi="Times New Roman" w:cs="Times New Roman"/>
                <w:color w:val="000000" w:themeColor="text1"/>
                <w:spacing w:val="-8"/>
                <w:sz w:val="21"/>
                <w:szCs w:val="21"/>
                <w14:textFill>
                  <w14:solidFill>
                    <w14:schemeClr w14:val="tx1"/>
                  </w14:solidFill>
                </w14:textFill>
              </w:rPr>
            </w:pPr>
            <w:r>
              <w:rPr>
                <w:rFonts w:hint="default" w:ascii="Times New Roman" w:hAnsi="Times New Roman" w:cs="Times New Roman"/>
                <w:color w:val="000000" w:themeColor="text1"/>
                <w:spacing w:val="-8"/>
                <w:sz w:val="21"/>
                <w:szCs w:val="21"/>
                <w14:textFill>
                  <w14:solidFill>
                    <w14:schemeClr w14:val="tx1"/>
                  </w14:solidFill>
                </w14:textFill>
              </w:rPr>
              <w:t>防范措施</w:t>
            </w:r>
          </w:p>
        </w:tc>
        <w:tc>
          <w:tcPr>
            <w:tcW w:w="7447" w:type="dxa"/>
            <w:gridSpan w:val="5"/>
            <w:tcBorders>
              <w:tl2br w:val="nil"/>
              <w:tr2bl w:val="nil"/>
            </w:tcBorders>
            <w:noWrap w:val="0"/>
            <w:vAlign w:val="center"/>
          </w:tcPr>
          <w:p w14:paraId="63FC5F53">
            <w:pPr>
              <w:adjustRightInd w:val="0"/>
              <w:snapToGrid w:val="0"/>
              <w:spacing w:line="360" w:lineRule="auto"/>
              <w:jc w:val="lef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危险物质储存、运输、使用过</w:t>
            </w:r>
            <w:r>
              <w:rPr>
                <w:rFonts w:hint="default" w:ascii="Times New Roman" w:hAnsi="Times New Roman" w:cs="Times New Roman"/>
                <w:color w:val="000000" w:themeColor="text1"/>
                <w:sz w:val="21"/>
                <w:szCs w:val="21"/>
                <w:lang w:eastAsia="zh-CN"/>
                <w14:textFill>
                  <w14:solidFill>
                    <w14:schemeClr w14:val="tx1"/>
                  </w14:solidFill>
                </w14:textFill>
              </w:rPr>
              <w:t>程中</w:t>
            </w:r>
            <w:r>
              <w:rPr>
                <w:rFonts w:hint="default" w:ascii="Times New Roman" w:hAnsi="Times New Roman" w:cs="Times New Roman"/>
                <w:color w:val="000000" w:themeColor="text1"/>
                <w:sz w:val="21"/>
                <w:szCs w:val="21"/>
                <w14:textFill>
                  <w14:solidFill>
                    <w14:schemeClr w14:val="tx1"/>
                  </w14:solidFill>
                </w14:textFill>
              </w:rPr>
              <w:t>加强管理，采取各类安全和消防措施，并制定</w:t>
            </w:r>
            <w:r>
              <w:rPr>
                <w:rFonts w:hint="default" w:ascii="Times New Roman" w:hAnsi="Times New Roman" w:cs="Times New Roman"/>
                <w:color w:val="000000" w:themeColor="text1"/>
                <w:sz w:val="21"/>
                <w:szCs w:val="21"/>
                <w:lang w:eastAsia="zh-CN"/>
                <w14:textFill>
                  <w14:solidFill>
                    <w14:schemeClr w14:val="tx1"/>
                  </w14:solidFill>
                </w14:textFill>
              </w:rPr>
              <w:t>泄漏</w:t>
            </w:r>
            <w:r>
              <w:rPr>
                <w:rFonts w:hint="default" w:ascii="Times New Roman" w:hAnsi="Times New Roman" w:cs="Times New Roman"/>
                <w:color w:val="000000" w:themeColor="text1"/>
                <w:sz w:val="21"/>
                <w:szCs w:val="21"/>
                <w14:textFill>
                  <w14:solidFill>
                    <w14:schemeClr w14:val="tx1"/>
                  </w14:solidFill>
                </w14:textFill>
              </w:rPr>
              <w:t>处理应急预案。</w:t>
            </w:r>
          </w:p>
        </w:tc>
      </w:tr>
      <w:tr w14:paraId="1865C61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767" w:hRule="atLeast"/>
          <w:jc w:val="center"/>
        </w:trPr>
        <w:tc>
          <w:tcPr>
            <w:tcW w:w="1516" w:type="dxa"/>
            <w:tcBorders>
              <w:tl2br w:val="nil"/>
              <w:tr2bl w:val="nil"/>
            </w:tcBorders>
            <w:noWrap w:val="0"/>
            <w:vAlign w:val="center"/>
          </w:tcPr>
          <w:p w14:paraId="2F9C21F5">
            <w:pPr>
              <w:adjustRightInd w:val="0"/>
              <w:snapToGrid w:val="0"/>
              <w:jc w:val="center"/>
              <w:rPr>
                <w:rFonts w:hint="default" w:ascii="Times New Roman" w:hAnsi="Times New Roman" w:cs="Times New Roman"/>
                <w:color w:val="000000" w:themeColor="text1"/>
                <w:spacing w:val="-8"/>
                <w:sz w:val="21"/>
                <w:szCs w:val="21"/>
                <w14:textFill>
                  <w14:solidFill>
                    <w14:schemeClr w14:val="tx1"/>
                  </w14:solidFill>
                </w14:textFill>
              </w:rPr>
            </w:pPr>
            <w:r>
              <w:rPr>
                <w:rFonts w:hint="default" w:ascii="Times New Roman" w:hAnsi="Times New Roman" w:cs="Times New Roman"/>
                <w:color w:val="000000" w:themeColor="text1"/>
                <w:spacing w:val="-8"/>
                <w:sz w:val="21"/>
                <w:szCs w:val="21"/>
                <w14:textFill>
                  <w14:solidFill>
                    <w14:schemeClr w14:val="tx1"/>
                  </w14:solidFill>
                </w14:textFill>
              </w:rPr>
              <w:t>其他环境</w:t>
            </w:r>
          </w:p>
          <w:p w14:paraId="169E9E2E">
            <w:pPr>
              <w:adjustRightInd w:val="0"/>
              <w:snapToGrid w:val="0"/>
              <w:jc w:val="center"/>
              <w:rPr>
                <w:rFonts w:hint="default" w:ascii="Times New Roman" w:hAnsi="Times New Roman" w:cs="Times New Roman"/>
                <w:color w:val="000000" w:themeColor="text1"/>
                <w:spacing w:val="-8"/>
                <w:sz w:val="21"/>
                <w:szCs w:val="21"/>
                <w14:textFill>
                  <w14:solidFill>
                    <w14:schemeClr w14:val="tx1"/>
                  </w14:solidFill>
                </w14:textFill>
              </w:rPr>
            </w:pPr>
            <w:r>
              <w:rPr>
                <w:rFonts w:hint="default" w:ascii="Times New Roman" w:hAnsi="Times New Roman" w:cs="Times New Roman"/>
                <w:color w:val="000000" w:themeColor="text1"/>
                <w:spacing w:val="-8"/>
                <w:sz w:val="21"/>
                <w:szCs w:val="21"/>
                <w14:textFill>
                  <w14:solidFill>
                    <w14:schemeClr w14:val="tx1"/>
                  </w14:solidFill>
                </w14:textFill>
              </w:rPr>
              <w:t>管理要求</w:t>
            </w:r>
          </w:p>
        </w:tc>
        <w:tc>
          <w:tcPr>
            <w:tcW w:w="7447" w:type="dxa"/>
            <w:gridSpan w:val="5"/>
            <w:tcBorders>
              <w:tl2br w:val="nil"/>
              <w:tr2bl w:val="nil"/>
            </w:tcBorders>
            <w:noWrap w:val="0"/>
            <w:vAlign w:val="center"/>
          </w:tcPr>
          <w:p w14:paraId="27B490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2" w:firstLineChars="200"/>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1.</w:t>
            </w:r>
            <w:r>
              <w:rPr>
                <w:rFonts w:hint="default" w:ascii="Times New Roman" w:hAnsi="Times New Roman" w:cs="Times New Roman"/>
                <w:b/>
                <w:bCs/>
                <w:color w:val="000000" w:themeColor="text1"/>
                <w:sz w:val="21"/>
                <w:szCs w:val="21"/>
                <w14:textFill>
                  <w14:solidFill>
                    <w14:schemeClr w14:val="tx1"/>
                  </w14:solidFill>
                </w14:textFill>
              </w:rPr>
              <w:t>企业信息公开</w:t>
            </w:r>
          </w:p>
          <w:p w14:paraId="4851A5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根据《企业事业单位环境信息公开办法》（生态环境部令第31号）的规定，企业事业单位应当按照强制公开和自愿公开相结合的原则，及时、如实地公开其环境信息。如环境信息涉及国家秘密、商业秘密或者个人隐私的，依法可以不公开；</w:t>
            </w:r>
            <w:r>
              <w:rPr>
                <w:rFonts w:hint="default" w:ascii="Times New Roman" w:hAnsi="Times New Roman" w:cs="Times New Roman"/>
                <w:color w:val="000000" w:themeColor="text1"/>
                <w:sz w:val="21"/>
                <w:szCs w:val="21"/>
                <w:lang w:eastAsia="zh-CN"/>
                <w14:textFill>
                  <w14:solidFill>
                    <w14:schemeClr w14:val="tx1"/>
                  </w14:solidFill>
                </w14:textFill>
              </w:rPr>
              <w:t>法律法规</w:t>
            </w:r>
            <w:r>
              <w:rPr>
                <w:rFonts w:hint="default" w:ascii="Times New Roman" w:hAnsi="Times New Roman" w:cs="Times New Roman"/>
                <w:color w:val="000000" w:themeColor="text1"/>
                <w:sz w:val="21"/>
                <w:szCs w:val="21"/>
                <w14:textFill>
                  <w14:solidFill>
                    <w14:schemeClr w14:val="tx1"/>
                  </w14:solidFill>
                </w14:textFill>
              </w:rPr>
              <w:t>另有规定的，从其规定。企业事业单位应当建立健全本单位环境信息公开制度，指定机构负责本单位环境信息公开日常工作。</w:t>
            </w:r>
          </w:p>
          <w:p w14:paraId="5B40790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2" w:firstLineChars="200"/>
              <w:textAlignment w:val="auto"/>
              <w:rPr>
                <w:rFonts w:hint="default" w:ascii="Times New Roman" w:hAnsi="Times New Roman" w:cs="Times New Roman"/>
                <w:b/>
                <w:bCs/>
                <w:color w:val="000000" w:themeColor="text1"/>
                <w:sz w:val="21"/>
                <w:szCs w:val="21"/>
                <w:lang w:val="en-US" w:eastAsia="zh-CN"/>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2.排污口规范化</w:t>
            </w:r>
          </w:p>
          <w:p w14:paraId="27B1F9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jc w:val="left"/>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根据国家环保总局</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《排污口规范化整治技术要求（试行）》（环监</w:t>
            </w:r>
            <w:r>
              <w:rPr>
                <w:rFonts w:hint="default" w:ascii="Times New Roman" w:hAnsi="Times New Roman" w:cs="Times New Roman"/>
                <w:color w:val="000000" w:themeColor="text1"/>
                <w:sz w:val="21"/>
                <w:szCs w:val="21"/>
                <w:lang w:val="en-US" w:eastAsia="zh-CN"/>
                <w14:textFill>
                  <w14:solidFill>
                    <w14:schemeClr w14:val="tx1"/>
                  </w14:solidFill>
                </w14:textFill>
              </w:rPr>
              <w:t>〔1996〕470号</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）的相关规定，</w:t>
            </w:r>
            <w:r>
              <w:rPr>
                <w:rFonts w:hint="default" w:ascii="Times New Roman" w:hAnsi="Times New Roman" w:cs="Times New Roman"/>
                <w:color w:val="000000" w:themeColor="text1"/>
                <w:sz w:val="21"/>
                <w:szCs w:val="21"/>
                <w:lang w:val="en-US" w:eastAsia="zh-CN"/>
                <w14:textFill>
                  <w14:solidFill>
                    <w14:schemeClr w14:val="tx1"/>
                  </w14:solidFill>
                </w14:textFill>
              </w:rPr>
              <w:t>企业所有排放口，必须按照“便于计量监测、便于日常现场监督检查”的规范化要求，设置与之相适应的环境保护图形标志牌，绘制企业排污口分布图，对治理设施安装运行监控装置，以便环境监管部门监管。</w:t>
            </w:r>
          </w:p>
          <w:p w14:paraId="4E9E59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jc w:val="left"/>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（1）废气排气筒</w:t>
            </w:r>
          </w:p>
          <w:p w14:paraId="5B660F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jc w:val="left"/>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①</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根据《排污单位污染物排放口监测点位》HJ 1405-2024中的相关要求</w:t>
            </w:r>
            <w:r>
              <w:rPr>
                <w:rFonts w:hint="eastAsia" w:cs="Times New Roman"/>
                <w:color w:val="000000" w:themeColor="text1"/>
                <w:sz w:val="24"/>
                <w:szCs w:val="24"/>
                <w:lang w:val="en-US" w:eastAsia="zh-CN"/>
                <w14:textFill>
                  <w14:solidFill>
                    <w14:schemeClr w14:val="tx1"/>
                  </w14:solidFill>
                </w14:textFill>
              </w:rPr>
              <w:t>确定采样孔位置、采样平台等</w:t>
            </w:r>
            <w:r>
              <w:rPr>
                <w:rFonts w:hint="default" w:ascii="Times New Roman" w:hAnsi="Times New Roman" w:cs="Times New Roman"/>
                <w:color w:val="000000" w:themeColor="text1"/>
                <w:sz w:val="21"/>
                <w:szCs w:val="21"/>
                <w:lang w:val="en-US" w:eastAsia="zh-CN"/>
                <w14:textFill>
                  <w14:solidFill>
                    <w14:schemeClr w14:val="tx1"/>
                  </w14:solidFill>
                </w14:textFill>
              </w:rPr>
              <w:t>。</w:t>
            </w:r>
          </w:p>
          <w:p w14:paraId="2368B1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jc w:val="left"/>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②废气净化设施的进出口均设置采样口。</w:t>
            </w:r>
          </w:p>
          <w:p w14:paraId="285D62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jc w:val="left"/>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③在排气筒附近地面醒目处设置环境保护图形标志牌。</w:t>
            </w:r>
          </w:p>
          <w:p w14:paraId="4595A1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jc w:val="left"/>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（2）固定噪声源</w:t>
            </w:r>
          </w:p>
          <w:p w14:paraId="5B0437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jc w:val="left"/>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在固定噪声源（如</w:t>
            </w:r>
            <w:r>
              <w:rPr>
                <w:rFonts w:hint="eastAsia" w:cs="Times New Roman"/>
                <w:color w:val="000000" w:themeColor="text1"/>
                <w:sz w:val="21"/>
                <w:szCs w:val="21"/>
                <w:lang w:val="en-US" w:eastAsia="zh-CN"/>
                <w14:textFill>
                  <w14:solidFill>
                    <w14:schemeClr w14:val="tx1"/>
                  </w14:solidFill>
                </w14:textFill>
              </w:rPr>
              <w:t>砂磨机、球磨机、空压机</w:t>
            </w:r>
            <w:r>
              <w:rPr>
                <w:rFonts w:hint="default" w:ascii="Times New Roman" w:hAnsi="Times New Roman" w:cs="Times New Roman"/>
                <w:color w:val="000000" w:themeColor="text1"/>
                <w:sz w:val="21"/>
                <w:szCs w:val="21"/>
                <w:lang w:val="en-US" w:eastAsia="zh-CN"/>
                <w14:textFill>
                  <w14:solidFill>
                    <w14:schemeClr w14:val="tx1"/>
                  </w14:solidFill>
                </w14:textFill>
              </w:rPr>
              <w:t>、风机等）对厂界噪声影响最大处，设置环境保护图形标志牌。</w:t>
            </w:r>
          </w:p>
          <w:p w14:paraId="48A863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jc w:val="left"/>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（3）固体废物贮存场所</w:t>
            </w:r>
          </w:p>
          <w:p w14:paraId="5BBBEE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jc w:val="left"/>
              <w:textAlignment w:val="auto"/>
              <w:rPr>
                <w:rFonts w:hint="default" w:ascii="Times New Roman" w:hAnsi="Times New Roman"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本项目设置2个固废临时贮场，一个为一般工业固废</w:t>
            </w:r>
            <w:r>
              <w:rPr>
                <w:rFonts w:hint="default" w:ascii="Times New Roman" w:hAnsi="Times New Roman" w:cs="Times New Roman"/>
                <w:color w:val="000000" w:themeColor="text1"/>
                <w:sz w:val="21"/>
                <w:szCs w:val="21"/>
                <w:lang w:val="en-US" w:eastAsia="zh-CN"/>
                <w14:textFill>
                  <w14:solidFill>
                    <w14:schemeClr w14:val="tx1"/>
                  </w14:solidFill>
                </w14:textFill>
              </w:rPr>
              <w:t>贮存设施</w:t>
            </w:r>
            <w:r>
              <w:rPr>
                <w:rFonts w:hint="default" w:ascii="Times New Roman" w:hAnsi="Times New Roman" w:cs="Times New Roman"/>
                <w:color w:val="000000" w:themeColor="text1"/>
                <w:sz w:val="21"/>
                <w:szCs w:val="21"/>
                <w:lang w:eastAsia="zh-CN"/>
                <w14:textFill>
                  <w14:solidFill>
                    <w14:schemeClr w14:val="tx1"/>
                  </w14:solidFill>
                </w14:textFill>
              </w:rPr>
              <w:t>，一个为危险</w:t>
            </w:r>
            <w:r>
              <w:rPr>
                <w:rFonts w:hint="default" w:ascii="Times New Roman" w:hAnsi="Times New Roman" w:cs="Times New Roman"/>
                <w:color w:val="000000" w:themeColor="text1"/>
                <w:sz w:val="21"/>
                <w:szCs w:val="21"/>
                <w:lang w:val="en-US" w:eastAsia="zh-CN"/>
                <w14:textFill>
                  <w14:solidFill>
                    <w14:schemeClr w14:val="tx1"/>
                  </w14:solidFill>
                </w14:textFill>
              </w:rPr>
              <w:t>废物贮存设施</w:t>
            </w:r>
            <w:r>
              <w:rPr>
                <w:rFonts w:hint="default" w:ascii="Times New Roman" w:hAnsi="Times New Roman" w:cs="Times New Roman"/>
                <w:color w:val="000000" w:themeColor="text1"/>
                <w:sz w:val="21"/>
                <w:szCs w:val="21"/>
                <w:lang w:eastAsia="zh-CN"/>
                <w14:textFill>
                  <w14:solidFill>
                    <w14:schemeClr w14:val="tx1"/>
                  </w14:solidFill>
                </w14:textFill>
              </w:rPr>
              <w:t>。</w:t>
            </w:r>
          </w:p>
          <w:p w14:paraId="507735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jc w:val="left"/>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固废贮存场所要求：①固体废物贮存场所要有防火、防扬散、防流失、防渗漏、防雨措施；②固体废物贮存场所在醒目处设置一个标志牌，具体按照《环境保护图形标志》规定制作。</w:t>
            </w:r>
          </w:p>
          <w:p w14:paraId="26190A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jc w:val="left"/>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本项目产生的危险废物应按照</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《危险废物贮存污染控制标准》</w:t>
            </w:r>
            <w:r>
              <w:rPr>
                <w:rFonts w:hint="default"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GB</w:t>
            </w:r>
            <w:r>
              <w:rPr>
                <w:rFonts w:hint="default" w:ascii="Times New Roman" w:hAnsi="Times New Roman" w:cs="Times New Roman"/>
                <w:color w:val="000000" w:themeColor="text1"/>
                <w:sz w:val="21"/>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18597-2023</w:t>
            </w:r>
            <w:r>
              <w:rPr>
                <w:rFonts w:hint="default"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中</w:t>
            </w:r>
            <w:r>
              <w:rPr>
                <w:rFonts w:hint="default" w:ascii="Times New Roman" w:hAnsi="Times New Roman" w:cs="Times New Roman"/>
                <w:color w:val="000000" w:themeColor="text1"/>
                <w:sz w:val="21"/>
                <w:szCs w:val="21"/>
                <w:lang w:val="en-US" w:eastAsia="zh-CN"/>
                <w14:textFill>
                  <w14:solidFill>
                    <w14:schemeClr w14:val="tx1"/>
                  </w14:solidFill>
                </w14:textFill>
              </w:rPr>
              <w:t>的</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要求进行分质贮存和处置。</w:t>
            </w:r>
          </w:p>
          <w:p w14:paraId="08B2A0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jc w:val="left"/>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（4）环境保护图形标志</w:t>
            </w:r>
          </w:p>
          <w:p w14:paraId="0F239C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jc w:val="left"/>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在厂区的废气排放口、噪声排放源、固体废物贮存处置场应设置环境保护图形标志，图形符号分为提示图形和警告图形符号两种，分别按GB 15562.1-1995、GB 15562.2-1995执行。</w:t>
            </w:r>
          </w:p>
          <w:p w14:paraId="6C76BC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环境保护图形符号见下表。</w:t>
            </w:r>
          </w:p>
          <w:p w14:paraId="1C3AC62D">
            <w:pPr>
              <w:keepNext w:val="0"/>
              <w:keepLines w:val="0"/>
              <w:pageBreakBefore w:val="0"/>
              <w:suppressLineNumbers w:val="0"/>
              <w:kinsoku/>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表5-1  环境保护图形符号一览表</w:t>
            </w:r>
          </w:p>
          <w:tbl>
            <w:tblPr>
              <w:tblStyle w:val="36"/>
              <w:tblW w:w="4997" w:type="pct"/>
              <w:tblInd w:w="0"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autofit"/>
              <w:tblCellMar>
                <w:top w:w="0" w:type="dxa"/>
                <w:left w:w="0" w:type="dxa"/>
                <w:bottom w:w="0" w:type="dxa"/>
                <w:right w:w="0" w:type="dxa"/>
              </w:tblCellMar>
            </w:tblPr>
            <w:tblGrid>
              <w:gridCol w:w="2408"/>
              <w:gridCol w:w="2617"/>
              <w:gridCol w:w="2202"/>
            </w:tblGrid>
            <w:tr w14:paraId="2580FDD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1665" w:type="pct"/>
                  <w:tcBorders>
                    <w:tl2br w:val="nil"/>
                    <w:tr2bl w:val="nil"/>
                  </w:tcBorders>
                  <w:noWrap w:val="0"/>
                  <w:vAlign w:val="center"/>
                </w:tcPr>
                <w:p w14:paraId="41564919">
                  <w:pPr>
                    <w:keepNext w:val="0"/>
                    <w:keepLines w:val="0"/>
                    <w:pageBreakBefore w:val="0"/>
                    <w:suppressLineNumbers w:val="0"/>
                    <w:kinsoku/>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图形标志</w:t>
                  </w:r>
                </w:p>
              </w:tc>
              <w:tc>
                <w:tcPr>
                  <w:tcW w:w="1810" w:type="pct"/>
                  <w:tcBorders>
                    <w:tl2br w:val="nil"/>
                    <w:tr2bl w:val="nil"/>
                  </w:tcBorders>
                  <w:noWrap w:val="0"/>
                  <w:vAlign w:val="center"/>
                </w:tcPr>
                <w:p w14:paraId="74E16A75">
                  <w:pPr>
                    <w:keepNext w:val="0"/>
                    <w:keepLines w:val="0"/>
                    <w:pageBreakBefore w:val="0"/>
                    <w:suppressLineNumbers w:val="0"/>
                    <w:kinsoku/>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图形代表意义</w:t>
                  </w:r>
                </w:p>
              </w:tc>
              <w:tc>
                <w:tcPr>
                  <w:tcW w:w="1523" w:type="pct"/>
                  <w:tcBorders>
                    <w:tl2br w:val="nil"/>
                    <w:tr2bl w:val="nil"/>
                  </w:tcBorders>
                  <w:noWrap w:val="0"/>
                  <w:vAlign w:val="center"/>
                </w:tcPr>
                <w:p w14:paraId="748EABC8">
                  <w:pPr>
                    <w:keepNext w:val="0"/>
                    <w:keepLines w:val="0"/>
                    <w:pageBreakBefore w:val="0"/>
                    <w:suppressLineNumbers w:val="0"/>
                    <w:kinsoku/>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符号简介</w:t>
                  </w:r>
                </w:p>
              </w:tc>
            </w:tr>
            <w:tr w14:paraId="2FE3884F">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1665" w:type="pct"/>
                  <w:tcBorders>
                    <w:tl2br w:val="nil"/>
                    <w:tr2bl w:val="nil"/>
                  </w:tcBorders>
                  <w:noWrap w:val="0"/>
                  <w:vAlign w:val="center"/>
                </w:tcPr>
                <w:p w14:paraId="3B94706D">
                  <w:pPr>
                    <w:keepNext w:val="0"/>
                    <w:keepLines w:val="0"/>
                    <w:pageBreakBefore w:val="0"/>
                    <w:suppressLineNumbers w:val="0"/>
                    <w:kinsoku/>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drawing>
                      <wp:inline distT="0" distB="0" distL="114300" distR="114300">
                        <wp:extent cx="761365" cy="772160"/>
                        <wp:effectExtent l="0" t="0" r="635" b="8890"/>
                        <wp:docPr id="7"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9"/>
                                <pic:cNvPicPr>
                                  <a:picLocks noChangeAspect="1"/>
                                </pic:cNvPicPr>
                              </pic:nvPicPr>
                              <pic:blipFill>
                                <a:blip r:embed="rId19"/>
                                <a:stretch>
                                  <a:fillRect/>
                                </a:stretch>
                              </pic:blipFill>
                              <pic:spPr>
                                <a:xfrm>
                                  <a:off x="0" y="0"/>
                                  <a:ext cx="761365" cy="772160"/>
                                </a:xfrm>
                                <a:prstGeom prst="rect">
                                  <a:avLst/>
                                </a:prstGeom>
                                <a:noFill/>
                                <a:ln>
                                  <a:noFill/>
                                </a:ln>
                              </pic:spPr>
                            </pic:pic>
                          </a:graphicData>
                        </a:graphic>
                      </wp:inline>
                    </w:drawing>
                  </w:r>
                </w:p>
              </w:tc>
              <w:tc>
                <w:tcPr>
                  <w:tcW w:w="1810" w:type="pct"/>
                  <w:tcBorders>
                    <w:tl2br w:val="nil"/>
                    <w:tr2bl w:val="nil"/>
                  </w:tcBorders>
                  <w:noWrap w:val="0"/>
                  <w:vAlign w:val="center"/>
                </w:tcPr>
                <w:p w14:paraId="67A0DE74">
                  <w:pPr>
                    <w:keepNext w:val="0"/>
                    <w:keepLines w:val="0"/>
                    <w:pageBreakBefore w:val="0"/>
                    <w:suppressLineNumbers w:val="0"/>
                    <w:kinsoku/>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标志名称：废气排放口国标代码：GB</w:t>
                  </w:r>
                  <w:r>
                    <w:rPr>
                      <w:rFonts w:hint="default" w:ascii="Times New Roman" w:hAnsi="Times New Roman" w:cs="Times New Roman"/>
                      <w:color w:val="000000" w:themeColor="text1"/>
                      <w:sz w:val="21"/>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szCs w:val="21"/>
                      <w14:textFill>
                        <w14:solidFill>
                          <w14:schemeClr w14:val="tx1"/>
                        </w14:solidFill>
                      </w14:textFill>
                    </w:rPr>
                    <w:t>15562.1-1995</w:t>
                  </w:r>
                </w:p>
              </w:tc>
              <w:tc>
                <w:tcPr>
                  <w:tcW w:w="1523" w:type="pct"/>
                  <w:tcBorders>
                    <w:tl2br w:val="nil"/>
                    <w:tr2bl w:val="nil"/>
                  </w:tcBorders>
                  <w:noWrap w:val="0"/>
                  <w:vAlign w:val="center"/>
                </w:tcPr>
                <w:p w14:paraId="7A73D486">
                  <w:pPr>
                    <w:keepNext w:val="0"/>
                    <w:keepLines w:val="0"/>
                    <w:pageBreakBefore w:val="0"/>
                    <w:suppressLineNumbers w:val="0"/>
                    <w:kinsoku/>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提示图形符号废气排放口</w:t>
                  </w:r>
                </w:p>
                <w:p w14:paraId="016F7E9C">
                  <w:pPr>
                    <w:keepNext w:val="0"/>
                    <w:keepLines w:val="0"/>
                    <w:pageBreakBefore w:val="0"/>
                    <w:suppressLineNumbers w:val="0"/>
                    <w:kinsoku/>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表示废气向大气环境排放</w:t>
                  </w:r>
                </w:p>
              </w:tc>
            </w:tr>
            <w:tr w14:paraId="4CD57666">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1665" w:type="pct"/>
                  <w:tcBorders>
                    <w:tl2br w:val="nil"/>
                    <w:tr2bl w:val="nil"/>
                  </w:tcBorders>
                  <w:noWrap w:val="0"/>
                  <w:vAlign w:val="center"/>
                </w:tcPr>
                <w:p w14:paraId="39CF3621">
                  <w:pPr>
                    <w:keepNext w:val="0"/>
                    <w:keepLines w:val="0"/>
                    <w:pageBreakBefore w:val="0"/>
                    <w:suppressLineNumbers w:val="0"/>
                    <w:kinsoku/>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drawing>
                      <wp:inline distT="0" distB="0" distL="114300" distR="114300">
                        <wp:extent cx="720725" cy="722630"/>
                        <wp:effectExtent l="0" t="0" r="3175" b="1270"/>
                        <wp:docPr id="8"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0"/>
                                <pic:cNvPicPr>
                                  <a:picLocks noChangeAspect="1"/>
                                </pic:cNvPicPr>
                              </pic:nvPicPr>
                              <pic:blipFill>
                                <a:blip r:embed="rId20"/>
                                <a:stretch>
                                  <a:fillRect/>
                                </a:stretch>
                              </pic:blipFill>
                              <pic:spPr>
                                <a:xfrm>
                                  <a:off x="0" y="0"/>
                                  <a:ext cx="720725" cy="722630"/>
                                </a:xfrm>
                                <a:prstGeom prst="rect">
                                  <a:avLst/>
                                </a:prstGeom>
                                <a:noFill/>
                                <a:ln>
                                  <a:noFill/>
                                </a:ln>
                              </pic:spPr>
                            </pic:pic>
                          </a:graphicData>
                        </a:graphic>
                      </wp:inline>
                    </w:drawing>
                  </w:r>
                </w:p>
              </w:tc>
              <w:tc>
                <w:tcPr>
                  <w:tcW w:w="1810" w:type="pct"/>
                  <w:tcBorders>
                    <w:tl2br w:val="nil"/>
                    <w:tr2bl w:val="nil"/>
                  </w:tcBorders>
                  <w:noWrap w:val="0"/>
                  <w:vAlign w:val="center"/>
                </w:tcPr>
                <w:p w14:paraId="1DFF9006">
                  <w:pPr>
                    <w:keepNext w:val="0"/>
                    <w:keepLines w:val="0"/>
                    <w:pageBreakBefore w:val="0"/>
                    <w:suppressLineNumbers w:val="0"/>
                    <w:kinsoku/>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标志名称：噪声排放源国标代码：GB</w:t>
                  </w:r>
                  <w:r>
                    <w:rPr>
                      <w:rFonts w:hint="default" w:ascii="Times New Roman" w:hAnsi="Times New Roman" w:cs="Times New Roman"/>
                      <w:color w:val="000000" w:themeColor="text1"/>
                      <w:sz w:val="21"/>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szCs w:val="21"/>
                      <w14:textFill>
                        <w14:solidFill>
                          <w14:schemeClr w14:val="tx1"/>
                        </w14:solidFill>
                      </w14:textFill>
                    </w:rPr>
                    <w:t>15562.1-1995</w:t>
                  </w:r>
                </w:p>
              </w:tc>
              <w:tc>
                <w:tcPr>
                  <w:tcW w:w="1523" w:type="pct"/>
                  <w:tcBorders>
                    <w:tl2br w:val="nil"/>
                    <w:tr2bl w:val="nil"/>
                  </w:tcBorders>
                  <w:noWrap w:val="0"/>
                  <w:vAlign w:val="center"/>
                </w:tcPr>
                <w:p w14:paraId="25F725B0">
                  <w:pPr>
                    <w:keepNext w:val="0"/>
                    <w:keepLines w:val="0"/>
                    <w:pageBreakBefore w:val="0"/>
                    <w:suppressLineNumbers w:val="0"/>
                    <w:kinsoku/>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提示图形符号噪声排放源</w:t>
                  </w:r>
                </w:p>
                <w:p w14:paraId="425378F9">
                  <w:pPr>
                    <w:keepNext w:val="0"/>
                    <w:keepLines w:val="0"/>
                    <w:pageBreakBefore w:val="0"/>
                    <w:suppressLineNumbers w:val="0"/>
                    <w:kinsoku/>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表示噪声向外环境排放</w:t>
                  </w:r>
                </w:p>
              </w:tc>
            </w:tr>
            <w:tr w14:paraId="42F3DF1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1665" w:type="pct"/>
                  <w:tcBorders>
                    <w:tl2br w:val="nil"/>
                    <w:tr2bl w:val="nil"/>
                  </w:tcBorders>
                  <w:noWrap w:val="0"/>
                  <w:vAlign w:val="center"/>
                </w:tcPr>
                <w:p w14:paraId="4798C0DE">
                  <w:pPr>
                    <w:keepNext w:val="0"/>
                    <w:keepLines w:val="0"/>
                    <w:pageBreakBefore w:val="0"/>
                    <w:suppressLineNumbers w:val="0"/>
                    <w:kinsoku/>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drawing>
                      <wp:inline distT="0" distB="0" distL="114300" distR="114300">
                        <wp:extent cx="851535" cy="701675"/>
                        <wp:effectExtent l="0" t="0" r="5715" b="3175"/>
                        <wp:docPr id="9"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1"/>
                                <pic:cNvPicPr>
                                  <a:picLocks noChangeAspect="1"/>
                                </pic:cNvPicPr>
                              </pic:nvPicPr>
                              <pic:blipFill>
                                <a:blip r:embed="rId21"/>
                                <a:stretch>
                                  <a:fillRect/>
                                </a:stretch>
                              </pic:blipFill>
                              <pic:spPr>
                                <a:xfrm>
                                  <a:off x="0" y="0"/>
                                  <a:ext cx="851535" cy="701675"/>
                                </a:xfrm>
                                <a:prstGeom prst="rect">
                                  <a:avLst/>
                                </a:prstGeom>
                                <a:noFill/>
                                <a:ln>
                                  <a:noFill/>
                                </a:ln>
                              </pic:spPr>
                            </pic:pic>
                          </a:graphicData>
                        </a:graphic>
                      </wp:inline>
                    </w:drawing>
                  </w:r>
                </w:p>
              </w:tc>
              <w:tc>
                <w:tcPr>
                  <w:tcW w:w="1810" w:type="pct"/>
                  <w:tcBorders>
                    <w:tl2br w:val="nil"/>
                    <w:tr2bl w:val="nil"/>
                  </w:tcBorders>
                  <w:noWrap w:val="0"/>
                  <w:vAlign w:val="center"/>
                </w:tcPr>
                <w:p w14:paraId="7F08BAB9">
                  <w:pPr>
                    <w:keepNext w:val="0"/>
                    <w:keepLines w:val="0"/>
                    <w:pageBreakBefore w:val="0"/>
                    <w:suppressLineNumbers w:val="0"/>
                    <w:kinsoku/>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标志名称：固体废物提示国标代码：GB</w:t>
                  </w:r>
                  <w:r>
                    <w:rPr>
                      <w:rFonts w:hint="default" w:ascii="Times New Roman" w:hAnsi="Times New Roman" w:cs="Times New Roman"/>
                      <w:color w:val="000000" w:themeColor="text1"/>
                      <w:sz w:val="21"/>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szCs w:val="21"/>
                      <w14:textFill>
                        <w14:solidFill>
                          <w14:schemeClr w14:val="tx1"/>
                        </w14:solidFill>
                      </w14:textFill>
                    </w:rPr>
                    <w:t>15562.1-1995</w:t>
                  </w:r>
                </w:p>
              </w:tc>
              <w:tc>
                <w:tcPr>
                  <w:tcW w:w="1523" w:type="pct"/>
                  <w:tcBorders>
                    <w:tl2br w:val="nil"/>
                    <w:tr2bl w:val="nil"/>
                  </w:tcBorders>
                  <w:noWrap w:val="0"/>
                  <w:vAlign w:val="center"/>
                </w:tcPr>
                <w:p w14:paraId="1C55E80D">
                  <w:pPr>
                    <w:keepNext w:val="0"/>
                    <w:keepLines w:val="0"/>
                    <w:pageBreakBefore w:val="0"/>
                    <w:suppressLineNumbers w:val="0"/>
                    <w:kinsoku/>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固体废物提示</w:t>
                  </w:r>
                </w:p>
              </w:tc>
            </w:tr>
            <w:tr w14:paraId="38B2BAF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1665" w:type="pct"/>
                  <w:tcBorders>
                    <w:tl2br w:val="nil"/>
                    <w:tr2bl w:val="nil"/>
                  </w:tcBorders>
                  <w:noWrap w:val="0"/>
                  <w:vAlign w:val="center"/>
                </w:tcPr>
                <w:p w14:paraId="129FCFCC">
                  <w:pPr>
                    <w:keepNext w:val="0"/>
                    <w:keepLines w:val="0"/>
                    <w:pageBreakBefore w:val="0"/>
                    <w:suppressLineNumbers w:val="0"/>
                    <w:kinsoku/>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lang w:eastAsia="zh-CN"/>
                      <w14:textFill>
                        <w14:solidFill>
                          <w14:schemeClr w14:val="tx1"/>
                        </w14:solidFill>
                      </w14:textFill>
                    </w:rPr>
                    <w:drawing>
                      <wp:inline distT="0" distB="0" distL="114300" distR="114300">
                        <wp:extent cx="1501775" cy="947420"/>
                        <wp:effectExtent l="0" t="0" r="3175" b="5080"/>
                        <wp:docPr id="10" name="图片 52" descr="24e7cc3542c977f867d883f7f49ae9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2" descr="24e7cc3542c977f867d883f7f49ae9f"/>
                                <pic:cNvPicPr>
                                  <a:picLocks noChangeAspect="1"/>
                                </pic:cNvPicPr>
                              </pic:nvPicPr>
                              <pic:blipFill>
                                <a:blip r:embed="rId22"/>
                                <a:stretch>
                                  <a:fillRect/>
                                </a:stretch>
                              </pic:blipFill>
                              <pic:spPr>
                                <a:xfrm>
                                  <a:off x="0" y="0"/>
                                  <a:ext cx="1501775" cy="947420"/>
                                </a:xfrm>
                                <a:prstGeom prst="rect">
                                  <a:avLst/>
                                </a:prstGeom>
                                <a:noFill/>
                                <a:ln>
                                  <a:noFill/>
                                </a:ln>
                              </pic:spPr>
                            </pic:pic>
                          </a:graphicData>
                        </a:graphic>
                      </wp:inline>
                    </w:drawing>
                  </w:r>
                </w:p>
              </w:tc>
              <w:tc>
                <w:tcPr>
                  <w:tcW w:w="1810" w:type="pct"/>
                  <w:tcBorders>
                    <w:tl2br w:val="nil"/>
                    <w:tr2bl w:val="nil"/>
                  </w:tcBorders>
                  <w:noWrap w:val="0"/>
                  <w:vAlign w:val="center"/>
                </w:tcPr>
                <w:p w14:paraId="1339A516">
                  <w:pPr>
                    <w:keepNext w:val="0"/>
                    <w:keepLines w:val="0"/>
                    <w:pageBreakBefore w:val="0"/>
                    <w:suppressLineNumbers w:val="0"/>
                    <w:kinsoku/>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标</w:t>
                  </w:r>
                  <w:r>
                    <w:rPr>
                      <w:rFonts w:hint="default" w:ascii="Times New Roman" w:hAnsi="Times New Roman" w:eastAsia="宋体" w:cs="Times New Roman"/>
                      <w:color w:val="000000" w:themeColor="text1"/>
                      <w:sz w:val="21"/>
                      <w:szCs w:val="21"/>
                      <w14:textFill>
                        <w14:solidFill>
                          <w14:schemeClr w14:val="tx1"/>
                        </w14:solidFill>
                      </w14:textFill>
                    </w:rPr>
                    <w:t>志名称：危险废物</w:t>
                  </w:r>
                </w:p>
                <w:p w14:paraId="4365E8ED">
                  <w:pPr>
                    <w:keepNext w:val="0"/>
                    <w:keepLines w:val="0"/>
                    <w:pageBreakBefore w:val="0"/>
                    <w:suppressLineNumbers w:val="0"/>
                    <w:kinsoku/>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国标代码：GB</w:t>
                  </w:r>
                  <w:r>
                    <w:rPr>
                      <w:rFonts w:hint="default" w:ascii="Times New Roman" w:hAnsi="Times New Roman" w:cs="Times New Roman"/>
                      <w:color w:val="000000" w:themeColor="text1"/>
                      <w:sz w:val="21"/>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szCs w:val="21"/>
                      <w14:textFill>
                        <w14:solidFill>
                          <w14:schemeClr w14:val="tx1"/>
                        </w14:solidFill>
                      </w14:textFill>
                    </w:rPr>
                    <w:t>15562.1-1995</w:t>
                  </w:r>
                </w:p>
              </w:tc>
              <w:tc>
                <w:tcPr>
                  <w:tcW w:w="1523" w:type="pct"/>
                  <w:tcBorders>
                    <w:tl2br w:val="nil"/>
                    <w:tr2bl w:val="nil"/>
                  </w:tcBorders>
                  <w:noWrap w:val="0"/>
                  <w:vAlign w:val="center"/>
                </w:tcPr>
                <w:p w14:paraId="05A1C798">
                  <w:pPr>
                    <w:keepNext w:val="0"/>
                    <w:keepLines w:val="0"/>
                    <w:pageBreakBefore w:val="0"/>
                    <w:suppressLineNumbers w:val="0"/>
                    <w:kinsoku/>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危险废物处置场所</w:t>
                  </w:r>
                </w:p>
              </w:tc>
            </w:tr>
          </w:tbl>
          <w:p w14:paraId="460CD83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0" w:firstLineChars="20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（6）排污口规范化管理</w:t>
            </w:r>
          </w:p>
          <w:p w14:paraId="15CBCE8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0" w:firstLineChars="200"/>
              <w:jc w:val="both"/>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lang w:eastAsia="zh-CN"/>
                <w14:textFill>
                  <w14:solidFill>
                    <w14:schemeClr w14:val="tx1"/>
                  </w14:solidFill>
                </w14:textFill>
              </w:rPr>
              <w:t>排污口规范化管理</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具体要求见下表。</w:t>
            </w:r>
          </w:p>
          <w:p w14:paraId="6D6C3341">
            <w:pPr>
              <w:keepNext w:val="0"/>
              <w:keepLines w:val="0"/>
              <w:pageBreakBefore w:val="0"/>
              <w:suppressLineNumbers w:val="0"/>
              <w:kinsoku/>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000000" w:themeColor="text1"/>
                <w:sz w:val="21"/>
                <w:szCs w:val="21"/>
                <w:vertAlign w:val="baseline"/>
                <w:lang w:eastAsia="zh-CN"/>
                <w14:textFill>
                  <w14:solidFill>
                    <w14:schemeClr w14:val="tx1"/>
                  </w14:solidFill>
                </w14:textFill>
              </w:rPr>
            </w:pPr>
          </w:p>
          <w:p w14:paraId="32970D6D">
            <w:pPr>
              <w:keepNext w:val="0"/>
              <w:keepLines w:val="0"/>
              <w:pageBreakBefore w:val="0"/>
              <w:suppressLineNumbers w:val="0"/>
              <w:kinsoku/>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000000" w:themeColor="text1"/>
                <w:sz w:val="21"/>
                <w:szCs w:val="21"/>
                <w:vertAlign w:val="baseline"/>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eastAsia="zh-CN"/>
                <w14:textFill>
                  <w14:solidFill>
                    <w14:schemeClr w14:val="tx1"/>
                  </w14:solidFill>
                </w14:textFill>
              </w:rPr>
              <w:t>表</w:t>
            </w: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 xml:space="preserve">5-2  </w:t>
            </w:r>
            <w:r>
              <w:rPr>
                <w:rFonts w:hint="default" w:ascii="Times New Roman" w:hAnsi="Times New Roman" w:eastAsia="宋体" w:cs="Times New Roman"/>
                <w:b w:val="0"/>
                <w:bCs w:val="0"/>
                <w:color w:val="000000" w:themeColor="text1"/>
                <w:sz w:val="21"/>
                <w:szCs w:val="21"/>
                <w:vertAlign w:val="baseline"/>
                <w:lang w:eastAsia="zh-CN"/>
                <w14:textFill>
                  <w14:solidFill>
                    <w14:schemeClr w14:val="tx1"/>
                  </w14:solidFill>
                </w14:textFill>
              </w:rPr>
              <w:t>排污口规范化管理要求表</w:t>
            </w:r>
          </w:p>
          <w:tbl>
            <w:tblPr>
              <w:tblStyle w:val="37"/>
              <w:tblW w:w="4999"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55"/>
              <w:gridCol w:w="6475"/>
            </w:tblGrid>
            <w:tr w14:paraId="07C7D6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22" w:type="pct"/>
                  <w:tcBorders>
                    <w:tl2br w:val="nil"/>
                    <w:tr2bl w:val="nil"/>
                  </w:tcBorders>
                  <w:noWrap w:val="0"/>
                  <w:vAlign w:val="center"/>
                </w:tcPr>
                <w:p w14:paraId="07AE4727">
                  <w:pPr>
                    <w:keepNext w:val="0"/>
                    <w:keepLines w:val="0"/>
                    <w:pageBreakBefore w:val="0"/>
                    <w:suppressLineNumbers w:val="0"/>
                    <w:kinsoku/>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000000" w:themeColor="text1"/>
                      <w:sz w:val="21"/>
                      <w:szCs w:val="21"/>
                      <w:vertAlign w:val="baseline"/>
                      <w:lang w:eastAsia="zh-CN"/>
                      <w14:textFill>
                        <w14:solidFill>
                          <w14:schemeClr w14:val="tx1"/>
                        </w14:solidFill>
                      </w14:textFill>
                    </w:rPr>
                  </w:pPr>
                  <w:r>
                    <w:rPr>
                      <w:rFonts w:hint="default" w:ascii="Times New Roman" w:hAnsi="Times New Roman" w:eastAsia="宋体" w:cs="Times New Roman"/>
                      <w:b/>
                      <w:bCs/>
                      <w:color w:val="000000" w:themeColor="text1"/>
                      <w:sz w:val="21"/>
                      <w:szCs w:val="21"/>
                      <w:vertAlign w:val="baseline"/>
                      <w:lang w:eastAsia="zh-CN"/>
                      <w14:textFill>
                        <w14:solidFill>
                          <w14:schemeClr w14:val="tx1"/>
                        </w14:solidFill>
                      </w14:textFill>
                    </w:rPr>
                    <w:t>项目</w:t>
                  </w:r>
                </w:p>
              </w:tc>
              <w:tc>
                <w:tcPr>
                  <w:tcW w:w="4477" w:type="pct"/>
                  <w:tcBorders>
                    <w:tl2br w:val="nil"/>
                    <w:tr2bl w:val="nil"/>
                  </w:tcBorders>
                  <w:noWrap w:val="0"/>
                  <w:vAlign w:val="top"/>
                </w:tcPr>
                <w:p w14:paraId="0C02FB99">
                  <w:pPr>
                    <w:keepNext w:val="0"/>
                    <w:keepLines w:val="0"/>
                    <w:pageBreakBefore w:val="0"/>
                    <w:suppressLineNumbers w:val="0"/>
                    <w:kinsoku/>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000000" w:themeColor="text1"/>
                      <w:sz w:val="21"/>
                      <w:szCs w:val="21"/>
                      <w:vertAlign w:val="baseline"/>
                      <w:lang w:eastAsia="zh-CN"/>
                      <w14:textFill>
                        <w14:solidFill>
                          <w14:schemeClr w14:val="tx1"/>
                        </w14:solidFill>
                      </w14:textFill>
                    </w:rPr>
                  </w:pPr>
                  <w:r>
                    <w:rPr>
                      <w:rFonts w:hint="default" w:ascii="Times New Roman" w:hAnsi="Times New Roman" w:eastAsia="宋体" w:cs="Times New Roman"/>
                      <w:b/>
                      <w:bCs/>
                      <w:color w:val="000000" w:themeColor="text1"/>
                      <w:sz w:val="21"/>
                      <w:szCs w:val="21"/>
                      <w:vertAlign w:val="baseline"/>
                      <w:lang w:eastAsia="zh-CN"/>
                      <w14:textFill>
                        <w14:solidFill>
                          <w14:schemeClr w14:val="tx1"/>
                        </w14:solidFill>
                      </w14:textFill>
                    </w:rPr>
                    <w:t>主要要求内容</w:t>
                  </w:r>
                </w:p>
              </w:tc>
            </w:tr>
            <w:tr w14:paraId="0B5850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22" w:type="pct"/>
                  <w:tcBorders>
                    <w:tl2br w:val="nil"/>
                    <w:tr2bl w:val="nil"/>
                  </w:tcBorders>
                  <w:noWrap w:val="0"/>
                  <w:vAlign w:val="center"/>
                </w:tcPr>
                <w:p w14:paraId="2C58672F">
                  <w:pPr>
                    <w:keepNext w:val="0"/>
                    <w:keepLines w:val="0"/>
                    <w:pageBreakBefore w:val="0"/>
                    <w:suppressLineNumbers w:val="0"/>
                    <w:kinsoku/>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000000" w:themeColor="text1"/>
                      <w:sz w:val="21"/>
                      <w:szCs w:val="21"/>
                      <w:vertAlign w:val="baseline"/>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eastAsia="zh-CN"/>
                      <w14:textFill>
                        <w14:solidFill>
                          <w14:schemeClr w14:val="tx1"/>
                        </w14:solidFill>
                      </w14:textFill>
                    </w:rPr>
                    <w:t>基本原则</w:t>
                  </w:r>
                </w:p>
              </w:tc>
              <w:tc>
                <w:tcPr>
                  <w:tcW w:w="4477" w:type="pct"/>
                  <w:tcBorders>
                    <w:tl2br w:val="nil"/>
                    <w:tr2bl w:val="nil"/>
                  </w:tcBorders>
                  <w:noWrap w:val="0"/>
                  <w:vAlign w:val="top"/>
                </w:tcPr>
                <w:p w14:paraId="6C0B3896">
                  <w:pPr>
                    <w:keepNext w:val="0"/>
                    <w:keepLines w:val="0"/>
                    <w:pageBreakBefore w:val="0"/>
                    <w:suppressLineNumbers w:val="0"/>
                    <w:kinsoku/>
                    <w:overflowPunct/>
                    <w:topLinePunct w:val="0"/>
                    <w:autoSpaceDE/>
                    <w:autoSpaceDN/>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eastAsia="宋体" w:cs="Times New Roman"/>
                      <w:b w:val="0"/>
                      <w:bCs w:val="0"/>
                      <w:color w:val="000000" w:themeColor="text1"/>
                      <w:sz w:val="21"/>
                      <w:szCs w:val="21"/>
                      <w:vertAlign w:val="baseline"/>
                      <w:lang w:eastAsia="zh-CN"/>
                      <w14:textFill>
                        <w14:solidFill>
                          <w14:schemeClr w14:val="tx1"/>
                        </w14:solidFill>
                      </w14:textFill>
                    </w:rPr>
                  </w:pPr>
                  <w:r>
                    <w:rPr>
                      <w:rFonts w:hint="default" w:ascii="Times New Roman" w:hAnsi="Times New Roman" w:cs="Times New Roman"/>
                      <w:b w:val="0"/>
                      <w:bCs w:val="0"/>
                      <w:color w:val="000000" w:themeColor="text1"/>
                      <w:sz w:val="21"/>
                      <w:szCs w:val="21"/>
                      <w:vertAlign w:val="baseline"/>
                      <w:lang w:eastAsia="zh-CN"/>
                      <w14:textFill>
                        <w14:solidFill>
                          <w14:schemeClr w14:val="tx1"/>
                        </w14:solidFill>
                      </w14:textFill>
                    </w:rPr>
                    <w:t>1.</w:t>
                  </w:r>
                  <w:r>
                    <w:rPr>
                      <w:rFonts w:hint="default" w:ascii="Times New Roman" w:hAnsi="Times New Roman" w:eastAsia="宋体" w:cs="Times New Roman"/>
                      <w:b w:val="0"/>
                      <w:bCs w:val="0"/>
                      <w:color w:val="000000" w:themeColor="text1"/>
                      <w:sz w:val="21"/>
                      <w:szCs w:val="21"/>
                      <w:vertAlign w:val="baseline"/>
                      <w:lang w:eastAsia="zh-CN"/>
                      <w14:textFill>
                        <w14:solidFill>
                          <w14:schemeClr w14:val="tx1"/>
                        </w14:solidFill>
                      </w14:textFill>
                    </w:rPr>
                    <w:t>凡向环境排放污染物的一切排污口必须进行规范化管理；</w:t>
                  </w:r>
                </w:p>
                <w:p w14:paraId="3A89A080">
                  <w:pPr>
                    <w:keepNext w:val="0"/>
                    <w:keepLines w:val="0"/>
                    <w:pageBreakBefore w:val="0"/>
                    <w:suppressLineNumbers w:val="0"/>
                    <w:kinsoku/>
                    <w:overflowPunct/>
                    <w:topLinePunct w:val="0"/>
                    <w:autoSpaceDE/>
                    <w:autoSpaceDN/>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eastAsia="宋体" w:cs="Times New Roman"/>
                      <w:b w:val="0"/>
                      <w:bCs w:val="0"/>
                      <w:color w:val="000000" w:themeColor="text1"/>
                      <w:sz w:val="21"/>
                      <w:szCs w:val="21"/>
                      <w:vertAlign w:val="baseline"/>
                      <w:lang w:eastAsia="zh-CN"/>
                      <w14:textFill>
                        <w14:solidFill>
                          <w14:schemeClr w14:val="tx1"/>
                        </w14:solidFill>
                      </w14:textFill>
                    </w:rPr>
                  </w:pP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2.</w:t>
                  </w:r>
                  <w:r>
                    <w:rPr>
                      <w:rFonts w:hint="default" w:ascii="Times New Roman" w:hAnsi="Times New Roman" w:eastAsia="宋体" w:cs="Times New Roman"/>
                      <w:b w:val="0"/>
                      <w:bCs w:val="0"/>
                      <w:color w:val="000000" w:themeColor="text1"/>
                      <w:sz w:val="21"/>
                      <w:szCs w:val="21"/>
                      <w:vertAlign w:val="baseline"/>
                      <w:lang w:eastAsia="zh-CN"/>
                      <w14:textFill>
                        <w14:solidFill>
                          <w14:schemeClr w14:val="tx1"/>
                        </w14:solidFill>
                      </w14:textFill>
                    </w:rPr>
                    <w:t>排污口设置应便于采样和计量监测日常现场监督和检查；</w:t>
                  </w:r>
                </w:p>
                <w:p w14:paraId="27C19F8F">
                  <w:pPr>
                    <w:keepNext w:val="0"/>
                    <w:keepLines w:val="0"/>
                    <w:pageBreakBefore w:val="0"/>
                    <w:suppressLineNumbers w:val="0"/>
                    <w:kinsoku/>
                    <w:overflowPunct/>
                    <w:topLinePunct w:val="0"/>
                    <w:autoSpaceDE/>
                    <w:autoSpaceDN/>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eastAsia="宋体" w:cs="Times New Roman"/>
                      <w:b/>
                      <w:bCs/>
                      <w:color w:val="000000" w:themeColor="text1"/>
                      <w:sz w:val="21"/>
                      <w:szCs w:val="21"/>
                      <w:vertAlign w:val="baseline"/>
                      <w:lang w:eastAsia="zh-CN"/>
                      <w14:textFill>
                        <w14:solidFill>
                          <w14:schemeClr w14:val="tx1"/>
                        </w14:solidFill>
                      </w14:textFill>
                    </w:rPr>
                  </w:pP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1"/>
                      <w:szCs w:val="21"/>
                      <w:vertAlign w:val="baseline"/>
                      <w:lang w:eastAsia="zh-CN"/>
                      <w14:textFill>
                        <w14:solidFill>
                          <w14:schemeClr w14:val="tx1"/>
                        </w14:solidFill>
                      </w14:textFill>
                    </w:rPr>
                    <w:t>如实向环保行政主管部门申报排污口位置，排污种类、数量、浓度与排放去向等。</w:t>
                  </w:r>
                </w:p>
              </w:tc>
            </w:tr>
            <w:tr w14:paraId="74BEE7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22" w:type="pct"/>
                  <w:tcBorders>
                    <w:tl2br w:val="nil"/>
                    <w:tr2bl w:val="nil"/>
                  </w:tcBorders>
                  <w:noWrap w:val="0"/>
                  <w:vAlign w:val="center"/>
                </w:tcPr>
                <w:p w14:paraId="29079F80">
                  <w:pPr>
                    <w:keepNext w:val="0"/>
                    <w:keepLines w:val="0"/>
                    <w:pageBreakBefore w:val="0"/>
                    <w:suppressLineNumbers w:val="0"/>
                    <w:kinsoku/>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000000" w:themeColor="text1"/>
                      <w:sz w:val="21"/>
                      <w:szCs w:val="21"/>
                      <w:vertAlign w:val="baseline"/>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eastAsia="zh-CN"/>
                      <w14:textFill>
                        <w14:solidFill>
                          <w14:schemeClr w14:val="tx1"/>
                        </w14:solidFill>
                      </w14:textFill>
                    </w:rPr>
                    <w:t>技术要求</w:t>
                  </w:r>
                </w:p>
              </w:tc>
              <w:tc>
                <w:tcPr>
                  <w:tcW w:w="4477" w:type="pct"/>
                  <w:tcBorders>
                    <w:tl2br w:val="nil"/>
                    <w:tr2bl w:val="nil"/>
                  </w:tcBorders>
                  <w:noWrap w:val="0"/>
                  <w:vAlign w:val="top"/>
                </w:tcPr>
                <w:p w14:paraId="54A53618">
                  <w:pPr>
                    <w:keepNext w:val="0"/>
                    <w:keepLines w:val="0"/>
                    <w:pageBreakBefore w:val="0"/>
                    <w:numPr>
                      <w:ilvl w:val="0"/>
                      <w:numId w:val="0"/>
                    </w:numPr>
                    <w:suppressLineNumbers w:val="0"/>
                    <w:kinsoku/>
                    <w:overflowPunct/>
                    <w:topLinePunct w:val="0"/>
                    <w:autoSpaceDE/>
                    <w:autoSpaceDN/>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eastAsia="宋体" w:cs="Times New Roman"/>
                      <w:b w:val="0"/>
                      <w:bCs w:val="0"/>
                      <w:color w:val="000000" w:themeColor="text1"/>
                      <w:sz w:val="21"/>
                      <w:szCs w:val="21"/>
                      <w:vertAlign w:val="baseline"/>
                      <w:lang w:eastAsia="zh-CN"/>
                      <w14:textFill>
                        <w14:solidFill>
                          <w14:schemeClr w14:val="tx1"/>
                        </w14:solidFill>
                      </w14:textFill>
                    </w:rPr>
                  </w:pP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1.</w:t>
                  </w:r>
                  <w:r>
                    <w:rPr>
                      <w:rFonts w:hint="default" w:ascii="Times New Roman" w:hAnsi="Times New Roman" w:eastAsia="宋体" w:cs="Times New Roman"/>
                      <w:b w:val="0"/>
                      <w:bCs w:val="0"/>
                      <w:color w:val="000000" w:themeColor="text1"/>
                      <w:sz w:val="21"/>
                      <w:szCs w:val="21"/>
                      <w:vertAlign w:val="baseline"/>
                      <w:lang w:eastAsia="zh-CN"/>
                      <w14:textFill>
                        <w14:solidFill>
                          <w14:schemeClr w14:val="tx1"/>
                        </w14:solidFill>
                      </w14:textFill>
                    </w:rPr>
                    <w:t>排污口位置必须按照环监</w:t>
                  </w: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〔1996〕</w:t>
                  </w:r>
                  <w:r>
                    <w:rPr>
                      <w:rFonts w:hint="default" w:ascii="Times New Roman" w:hAnsi="Times New Roman" w:eastAsia="宋体" w:cs="Times New Roman"/>
                      <w:b w:val="0"/>
                      <w:bCs w:val="0"/>
                      <w:color w:val="000000" w:themeColor="text1"/>
                      <w:sz w:val="21"/>
                      <w:szCs w:val="21"/>
                      <w:vertAlign w:val="baseline"/>
                      <w:lang w:eastAsia="zh-CN"/>
                      <w14:textFill>
                        <w14:solidFill>
                          <w14:schemeClr w14:val="tx1"/>
                        </w14:solidFill>
                      </w14:textFill>
                    </w:rPr>
                    <w:t>470号文要求合理确定，实行规范化管理；</w:t>
                  </w:r>
                </w:p>
                <w:p w14:paraId="4203ECF5">
                  <w:pPr>
                    <w:keepNext w:val="0"/>
                    <w:keepLines w:val="0"/>
                    <w:pageBreakBefore w:val="0"/>
                    <w:numPr>
                      <w:ilvl w:val="0"/>
                      <w:numId w:val="0"/>
                    </w:numPr>
                    <w:suppressLineNumbers w:val="0"/>
                    <w:kinsoku/>
                    <w:overflowPunct/>
                    <w:topLinePunct w:val="0"/>
                    <w:autoSpaceDE/>
                    <w:autoSpaceDN/>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eastAsia="宋体" w:cs="Times New Roman"/>
                      <w:b w:val="0"/>
                      <w:bCs w:val="0"/>
                      <w:color w:val="000000" w:themeColor="text1"/>
                      <w:sz w:val="21"/>
                      <w:szCs w:val="21"/>
                      <w:vertAlign w:val="baseline"/>
                      <w:lang w:eastAsia="zh-CN"/>
                      <w14:textFill>
                        <w14:solidFill>
                          <w14:schemeClr w14:val="tx1"/>
                        </w14:solidFill>
                      </w14:textFill>
                    </w:rPr>
                  </w:pPr>
                  <w:r>
                    <w:rPr>
                      <w:rFonts w:hint="default" w:ascii="Times New Roman" w:hAnsi="Times New Roman" w:cs="Times New Roman"/>
                      <w:b w:val="0"/>
                      <w:bCs w:val="0"/>
                      <w:color w:val="000000" w:themeColor="text1"/>
                      <w:sz w:val="21"/>
                      <w:szCs w:val="21"/>
                      <w:vertAlign w:val="baseline"/>
                      <w:lang w:eastAsia="zh-CN"/>
                      <w14:textFill>
                        <w14:solidFill>
                          <w14:schemeClr w14:val="tx1"/>
                        </w14:solidFill>
                      </w14:textFill>
                    </w:rPr>
                    <w:t>2.</w:t>
                  </w:r>
                  <w:r>
                    <w:rPr>
                      <w:rFonts w:hint="default" w:ascii="Times New Roman" w:hAnsi="Times New Roman" w:eastAsia="宋体" w:cs="Times New Roman"/>
                      <w:b w:val="0"/>
                      <w:bCs w:val="0"/>
                      <w:color w:val="000000" w:themeColor="text1"/>
                      <w:sz w:val="21"/>
                      <w:szCs w:val="21"/>
                      <w:vertAlign w:val="baseline"/>
                      <w:lang w:eastAsia="zh-CN"/>
                      <w14:textFill>
                        <w14:solidFill>
                          <w14:schemeClr w14:val="tx1"/>
                        </w14:solidFill>
                      </w14:textFill>
                    </w:rPr>
                    <w:t>危险废物贮存设施应根据贮存的废物种类和特性按照GB18597附录A设置标志；</w:t>
                  </w:r>
                </w:p>
                <w:p w14:paraId="5C037891">
                  <w:pPr>
                    <w:keepNext w:val="0"/>
                    <w:keepLines w:val="0"/>
                    <w:pageBreakBefore w:val="0"/>
                    <w:suppressLineNumbers w:val="0"/>
                    <w:kinsoku/>
                    <w:overflowPunct/>
                    <w:topLinePunct w:val="0"/>
                    <w:autoSpaceDE/>
                    <w:autoSpaceDN/>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eastAsia="宋体" w:cs="Times New Roman"/>
                      <w:b/>
                      <w:bCs/>
                      <w:color w:val="000000" w:themeColor="text1"/>
                      <w:sz w:val="21"/>
                      <w:szCs w:val="21"/>
                      <w:vertAlign w:val="baseline"/>
                      <w:lang w:eastAsia="zh-CN"/>
                      <w14:textFill>
                        <w14:solidFill>
                          <w14:schemeClr w14:val="tx1"/>
                        </w14:solidFill>
                      </w14:textFill>
                    </w:rPr>
                  </w:pPr>
                  <w:r>
                    <w:rPr>
                      <w:rFonts w:hint="default" w:ascii="Times New Roman" w:hAnsi="Times New Roman" w:cs="Times New Roman"/>
                      <w:b w:val="0"/>
                      <w:bCs w:val="0"/>
                      <w:color w:val="000000" w:themeColor="text1"/>
                      <w:sz w:val="21"/>
                      <w:szCs w:val="21"/>
                      <w:vertAlign w:val="baseline"/>
                      <w:lang w:eastAsia="zh-CN"/>
                      <w14:textFill>
                        <w14:solidFill>
                          <w14:schemeClr w14:val="tx1"/>
                        </w14:solidFill>
                      </w14:textFill>
                    </w:rPr>
                    <w:t>3.</w:t>
                  </w:r>
                  <w:r>
                    <w:rPr>
                      <w:rFonts w:hint="default" w:ascii="Times New Roman" w:hAnsi="Times New Roman" w:eastAsia="宋体" w:cs="Times New Roman"/>
                      <w:b w:val="0"/>
                      <w:bCs w:val="0"/>
                      <w:color w:val="000000" w:themeColor="text1"/>
                      <w:sz w:val="21"/>
                      <w:szCs w:val="21"/>
                      <w:vertAlign w:val="baseline"/>
                      <w:lang w:eastAsia="zh-CN"/>
                      <w14:textFill>
                        <w14:solidFill>
                          <w14:schemeClr w14:val="tx1"/>
                        </w14:solidFill>
                      </w14:textFill>
                    </w:rPr>
                    <w:t>具体设置应符合《污染源监测技术规范》的规定与要求。</w:t>
                  </w:r>
                </w:p>
              </w:tc>
            </w:tr>
            <w:tr w14:paraId="32D51A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22" w:type="pct"/>
                  <w:tcBorders>
                    <w:tl2br w:val="nil"/>
                    <w:tr2bl w:val="nil"/>
                  </w:tcBorders>
                  <w:noWrap w:val="0"/>
                  <w:vAlign w:val="center"/>
                </w:tcPr>
                <w:p w14:paraId="35F74861">
                  <w:pPr>
                    <w:keepNext w:val="0"/>
                    <w:keepLines w:val="0"/>
                    <w:pageBreakBefore w:val="0"/>
                    <w:suppressLineNumbers w:val="0"/>
                    <w:kinsoku/>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000000" w:themeColor="text1"/>
                      <w:sz w:val="21"/>
                      <w:szCs w:val="21"/>
                      <w:vertAlign w:val="baseline"/>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eastAsia="zh-CN"/>
                      <w14:textFill>
                        <w14:solidFill>
                          <w14:schemeClr w14:val="tx1"/>
                        </w14:solidFill>
                      </w14:textFill>
                    </w:rPr>
                    <w:t>立标管理</w:t>
                  </w:r>
                </w:p>
              </w:tc>
              <w:tc>
                <w:tcPr>
                  <w:tcW w:w="4477" w:type="pct"/>
                  <w:tcBorders>
                    <w:tl2br w:val="nil"/>
                    <w:tr2bl w:val="nil"/>
                  </w:tcBorders>
                  <w:noWrap w:val="0"/>
                  <w:vAlign w:val="top"/>
                </w:tcPr>
                <w:p w14:paraId="0383A46D">
                  <w:pPr>
                    <w:keepNext w:val="0"/>
                    <w:keepLines w:val="0"/>
                    <w:pageBreakBefore w:val="0"/>
                    <w:numPr>
                      <w:ilvl w:val="0"/>
                      <w:numId w:val="0"/>
                    </w:numPr>
                    <w:suppressLineNumbers w:val="0"/>
                    <w:kinsoku/>
                    <w:overflowPunct/>
                    <w:topLinePunct w:val="0"/>
                    <w:autoSpaceDE/>
                    <w:autoSpaceDN/>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eastAsia="宋体" w:cs="Times New Roman"/>
                      <w:b w:val="0"/>
                      <w:bCs w:val="0"/>
                      <w:color w:val="000000" w:themeColor="text1"/>
                      <w:sz w:val="21"/>
                      <w:szCs w:val="21"/>
                      <w:vertAlign w:val="baseline"/>
                      <w:lang w:eastAsia="zh-CN"/>
                      <w14:textFill>
                        <w14:solidFill>
                          <w14:schemeClr w14:val="tx1"/>
                        </w14:solidFill>
                      </w14:textFill>
                    </w:rPr>
                  </w:pP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1.</w:t>
                  </w:r>
                  <w:r>
                    <w:rPr>
                      <w:rFonts w:hint="default" w:ascii="Times New Roman" w:hAnsi="Times New Roman" w:eastAsia="宋体" w:cs="Times New Roman"/>
                      <w:b w:val="0"/>
                      <w:bCs w:val="0"/>
                      <w:color w:val="000000" w:themeColor="text1"/>
                      <w:sz w:val="21"/>
                      <w:szCs w:val="21"/>
                      <w:vertAlign w:val="baseline"/>
                      <w:lang w:eastAsia="zh-CN"/>
                      <w14:textFill>
                        <w14:solidFill>
                          <w14:schemeClr w14:val="tx1"/>
                        </w14:solidFill>
                      </w14:textFill>
                    </w:rPr>
                    <w:t>排污口必须按照国家《环境保护图形标志》相关规定，设置环保图形标志牌；</w:t>
                  </w:r>
                </w:p>
                <w:p w14:paraId="7C8F83C2">
                  <w:pPr>
                    <w:keepNext w:val="0"/>
                    <w:keepLines w:val="0"/>
                    <w:pageBreakBefore w:val="0"/>
                    <w:suppressLineNumbers w:val="0"/>
                    <w:kinsoku/>
                    <w:overflowPunct/>
                    <w:topLinePunct w:val="0"/>
                    <w:autoSpaceDE/>
                    <w:autoSpaceDN/>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eastAsia="宋体" w:cs="Times New Roman"/>
                      <w:b w:val="0"/>
                      <w:bCs w:val="0"/>
                      <w:color w:val="000000" w:themeColor="text1"/>
                      <w:sz w:val="21"/>
                      <w:szCs w:val="21"/>
                      <w:vertAlign w:val="baseline"/>
                      <w:lang w:eastAsia="zh-CN"/>
                      <w14:textFill>
                        <w14:solidFill>
                          <w14:schemeClr w14:val="tx1"/>
                        </w14:solidFill>
                      </w14:textFill>
                    </w:rPr>
                  </w:pPr>
                  <w:r>
                    <w:rPr>
                      <w:rFonts w:hint="default" w:ascii="Times New Roman" w:hAnsi="Times New Roman" w:cs="Times New Roman"/>
                      <w:b w:val="0"/>
                      <w:bCs w:val="0"/>
                      <w:color w:val="000000" w:themeColor="text1"/>
                      <w:sz w:val="21"/>
                      <w:szCs w:val="21"/>
                      <w:vertAlign w:val="baseline"/>
                      <w:lang w:eastAsia="zh-CN"/>
                      <w14:textFill>
                        <w14:solidFill>
                          <w14:schemeClr w14:val="tx1"/>
                        </w14:solidFill>
                      </w14:textFill>
                    </w:rPr>
                    <w:t>2.</w:t>
                  </w:r>
                  <w:r>
                    <w:rPr>
                      <w:rFonts w:hint="default" w:ascii="Times New Roman" w:hAnsi="Times New Roman" w:eastAsia="宋体" w:cs="Times New Roman"/>
                      <w:b w:val="0"/>
                      <w:bCs w:val="0"/>
                      <w:color w:val="000000" w:themeColor="text1"/>
                      <w:sz w:val="21"/>
                      <w:szCs w:val="21"/>
                      <w:vertAlign w:val="baseline"/>
                      <w:lang w:eastAsia="zh-CN"/>
                      <w14:textFill>
                        <w14:solidFill>
                          <w14:schemeClr w14:val="tx1"/>
                        </w14:solidFill>
                      </w14:textFill>
                    </w:rPr>
                    <w:t>标志牌设置位置应距排污口及固体废物贮存</w:t>
                  </w:r>
                  <w:r>
                    <w:rPr>
                      <w:rFonts w:hint="default" w:ascii="Times New Roman" w:hAnsi="Times New Roman" w:cs="Times New Roman"/>
                      <w:b w:val="0"/>
                      <w:bCs w:val="0"/>
                      <w:color w:val="000000" w:themeColor="text1"/>
                      <w:sz w:val="21"/>
                      <w:szCs w:val="21"/>
                      <w:vertAlign w:val="baseli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vertAlign w:val="baseline"/>
                      <w:lang w:eastAsia="zh-CN"/>
                      <w14:textFill>
                        <w14:solidFill>
                          <w14:schemeClr w14:val="tx1"/>
                        </w14:solidFill>
                      </w14:textFill>
                    </w:rPr>
                    <w:t>处置</w:t>
                  </w:r>
                  <w:r>
                    <w:rPr>
                      <w:rFonts w:hint="default" w:ascii="Times New Roman" w:hAnsi="Times New Roman" w:cs="Times New Roman"/>
                      <w:b w:val="0"/>
                      <w:bCs w:val="0"/>
                      <w:color w:val="000000" w:themeColor="text1"/>
                      <w:sz w:val="21"/>
                      <w:szCs w:val="21"/>
                      <w:vertAlign w:val="baseli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vertAlign w:val="baseline"/>
                      <w:lang w:eastAsia="zh-CN"/>
                      <w14:textFill>
                        <w14:solidFill>
                          <w14:schemeClr w14:val="tx1"/>
                        </w14:solidFill>
                      </w14:textFill>
                    </w:rPr>
                    <w:t>场或采样点较近且醒目处，设置高度一般为标志牌上缘距离地面约2m；</w:t>
                  </w:r>
                </w:p>
                <w:p w14:paraId="7FA793CE">
                  <w:pPr>
                    <w:keepNext w:val="0"/>
                    <w:keepLines w:val="0"/>
                    <w:pageBreakBefore w:val="0"/>
                    <w:suppressLineNumbers w:val="0"/>
                    <w:kinsoku/>
                    <w:overflowPunct/>
                    <w:topLinePunct w:val="0"/>
                    <w:autoSpaceDE/>
                    <w:autoSpaceDN/>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eastAsia="宋体" w:cs="Times New Roman"/>
                      <w:b/>
                      <w:bCs/>
                      <w:color w:val="000000" w:themeColor="text1"/>
                      <w:sz w:val="21"/>
                      <w:szCs w:val="21"/>
                      <w:vertAlign w:val="baseline"/>
                      <w:lang w:eastAsia="zh-CN"/>
                      <w14:textFill>
                        <w14:solidFill>
                          <w14:schemeClr w14:val="tx1"/>
                        </w14:solidFill>
                      </w14:textFill>
                    </w:rPr>
                  </w:pP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1"/>
                      <w:szCs w:val="21"/>
                      <w:vertAlign w:val="baseline"/>
                      <w:lang w:eastAsia="zh-CN"/>
                      <w14:textFill>
                        <w14:solidFill>
                          <w14:schemeClr w14:val="tx1"/>
                        </w14:solidFill>
                      </w14:textFill>
                    </w:rPr>
                    <w:t>对危险物贮存、处置场所，必须设置警告性环境保护图形标志牌。</w:t>
                  </w:r>
                </w:p>
              </w:tc>
            </w:tr>
            <w:tr w14:paraId="5FD4C0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22" w:type="pct"/>
                  <w:tcBorders>
                    <w:tl2br w:val="nil"/>
                    <w:tr2bl w:val="nil"/>
                  </w:tcBorders>
                  <w:noWrap w:val="0"/>
                  <w:vAlign w:val="center"/>
                </w:tcPr>
                <w:p w14:paraId="0A838A32">
                  <w:pPr>
                    <w:keepNext w:val="0"/>
                    <w:keepLines w:val="0"/>
                    <w:pageBreakBefore w:val="0"/>
                    <w:suppressLineNumbers w:val="0"/>
                    <w:kinsoku/>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000000" w:themeColor="text1"/>
                      <w:sz w:val="21"/>
                      <w:szCs w:val="21"/>
                      <w:vertAlign w:val="baseline"/>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eastAsia="zh-CN"/>
                      <w14:textFill>
                        <w14:solidFill>
                          <w14:schemeClr w14:val="tx1"/>
                        </w14:solidFill>
                      </w14:textFill>
                    </w:rPr>
                    <w:t>建档管</w:t>
                  </w: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理</w:t>
                  </w:r>
                </w:p>
              </w:tc>
              <w:tc>
                <w:tcPr>
                  <w:tcW w:w="4477" w:type="pct"/>
                  <w:tcBorders>
                    <w:tl2br w:val="nil"/>
                    <w:tr2bl w:val="nil"/>
                  </w:tcBorders>
                  <w:noWrap w:val="0"/>
                  <w:vAlign w:val="top"/>
                </w:tcPr>
                <w:p w14:paraId="1B416792">
                  <w:pPr>
                    <w:keepNext w:val="0"/>
                    <w:keepLines w:val="0"/>
                    <w:pageBreakBefore w:val="0"/>
                    <w:suppressLineNumbers w:val="0"/>
                    <w:kinsoku/>
                    <w:overflowPunct/>
                    <w:topLinePunct w:val="0"/>
                    <w:autoSpaceDE/>
                    <w:autoSpaceDN/>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eastAsia="宋体" w:cs="Times New Roman"/>
                      <w:b w:val="0"/>
                      <w:bCs w:val="0"/>
                      <w:color w:val="000000" w:themeColor="text1"/>
                      <w:sz w:val="21"/>
                      <w:szCs w:val="21"/>
                      <w:vertAlign w:val="baseline"/>
                      <w:lang w:eastAsia="zh-CN"/>
                      <w14:textFill>
                        <w14:solidFill>
                          <w14:schemeClr w14:val="tx1"/>
                        </w14:solidFill>
                      </w14:textFill>
                    </w:rPr>
                  </w:pPr>
                  <w:r>
                    <w:rPr>
                      <w:rFonts w:hint="default" w:ascii="Times New Roman" w:hAnsi="Times New Roman" w:cs="Times New Roman"/>
                      <w:b w:val="0"/>
                      <w:bCs w:val="0"/>
                      <w:color w:val="000000" w:themeColor="text1"/>
                      <w:sz w:val="21"/>
                      <w:szCs w:val="21"/>
                      <w:vertAlign w:val="baseline"/>
                      <w:lang w:eastAsia="zh-CN"/>
                      <w14:textFill>
                        <w14:solidFill>
                          <w14:schemeClr w14:val="tx1"/>
                        </w14:solidFill>
                      </w14:textFill>
                    </w:rPr>
                    <w:t>1.</w:t>
                  </w:r>
                  <w:r>
                    <w:rPr>
                      <w:rFonts w:hint="default" w:ascii="Times New Roman" w:hAnsi="Times New Roman" w:eastAsia="宋体" w:cs="Times New Roman"/>
                      <w:b w:val="0"/>
                      <w:bCs w:val="0"/>
                      <w:color w:val="000000" w:themeColor="text1"/>
                      <w:sz w:val="21"/>
                      <w:szCs w:val="21"/>
                      <w:vertAlign w:val="baseline"/>
                      <w:lang w:eastAsia="zh-CN"/>
                      <w14:textFill>
                        <w14:solidFill>
                          <w14:schemeClr w14:val="tx1"/>
                        </w14:solidFill>
                      </w14:textFill>
                    </w:rPr>
                    <w:t>使用《中华人民共和国规范化排污口标志登记证》，并按要求填写有关内容；</w:t>
                  </w:r>
                </w:p>
                <w:p w14:paraId="672F0230">
                  <w:pPr>
                    <w:keepNext w:val="0"/>
                    <w:keepLines w:val="0"/>
                    <w:pageBreakBefore w:val="0"/>
                    <w:suppressLineNumbers w:val="0"/>
                    <w:kinsoku/>
                    <w:overflowPunct/>
                    <w:topLinePunct w:val="0"/>
                    <w:autoSpaceDE/>
                    <w:autoSpaceDN/>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eastAsia="宋体" w:cs="Times New Roman"/>
                      <w:b w:val="0"/>
                      <w:bCs w:val="0"/>
                      <w:color w:val="000000" w:themeColor="text1"/>
                      <w:sz w:val="21"/>
                      <w:szCs w:val="21"/>
                      <w:vertAlign w:val="baseline"/>
                      <w:lang w:eastAsia="zh-CN"/>
                      <w14:textFill>
                        <w14:solidFill>
                          <w14:schemeClr w14:val="tx1"/>
                        </w14:solidFill>
                      </w14:textFill>
                    </w:rPr>
                  </w:pPr>
                  <w:r>
                    <w:rPr>
                      <w:rFonts w:hint="default" w:ascii="Times New Roman" w:hAnsi="Times New Roman" w:cs="Times New Roman"/>
                      <w:b w:val="0"/>
                      <w:bCs w:val="0"/>
                      <w:color w:val="000000" w:themeColor="text1"/>
                      <w:sz w:val="21"/>
                      <w:szCs w:val="21"/>
                      <w:vertAlign w:val="baseline"/>
                      <w:lang w:eastAsia="zh-CN"/>
                      <w14:textFill>
                        <w14:solidFill>
                          <w14:schemeClr w14:val="tx1"/>
                        </w14:solidFill>
                      </w14:textFill>
                    </w:rPr>
                    <w:t>2.</w:t>
                  </w:r>
                  <w:r>
                    <w:rPr>
                      <w:rFonts w:hint="default" w:ascii="Times New Roman" w:hAnsi="Times New Roman" w:eastAsia="宋体" w:cs="Times New Roman"/>
                      <w:b w:val="0"/>
                      <w:bCs w:val="0"/>
                      <w:color w:val="000000" w:themeColor="text1"/>
                      <w:sz w:val="21"/>
                      <w:szCs w:val="21"/>
                      <w:vertAlign w:val="baseline"/>
                      <w:lang w:eastAsia="zh-CN"/>
                      <w14:textFill>
                        <w14:solidFill>
                          <w14:schemeClr w14:val="tx1"/>
                        </w14:solidFill>
                      </w14:textFill>
                    </w:rPr>
                    <w:t>严格按照环境管理监控计划及排污口管理内容要求，在工程建成后将主要污染物种类、数量、排放浓度与去向，立标及环保设施运行情况记录在案，并及时上报；</w:t>
                  </w:r>
                </w:p>
                <w:p w14:paraId="726C23D5">
                  <w:pPr>
                    <w:keepNext w:val="0"/>
                    <w:keepLines w:val="0"/>
                    <w:pageBreakBefore w:val="0"/>
                    <w:suppressLineNumbers w:val="0"/>
                    <w:kinsoku/>
                    <w:overflowPunct/>
                    <w:topLinePunct w:val="0"/>
                    <w:autoSpaceDE/>
                    <w:autoSpaceDN/>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eastAsia="宋体" w:cs="Times New Roman"/>
                      <w:b/>
                      <w:bCs/>
                      <w:color w:val="000000" w:themeColor="text1"/>
                      <w:sz w:val="21"/>
                      <w:szCs w:val="21"/>
                      <w:vertAlign w:val="baseline"/>
                      <w:lang w:eastAsia="zh-CN"/>
                      <w14:textFill>
                        <w14:solidFill>
                          <w14:schemeClr w14:val="tx1"/>
                        </w14:solidFill>
                      </w14:textFill>
                    </w:rPr>
                  </w:pPr>
                  <w:r>
                    <w:rPr>
                      <w:rFonts w:hint="default" w:ascii="Times New Roman" w:hAnsi="Times New Roman" w:cs="Times New Roman"/>
                      <w:b w:val="0"/>
                      <w:bCs w:val="0"/>
                      <w:color w:val="000000" w:themeColor="text1"/>
                      <w:sz w:val="21"/>
                      <w:szCs w:val="21"/>
                      <w:vertAlign w:val="baseline"/>
                      <w:lang w:eastAsia="zh-CN"/>
                      <w14:textFill>
                        <w14:solidFill>
                          <w14:schemeClr w14:val="tx1"/>
                        </w14:solidFill>
                      </w14:textFill>
                    </w:rPr>
                    <w:t>3.</w:t>
                  </w:r>
                  <w:r>
                    <w:rPr>
                      <w:rFonts w:hint="default" w:ascii="Times New Roman" w:hAnsi="Times New Roman" w:eastAsia="宋体" w:cs="Times New Roman"/>
                      <w:b w:val="0"/>
                      <w:bCs w:val="0"/>
                      <w:color w:val="000000" w:themeColor="text1"/>
                      <w:sz w:val="21"/>
                      <w:szCs w:val="21"/>
                      <w:vertAlign w:val="baseline"/>
                      <w:lang w:eastAsia="zh-CN"/>
                      <w14:textFill>
                        <w14:solidFill>
                          <w14:schemeClr w14:val="tx1"/>
                        </w14:solidFill>
                      </w14:textFill>
                    </w:rPr>
                    <w:t>选派有专业技能环保人员对排污口进行管理，做到责任明确、奖罚分明。</w:t>
                  </w:r>
                </w:p>
              </w:tc>
            </w:tr>
          </w:tbl>
          <w:p w14:paraId="59449103">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firstLine="420" w:firstLineChars="200"/>
              <w:jc w:val="left"/>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（2）例行监测计划；</w:t>
            </w:r>
          </w:p>
          <w:p w14:paraId="01B8D4E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left"/>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（3）填报排污许可</w:t>
            </w:r>
            <w:r>
              <w:rPr>
                <w:rFonts w:hint="default" w:ascii="Times New Roman" w:hAnsi="Times New Roman" w:cs="Times New Roman"/>
                <w:color w:val="000000" w:themeColor="text1"/>
                <w:sz w:val="21"/>
                <w:szCs w:val="21"/>
                <w:lang w:val="en-US" w:eastAsia="zh-CN"/>
                <w14:textFill>
                  <w14:solidFill>
                    <w14:schemeClr w14:val="tx1"/>
                  </w14:solidFill>
                </w14:textFill>
              </w:rPr>
              <w:t>证</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p w14:paraId="5464814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left"/>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（4）完善突发环境事件应急预案；</w:t>
            </w:r>
          </w:p>
          <w:p w14:paraId="386CAD9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left"/>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（5）危废间的建设要求：</w:t>
            </w:r>
          </w:p>
          <w:p w14:paraId="74F484B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eastAsia="zh-CN"/>
                <w14:textFill>
                  <w14:solidFill>
                    <w14:schemeClr w14:val="tx1"/>
                  </w14:solidFill>
                </w14:textFill>
              </w:rPr>
              <w:t>建设单位须在厂区</w:t>
            </w:r>
            <w:r>
              <w:rPr>
                <w:rFonts w:hint="default" w:ascii="Times New Roman" w:hAnsi="Times New Roman" w:eastAsia="宋体" w:cs="Times New Roman"/>
                <w:color w:val="000000" w:themeColor="text1"/>
                <w:sz w:val="21"/>
                <w:szCs w:val="21"/>
                <w14:textFill>
                  <w14:solidFill>
                    <w14:schemeClr w14:val="tx1"/>
                  </w14:solidFill>
                </w14:textFill>
              </w:rPr>
              <w:t>设置危险废物暂存间</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1座</w:t>
            </w:r>
            <w:r>
              <w:rPr>
                <w:rFonts w:hint="default" w:ascii="Times New Roman" w:hAnsi="Times New Roman" w:eastAsia="宋体" w:cs="Times New Roman"/>
                <w:color w:val="000000" w:themeColor="text1"/>
                <w:sz w:val="21"/>
                <w:szCs w:val="21"/>
                <w:lang w:eastAsia="zh-CN"/>
                <w14:textFill>
                  <w14:solidFill>
                    <w14:schemeClr w14:val="tx1"/>
                  </w14:solidFill>
                </w14:textFill>
              </w:rPr>
              <w:t>，</w:t>
            </w:r>
            <w:r>
              <w:rPr>
                <w:rFonts w:hint="default" w:ascii="Times New Roman" w:hAnsi="Times New Roman" w:eastAsia="宋体" w:cs="Times New Roman"/>
                <w:color w:val="000000" w:themeColor="text1"/>
                <w:sz w:val="21"/>
                <w:szCs w:val="21"/>
                <w14:textFill>
                  <w14:solidFill>
                    <w14:schemeClr w14:val="tx1"/>
                  </w14:solidFill>
                </w14:textFill>
              </w:rPr>
              <w:t>必须满足《危险废物贮存污染控制标准》（GB</w:t>
            </w:r>
            <w:r>
              <w:rPr>
                <w:rFonts w:hint="default" w:ascii="Times New Roman" w:hAnsi="Times New Roman" w:cs="Times New Roman"/>
                <w:color w:val="000000" w:themeColor="text1"/>
                <w:sz w:val="21"/>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szCs w:val="21"/>
                <w14:textFill>
                  <w14:solidFill>
                    <w14:schemeClr w14:val="tx1"/>
                  </w14:solidFill>
                </w14:textFill>
              </w:rPr>
              <w:t>18597-20</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23</w:t>
            </w:r>
            <w:r>
              <w:rPr>
                <w:rFonts w:hint="default" w:ascii="Times New Roman" w:hAnsi="Times New Roman" w:eastAsia="宋体" w:cs="Times New Roman"/>
                <w:color w:val="000000" w:themeColor="text1"/>
                <w:sz w:val="21"/>
                <w:szCs w:val="21"/>
                <w14:textFill>
                  <w14:solidFill>
                    <w14:schemeClr w14:val="tx1"/>
                  </w14:solidFill>
                </w14:textFill>
              </w:rPr>
              <w:t>）的要求，防止发生意外事故，同时厂区范围内必须完善消防措施及加强管理。</w:t>
            </w:r>
          </w:p>
          <w:p w14:paraId="5CE1DEC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420" w:firstLineChars="20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危险废物的收集、暂存和保管均应符合《危险废物贮存污染控制标准》（GB</w:t>
            </w:r>
            <w:r>
              <w:rPr>
                <w:rFonts w:hint="default" w:ascii="Times New Roman" w:hAnsi="Times New Roman" w:cs="Times New Roman"/>
                <w:color w:val="000000" w:themeColor="text1"/>
                <w:sz w:val="21"/>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szCs w:val="21"/>
                <w14:textFill>
                  <w14:solidFill>
                    <w14:schemeClr w14:val="tx1"/>
                  </w14:solidFill>
                </w14:textFill>
              </w:rPr>
              <w:t>18597-20</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23</w:t>
            </w:r>
            <w:r>
              <w:rPr>
                <w:rFonts w:hint="default" w:ascii="Times New Roman" w:hAnsi="Times New Roman" w:eastAsia="宋体" w:cs="Times New Roman"/>
                <w:color w:val="000000" w:themeColor="text1"/>
                <w:sz w:val="21"/>
                <w:szCs w:val="21"/>
                <w14:textFill>
                  <w14:solidFill>
                    <w14:schemeClr w14:val="tx1"/>
                  </w14:solidFill>
                </w14:textFill>
              </w:rPr>
              <w:t>）要求：</w:t>
            </w:r>
          </w:p>
          <w:p w14:paraId="088ABEE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420" w:firstLineChars="20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a.</w:t>
            </w:r>
            <w:r>
              <w:rPr>
                <w:rFonts w:hint="default" w:ascii="Times New Roman" w:hAnsi="Times New Roman" w:eastAsia="宋体" w:cs="Times New Roman"/>
                <w:color w:val="000000" w:themeColor="text1"/>
                <w:sz w:val="21"/>
                <w:szCs w:val="21"/>
                <w14:textFill>
                  <w14:solidFill>
                    <w14:schemeClr w14:val="tx1"/>
                  </w14:solidFill>
                </w14:textFill>
              </w:rPr>
              <w:t>危险废物的储存容器均应具有耐腐蚀、耐压、密封和不与所贮存的废物发生反应等特性；</w:t>
            </w:r>
          </w:p>
          <w:p w14:paraId="29771ED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420" w:firstLineChars="20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b.</w:t>
            </w:r>
            <w:r>
              <w:rPr>
                <w:rFonts w:hint="default" w:ascii="Times New Roman" w:hAnsi="Times New Roman" w:eastAsia="宋体" w:cs="Times New Roman"/>
                <w:color w:val="000000" w:themeColor="text1"/>
                <w:sz w:val="21"/>
                <w:szCs w:val="21"/>
                <w14:textFill>
                  <w14:solidFill>
                    <w14:schemeClr w14:val="tx1"/>
                  </w14:solidFill>
                </w14:textFill>
              </w:rPr>
              <w:t>贮存容器保证完好无损并具有明显标志；</w:t>
            </w:r>
          </w:p>
          <w:p w14:paraId="55655FE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420" w:firstLineChars="20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c.</w:t>
            </w:r>
            <w:r>
              <w:rPr>
                <w:rFonts w:hint="default" w:ascii="Times New Roman" w:hAnsi="Times New Roman" w:eastAsia="宋体" w:cs="Times New Roman"/>
                <w:color w:val="000000" w:themeColor="text1"/>
                <w:sz w:val="21"/>
                <w:szCs w:val="21"/>
                <w14:textFill>
                  <w14:solidFill>
                    <w14:schemeClr w14:val="tx1"/>
                  </w14:solidFill>
                </w14:textFill>
              </w:rPr>
              <w:t>不相容的危险废物均分开存放；</w:t>
            </w:r>
          </w:p>
          <w:p w14:paraId="2874EAC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420" w:firstLineChars="20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d.</w:t>
            </w:r>
            <w:r>
              <w:rPr>
                <w:rFonts w:hint="default" w:ascii="Times New Roman" w:hAnsi="Times New Roman" w:eastAsia="宋体" w:cs="Times New Roman"/>
                <w:color w:val="000000" w:themeColor="text1"/>
                <w:sz w:val="21"/>
                <w:szCs w:val="21"/>
                <w14:textFill>
                  <w14:solidFill>
                    <w14:schemeClr w14:val="tx1"/>
                  </w14:solidFill>
                </w14:textFill>
              </w:rPr>
              <w:t>储存场地设置危险废物明显标志，危险废物暂存场所应设有符合《环境保护图形标志—固体废物贮存（处置）场》（GB</w:t>
            </w:r>
            <w:r>
              <w:rPr>
                <w:rFonts w:hint="default" w:ascii="Times New Roman" w:hAnsi="Times New Roman" w:cs="Times New Roman"/>
                <w:color w:val="000000" w:themeColor="text1"/>
                <w:sz w:val="21"/>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szCs w:val="21"/>
                <w14:textFill>
                  <w14:solidFill>
                    <w14:schemeClr w14:val="tx1"/>
                  </w14:solidFill>
                </w14:textFill>
              </w:rPr>
              <w:t>15562.2-1995）的专用标志；</w:t>
            </w:r>
          </w:p>
          <w:p w14:paraId="0B8840F3">
            <w:pPr>
              <w:keepNext w:val="0"/>
              <w:keepLines w:val="0"/>
              <w:suppressLineNumbers w:val="0"/>
              <w:adjustRightInd w:val="0"/>
              <w:snapToGrid w:val="0"/>
              <w:spacing w:before="0" w:beforeAutospacing="0" w:after="0" w:afterAutospacing="0" w:line="360" w:lineRule="auto"/>
              <w:ind w:left="0" w:right="0" w:firstLine="420" w:firstLineChars="200"/>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e.</w:t>
            </w:r>
            <w:r>
              <w:rPr>
                <w:rFonts w:hint="default" w:ascii="Times New Roman" w:hAnsi="Times New Roman" w:eastAsia="宋体" w:cs="Times New Roman"/>
                <w:color w:val="000000" w:themeColor="text1"/>
                <w:sz w:val="21"/>
                <w:szCs w:val="21"/>
                <w14:textFill>
                  <w14:solidFill>
                    <w14:schemeClr w14:val="tx1"/>
                  </w14:solidFill>
                </w14:textFill>
              </w:rPr>
              <w:t>禁止将危险废物与一般固体废物、生活垃圾及其</w:t>
            </w:r>
            <w:r>
              <w:rPr>
                <w:rFonts w:hint="default" w:ascii="Times New Roman" w:hAnsi="Times New Roman" w:cs="Times New Roman"/>
                <w:color w:val="000000" w:themeColor="text1"/>
                <w:sz w:val="21"/>
                <w:szCs w:val="21"/>
                <w:lang w:val="en-US" w:eastAsia="zh-CN"/>
                <w14:textFill>
                  <w14:solidFill>
                    <w14:schemeClr w14:val="tx1"/>
                  </w14:solidFill>
                </w14:textFill>
              </w:rPr>
              <w:t>他</w:t>
            </w:r>
            <w:r>
              <w:rPr>
                <w:rFonts w:hint="default" w:ascii="Times New Roman" w:hAnsi="Times New Roman" w:eastAsia="宋体" w:cs="Times New Roman"/>
                <w:color w:val="000000" w:themeColor="text1"/>
                <w:sz w:val="21"/>
                <w:szCs w:val="21"/>
                <w14:textFill>
                  <w14:solidFill>
                    <w14:schemeClr w14:val="tx1"/>
                  </w14:solidFill>
                </w14:textFill>
              </w:rPr>
              <w:t>废物混合堆放。</w:t>
            </w:r>
          </w:p>
          <w:p w14:paraId="5A2D1761">
            <w:pPr>
              <w:keepNext w:val="0"/>
              <w:keepLines w:val="0"/>
              <w:pageBreakBefore w:val="0"/>
              <w:widowControl w:val="0"/>
              <w:numPr>
                <w:ilvl w:val="0"/>
                <w:numId w:val="0"/>
              </w:numPr>
              <w:suppressLineNumbers w:val="0"/>
              <w:kinsoku/>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textAlignment w:val="auto"/>
              <w:rPr>
                <w:rFonts w:hint="default" w:ascii="Times New Roman" w:hAnsi="Times New Roman" w:cs="Times New Roman"/>
                <w:color w:val="000000" w:themeColor="text1"/>
                <w:sz w:val="21"/>
                <w:szCs w:val="21"/>
                <w14:textFill>
                  <w14:solidFill>
                    <w14:schemeClr w14:val="tx1"/>
                  </w14:solidFill>
                </w14:textFill>
              </w:rPr>
            </w:pPr>
          </w:p>
        </w:tc>
      </w:tr>
    </w:tbl>
    <w:p w14:paraId="6DABE26E">
      <w:pPr>
        <w:pStyle w:val="31"/>
        <w:jc w:val="center"/>
        <w:outlineLvl w:val="0"/>
        <w:rPr>
          <w:rFonts w:hint="default" w:ascii="Times New Roman" w:hAnsi="Times New Roman" w:eastAsia="黑体" w:cs="Times New Roman"/>
          <w:snapToGrid w:val="0"/>
          <w:color w:val="000000" w:themeColor="text1"/>
          <w:sz w:val="30"/>
          <w:szCs w:val="30"/>
          <w14:textFill>
            <w14:solidFill>
              <w14:schemeClr w14:val="tx1"/>
            </w14:solidFill>
          </w14:textFill>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03FD97C8">
      <w:pPr>
        <w:pStyle w:val="31"/>
        <w:jc w:val="center"/>
        <w:outlineLvl w:val="0"/>
        <w:rPr>
          <w:rFonts w:hint="default" w:ascii="Times New Roman" w:hAnsi="Times New Roman" w:eastAsia="黑体" w:cs="Times New Roman"/>
          <w:snapToGrid w:val="0"/>
          <w:color w:val="000000" w:themeColor="text1"/>
          <w:sz w:val="30"/>
          <w:szCs w:val="30"/>
          <w14:textFill>
            <w14:solidFill>
              <w14:schemeClr w14:val="tx1"/>
            </w14:solidFill>
          </w14:textFill>
        </w:rPr>
      </w:pPr>
      <w:r>
        <w:rPr>
          <w:rFonts w:hint="default" w:ascii="Times New Roman" w:hAnsi="Times New Roman" w:eastAsia="黑体" w:cs="Times New Roman"/>
          <w:snapToGrid w:val="0"/>
          <w:color w:val="000000" w:themeColor="text1"/>
          <w:sz w:val="30"/>
          <w:szCs w:val="30"/>
          <w14:textFill>
            <w14:solidFill>
              <w14:schemeClr w14:val="tx1"/>
            </w14:solidFill>
          </w14:textFill>
        </w:rPr>
        <w:t>六、结论</w:t>
      </w:r>
    </w:p>
    <w:tbl>
      <w:tblPr>
        <w:tblStyle w:val="3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5B1A4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068" w:hRule="atLeast"/>
        </w:trPr>
        <w:tc>
          <w:tcPr>
            <w:tcW w:w="9060" w:type="dxa"/>
            <w:noWrap w:val="0"/>
            <w:vAlign w:val="top"/>
          </w:tcPr>
          <w:p w14:paraId="02AD391F">
            <w:pPr>
              <w:widowControl/>
              <w:adjustRightInd w:val="0"/>
              <w:spacing w:line="360" w:lineRule="auto"/>
              <w:ind w:firstLine="480" w:firstLineChars="200"/>
              <w:jc w:val="both"/>
              <w:rPr>
                <w:rFonts w:hint="default" w:ascii="Times New Roman" w:hAnsi="Times New Roman" w:cs="Times New Roman"/>
                <w:snapToGrid w:val="0"/>
                <w:color w:val="000000" w:themeColor="text1"/>
                <w:kern w:val="0"/>
                <w:sz w:val="24"/>
                <w14:textFill>
                  <w14:solidFill>
                    <w14:schemeClr w14:val="tx1"/>
                  </w14:solidFill>
                </w14:textFill>
              </w:rPr>
            </w:pPr>
            <w:r>
              <w:rPr>
                <w:rFonts w:hint="default" w:ascii="Times New Roman" w:hAnsi="Times New Roman" w:cs="Times New Roman"/>
                <w:snapToGrid w:val="0"/>
                <w:color w:val="000000" w:themeColor="text1"/>
                <w:kern w:val="0"/>
                <w:sz w:val="24"/>
                <w14:textFill>
                  <w14:solidFill>
                    <w14:schemeClr w14:val="tx1"/>
                  </w14:solidFill>
                </w14:textFill>
              </w:rPr>
              <w:t>项目建设符合国家产业政策和地方规划要求，总体布局较为合理，并具有较明显的社会、经济、环境综合效益；采取的污染防治措施可行，落实环评提出的各项要求，污染物可做到达标排放和合理处置，对环境影响较小，不会改变区域环境功能。从环境影响的角度分析，项目建设是可行的。</w:t>
            </w:r>
          </w:p>
          <w:p w14:paraId="1D9267F0">
            <w:pPr>
              <w:pStyle w:val="31"/>
              <w:jc w:val="both"/>
              <w:outlineLvl w:val="0"/>
              <w:rPr>
                <w:rFonts w:hint="default" w:ascii="Times New Roman" w:hAnsi="Times New Roman" w:eastAsia="黑体" w:cs="Times New Roman"/>
                <w:snapToGrid w:val="0"/>
                <w:color w:val="000000" w:themeColor="text1"/>
                <w:sz w:val="30"/>
                <w:szCs w:val="30"/>
                <w14:textFill>
                  <w14:solidFill>
                    <w14:schemeClr w14:val="tx1"/>
                  </w14:solidFill>
                </w14:textFill>
              </w:rPr>
            </w:pPr>
          </w:p>
        </w:tc>
      </w:tr>
    </w:tbl>
    <w:p w14:paraId="3B67B059">
      <w:pPr>
        <w:pStyle w:val="31"/>
        <w:jc w:val="center"/>
        <w:outlineLvl w:val="0"/>
        <w:rPr>
          <w:rFonts w:hint="default" w:ascii="Times New Roman" w:hAnsi="Times New Roman" w:eastAsia="黑体" w:cs="Times New Roman"/>
          <w:snapToGrid w:val="0"/>
          <w:color w:val="000000" w:themeColor="text1"/>
          <w:sz w:val="30"/>
          <w:szCs w:val="30"/>
          <w14:textFill>
            <w14:solidFill>
              <w14:schemeClr w14:val="tx1"/>
            </w14:solidFill>
          </w14:textFill>
        </w:rPr>
        <w:sectPr>
          <w:footerReference r:id="rId6" w:type="default"/>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22FE1F0C">
      <w:pPr>
        <w:pStyle w:val="31"/>
        <w:adjustRightInd w:val="0"/>
        <w:snapToGrid w:val="0"/>
        <w:spacing w:before="0" w:beforeAutospacing="0" w:after="0" w:afterAutospacing="0"/>
        <w:jc w:val="center"/>
        <w:outlineLvl w:val="0"/>
        <w:rPr>
          <w:rFonts w:hint="default" w:ascii="Times New Roman" w:hAnsi="Times New Roman" w:eastAsia="方正小标宋_GBK" w:cs="Times New Roman"/>
          <w:snapToGrid w:val="0"/>
          <w:color w:val="000000" w:themeColor="text1"/>
          <w:sz w:val="38"/>
          <w:szCs w:val="38"/>
          <w14:textFill>
            <w14:solidFill>
              <w14:schemeClr w14:val="tx1"/>
            </w14:solidFill>
          </w14:textFill>
        </w:rPr>
      </w:pPr>
      <w:r>
        <w:rPr>
          <w:rFonts w:hint="default" w:ascii="Times New Roman" w:hAnsi="Times New Roman" w:eastAsia="方正小标宋_GBK" w:cs="Times New Roman"/>
          <w:snapToGrid w:val="0"/>
          <w:color w:val="000000" w:themeColor="text1"/>
          <w:sz w:val="38"/>
          <w:szCs w:val="38"/>
          <w14:textFill>
            <w14:solidFill>
              <w14:schemeClr w14:val="tx1"/>
            </w14:solidFill>
          </w14:textFill>
        </w:rPr>
        <w:t>建设项目污染物排放量汇总表</w:t>
      </w:r>
    </w:p>
    <w:tbl>
      <w:tblPr>
        <w:tblStyle w:val="36"/>
        <w:tblW w:w="1379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59"/>
        <w:gridCol w:w="2211"/>
        <w:gridCol w:w="1535"/>
        <w:gridCol w:w="1278"/>
        <w:gridCol w:w="1702"/>
        <w:gridCol w:w="1559"/>
        <w:gridCol w:w="1415"/>
        <w:gridCol w:w="1883"/>
        <w:gridCol w:w="1248"/>
      </w:tblGrid>
      <w:tr w14:paraId="559962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94" w:hRule="atLeast"/>
        </w:trPr>
        <w:tc>
          <w:tcPr>
            <w:tcW w:w="959" w:type="dxa"/>
            <w:tcBorders>
              <w:top w:val="single" w:color="auto" w:sz="8" w:space="0"/>
              <w:left w:val="single" w:color="auto" w:sz="8" w:space="0"/>
              <w:bottom w:val="single" w:color="auto" w:sz="4" w:space="0"/>
              <w:right w:val="single" w:color="auto" w:sz="4" w:space="0"/>
              <w:tl2br w:val="single" w:color="auto" w:sz="4" w:space="0"/>
            </w:tcBorders>
            <w:shd w:val="clear" w:color="auto" w:fill="auto"/>
            <w:tcMar>
              <w:left w:w="28" w:type="dxa"/>
              <w:right w:w="28" w:type="dxa"/>
            </w:tcMar>
            <w:vAlign w:val="center"/>
          </w:tcPr>
          <w:p w14:paraId="03E08D8E">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snapToGrid w:val="0"/>
                <w:color w:val="000000" w:themeColor="text1"/>
                <w:kern w:val="21"/>
                <w:szCs w:val="21"/>
                <w:lang w:val="en-US"/>
                <w14:textFill>
                  <w14:solidFill>
                    <w14:schemeClr w14:val="tx1"/>
                  </w14:solidFill>
                </w14:textFill>
              </w:rPr>
            </w:pP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 xml:space="preserve">    </w:t>
            </w:r>
            <w:r>
              <w:rPr>
                <w:rFonts w:hint="eastAsia" w:ascii="Times New Roman" w:hAnsi="Times New Roman" w:eastAsia="宋体" w:cs="Times New Roman"/>
                <w:snapToGrid w:val="0"/>
                <w:color w:val="000000" w:themeColor="text1"/>
                <w:kern w:val="21"/>
                <w:szCs w:val="21"/>
                <w14:textFill>
                  <w14:solidFill>
                    <w14:schemeClr w14:val="tx1"/>
                  </w14:solidFill>
                </w14:textFill>
              </w:rPr>
              <w:t>项目</w:t>
            </w:r>
          </w:p>
          <w:p w14:paraId="52C65FA6">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both"/>
              <w:textAlignment w:val="auto"/>
              <w:rPr>
                <w:rFonts w:hint="eastAsia" w:ascii="Times New Roman" w:hAnsi="Times New Roman" w:eastAsia="宋体" w:cs="Times New Roman"/>
                <w:snapToGrid w:val="0"/>
                <w:color w:val="000000" w:themeColor="text1"/>
                <w:kern w:val="21"/>
                <w:szCs w:val="21"/>
                <w:lang w:val="en-US"/>
                <w14:textFill>
                  <w14:solidFill>
                    <w14:schemeClr w14:val="tx1"/>
                  </w14:solidFill>
                </w14:textFill>
              </w:rPr>
            </w:pPr>
            <w:r>
              <w:rPr>
                <w:rFonts w:hint="eastAsia" w:ascii="Times New Roman" w:hAnsi="Times New Roman" w:eastAsia="宋体" w:cs="Times New Roman"/>
                <w:snapToGrid w:val="0"/>
                <w:color w:val="000000" w:themeColor="text1"/>
                <w:kern w:val="21"/>
                <w:szCs w:val="21"/>
                <w14:textFill>
                  <w14:solidFill>
                    <w14:schemeClr w14:val="tx1"/>
                  </w14:solidFill>
                </w14:textFill>
              </w:rPr>
              <w:t>分类</w:t>
            </w:r>
          </w:p>
        </w:tc>
        <w:tc>
          <w:tcPr>
            <w:tcW w:w="2211" w:type="dxa"/>
            <w:tcBorders>
              <w:top w:val="single" w:color="auto" w:sz="8" w:space="0"/>
              <w:left w:val="single" w:color="auto" w:sz="4" w:space="0"/>
              <w:bottom w:val="single" w:color="auto" w:sz="4" w:space="0"/>
              <w:right w:val="single" w:color="auto" w:sz="4" w:space="0"/>
            </w:tcBorders>
            <w:shd w:val="clear" w:color="auto" w:fill="auto"/>
            <w:tcMar>
              <w:left w:w="28" w:type="dxa"/>
              <w:right w:w="28" w:type="dxa"/>
            </w:tcMar>
            <w:vAlign w:val="center"/>
          </w:tcPr>
          <w:p w14:paraId="79D4F1FE">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snapToGrid w:val="0"/>
                <w:color w:val="000000" w:themeColor="text1"/>
                <w:kern w:val="21"/>
                <w:szCs w:val="21"/>
                <w:lang w:val="en-US"/>
                <w14:textFill>
                  <w14:solidFill>
                    <w14:schemeClr w14:val="tx1"/>
                  </w14:solidFill>
                </w14:textFill>
              </w:rPr>
            </w:pPr>
            <w:r>
              <w:rPr>
                <w:rFonts w:hint="eastAsia" w:ascii="Times New Roman" w:hAnsi="Times New Roman" w:eastAsia="宋体" w:cs="Times New Roman"/>
                <w:snapToGrid w:val="0"/>
                <w:color w:val="000000" w:themeColor="text1"/>
                <w:kern w:val="21"/>
                <w:szCs w:val="21"/>
                <w14:textFill>
                  <w14:solidFill>
                    <w14:schemeClr w14:val="tx1"/>
                  </w14:solidFill>
                </w14:textFill>
              </w:rPr>
              <w:t>污染物名称</w:t>
            </w:r>
          </w:p>
        </w:tc>
        <w:tc>
          <w:tcPr>
            <w:tcW w:w="1535" w:type="dxa"/>
            <w:tcBorders>
              <w:top w:val="single" w:color="auto" w:sz="8" w:space="0"/>
              <w:left w:val="single" w:color="auto" w:sz="4" w:space="0"/>
              <w:bottom w:val="single" w:color="auto" w:sz="4" w:space="0"/>
              <w:right w:val="single" w:color="auto" w:sz="4" w:space="0"/>
            </w:tcBorders>
            <w:shd w:val="clear" w:color="auto" w:fill="auto"/>
            <w:tcMar>
              <w:left w:w="28" w:type="dxa"/>
              <w:right w:w="28" w:type="dxa"/>
            </w:tcMar>
            <w:vAlign w:val="center"/>
          </w:tcPr>
          <w:p w14:paraId="634DC1F1">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snapToGrid w:val="0"/>
                <w:color w:val="000000" w:themeColor="text1"/>
                <w:kern w:val="21"/>
                <w:szCs w:val="21"/>
                <w:lang w:val="en-US"/>
                <w14:textFill>
                  <w14:solidFill>
                    <w14:schemeClr w14:val="tx1"/>
                  </w14:solidFill>
                </w14:textFill>
              </w:rPr>
            </w:pPr>
            <w:r>
              <w:rPr>
                <w:rFonts w:hint="eastAsia" w:ascii="Times New Roman" w:hAnsi="Times New Roman" w:eastAsia="宋体" w:cs="Times New Roman"/>
                <w:snapToGrid w:val="0"/>
                <w:color w:val="000000" w:themeColor="text1"/>
                <w:kern w:val="21"/>
                <w:szCs w:val="21"/>
                <w14:textFill>
                  <w14:solidFill>
                    <w14:schemeClr w14:val="tx1"/>
                  </w14:solidFill>
                </w14:textFill>
              </w:rPr>
              <w:t>现有工程</w:t>
            </w:r>
          </w:p>
          <w:p w14:paraId="388B379E">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snapToGrid w:val="0"/>
                <w:color w:val="000000" w:themeColor="text1"/>
                <w:kern w:val="21"/>
                <w:szCs w:val="21"/>
                <w:lang w:val="en-US"/>
                <w14:textFill>
                  <w14:solidFill>
                    <w14:schemeClr w14:val="tx1"/>
                  </w14:solidFill>
                </w14:textFill>
              </w:rPr>
            </w:pPr>
            <w:r>
              <w:rPr>
                <w:rFonts w:hint="eastAsia" w:ascii="Times New Roman" w:hAnsi="Times New Roman" w:eastAsia="宋体" w:cs="Times New Roman"/>
                <w:snapToGrid w:val="0"/>
                <w:color w:val="000000" w:themeColor="text1"/>
                <w:kern w:val="21"/>
                <w:szCs w:val="21"/>
                <w14:textFill>
                  <w14:solidFill>
                    <w14:schemeClr w14:val="tx1"/>
                  </w14:solidFill>
                </w14:textFill>
              </w:rPr>
              <w:t>排放量（固体废物产生量）</w:t>
            </w:r>
            <w:r>
              <w:rPr>
                <w:rFonts w:hint="eastAsia" w:ascii="Times New Roman" w:hAnsi="Times New Roman" w:eastAsia="宋体" w:cs="Times New Roman"/>
                <w:snapToGrid w:val="0"/>
                <w:color w:val="000000" w:themeColor="text1"/>
                <w:kern w:val="21"/>
                <w:szCs w:val="21"/>
                <w:lang w:val="en-US"/>
                <w14:textFill>
                  <w14:solidFill>
                    <w14:schemeClr w14:val="tx1"/>
                  </w14:solidFill>
                </w14:textFill>
              </w:rPr>
              <w:fldChar w:fldCharType="begin"/>
            </w:r>
            <w:r>
              <w:rPr>
                <w:rFonts w:hint="eastAsia" w:ascii="Times New Roman" w:hAnsi="Times New Roman" w:eastAsia="宋体" w:cs="Times New Roman"/>
                <w:snapToGrid w:val="0"/>
                <w:color w:val="000000" w:themeColor="text1"/>
                <w:kern w:val="21"/>
                <w:szCs w:val="21"/>
                <w:lang w:val="en-US"/>
                <w14:textFill>
                  <w14:solidFill>
                    <w14:schemeClr w14:val="tx1"/>
                  </w14:solidFill>
                </w14:textFill>
              </w:rPr>
              <w:instrText xml:space="preserve"> = 1 \* GB3 \* MERGEFORMAT </w:instrText>
            </w:r>
            <w:r>
              <w:rPr>
                <w:rFonts w:hint="eastAsia" w:ascii="Times New Roman" w:hAnsi="Times New Roman" w:eastAsia="宋体" w:cs="Times New Roman"/>
                <w:snapToGrid w:val="0"/>
                <w:color w:val="000000" w:themeColor="text1"/>
                <w:kern w:val="21"/>
                <w:szCs w:val="21"/>
                <w:lang w:val="en-US"/>
                <w14:textFill>
                  <w14:solidFill>
                    <w14:schemeClr w14:val="tx1"/>
                  </w14:solidFill>
                </w14:textFill>
              </w:rPr>
              <w:fldChar w:fldCharType="separate"/>
            </w:r>
            <w:r>
              <w:rPr>
                <w:rFonts w:hint="eastAsia" w:ascii="Times New Roman" w:hAnsi="Times New Roman" w:eastAsia="宋体" w:cs="Times New Roman"/>
                <w:snapToGrid w:val="0"/>
                <w:color w:val="000000" w:themeColor="text1"/>
                <w:kern w:val="21"/>
                <w:szCs w:val="21"/>
                <w14:textFill>
                  <w14:solidFill>
                    <w14:schemeClr w14:val="tx1"/>
                  </w14:solidFill>
                </w14:textFill>
              </w:rPr>
              <w:t>①</w:t>
            </w:r>
            <w:r>
              <w:rPr>
                <w:rFonts w:hint="eastAsia" w:ascii="Times New Roman" w:hAnsi="Times New Roman" w:eastAsia="宋体" w:cs="Times New Roman"/>
                <w:snapToGrid w:val="0"/>
                <w:color w:val="000000" w:themeColor="text1"/>
                <w:kern w:val="21"/>
                <w:szCs w:val="21"/>
                <w:lang w:val="en-US"/>
                <w14:textFill>
                  <w14:solidFill>
                    <w14:schemeClr w14:val="tx1"/>
                  </w14:solidFill>
                </w14:textFill>
              </w:rPr>
              <w:fldChar w:fldCharType="end"/>
            </w:r>
          </w:p>
        </w:tc>
        <w:tc>
          <w:tcPr>
            <w:tcW w:w="1278" w:type="dxa"/>
            <w:tcBorders>
              <w:top w:val="single" w:color="auto" w:sz="8" w:space="0"/>
              <w:left w:val="single" w:color="auto" w:sz="4" w:space="0"/>
              <w:bottom w:val="single" w:color="auto" w:sz="4" w:space="0"/>
              <w:right w:val="single" w:color="auto" w:sz="4" w:space="0"/>
            </w:tcBorders>
            <w:shd w:val="clear" w:color="auto" w:fill="auto"/>
            <w:tcMar>
              <w:left w:w="28" w:type="dxa"/>
              <w:right w:w="28" w:type="dxa"/>
            </w:tcMar>
            <w:vAlign w:val="center"/>
          </w:tcPr>
          <w:p w14:paraId="41310CAA">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snapToGrid w:val="0"/>
                <w:color w:val="000000" w:themeColor="text1"/>
                <w:kern w:val="21"/>
                <w:szCs w:val="21"/>
                <w:lang w:val="en-US"/>
                <w14:textFill>
                  <w14:solidFill>
                    <w14:schemeClr w14:val="tx1"/>
                  </w14:solidFill>
                </w14:textFill>
              </w:rPr>
            </w:pPr>
            <w:r>
              <w:rPr>
                <w:rFonts w:hint="eastAsia" w:ascii="Times New Roman" w:hAnsi="Times New Roman" w:eastAsia="宋体" w:cs="Times New Roman"/>
                <w:snapToGrid w:val="0"/>
                <w:color w:val="000000" w:themeColor="text1"/>
                <w:kern w:val="21"/>
                <w:szCs w:val="21"/>
                <w14:textFill>
                  <w14:solidFill>
                    <w14:schemeClr w14:val="tx1"/>
                  </w14:solidFill>
                </w14:textFill>
              </w:rPr>
              <w:t>现有工程</w:t>
            </w:r>
          </w:p>
          <w:p w14:paraId="4384E122">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snapToGrid w:val="0"/>
                <w:color w:val="000000" w:themeColor="text1"/>
                <w:kern w:val="21"/>
                <w:szCs w:val="21"/>
                <w:lang w:val="en-US"/>
                <w14:textFill>
                  <w14:solidFill>
                    <w14:schemeClr w14:val="tx1"/>
                  </w14:solidFill>
                </w14:textFill>
              </w:rPr>
            </w:pPr>
            <w:r>
              <w:rPr>
                <w:rFonts w:hint="eastAsia" w:ascii="Times New Roman" w:hAnsi="Times New Roman" w:eastAsia="宋体" w:cs="Times New Roman"/>
                <w:snapToGrid w:val="0"/>
                <w:color w:val="000000" w:themeColor="text1"/>
                <w:kern w:val="21"/>
                <w:szCs w:val="21"/>
                <w14:textFill>
                  <w14:solidFill>
                    <w14:schemeClr w14:val="tx1"/>
                  </w14:solidFill>
                </w14:textFill>
              </w:rPr>
              <w:t>许可排放量</w:t>
            </w:r>
          </w:p>
          <w:p w14:paraId="2FB8C335">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snapToGrid w:val="0"/>
                <w:color w:val="000000" w:themeColor="text1"/>
                <w:kern w:val="21"/>
                <w:szCs w:val="21"/>
                <w:lang w:val="en-US"/>
                <w14:textFill>
                  <w14:solidFill>
                    <w14:schemeClr w14:val="tx1"/>
                  </w14:solidFill>
                </w14:textFill>
              </w:rPr>
            </w:pPr>
            <w:r>
              <w:rPr>
                <w:rFonts w:hint="eastAsia" w:ascii="Times New Roman" w:hAnsi="Times New Roman" w:eastAsia="宋体" w:cs="Times New Roman"/>
                <w:snapToGrid w:val="0"/>
                <w:color w:val="000000" w:themeColor="text1"/>
                <w:kern w:val="21"/>
                <w:szCs w:val="21"/>
                <w:lang w:val="en-US"/>
                <w14:textFill>
                  <w14:solidFill>
                    <w14:schemeClr w14:val="tx1"/>
                  </w14:solidFill>
                </w14:textFill>
              </w:rPr>
              <w:fldChar w:fldCharType="begin"/>
            </w:r>
            <w:r>
              <w:rPr>
                <w:rFonts w:hint="eastAsia" w:ascii="Times New Roman" w:hAnsi="Times New Roman" w:eastAsia="宋体" w:cs="Times New Roman"/>
                <w:snapToGrid w:val="0"/>
                <w:color w:val="000000" w:themeColor="text1"/>
                <w:kern w:val="21"/>
                <w:szCs w:val="21"/>
                <w:lang w:val="en-US"/>
                <w14:textFill>
                  <w14:solidFill>
                    <w14:schemeClr w14:val="tx1"/>
                  </w14:solidFill>
                </w14:textFill>
              </w:rPr>
              <w:instrText xml:space="preserve"> = 2 \* GB3 \* MERGEFORMAT </w:instrText>
            </w:r>
            <w:r>
              <w:rPr>
                <w:rFonts w:hint="eastAsia" w:ascii="Times New Roman" w:hAnsi="Times New Roman" w:eastAsia="宋体" w:cs="Times New Roman"/>
                <w:snapToGrid w:val="0"/>
                <w:color w:val="000000" w:themeColor="text1"/>
                <w:kern w:val="21"/>
                <w:szCs w:val="21"/>
                <w:lang w:val="en-US"/>
                <w14:textFill>
                  <w14:solidFill>
                    <w14:schemeClr w14:val="tx1"/>
                  </w14:solidFill>
                </w14:textFill>
              </w:rPr>
              <w:fldChar w:fldCharType="separate"/>
            </w:r>
            <w:r>
              <w:rPr>
                <w:rFonts w:hint="eastAsia" w:ascii="Times New Roman" w:hAnsi="Times New Roman" w:eastAsia="宋体" w:cs="Times New Roman"/>
                <w:snapToGrid w:val="0"/>
                <w:color w:val="000000" w:themeColor="text1"/>
                <w:kern w:val="21"/>
                <w:szCs w:val="21"/>
                <w14:textFill>
                  <w14:solidFill>
                    <w14:schemeClr w14:val="tx1"/>
                  </w14:solidFill>
                </w14:textFill>
              </w:rPr>
              <w:t>②</w:t>
            </w:r>
            <w:r>
              <w:rPr>
                <w:rFonts w:hint="eastAsia" w:ascii="Times New Roman" w:hAnsi="Times New Roman" w:eastAsia="宋体" w:cs="Times New Roman"/>
                <w:snapToGrid w:val="0"/>
                <w:color w:val="000000" w:themeColor="text1"/>
                <w:kern w:val="21"/>
                <w:szCs w:val="21"/>
                <w:lang w:val="en-US"/>
                <w14:textFill>
                  <w14:solidFill>
                    <w14:schemeClr w14:val="tx1"/>
                  </w14:solidFill>
                </w14:textFill>
              </w:rPr>
              <w:fldChar w:fldCharType="end"/>
            </w:r>
          </w:p>
        </w:tc>
        <w:tc>
          <w:tcPr>
            <w:tcW w:w="1702" w:type="dxa"/>
            <w:tcBorders>
              <w:top w:val="single" w:color="auto" w:sz="8" w:space="0"/>
              <w:left w:val="single" w:color="auto" w:sz="4" w:space="0"/>
              <w:bottom w:val="single" w:color="auto" w:sz="4" w:space="0"/>
              <w:right w:val="single" w:color="auto" w:sz="4" w:space="0"/>
            </w:tcBorders>
            <w:shd w:val="clear" w:color="auto" w:fill="auto"/>
            <w:tcMar>
              <w:left w:w="28" w:type="dxa"/>
              <w:right w:w="28" w:type="dxa"/>
            </w:tcMar>
            <w:vAlign w:val="center"/>
          </w:tcPr>
          <w:p w14:paraId="2745C8C9">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snapToGrid w:val="0"/>
                <w:color w:val="000000" w:themeColor="text1"/>
                <w:kern w:val="21"/>
                <w:szCs w:val="21"/>
                <w:lang w:val="en-US"/>
                <w14:textFill>
                  <w14:solidFill>
                    <w14:schemeClr w14:val="tx1"/>
                  </w14:solidFill>
                </w14:textFill>
              </w:rPr>
            </w:pPr>
            <w:r>
              <w:rPr>
                <w:rFonts w:hint="eastAsia" w:ascii="Times New Roman" w:hAnsi="Times New Roman" w:eastAsia="宋体" w:cs="Times New Roman"/>
                <w:snapToGrid w:val="0"/>
                <w:color w:val="000000" w:themeColor="text1"/>
                <w:kern w:val="21"/>
                <w:szCs w:val="21"/>
                <w14:textFill>
                  <w14:solidFill>
                    <w14:schemeClr w14:val="tx1"/>
                  </w14:solidFill>
                </w14:textFill>
              </w:rPr>
              <w:t>在建工程</w:t>
            </w:r>
          </w:p>
          <w:p w14:paraId="4A1C1618">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snapToGrid w:val="0"/>
                <w:color w:val="000000" w:themeColor="text1"/>
                <w:kern w:val="21"/>
                <w:szCs w:val="21"/>
                <w:lang w:val="en-US"/>
                <w14:textFill>
                  <w14:solidFill>
                    <w14:schemeClr w14:val="tx1"/>
                  </w14:solidFill>
                </w14:textFill>
              </w:rPr>
            </w:pPr>
            <w:r>
              <w:rPr>
                <w:rFonts w:hint="eastAsia" w:ascii="Times New Roman" w:hAnsi="Times New Roman" w:eastAsia="宋体" w:cs="Times New Roman"/>
                <w:snapToGrid w:val="0"/>
                <w:color w:val="000000" w:themeColor="text1"/>
                <w:kern w:val="21"/>
                <w:szCs w:val="21"/>
                <w14:textFill>
                  <w14:solidFill>
                    <w14:schemeClr w14:val="tx1"/>
                  </w14:solidFill>
                </w14:textFill>
              </w:rPr>
              <w:t>排放量（固体废物产生量）</w:t>
            </w:r>
            <w:r>
              <w:rPr>
                <w:rFonts w:hint="eastAsia" w:ascii="Times New Roman" w:hAnsi="Times New Roman" w:eastAsia="宋体" w:cs="Times New Roman"/>
                <w:snapToGrid w:val="0"/>
                <w:color w:val="000000" w:themeColor="text1"/>
                <w:kern w:val="21"/>
                <w:szCs w:val="21"/>
                <w:lang w:val="en-US"/>
                <w14:textFill>
                  <w14:solidFill>
                    <w14:schemeClr w14:val="tx1"/>
                  </w14:solidFill>
                </w14:textFill>
              </w:rPr>
              <w:fldChar w:fldCharType="begin"/>
            </w:r>
            <w:r>
              <w:rPr>
                <w:rFonts w:hint="eastAsia" w:ascii="Times New Roman" w:hAnsi="Times New Roman" w:eastAsia="宋体" w:cs="Times New Roman"/>
                <w:snapToGrid w:val="0"/>
                <w:color w:val="000000" w:themeColor="text1"/>
                <w:kern w:val="21"/>
                <w:szCs w:val="21"/>
                <w:lang w:val="en-US"/>
                <w14:textFill>
                  <w14:solidFill>
                    <w14:schemeClr w14:val="tx1"/>
                  </w14:solidFill>
                </w14:textFill>
              </w:rPr>
              <w:instrText xml:space="preserve"> = 3 \* GB3 \* MERGEFORMAT </w:instrText>
            </w:r>
            <w:r>
              <w:rPr>
                <w:rFonts w:hint="eastAsia" w:ascii="Times New Roman" w:hAnsi="Times New Roman" w:eastAsia="宋体" w:cs="Times New Roman"/>
                <w:snapToGrid w:val="0"/>
                <w:color w:val="000000" w:themeColor="text1"/>
                <w:kern w:val="21"/>
                <w:szCs w:val="21"/>
                <w:lang w:val="en-US"/>
                <w14:textFill>
                  <w14:solidFill>
                    <w14:schemeClr w14:val="tx1"/>
                  </w14:solidFill>
                </w14:textFill>
              </w:rPr>
              <w:fldChar w:fldCharType="separate"/>
            </w:r>
            <w:r>
              <w:rPr>
                <w:rFonts w:hint="eastAsia" w:ascii="Times New Roman" w:hAnsi="Times New Roman" w:eastAsia="宋体" w:cs="Times New Roman"/>
                <w:snapToGrid w:val="0"/>
                <w:color w:val="000000" w:themeColor="text1"/>
                <w:kern w:val="21"/>
                <w:szCs w:val="21"/>
                <w14:textFill>
                  <w14:solidFill>
                    <w14:schemeClr w14:val="tx1"/>
                  </w14:solidFill>
                </w14:textFill>
              </w:rPr>
              <w:t>③</w:t>
            </w:r>
            <w:r>
              <w:rPr>
                <w:rFonts w:hint="eastAsia" w:ascii="Times New Roman" w:hAnsi="Times New Roman" w:eastAsia="宋体" w:cs="Times New Roman"/>
                <w:snapToGrid w:val="0"/>
                <w:color w:val="000000" w:themeColor="text1"/>
                <w:kern w:val="21"/>
                <w:szCs w:val="21"/>
                <w:lang w:val="en-US"/>
                <w14:textFill>
                  <w14:solidFill>
                    <w14:schemeClr w14:val="tx1"/>
                  </w14:solidFill>
                </w14:textFill>
              </w:rPr>
              <w:fldChar w:fldCharType="end"/>
            </w:r>
          </w:p>
        </w:tc>
        <w:tc>
          <w:tcPr>
            <w:tcW w:w="1559" w:type="dxa"/>
            <w:tcBorders>
              <w:top w:val="single" w:color="auto" w:sz="8" w:space="0"/>
              <w:left w:val="single" w:color="auto" w:sz="4" w:space="0"/>
              <w:bottom w:val="single" w:color="auto" w:sz="4" w:space="0"/>
              <w:right w:val="single" w:color="auto" w:sz="4" w:space="0"/>
            </w:tcBorders>
            <w:shd w:val="clear" w:color="auto" w:fill="auto"/>
            <w:tcMar>
              <w:left w:w="28" w:type="dxa"/>
              <w:right w:w="28" w:type="dxa"/>
            </w:tcMar>
            <w:vAlign w:val="center"/>
          </w:tcPr>
          <w:p w14:paraId="642E72CE">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snapToGrid w:val="0"/>
                <w:color w:val="000000" w:themeColor="text1"/>
                <w:kern w:val="21"/>
                <w:szCs w:val="21"/>
                <w:lang w:val="en-US"/>
                <w14:textFill>
                  <w14:solidFill>
                    <w14:schemeClr w14:val="tx1"/>
                  </w14:solidFill>
                </w14:textFill>
              </w:rPr>
            </w:pPr>
            <w:r>
              <w:rPr>
                <w:rFonts w:hint="eastAsia" w:ascii="Times New Roman" w:hAnsi="Times New Roman" w:eastAsia="宋体" w:cs="Times New Roman"/>
                <w:snapToGrid w:val="0"/>
                <w:color w:val="000000" w:themeColor="text1"/>
                <w:kern w:val="21"/>
                <w:szCs w:val="21"/>
                <w14:textFill>
                  <w14:solidFill>
                    <w14:schemeClr w14:val="tx1"/>
                  </w14:solidFill>
                </w14:textFill>
              </w:rPr>
              <w:t>本项目</w:t>
            </w:r>
          </w:p>
          <w:p w14:paraId="4309EF10">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snapToGrid w:val="0"/>
                <w:color w:val="000000" w:themeColor="text1"/>
                <w:kern w:val="21"/>
                <w:szCs w:val="21"/>
                <w:lang w:val="en-US"/>
                <w14:textFill>
                  <w14:solidFill>
                    <w14:schemeClr w14:val="tx1"/>
                  </w14:solidFill>
                </w14:textFill>
              </w:rPr>
            </w:pPr>
            <w:r>
              <w:rPr>
                <w:rFonts w:hint="eastAsia" w:ascii="Times New Roman" w:hAnsi="Times New Roman" w:eastAsia="宋体" w:cs="Times New Roman"/>
                <w:snapToGrid w:val="0"/>
                <w:color w:val="000000" w:themeColor="text1"/>
                <w:kern w:val="21"/>
                <w:szCs w:val="21"/>
                <w14:textFill>
                  <w14:solidFill>
                    <w14:schemeClr w14:val="tx1"/>
                  </w14:solidFill>
                </w14:textFill>
              </w:rPr>
              <w:t>排放量（固体废物产生量）</w:t>
            </w:r>
            <w:r>
              <w:rPr>
                <w:rFonts w:hint="eastAsia" w:ascii="Times New Roman" w:hAnsi="Times New Roman" w:eastAsia="宋体" w:cs="Times New Roman"/>
                <w:snapToGrid w:val="0"/>
                <w:color w:val="000000" w:themeColor="text1"/>
                <w:kern w:val="21"/>
                <w:szCs w:val="21"/>
                <w:lang w:val="en-US"/>
                <w14:textFill>
                  <w14:solidFill>
                    <w14:schemeClr w14:val="tx1"/>
                  </w14:solidFill>
                </w14:textFill>
              </w:rPr>
              <w:fldChar w:fldCharType="begin"/>
            </w:r>
            <w:r>
              <w:rPr>
                <w:rFonts w:hint="eastAsia" w:ascii="Times New Roman" w:hAnsi="Times New Roman" w:eastAsia="宋体" w:cs="Times New Roman"/>
                <w:snapToGrid w:val="0"/>
                <w:color w:val="000000" w:themeColor="text1"/>
                <w:kern w:val="21"/>
                <w:szCs w:val="21"/>
                <w:lang w:val="en-US"/>
                <w14:textFill>
                  <w14:solidFill>
                    <w14:schemeClr w14:val="tx1"/>
                  </w14:solidFill>
                </w14:textFill>
              </w:rPr>
              <w:instrText xml:space="preserve"> = 4 \* GB3 \* MERGEFORMAT </w:instrText>
            </w:r>
            <w:r>
              <w:rPr>
                <w:rFonts w:hint="eastAsia" w:ascii="Times New Roman" w:hAnsi="Times New Roman" w:eastAsia="宋体" w:cs="Times New Roman"/>
                <w:snapToGrid w:val="0"/>
                <w:color w:val="000000" w:themeColor="text1"/>
                <w:kern w:val="21"/>
                <w:szCs w:val="21"/>
                <w:lang w:val="en-US"/>
                <w14:textFill>
                  <w14:solidFill>
                    <w14:schemeClr w14:val="tx1"/>
                  </w14:solidFill>
                </w14:textFill>
              </w:rPr>
              <w:fldChar w:fldCharType="separate"/>
            </w:r>
            <w:r>
              <w:rPr>
                <w:rFonts w:hint="eastAsia" w:ascii="Times New Roman" w:hAnsi="Times New Roman" w:eastAsia="宋体" w:cs="Times New Roman"/>
                <w:snapToGrid w:val="0"/>
                <w:color w:val="000000" w:themeColor="text1"/>
                <w:kern w:val="21"/>
                <w:szCs w:val="21"/>
                <w14:textFill>
                  <w14:solidFill>
                    <w14:schemeClr w14:val="tx1"/>
                  </w14:solidFill>
                </w14:textFill>
              </w:rPr>
              <w:t>④</w:t>
            </w:r>
            <w:r>
              <w:rPr>
                <w:rFonts w:hint="eastAsia" w:ascii="Times New Roman" w:hAnsi="Times New Roman" w:eastAsia="宋体" w:cs="Times New Roman"/>
                <w:snapToGrid w:val="0"/>
                <w:color w:val="000000" w:themeColor="text1"/>
                <w:kern w:val="21"/>
                <w:szCs w:val="21"/>
                <w:lang w:val="en-US"/>
                <w14:textFill>
                  <w14:solidFill>
                    <w14:schemeClr w14:val="tx1"/>
                  </w14:solidFill>
                </w14:textFill>
              </w:rPr>
              <w:fldChar w:fldCharType="end"/>
            </w:r>
          </w:p>
        </w:tc>
        <w:tc>
          <w:tcPr>
            <w:tcW w:w="1415" w:type="dxa"/>
            <w:tcBorders>
              <w:top w:val="single" w:color="auto" w:sz="8" w:space="0"/>
              <w:left w:val="single" w:color="auto" w:sz="4" w:space="0"/>
              <w:bottom w:val="single" w:color="auto" w:sz="4" w:space="0"/>
              <w:right w:val="single" w:color="auto" w:sz="4" w:space="0"/>
            </w:tcBorders>
            <w:shd w:val="clear" w:color="auto" w:fill="auto"/>
            <w:tcMar>
              <w:left w:w="28" w:type="dxa"/>
              <w:right w:w="28" w:type="dxa"/>
            </w:tcMar>
            <w:vAlign w:val="center"/>
          </w:tcPr>
          <w:p w14:paraId="0C4C9687">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snapToGrid w:val="0"/>
                <w:color w:val="000000" w:themeColor="text1"/>
                <w:kern w:val="21"/>
                <w:szCs w:val="21"/>
                <w:lang w:val="en-US"/>
                <w14:textFill>
                  <w14:solidFill>
                    <w14:schemeClr w14:val="tx1"/>
                  </w14:solidFill>
                </w14:textFill>
              </w:rPr>
            </w:pPr>
            <w:r>
              <w:rPr>
                <w:rFonts w:hint="eastAsia" w:ascii="Times New Roman" w:hAnsi="Times New Roman" w:eastAsia="宋体" w:cs="Times New Roman"/>
                <w:snapToGrid w:val="0"/>
                <w:color w:val="000000" w:themeColor="text1"/>
                <w:kern w:val="21"/>
                <w:szCs w:val="21"/>
                <w14:textFill>
                  <w14:solidFill>
                    <w14:schemeClr w14:val="tx1"/>
                  </w14:solidFill>
                </w14:textFill>
              </w:rPr>
              <w:t>以新带老削减量</w:t>
            </w:r>
          </w:p>
          <w:p w14:paraId="2C6A6EC0">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snapToGrid w:val="0"/>
                <w:color w:val="000000" w:themeColor="text1"/>
                <w:kern w:val="21"/>
                <w:szCs w:val="21"/>
                <w:lang w:val="en-US"/>
                <w14:textFill>
                  <w14:solidFill>
                    <w14:schemeClr w14:val="tx1"/>
                  </w14:solidFill>
                </w14:textFill>
              </w:rPr>
            </w:pPr>
            <w:r>
              <w:rPr>
                <w:rFonts w:hint="eastAsia" w:ascii="Times New Roman" w:hAnsi="Times New Roman" w:eastAsia="宋体" w:cs="Times New Roman"/>
                <w:snapToGrid w:val="0"/>
                <w:color w:val="000000" w:themeColor="text1"/>
                <w:kern w:val="21"/>
                <w:szCs w:val="21"/>
                <w14:textFill>
                  <w14:solidFill>
                    <w14:schemeClr w14:val="tx1"/>
                  </w14:solidFill>
                </w14:textFill>
              </w:rPr>
              <w:t>（新建项目不填）</w:t>
            </w:r>
            <w:r>
              <w:rPr>
                <w:rFonts w:hint="eastAsia" w:ascii="Times New Roman" w:hAnsi="Times New Roman" w:eastAsia="宋体" w:cs="Times New Roman"/>
                <w:snapToGrid w:val="0"/>
                <w:color w:val="000000" w:themeColor="text1"/>
                <w:kern w:val="21"/>
                <w:szCs w:val="21"/>
                <w:lang w:val="en-US"/>
                <w14:textFill>
                  <w14:solidFill>
                    <w14:schemeClr w14:val="tx1"/>
                  </w14:solidFill>
                </w14:textFill>
              </w:rPr>
              <w:fldChar w:fldCharType="begin"/>
            </w:r>
            <w:r>
              <w:rPr>
                <w:rFonts w:hint="eastAsia" w:ascii="Times New Roman" w:hAnsi="Times New Roman" w:eastAsia="宋体" w:cs="Times New Roman"/>
                <w:snapToGrid w:val="0"/>
                <w:color w:val="000000" w:themeColor="text1"/>
                <w:kern w:val="21"/>
                <w:szCs w:val="21"/>
                <w:lang w:val="en-US"/>
                <w14:textFill>
                  <w14:solidFill>
                    <w14:schemeClr w14:val="tx1"/>
                  </w14:solidFill>
                </w14:textFill>
              </w:rPr>
              <w:instrText xml:space="preserve"> = 5 \* GB3 \* MERGEFORMAT </w:instrText>
            </w:r>
            <w:r>
              <w:rPr>
                <w:rFonts w:hint="eastAsia" w:ascii="Times New Roman" w:hAnsi="Times New Roman" w:eastAsia="宋体" w:cs="Times New Roman"/>
                <w:snapToGrid w:val="0"/>
                <w:color w:val="000000" w:themeColor="text1"/>
                <w:kern w:val="21"/>
                <w:szCs w:val="21"/>
                <w:lang w:val="en-US"/>
                <w14:textFill>
                  <w14:solidFill>
                    <w14:schemeClr w14:val="tx1"/>
                  </w14:solidFill>
                </w14:textFill>
              </w:rPr>
              <w:fldChar w:fldCharType="separate"/>
            </w:r>
            <w:r>
              <w:rPr>
                <w:rFonts w:hint="eastAsia" w:ascii="Times New Roman" w:hAnsi="Times New Roman" w:eastAsia="宋体" w:cs="Times New Roman"/>
                <w:snapToGrid w:val="0"/>
                <w:color w:val="000000" w:themeColor="text1"/>
                <w:kern w:val="21"/>
                <w:szCs w:val="21"/>
                <w14:textFill>
                  <w14:solidFill>
                    <w14:schemeClr w14:val="tx1"/>
                  </w14:solidFill>
                </w14:textFill>
              </w:rPr>
              <w:t>⑤</w:t>
            </w:r>
            <w:r>
              <w:rPr>
                <w:rFonts w:hint="eastAsia" w:ascii="Times New Roman" w:hAnsi="Times New Roman" w:eastAsia="宋体" w:cs="Times New Roman"/>
                <w:snapToGrid w:val="0"/>
                <w:color w:val="000000" w:themeColor="text1"/>
                <w:kern w:val="21"/>
                <w:szCs w:val="21"/>
                <w:lang w:val="en-US"/>
                <w14:textFill>
                  <w14:solidFill>
                    <w14:schemeClr w14:val="tx1"/>
                  </w14:solidFill>
                </w14:textFill>
              </w:rPr>
              <w:fldChar w:fldCharType="end"/>
            </w:r>
          </w:p>
        </w:tc>
        <w:tc>
          <w:tcPr>
            <w:tcW w:w="1883" w:type="dxa"/>
            <w:tcBorders>
              <w:top w:val="single" w:color="auto" w:sz="8" w:space="0"/>
              <w:left w:val="single" w:color="auto" w:sz="4" w:space="0"/>
              <w:bottom w:val="single" w:color="auto" w:sz="4" w:space="0"/>
              <w:right w:val="single" w:color="auto" w:sz="4" w:space="0"/>
            </w:tcBorders>
            <w:shd w:val="clear" w:color="auto" w:fill="auto"/>
            <w:tcMar>
              <w:left w:w="28" w:type="dxa"/>
              <w:right w:w="28" w:type="dxa"/>
            </w:tcMar>
            <w:vAlign w:val="center"/>
          </w:tcPr>
          <w:p w14:paraId="55EE8028">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snapToGrid w:val="0"/>
                <w:color w:val="000000" w:themeColor="text1"/>
                <w:kern w:val="21"/>
                <w:szCs w:val="21"/>
                <w:lang w:val="en-US"/>
                <w14:textFill>
                  <w14:solidFill>
                    <w14:schemeClr w14:val="tx1"/>
                  </w14:solidFill>
                </w14:textFill>
              </w:rPr>
            </w:pPr>
            <w:r>
              <w:rPr>
                <w:rFonts w:hint="eastAsia" w:ascii="Times New Roman" w:hAnsi="Times New Roman" w:eastAsia="宋体" w:cs="Times New Roman"/>
                <w:snapToGrid w:val="0"/>
                <w:color w:val="000000" w:themeColor="text1"/>
                <w:kern w:val="21"/>
                <w:szCs w:val="21"/>
                <w14:textFill>
                  <w14:solidFill>
                    <w14:schemeClr w14:val="tx1"/>
                  </w14:solidFill>
                </w14:textFill>
              </w:rPr>
              <w:t>本项目建成后</w:t>
            </w:r>
          </w:p>
          <w:p w14:paraId="1D7AB0E3">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snapToGrid w:val="0"/>
                <w:color w:val="000000" w:themeColor="text1"/>
                <w:kern w:val="21"/>
                <w:szCs w:val="21"/>
                <w:lang w:val="en-US"/>
                <w14:textFill>
                  <w14:solidFill>
                    <w14:schemeClr w14:val="tx1"/>
                  </w14:solidFill>
                </w14:textFill>
              </w:rPr>
            </w:pPr>
            <w:r>
              <w:rPr>
                <w:rFonts w:hint="eastAsia" w:ascii="Times New Roman" w:hAnsi="Times New Roman" w:eastAsia="宋体" w:cs="Times New Roman"/>
                <w:snapToGrid w:val="0"/>
                <w:color w:val="000000" w:themeColor="text1"/>
                <w:kern w:val="21"/>
                <w:szCs w:val="21"/>
                <w14:textFill>
                  <w14:solidFill>
                    <w14:schemeClr w14:val="tx1"/>
                  </w14:solidFill>
                </w14:textFill>
              </w:rPr>
              <w:t>全厂排放量（固体废物产生量）</w:t>
            </w:r>
            <w:r>
              <w:rPr>
                <w:rFonts w:hint="eastAsia" w:ascii="Times New Roman" w:hAnsi="Times New Roman" w:eastAsia="宋体" w:cs="Times New Roman"/>
                <w:snapToGrid w:val="0"/>
                <w:color w:val="000000" w:themeColor="text1"/>
                <w:kern w:val="21"/>
                <w:szCs w:val="21"/>
                <w:lang w:val="en-US"/>
                <w14:textFill>
                  <w14:solidFill>
                    <w14:schemeClr w14:val="tx1"/>
                  </w14:solidFill>
                </w14:textFill>
              </w:rPr>
              <w:fldChar w:fldCharType="begin"/>
            </w:r>
            <w:r>
              <w:rPr>
                <w:rFonts w:hint="eastAsia" w:ascii="Times New Roman" w:hAnsi="Times New Roman" w:eastAsia="宋体" w:cs="Times New Roman"/>
                <w:snapToGrid w:val="0"/>
                <w:color w:val="000000" w:themeColor="text1"/>
                <w:kern w:val="21"/>
                <w:szCs w:val="21"/>
                <w:lang w:val="en-US"/>
                <w14:textFill>
                  <w14:solidFill>
                    <w14:schemeClr w14:val="tx1"/>
                  </w14:solidFill>
                </w14:textFill>
              </w:rPr>
              <w:instrText xml:space="preserve"> = 6 \* GB3 \* MERGEFORMAT </w:instrText>
            </w:r>
            <w:r>
              <w:rPr>
                <w:rFonts w:hint="eastAsia" w:ascii="Times New Roman" w:hAnsi="Times New Roman" w:eastAsia="宋体" w:cs="Times New Roman"/>
                <w:snapToGrid w:val="0"/>
                <w:color w:val="000000" w:themeColor="text1"/>
                <w:kern w:val="21"/>
                <w:szCs w:val="21"/>
                <w:lang w:val="en-US"/>
                <w14:textFill>
                  <w14:solidFill>
                    <w14:schemeClr w14:val="tx1"/>
                  </w14:solidFill>
                </w14:textFill>
              </w:rPr>
              <w:fldChar w:fldCharType="separate"/>
            </w:r>
            <w:r>
              <w:rPr>
                <w:rFonts w:hint="eastAsia" w:ascii="Times New Roman" w:hAnsi="Times New Roman" w:eastAsia="宋体" w:cs="Times New Roman"/>
                <w:snapToGrid w:val="0"/>
                <w:color w:val="000000" w:themeColor="text1"/>
                <w:kern w:val="21"/>
                <w:szCs w:val="21"/>
                <w14:textFill>
                  <w14:solidFill>
                    <w14:schemeClr w14:val="tx1"/>
                  </w14:solidFill>
                </w14:textFill>
              </w:rPr>
              <w:t>⑥</w:t>
            </w:r>
            <w:r>
              <w:rPr>
                <w:rFonts w:hint="eastAsia" w:ascii="Times New Roman" w:hAnsi="Times New Roman" w:eastAsia="宋体" w:cs="Times New Roman"/>
                <w:snapToGrid w:val="0"/>
                <w:color w:val="000000" w:themeColor="text1"/>
                <w:kern w:val="21"/>
                <w:szCs w:val="21"/>
                <w:lang w:val="en-US"/>
                <w14:textFill>
                  <w14:solidFill>
                    <w14:schemeClr w14:val="tx1"/>
                  </w14:solidFill>
                </w14:textFill>
              </w:rPr>
              <w:fldChar w:fldCharType="end"/>
            </w:r>
          </w:p>
        </w:tc>
        <w:tc>
          <w:tcPr>
            <w:tcW w:w="1248" w:type="dxa"/>
            <w:tcBorders>
              <w:top w:val="single" w:color="auto" w:sz="8" w:space="0"/>
              <w:left w:val="single" w:color="auto" w:sz="4" w:space="0"/>
              <w:bottom w:val="single" w:color="auto" w:sz="4" w:space="0"/>
              <w:right w:val="single" w:color="auto" w:sz="8" w:space="0"/>
            </w:tcBorders>
            <w:shd w:val="clear" w:color="auto" w:fill="auto"/>
            <w:tcMar>
              <w:left w:w="28" w:type="dxa"/>
              <w:right w:w="28" w:type="dxa"/>
            </w:tcMar>
            <w:vAlign w:val="center"/>
          </w:tcPr>
          <w:p w14:paraId="51689754">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snapToGrid w:val="0"/>
                <w:color w:val="000000" w:themeColor="text1"/>
                <w:kern w:val="21"/>
                <w:szCs w:val="21"/>
                <w:lang w:val="en-US"/>
                <w14:textFill>
                  <w14:solidFill>
                    <w14:schemeClr w14:val="tx1"/>
                  </w14:solidFill>
                </w14:textFill>
              </w:rPr>
            </w:pPr>
            <w:r>
              <w:rPr>
                <w:rFonts w:hint="eastAsia" w:ascii="Times New Roman" w:hAnsi="Times New Roman" w:eastAsia="宋体" w:cs="Times New Roman"/>
                <w:snapToGrid w:val="0"/>
                <w:color w:val="000000" w:themeColor="text1"/>
                <w:kern w:val="21"/>
                <w:szCs w:val="21"/>
                <w14:textFill>
                  <w14:solidFill>
                    <w14:schemeClr w14:val="tx1"/>
                  </w14:solidFill>
                </w14:textFill>
              </w:rPr>
              <w:t>变化量</w:t>
            </w:r>
          </w:p>
          <w:p w14:paraId="16FC6324">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snapToGrid w:val="0"/>
                <w:color w:val="000000" w:themeColor="text1"/>
                <w:kern w:val="21"/>
                <w:szCs w:val="21"/>
                <w:lang w:val="en-US"/>
                <w14:textFill>
                  <w14:solidFill>
                    <w14:schemeClr w14:val="tx1"/>
                  </w14:solidFill>
                </w14:textFill>
              </w:rPr>
            </w:pPr>
            <w:r>
              <w:rPr>
                <w:rFonts w:hint="eastAsia" w:ascii="Times New Roman" w:hAnsi="Times New Roman" w:eastAsia="宋体" w:cs="Times New Roman"/>
                <w:snapToGrid w:val="0"/>
                <w:color w:val="000000" w:themeColor="text1"/>
                <w:kern w:val="21"/>
                <w:szCs w:val="21"/>
                <w:lang w:val="en-US"/>
                <w14:textFill>
                  <w14:solidFill>
                    <w14:schemeClr w14:val="tx1"/>
                  </w14:solidFill>
                </w14:textFill>
              </w:rPr>
              <w:fldChar w:fldCharType="begin"/>
            </w:r>
            <w:r>
              <w:rPr>
                <w:rFonts w:hint="eastAsia" w:ascii="Times New Roman" w:hAnsi="Times New Roman" w:eastAsia="宋体" w:cs="Times New Roman"/>
                <w:snapToGrid w:val="0"/>
                <w:color w:val="000000" w:themeColor="text1"/>
                <w:kern w:val="21"/>
                <w:szCs w:val="21"/>
                <w:lang w:val="en-US"/>
                <w14:textFill>
                  <w14:solidFill>
                    <w14:schemeClr w14:val="tx1"/>
                  </w14:solidFill>
                </w14:textFill>
              </w:rPr>
              <w:instrText xml:space="preserve"> = 7 \* GB3 \* MERGEFORMAT </w:instrText>
            </w:r>
            <w:r>
              <w:rPr>
                <w:rFonts w:hint="eastAsia" w:ascii="Times New Roman" w:hAnsi="Times New Roman" w:eastAsia="宋体" w:cs="Times New Roman"/>
                <w:snapToGrid w:val="0"/>
                <w:color w:val="000000" w:themeColor="text1"/>
                <w:kern w:val="21"/>
                <w:szCs w:val="21"/>
                <w:lang w:val="en-US"/>
                <w14:textFill>
                  <w14:solidFill>
                    <w14:schemeClr w14:val="tx1"/>
                  </w14:solidFill>
                </w14:textFill>
              </w:rPr>
              <w:fldChar w:fldCharType="separate"/>
            </w:r>
            <w:r>
              <w:rPr>
                <w:rFonts w:hint="eastAsia" w:ascii="Times New Roman" w:hAnsi="Times New Roman" w:eastAsia="宋体" w:cs="Times New Roman"/>
                <w:snapToGrid w:val="0"/>
                <w:color w:val="000000" w:themeColor="text1"/>
                <w:kern w:val="21"/>
                <w:szCs w:val="21"/>
                <w14:textFill>
                  <w14:solidFill>
                    <w14:schemeClr w14:val="tx1"/>
                  </w14:solidFill>
                </w14:textFill>
              </w:rPr>
              <w:t>⑦</w:t>
            </w:r>
            <w:r>
              <w:rPr>
                <w:rFonts w:hint="eastAsia" w:ascii="Times New Roman" w:hAnsi="Times New Roman" w:eastAsia="宋体" w:cs="Times New Roman"/>
                <w:snapToGrid w:val="0"/>
                <w:color w:val="000000" w:themeColor="text1"/>
                <w:kern w:val="21"/>
                <w:szCs w:val="21"/>
                <w:lang w:val="en-US"/>
                <w14:textFill>
                  <w14:solidFill>
                    <w14:schemeClr w14:val="tx1"/>
                  </w14:solidFill>
                </w14:textFill>
              </w:rPr>
              <w:fldChar w:fldCharType="end"/>
            </w:r>
          </w:p>
        </w:tc>
      </w:tr>
      <w:tr w14:paraId="19B138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959" w:type="dxa"/>
            <w:vMerge w:val="restart"/>
            <w:tcBorders>
              <w:top w:val="single" w:color="auto" w:sz="4" w:space="0"/>
              <w:left w:val="single" w:color="auto" w:sz="8" w:space="0"/>
              <w:right w:val="single" w:color="auto" w:sz="4" w:space="0"/>
            </w:tcBorders>
            <w:shd w:val="clear" w:color="auto" w:fill="auto"/>
            <w:vAlign w:val="center"/>
          </w:tcPr>
          <w:p w14:paraId="75023F16">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14:textFill>
                  <w14:solidFill>
                    <w14:schemeClr w14:val="tx1"/>
                  </w14:solidFill>
                </w14:textFill>
              </w:rPr>
            </w:pPr>
            <w:r>
              <w:rPr>
                <w:rFonts w:hint="default" w:ascii="Times New Roman" w:hAnsi="Times New Roman" w:eastAsia="宋体" w:cs="Times New Roman"/>
                <w:snapToGrid w:val="0"/>
                <w:color w:val="000000" w:themeColor="text1"/>
                <w:kern w:val="21"/>
                <w:szCs w:val="21"/>
                <w14:textFill>
                  <w14:solidFill>
                    <w14:schemeClr w14:val="tx1"/>
                  </w14:solidFill>
                </w14:textFill>
              </w:rPr>
              <w:t>废气</w:t>
            </w:r>
          </w:p>
        </w:tc>
        <w:tc>
          <w:tcPr>
            <w:tcW w:w="2211" w:type="dxa"/>
            <w:tcBorders>
              <w:top w:val="single" w:color="auto" w:sz="4" w:space="0"/>
              <w:left w:val="single" w:color="auto" w:sz="4" w:space="0"/>
              <w:bottom w:val="single" w:color="auto" w:sz="4" w:space="0"/>
              <w:right w:val="single" w:color="auto" w:sz="4" w:space="0"/>
            </w:tcBorders>
            <w:shd w:val="clear" w:color="auto" w:fill="auto"/>
            <w:vAlign w:val="center"/>
          </w:tcPr>
          <w:p w14:paraId="5AC9B0B5">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颗粒物</w:t>
            </w:r>
          </w:p>
        </w:tc>
        <w:tc>
          <w:tcPr>
            <w:tcW w:w="1535" w:type="dxa"/>
            <w:tcBorders>
              <w:top w:val="single" w:color="auto" w:sz="4" w:space="0"/>
              <w:left w:val="single" w:color="auto" w:sz="4" w:space="0"/>
              <w:bottom w:val="single" w:color="auto" w:sz="4" w:space="0"/>
              <w:right w:val="single" w:color="auto" w:sz="4" w:space="0"/>
            </w:tcBorders>
            <w:shd w:val="clear" w:color="auto" w:fill="auto"/>
            <w:vAlign w:val="center"/>
          </w:tcPr>
          <w:p w14:paraId="7713732C">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pP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3A8B62FC">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14:textFill>
                  <w14:solidFill>
                    <w14:schemeClr w14:val="tx1"/>
                  </w14:solidFill>
                </w14:textFill>
              </w:rPr>
            </w:pPr>
          </w:p>
        </w:tc>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14:paraId="45CAC4A5">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16973853">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0.</w:t>
            </w:r>
            <w:r>
              <w:rPr>
                <w:rFonts w:hint="eastAsia" w:ascii="Times New Roman" w:cs="Times New Roman"/>
                <w:snapToGrid w:val="0"/>
                <w:color w:val="000000" w:themeColor="text1"/>
                <w:kern w:val="21"/>
                <w:szCs w:val="21"/>
                <w:lang w:val="en-US" w:eastAsia="zh-CN"/>
                <w14:textFill>
                  <w14:solidFill>
                    <w14:schemeClr w14:val="tx1"/>
                  </w14:solidFill>
                </w14:textFill>
              </w:rPr>
              <w:t>0583</w:t>
            </w: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t/a</w:t>
            </w:r>
          </w:p>
        </w:tc>
        <w:tc>
          <w:tcPr>
            <w:tcW w:w="1415" w:type="dxa"/>
            <w:tcBorders>
              <w:top w:val="single" w:color="auto" w:sz="4" w:space="0"/>
              <w:left w:val="single" w:color="auto" w:sz="4" w:space="0"/>
              <w:bottom w:val="single" w:color="auto" w:sz="4" w:space="0"/>
              <w:right w:val="single" w:color="auto" w:sz="4" w:space="0"/>
            </w:tcBorders>
            <w:shd w:val="clear" w:color="auto" w:fill="auto"/>
            <w:vAlign w:val="center"/>
          </w:tcPr>
          <w:p w14:paraId="5F455833">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14:textFill>
                  <w14:solidFill>
                    <w14:schemeClr w14:val="tx1"/>
                  </w14:solidFill>
                </w14:textFill>
              </w:rPr>
            </w:pPr>
          </w:p>
        </w:tc>
        <w:tc>
          <w:tcPr>
            <w:tcW w:w="1883" w:type="dxa"/>
            <w:tcBorders>
              <w:top w:val="single" w:color="auto" w:sz="4" w:space="0"/>
              <w:left w:val="single" w:color="auto" w:sz="4" w:space="0"/>
              <w:bottom w:val="single" w:color="auto" w:sz="4" w:space="0"/>
              <w:right w:val="single" w:color="auto" w:sz="4" w:space="0"/>
            </w:tcBorders>
            <w:shd w:val="clear" w:color="auto" w:fill="auto"/>
            <w:vAlign w:val="center"/>
          </w:tcPr>
          <w:p w14:paraId="39C54906">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cs="Times New Roman"/>
                <w:snapToGrid w:val="0"/>
                <w:color w:val="000000" w:themeColor="text1"/>
                <w:kern w:val="21"/>
                <w:szCs w:val="21"/>
                <w:lang w:val="en-US" w:eastAsia="zh-CN"/>
                <w14:textFill>
                  <w14:solidFill>
                    <w14:schemeClr w14:val="tx1"/>
                  </w14:solidFill>
                </w14:textFill>
              </w:rPr>
              <w:t>0.0583</w:t>
            </w: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t/a</w:t>
            </w:r>
          </w:p>
        </w:tc>
        <w:tc>
          <w:tcPr>
            <w:tcW w:w="1248" w:type="dxa"/>
            <w:tcBorders>
              <w:top w:val="single" w:color="auto" w:sz="4" w:space="0"/>
              <w:left w:val="single" w:color="auto" w:sz="4" w:space="0"/>
              <w:bottom w:val="single" w:color="auto" w:sz="4" w:space="0"/>
              <w:right w:val="single" w:color="auto" w:sz="8" w:space="0"/>
            </w:tcBorders>
            <w:shd w:val="clear" w:color="auto" w:fill="auto"/>
            <w:vAlign w:val="center"/>
          </w:tcPr>
          <w:p w14:paraId="3FCBDC6B">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cs="Times New Roman"/>
                <w:snapToGrid w:val="0"/>
                <w:color w:val="000000" w:themeColor="text1"/>
                <w:kern w:val="21"/>
                <w:szCs w:val="21"/>
                <w:lang w:val="en-US" w:eastAsia="zh-CN"/>
                <w14:textFill>
                  <w14:solidFill>
                    <w14:schemeClr w14:val="tx1"/>
                  </w14:solidFill>
                </w14:textFill>
              </w:rPr>
              <w:t>+0.0583</w:t>
            </w: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t/a</w:t>
            </w:r>
          </w:p>
        </w:tc>
      </w:tr>
      <w:tr w14:paraId="0BF6C3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959" w:type="dxa"/>
            <w:vMerge w:val="continue"/>
            <w:tcBorders>
              <w:left w:val="single" w:color="auto" w:sz="8" w:space="0"/>
              <w:right w:val="single" w:color="auto" w:sz="4" w:space="0"/>
            </w:tcBorders>
            <w:shd w:val="clear" w:color="auto" w:fill="auto"/>
            <w:vAlign w:val="center"/>
          </w:tcPr>
          <w:p w14:paraId="34021FC8">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14:textFill>
                  <w14:solidFill>
                    <w14:schemeClr w14:val="tx1"/>
                  </w14:solidFill>
                </w14:textFill>
              </w:rPr>
            </w:pPr>
          </w:p>
        </w:tc>
        <w:tc>
          <w:tcPr>
            <w:tcW w:w="2211" w:type="dxa"/>
            <w:tcBorders>
              <w:top w:val="single" w:color="auto" w:sz="4" w:space="0"/>
              <w:left w:val="single" w:color="auto" w:sz="4" w:space="0"/>
              <w:bottom w:val="single" w:color="auto" w:sz="4" w:space="0"/>
              <w:right w:val="single" w:color="auto" w:sz="4" w:space="0"/>
            </w:tcBorders>
            <w:shd w:val="clear" w:color="auto" w:fill="auto"/>
            <w:vAlign w:val="center"/>
          </w:tcPr>
          <w:p w14:paraId="2D7117B0">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锡及其化合物</w:t>
            </w:r>
          </w:p>
        </w:tc>
        <w:tc>
          <w:tcPr>
            <w:tcW w:w="1535" w:type="dxa"/>
            <w:tcBorders>
              <w:top w:val="single" w:color="auto" w:sz="4" w:space="0"/>
              <w:left w:val="single" w:color="auto" w:sz="4" w:space="0"/>
              <w:bottom w:val="single" w:color="auto" w:sz="4" w:space="0"/>
              <w:right w:val="single" w:color="auto" w:sz="4" w:space="0"/>
            </w:tcBorders>
            <w:shd w:val="clear" w:color="auto" w:fill="auto"/>
            <w:vAlign w:val="center"/>
          </w:tcPr>
          <w:p w14:paraId="32AEF479">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2EC453BB">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14:textFill>
                  <w14:solidFill>
                    <w14:schemeClr w14:val="tx1"/>
                  </w14:solidFill>
                </w14:textFill>
              </w:rPr>
            </w:pPr>
          </w:p>
        </w:tc>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14:paraId="497691D6">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5B060E84">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0.</w:t>
            </w:r>
            <w:r>
              <w:rPr>
                <w:rFonts w:hint="eastAsia" w:ascii="Times New Roman" w:cs="Times New Roman"/>
                <w:snapToGrid w:val="0"/>
                <w:color w:val="000000" w:themeColor="text1"/>
                <w:kern w:val="21"/>
                <w:szCs w:val="21"/>
                <w:lang w:val="en-US" w:eastAsia="zh-CN"/>
                <w14:textFill>
                  <w14:solidFill>
                    <w14:schemeClr w14:val="tx1"/>
                  </w14:solidFill>
                </w14:textFill>
              </w:rPr>
              <w:t>15</w:t>
            </w: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kg/a</w:t>
            </w:r>
          </w:p>
        </w:tc>
        <w:tc>
          <w:tcPr>
            <w:tcW w:w="1415" w:type="dxa"/>
            <w:tcBorders>
              <w:top w:val="single" w:color="auto" w:sz="4" w:space="0"/>
              <w:left w:val="single" w:color="auto" w:sz="4" w:space="0"/>
              <w:bottom w:val="single" w:color="auto" w:sz="4" w:space="0"/>
              <w:right w:val="single" w:color="auto" w:sz="4" w:space="0"/>
            </w:tcBorders>
            <w:shd w:val="clear" w:color="auto" w:fill="auto"/>
            <w:vAlign w:val="center"/>
          </w:tcPr>
          <w:p w14:paraId="481E673B">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p>
        </w:tc>
        <w:tc>
          <w:tcPr>
            <w:tcW w:w="1883" w:type="dxa"/>
            <w:tcBorders>
              <w:top w:val="single" w:color="auto" w:sz="4" w:space="0"/>
              <w:left w:val="single" w:color="auto" w:sz="4" w:space="0"/>
              <w:bottom w:val="single" w:color="auto" w:sz="4" w:space="0"/>
              <w:right w:val="single" w:color="auto" w:sz="4" w:space="0"/>
            </w:tcBorders>
            <w:shd w:val="clear" w:color="auto" w:fill="auto"/>
            <w:vAlign w:val="center"/>
          </w:tcPr>
          <w:p w14:paraId="409A8B5C">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0.</w:t>
            </w:r>
            <w:r>
              <w:rPr>
                <w:rFonts w:hint="eastAsia" w:ascii="Times New Roman" w:cs="Times New Roman"/>
                <w:snapToGrid w:val="0"/>
                <w:color w:val="000000" w:themeColor="text1"/>
                <w:kern w:val="21"/>
                <w:szCs w:val="21"/>
                <w:lang w:val="en-US" w:eastAsia="zh-CN"/>
                <w14:textFill>
                  <w14:solidFill>
                    <w14:schemeClr w14:val="tx1"/>
                  </w14:solidFill>
                </w14:textFill>
              </w:rPr>
              <w:t>15</w:t>
            </w: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kg/a</w:t>
            </w:r>
          </w:p>
        </w:tc>
        <w:tc>
          <w:tcPr>
            <w:tcW w:w="1248" w:type="dxa"/>
            <w:tcBorders>
              <w:top w:val="single" w:color="auto" w:sz="4" w:space="0"/>
              <w:left w:val="single" w:color="auto" w:sz="4" w:space="0"/>
              <w:bottom w:val="single" w:color="auto" w:sz="4" w:space="0"/>
              <w:right w:val="single" w:color="auto" w:sz="8" w:space="0"/>
            </w:tcBorders>
            <w:shd w:val="clear" w:color="auto" w:fill="auto"/>
            <w:vAlign w:val="center"/>
          </w:tcPr>
          <w:p w14:paraId="4F48452F">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+0.</w:t>
            </w:r>
            <w:r>
              <w:rPr>
                <w:rFonts w:hint="eastAsia" w:ascii="Times New Roman" w:cs="Times New Roman"/>
                <w:snapToGrid w:val="0"/>
                <w:color w:val="000000" w:themeColor="text1"/>
                <w:kern w:val="21"/>
                <w:szCs w:val="21"/>
                <w:lang w:val="en-US" w:eastAsia="zh-CN"/>
                <w14:textFill>
                  <w14:solidFill>
                    <w14:schemeClr w14:val="tx1"/>
                  </w14:solidFill>
                </w14:textFill>
              </w:rPr>
              <w:t>15</w:t>
            </w: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kg/a</w:t>
            </w:r>
          </w:p>
        </w:tc>
      </w:tr>
      <w:tr w14:paraId="6BD9B8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959" w:type="dxa"/>
            <w:vMerge w:val="continue"/>
            <w:tcBorders>
              <w:left w:val="single" w:color="auto" w:sz="8" w:space="0"/>
              <w:right w:val="single" w:color="auto" w:sz="4" w:space="0"/>
            </w:tcBorders>
            <w:shd w:val="clear" w:color="auto" w:fill="auto"/>
            <w:vAlign w:val="center"/>
          </w:tcPr>
          <w:p w14:paraId="6D5D8D6A">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14:textFill>
                  <w14:solidFill>
                    <w14:schemeClr w14:val="tx1"/>
                  </w14:solidFill>
                </w14:textFill>
              </w:rPr>
            </w:pPr>
          </w:p>
        </w:tc>
        <w:tc>
          <w:tcPr>
            <w:tcW w:w="2211" w:type="dxa"/>
            <w:tcBorders>
              <w:top w:val="single" w:color="auto" w:sz="4" w:space="0"/>
              <w:left w:val="single" w:color="auto" w:sz="4" w:space="0"/>
              <w:bottom w:val="single" w:color="auto" w:sz="4" w:space="0"/>
              <w:right w:val="single" w:color="auto" w:sz="4" w:space="0"/>
            </w:tcBorders>
            <w:shd w:val="clear" w:color="auto" w:fill="auto"/>
            <w:vAlign w:val="center"/>
          </w:tcPr>
          <w:p w14:paraId="1D6D2542">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非甲烷总烃</w:t>
            </w:r>
          </w:p>
        </w:tc>
        <w:tc>
          <w:tcPr>
            <w:tcW w:w="1535" w:type="dxa"/>
            <w:tcBorders>
              <w:top w:val="single" w:color="auto" w:sz="4" w:space="0"/>
              <w:left w:val="single" w:color="auto" w:sz="4" w:space="0"/>
              <w:bottom w:val="single" w:color="auto" w:sz="4" w:space="0"/>
              <w:right w:val="single" w:color="auto" w:sz="4" w:space="0"/>
            </w:tcBorders>
            <w:shd w:val="clear" w:color="auto" w:fill="auto"/>
            <w:vAlign w:val="center"/>
          </w:tcPr>
          <w:p w14:paraId="4D91B66E">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pP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6089CC8C">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14:textFill>
                  <w14:solidFill>
                    <w14:schemeClr w14:val="tx1"/>
                  </w14:solidFill>
                </w14:textFill>
              </w:rPr>
            </w:pPr>
          </w:p>
        </w:tc>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14:paraId="1EC4D5E3">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39F488BF">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0.</w:t>
            </w: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138</w:t>
            </w: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t/a</w:t>
            </w:r>
          </w:p>
        </w:tc>
        <w:tc>
          <w:tcPr>
            <w:tcW w:w="1415" w:type="dxa"/>
            <w:tcBorders>
              <w:top w:val="single" w:color="auto" w:sz="4" w:space="0"/>
              <w:left w:val="single" w:color="auto" w:sz="4" w:space="0"/>
              <w:bottom w:val="single" w:color="auto" w:sz="4" w:space="0"/>
              <w:right w:val="single" w:color="auto" w:sz="4" w:space="0"/>
            </w:tcBorders>
            <w:shd w:val="clear" w:color="auto" w:fill="auto"/>
            <w:vAlign w:val="center"/>
          </w:tcPr>
          <w:p w14:paraId="4716AB0E">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14:textFill>
                  <w14:solidFill>
                    <w14:schemeClr w14:val="tx1"/>
                  </w14:solidFill>
                </w14:textFill>
              </w:rPr>
            </w:pPr>
          </w:p>
        </w:tc>
        <w:tc>
          <w:tcPr>
            <w:tcW w:w="1883" w:type="dxa"/>
            <w:tcBorders>
              <w:top w:val="single" w:color="auto" w:sz="4" w:space="0"/>
              <w:left w:val="single" w:color="auto" w:sz="4" w:space="0"/>
              <w:bottom w:val="single" w:color="auto" w:sz="4" w:space="0"/>
              <w:right w:val="single" w:color="auto" w:sz="4" w:space="0"/>
            </w:tcBorders>
            <w:shd w:val="clear" w:color="auto" w:fill="auto"/>
            <w:vAlign w:val="center"/>
          </w:tcPr>
          <w:p w14:paraId="62E6CE0E">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0.138</w:t>
            </w: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t/a</w:t>
            </w:r>
          </w:p>
        </w:tc>
        <w:tc>
          <w:tcPr>
            <w:tcW w:w="1248" w:type="dxa"/>
            <w:tcBorders>
              <w:top w:val="single" w:color="auto" w:sz="4" w:space="0"/>
              <w:left w:val="single" w:color="auto" w:sz="4" w:space="0"/>
              <w:bottom w:val="single" w:color="auto" w:sz="4" w:space="0"/>
              <w:right w:val="single" w:color="auto" w:sz="8" w:space="0"/>
            </w:tcBorders>
            <w:shd w:val="clear" w:color="auto" w:fill="auto"/>
            <w:vAlign w:val="center"/>
          </w:tcPr>
          <w:p w14:paraId="2B1FD01A">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+0.138</w:t>
            </w: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t/a</w:t>
            </w:r>
          </w:p>
        </w:tc>
      </w:tr>
      <w:tr w14:paraId="63C18C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959" w:type="dxa"/>
            <w:vMerge w:val="restart"/>
            <w:tcBorders>
              <w:top w:val="single" w:color="auto" w:sz="4" w:space="0"/>
              <w:left w:val="single" w:color="auto" w:sz="8" w:space="0"/>
              <w:right w:val="single" w:color="auto" w:sz="4" w:space="0"/>
            </w:tcBorders>
            <w:shd w:val="clear" w:color="auto" w:fill="auto"/>
            <w:vAlign w:val="center"/>
          </w:tcPr>
          <w:p w14:paraId="11C714D5">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14:textFill>
                  <w14:solidFill>
                    <w14:schemeClr w14:val="tx1"/>
                  </w14:solidFill>
                </w14:textFill>
              </w:rPr>
            </w:pPr>
            <w:r>
              <w:rPr>
                <w:rFonts w:hint="default" w:ascii="Times New Roman" w:hAnsi="Times New Roman" w:eastAsia="宋体" w:cs="Times New Roman"/>
                <w:snapToGrid w:val="0"/>
                <w:color w:val="000000" w:themeColor="text1"/>
                <w:kern w:val="21"/>
                <w:szCs w:val="21"/>
                <w14:textFill>
                  <w14:solidFill>
                    <w14:schemeClr w14:val="tx1"/>
                  </w14:solidFill>
                </w14:textFill>
              </w:rPr>
              <w:t>废水</w:t>
            </w:r>
          </w:p>
        </w:tc>
        <w:tc>
          <w:tcPr>
            <w:tcW w:w="2211" w:type="dxa"/>
            <w:tcBorders>
              <w:top w:val="single" w:color="auto" w:sz="4" w:space="0"/>
              <w:left w:val="single" w:color="auto" w:sz="4" w:space="0"/>
              <w:bottom w:val="single" w:color="auto" w:sz="4" w:space="0"/>
              <w:right w:val="single" w:color="auto" w:sz="4" w:space="0"/>
            </w:tcBorders>
            <w:shd w:val="clear" w:color="auto" w:fill="auto"/>
            <w:vAlign w:val="center"/>
          </w:tcPr>
          <w:p w14:paraId="7E260B28">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生活污水</w:t>
            </w:r>
          </w:p>
        </w:tc>
        <w:tc>
          <w:tcPr>
            <w:tcW w:w="1535" w:type="dxa"/>
            <w:tcBorders>
              <w:top w:val="single" w:color="auto" w:sz="4" w:space="0"/>
              <w:left w:val="single" w:color="auto" w:sz="4" w:space="0"/>
              <w:bottom w:val="single" w:color="auto" w:sz="4" w:space="0"/>
              <w:right w:val="single" w:color="auto" w:sz="4" w:space="0"/>
            </w:tcBorders>
            <w:shd w:val="clear" w:color="auto" w:fill="auto"/>
            <w:vAlign w:val="center"/>
          </w:tcPr>
          <w:p w14:paraId="46CB2704">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pP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5A7B93ED">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14:textFill>
                  <w14:solidFill>
                    <w14:schemeClr w14:val="tx1"/>
                  </w14:solidFill>
                </w14:textFill>
              </w:rPr>
            </w:pPr>
          </w:p>
        </w:tc>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14:paraId="7541A5BB">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6F751426">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638m³</w:t>
            </w: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/a</w:t>
            </w:r>
          </w:p>
        </w:tc>
        <w:tc>
          <w:tcPr>
            <w:tcW w:w="1415" w:type="dxa"/>
            <w:tcBorders>
              <w:top w:val="single" w:color="auto" w:sz="4" w:space="0"/>
              <w:left w:val="single" w:color="auto" w:sz="4" w:space="0"/>
              <w:bottom w:val="single" w:color="auto" w:sz="4" w:space="0"/>
              <w:right w:val="single" w:color="auto" w:sz="4" w:space="0"/>
            </w:tcBorders>
            <w:shd w:val="clear" w:color="auto" w:fill="auto"/>
            <w:vAlign w:val="center"/>
          </w:tcPr>
          <w:p w14:paraId="794110A1">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14:textFill>
                  <w14:solidFill>
                    <w14:schemeClr w14:val="tx1"/>
                  </w14:solidFill>
                </w14:textFill>
              </w:rPr>
            </w:pPr>
          </w:p>
        </w:tc>
        <w:tc>
          <w:tcPr>
            <w:tcW w:w="1883" w:type="dxa"/>
            <w:tcBorders>
              <w:top w:val="single" w:color="auto" w:sz="4" w:space="0"/>
              <w:left w:val="single" w:color="auto" w:sz="4" w:space="0"/>
              <w:bottom w:val="single" w:color="auto" w:sz="4" w:space="0"/>
              <w:right w:val="single" w:color="auto" w:sz="4" w:space="0"/>
            </w:tcBorders>
            <w:shd w:val="clear" w:color="auto" w:fill="auto"/>
            <w:vAlign w:val="center"/>
          </w:tcPr>
          <w:p w14:paraId="60F1F29D">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638m³</w:t>
            </w: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/a</w:t>
            </w:r>
          </w:p>
        </w:tc>
        <w:tc>
          <w:tcPr>
            <w:tcW w:w="1248" w:type="dxa"/>
            <w:tcBorders>
              <w:top w:val="single" w:color="auto" w:sz="4" w:space="0"/>
              <w:left w:val="single" w:color="auto" w:sz="4" w:space="0"/>
              <w:bottom w:val="single" w:color="auto" w:sz="4" w:space="0"/>
              <w:right w:val="single" w:color="auto" w:sz="8" w:space="0"/>
            </w:tcBorders>
            <w:shd w:val="clear" w:color="auto" w:fill="auto"/>
            <w:vAlign w:val="center"/>
          </w:tcPr>
          <w:p w14:paraId="0CC69FB6">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+638m³</w:t>
            </w: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/a</w:t>
            </w:r>
          </w:p>
        </w:tc>
      </w:tr>
      <w:tr w14:paraId="7A4F0B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99" w:hRule="atLeast"/>
        </w:trPr>
        <w:tc>
          <w:tcPr>
            <w:tcW w:w="959" w:type="dxa"/>
            <w:vMerge w:val="continue"/>
            <w:tcBorders>
              <w:left w:val="single" w:color="auto" w:sz="8" w:space="0"/>
              <w:right w:val="single" w:color="auto" w:sz="4" w:space="0"/>
            </w:tcBorders>
            <w:shd w:val="clear" w:color="auto" w:fill="auto"/>
            <w:vAlign w:val="center"/>
          </w:tcPr>
          <w:p w14:paraId="2159A688">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14:textFill>
                  <w14:solidFill>
                    <w14:schemeClr w14:val="tx1"/>
                  </w14:solidFill>
                </w14:textFill>
              </w:rPr>
            </w:pPr>
          </w:p>
        </w:tc>
        <w:tc>
          <w:tcPr>
            <w:tcW w:w="2211" w:type="dxa"/>
            <w:tcBorders>
              <w:top w:val="single" w:color="auto" w:sz="4" w:space="0"/>
              <w:left w:val="single" w:color="auto" w:sz="4" w:space="0"/>
              <w:bottom w:val="single" w:color="auto" w:sz="4" w:space="0"/>
              <w:right w:val="single" w:color="auto" w:sz="4" w:space="0"/>
            </w:tcBorders>
            <w:shd w:val="clear" w:color="auto" w:fill="auto"/>
            <w:vAlign w:val="center"/>
          </w:tcPr>
          <w:p w14:paraId="65339C5E">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生产废水</w:t>
            </w:r>
          </w:p>
        </w:tc>
        <w:tc>
          <w:tcPr>
            <w:tcW w:w="1535" w:type="dxa"/>
            <w:tcBorders>
              <w:top w:val="single" w:color="auto" w:sz="4" w:space="0"/>
              <w:left w:val="single" w:color="auto" w:sz="4" w:space="0"/>
              <w:bottom w:val="single" w:color="auto" w:sz="4" w:space="0"/>
              <w:right w:val="single" w:color="auto" w:sz="4" w:space="0"/>
            </w:tcBorders>
            <w:shd w:val="clear" w:color="auto" w:fill="auto"/>
            <w:vAlign w:val="center"/>
          </w:tcPr>
          <w:p w14:paraId="1BD9CDDF">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079873C0">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14:textFill>
                  <w14:solidFill>
                    <w14:schemeClr w14:val="tx1"/>
                  </w14:solidFill>
                </w14:textFill>
              </w:rPr>
            </w:pPr>
          </w:p>
        </w:tc>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14:paraId="7411C6EF">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68C11C7F">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310.7m³</w:t>
            </w: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/a</w:t>
            </w:r>
          </w:p>
        </w:tc>
        <w:tc>
          <w:tcPr>
            <w:tcW w:w="1415" w:type="dxa"/>
            <w:tcBorders>
              <w:top w:val="single" w:color="auto" w:sz="4" w:space="0"/>
              <w:left w:val="single" w:color="auto" w:sz="4" w:space="0"/>
              <w:bottom w:val="single" w:color="auto" w:sz="4" w:space="0"/>
              <w:right w:val="single" w:color="auto" w:sz="4" w:space="0"/>
            </w:tcBorders>
            <w:shd w:val="clear" w:color="auto" w:fill="auto"/>
            <w:vAlign w:val="center"/>
          </w:tcPr>
          <w:p w14:paraId="7CBF7849">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14:textFill>
                  <w14:solidFill>
                    <w14:schemeClr w14:val="tx1"/>
                  </w14:solidFill>
                </w14:textFill>
              </w:rPr>
            </w:pPr>
          </w:p>
        </w:tc>
        <w:tc>
          <w:tcPr>
            <w:tcW w:w="1883" w:type="dxa"/>
            <w:tcBorders>
              <w:top w:val="single" w:color="auto" w:sz="4" w:space="0"/>
              <w:left w:val="single" w:color="auto" w:sz="4" w:space="0"/>
              <w:bottom w:val="single" w:color="auto" w:sz="4" w:space="0"/>
              <w:right w:val="single" w:color="auto" w:sz="4" w:space="0"/>
            </w:tcBorders>
            <w:shd w:val="clear" w:color="auto" w:fill="auto"/>
            <w:vAlign w:val="center"/>
          </w:tcPr>
          <w:p w14:paraId="5B74A5B2">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310.7m³</w:t>
            </w: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/a</w:t>
            </w:r>
          </w:p>
        </w:tc>
        <w:tc>
          <w:tcPr>
            <w:tcW w:w="1248" w:type="dxa"/>
            <w:tcBorders>
              <w:top w:val="single" w:color="auto" w:sz="4" w:space="0"/>
              <w:left w:val="single" w:color="auto" w:sz="4" w:space="0"/>
              <w:bottom w:val="single" w:color="auto" w:sz="4" w:space="0"/>
              <w:right w:val="single" w:color="auto" w:sz="8" w:space="0"/>
            </w:tcBorders>
            <w:shd w:val="clear" w:color="auto" w:fill="auto"/>
            <w:vAlign w:val="center"/>
          </w:tcPr>
          <w:p w14:paraId="763BDEEF">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+310.7m³</w:t>
            </w: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/a</w:t>
            </w:r>
          </w:p>
        </w:tc>
      </w:tr>
      <w:tr w14:paraId="0DFD5E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959" w:type="dxa"/>
            <w:vMerge w:val="restart"/>
            <w:tcBorders>
              <w:top w:val="single" w:color="auto" w:sz="4" w:space="0"/>
              <w:left w:val="single" w:color="auto" w:sz="8" w:space="0"/>
              <w:right w:val="single" w:color="auto" w:sz="4" w:space="0"/>
            </w:tcBorders>
            <w:shd w:val="clear" w:color="auto" w:fill="auto"/>
            <w:vAlign w:val="center"/>
          </w:tcPr>
          <w:p w14:paraId="23ECB9A9">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14:textFill>
                  <w14:solidFill>
                    <w14:schemeClr w14:val="tx1"/>
                  </w14:solidFill>
                </w14:textFill>
              </w:rPr>
            </w:pPr>
            <w:r>
              <w:rPr>
                <w:rFonts w:hint="default" w:ascii="Times New Roman" w:hAnsi="Times New Roman" w:eastAsia="宋体" w:cs="Times New Roman"/>
                <w:snapToGrid w:val="0"/>
                <w:color w:val="000000" w:themeColor="text1"/>
                <w:kern w:val="21"/>
                <w:szCs w:val="21"/>
                <w14:textFill>
                  <w14:solidFill>
                    <w14:schemeClr w14:val="tx1"/>
                  </w14:solidFill>
                </w14:textFill>
              </w:rPr>
              <w:t>一般工业</w:t>
            </w:r>
          </w:p>
          <w:p w14:paraId="13C38CF3">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14:textFill>
                  <w14:solidFill>
                    <w14:schemeClr w14:val="tx1"/>
                  </w14:solidFill>
                </w14:textFill>
              </w:rPr>
            </w:pPr>
            <w:r>
              <w:rPr>
                <w:rFonts w:hint="default" w:ascii="Times New Roman" w:hAnsi="Times New Roman" w:eastAsia="宋体" w:cs="Times New Roman"/>
                <w:snapToGrid w:val="0"/>
                <w:color w:val="000000" w:themeColor="text1"/>
                <w:kern w:val="21"/>
                <w:szCs w:val="21"/>
                <w14:textFill>
                  <w14:solidFill>
                    <w14:schemeClr w14:val="tx1"/>
                  </w14:solidFill>
                </w14:textFill>
              </w:rPr>
              <w:t>固体废物</w:t>
            </w:r>
          </w:p>
        </w:tc>
        <w:tc>
          <w:tcPr>
            <w:tcW w:w="2211" w:type="dxa"/>
            <w:tcBorders>
              <w:top w:val="single" w:color="auto" w:sz="4" w:space="0"/>
              <w:left w:val="single" w:color="auto" w:sz="4" w:space="0"/>
              <w:bottom w:val="single" w:color="auto" w:sz="4" w:space="0"/>
              <w:right w:val="single" w:color="auto" w:sz="4" w:space="0"/>
            </w:tcBorders>
            <w:shd w:val="clear" w:color="auto" w:fill="auto"/>
            <w:vAlign w:val="center"/>
          </w:tcPr>
          <w:p w14:paraId="2ECE9E7D">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生活垃圾</w:t>
            </w:r>
          </w:p>
        </w:tc>
        <w:tc>
          <w:tcPr>
            <w:tcW w:w="1535" w:type="dxa"/>
            <w:tcBorders>
              <w:top w:val="single" w:color="auto" w:sz="4" w:space="0"/>
              <w:left w:val="single" w:color="auto" w:sz="4" w:space="0"/>
              <w:bottom w:val="single" w:color="auto" w:sz="4" w:space="0"/>
              <w:right w:val="single" w:color="auto" w:sz="4" w:space="0"/>
            </w:tcBorders>
            <w:shd w:val="clear" w:color="auto" w:fill="auto"/>
            <w:vAlign w:val="center"/>
          </w:tcPr>
          <w:p w14:paraId="265961E0">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pP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4374EE6C">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14:textFill>
                  <w14:solidFill>
                    <w14:schemeClr w14:val="tx1"/>
                  </w14:solidFill>
                </w14:textFill>
              </w:rPr>
            </w:pPr>
          </w:p>
        </w:tc>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14:paraId="211423AB">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35A42A11">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3.95</w:t>
            </w: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t/a</w:t>
            </w:r>
          </w:p>
        </w:tc>
        <w:tc>
          <w:tcPr>
            <w:tcW w:w="1415" w:type="dxa"/>
            <w:tcBorders>
              <w:top w:val="single" w:color="auto" w:sz="4" w:space="0"/>
              <w:left w:val="single" w:color="auto" w:sz="4" w:space="0"/>
              <w:bottom w:val="single" w:color="auto" w:sz="4" w:space="0"/>
              <w:right w:val="single" w:color="auto" w:sz="4" w:space="0"/>
            </w:tcBorders>
            <w:shd w:val="clear" w:color="auto" w:fill="auto"/>
            <w:vAlign w:val="center"/>
          </w:tcPr>
          <w:p w14:paraId="46A4CF7A">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14:textFill>
                  <w14:solidFill>
                    <w14:schemeClr w14:val="tx1"/>
                  </w14:solidFill>
                </w14:textFill>
              </w:rPr>
            </w:pPr>
          </w:p>
        </w:tc>
        <w:tc>
          <w:tcPr>
            <w:tcW w:w="1883" w:type="dxa"/>
            <w:tcBorders>
              <w:top w:val="single" w:color="auto" w:sz="4" w:space="0"/>
              <w:left w:val="single" w:color="auto" w:sz="4" w:space="0"/>
              <w:bottom w:val="single" w:color="auto" w:sz="4" w:space="0"/>
              <w:right w:val="single" w:color="auto" w:sz="4" w:space="0"/>
            </w:tcBorders>
            <w:shd w:val="clear" w:color="auto" w:fill="auto"/>
            <w:vAlign w:val="center"/>
          </w:tcPr>
          <w:p w14:paraId="650BF807">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3.95</w:t>
            </w: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t/a</w:t>
            </w:r>
          </w:p>
        </w:tc>
        <w:tc>
          <w:tcPr>
            <w:tcW w:w="1248" w:type="dxa"/>
            <w:tcBorders>
              <w:top w:val="single" w:color="auto" w:sz="4" w:space="0"/>
              <w:left w:val="single" w:color="auto" w:sz="4" w:space="0"/>
              <w:bottom w:val="single" w:color="auto" w:sz="4" w:space="0"/>
              <w:right w:val="single" w:color="auto" w:sz="8" w:space="0"/>
            </w:tcBorders>
            <w:shd w:val="clear" w:color="auto" w:fill="auto"/>
            <w:vAlign w:val="center"/>
          </w:tcPr>
          <w:p w14:paraId="3484C168">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+3.95</w:t>
            </w: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t/a</w:t>
            </w:r>
          </w:p>
        </w:tc>
      </w:tr>
      <w:tr w14:paraId="5562CD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9" w:hRule="atLeast"/>
        </w:trPr>
        <w:tc>
          <w:tcPr>
            <w:tcW w:w="959" w:type="dxa"/>
            <w:vMerge w:val="continue"/>
            <w:tcBorders>
              <w:left w:val="single" w:color="auto" w:sz="8" w:space="0"/>
              <w:right w:val="single" w:color="auto" w:sz="4" w:space="0"/>
            </w:tcBorders>
            <w:shd w:val="clear" w:color="auto" w:fill="auto"/>
            <w:vAlign w:val="center"/>
          </w:tcPr>
          <w:p w14:paraId="2289450B">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14:textFill>
                  <w14:solidFill>
                    <w14:schemeClr w14:val="tx1"/>
                  </w14:solidFill>
                </w14:textFill>
              </w:rPr>
            </w:pPr>
          </w:p>
        </w:tc>
        <w:tc>
          <w:tcPr>
            <w:tcW w:w="2211" w:type="dxa"/>
            <w:tcBorders>
              <w:top w:val="single" w:color="auto" w:sz="4" w:space="0"/>
              <w:left w:val="single" w:color="auto" w:sz="4" w:space="0"/>
              <w:bottom w:val="single" w:color="auto" w:sz="4" w:space="0"/>
              <w:right w:val="single" w:color="auto" w:sz="4" w:space="0"/>
            </w:tcBorders>
            <w:shd w:val="clear" w:color="auto" w:fill="auto"/>
            <w:vAlign w:val="center"/>
          </w:tcPr>
          <w:p w14:paraId="2B619C74">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除尘器收尘灰</w:t>
            </w:r>
          </w:p>
        </w:tc>
        <w:tc>
          <w:tcPr>
            <w:tcW w:w="1535" w:type="dxa"/>
            <w:tcBorders>
              <w:top w:val="single" w:color="auto" w:sz="4" w:space="0"/>
              <w:left w:val="single" w:color="auto" w:sz="4" w:space="0"/>
              <w:bottom w:val="single" w:color="auto" w:sz="4" w:space="0"/>
              <w:right w:val="single" w:color="auto" w:sz="4" w:space="0"/>
            </w:tcBorders>
            <w:shd w:val="clear" w:color="auto" w:fill="auto"/>
            <w:vAlign w:val="center"/>
          </w:tcPr>
          <w:p w14:paraId="3EB4FF44">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pP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13058FBF">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14:textFill>
                  <w14:solidFill>
                    <w14:schemeClr w14:val="tx1"/>
                  </w14:solidFill>
                </w14:textFill>
              </w:rPr>
            </w:pPr>
          </w:p>
        </w:tc>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14:paraId="70E80F4C">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7346DBEB">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cs="Times New Roman"/>
                <w:snapToGrid w:val="0"/>
                <w:color w:val="000000" w:themeColor="text1"/>
                <w:kern w:val="21"/>
                <w:szCs w:val="21"/>
                <w:lang w:val="en-US" w:eastAsia="zh-CN"/>
                <w14:textFill>
                  <w14:solidFill>
                    <w14:schemeClr w14:val="tx1"/>
                  </w14:solidFill>
                </w14:textFill>
              </w:rPr>
              <w:t>0.66</w:t>
            </w: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t/a</w:t>
            </w:r>
          </w:p>
        </w:tc>
        <w:tc>
          <w:tcPr>
            <w:tcW w:w="1415" w:type="dxa"/>
            <w:tcBorders>
              <w:top w:val="single" w:color="auto" w:sz="4" w:space="0"/>
              <w:left w:val="single" w:color="auto" w:sz="4" w:space="0"/>
              <w:bottom w:val="single" w:color="auto" w:sz="4" w:space="0"/>
              <w:right w:val="single" w:color="auto" w:sz="4" w:space="0"/>
            </w:tcBorders>
            <w:shd w:val="clear" w:color="auto" w:fill="auto"/>
            <w:vAlign w:val="center"/>
          </w:tcPr>
          <w:p w14:paraId="79239DD7">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14:textFill>
                  <w14:solidFill>
                    <w14:schemeClr w14:val="tx1"/>
                  </w14:solidFill>
                </w14:textFill>
              </w:rPr>
            </w:pPr>
          </w:p>
        </w:tc>
        <w:tc>
          <w:tcPr>
            <w:tcW w:w="1883" w:type="dxa"/>
            <w:tcBorders>
              <w:top w:val="single" w:color="auto" w:sz="4" w:space="0"/>
              <w:left w:val="single" w:color="auto" w:sz="4" w:space="0"/>
              <w:bottom w:val="single" w:color="auto" w:sz="4" w:space="0"/>
              <w:right w:val="single" w:color="auto" w:sz="4" w:space="0"/>
            </w:tcBorders>
            <w:shd w:val="clear" w:color="auto" w:fill="auto"/>
            <w:vAlign w:val="center"/>
          </w:tcPr>
          <w:p w14:paraId="4E9F2450">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cs="Times New Roman"/>
                <w:snapToGrid w:val="0"/>
                <w:color w:val="000000" w:themeColor="text1"/>
                <w:kern w:val="21"/>
                <w:szCs w:val="21"/>
                <w:lang w:val="en-US" w:eastAsia="zh-CN"/>
                <w14:textFill>
                  <w14:solidFill>
                    <w14:schemeClr w14:val="tx1"/>
                  </w14:solidFill>
                </w14:textFill>
              </w:rPr>
              <w:t>0.66</w:t>
            </w: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t/a</w:t>
            </w:r>
          </w:p>
        </w:tc>
        <w:tc>
          <w:tcPr>
            <w:tcW w:w="1248" w:type="dxa"/>
            <w:tcBorders>
              <w:top w:val="single" w:color="auto" w:sz="4" w:space="0"/>
              <w:left w:val="single" w:color="auto" w:sz="4" w:space="0"/>
              <w:bottom w:val="single" w:color="auto" w:sz="4" w:space="0"/>
              <w:right w:val="single" w:color="auto" w:sz="8" w:space="0"/>
            </w:tcBorders>
            <w:shd w:val="clear" w:color="auto" w:fill="auto"/>
            <w:vAlign w:val="center"/>
          </w:tcPr>
          <w:p w14:paraId="0F185016">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cs="Times New Roman"/>
                <w:snapToGrid w:val="0"/>
                <w:color w:val="000000" w:themeColor="text1"/>
                <w:kern w:val="21"/>
                <w:szCs w:val="21"/>
                <w:lang w:val="en-US" w:eastAsia="zh-CN"/>
                <w14:textFill>
                  <w14:solidFill>
                    <w14:schemeClr w14:val="tx1"/>
                  </w14:solidFill>
                </w14:textFill>
              </w:rPr>
              <w:t>+0.66</w:t>
            </w: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t/a</w:t>
            </w:r>
          </w:p>
        </w:tc>
      </w:tr>
      <w:tr w14:paraId="276004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7" w:hRule="atLeast"/>
        </w:trPr>
        <w:tc>
          <w:tcPr>
            <w:tcW w:w="959" w:type="dxa"/>
            <w:vMerge w:val="continue"/>
            <w:tcBorders>
              <w:left w:val="single" w:color="auto" w:sz="8" w:space="0"/>
              <w:right w:val="single" w:color="auto" w:sz="4" w:space="0"/>
            </w:tcBorders>
            <w:shd w:val="clear" w:color="auto" w:fill="auto"/>
            <w:vAlign w:val="center"/>
          </w:tcPr>
          <w:p w14:paraId="32714E44">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14:textFill>
                  <w14:solidFill>
                    <w14:schemeClr w14:val="tx1"/>
                  </w14:solidFill>
                </w14:textFill>
              </w:rPr>
            </w:pPr>
          </w:p>
        </w:tc>
        <w:tc>
          <w:tcPr>
            <w:tcW w:w="2211" w:type="dxa"/>
            <w:tcBorders>
              <w:top w:val="single" w:color="auto" w:sz="4" w:space="0"/>
              <w:left w:val="single" w:color="auto" w:sz="4" w:space="0"/>
              <w:bottom w:val="single" w:color="auto" w:sz="4" w:space="0"/>
              <w:right w:val="single" w:color="auto" w:sz="4" w:space="0"/>
            </w:tcBorders>
            <w:shd w:val="clear" w:color="auto" w:fill="auto"/>
            <w:vAlign w:val="center"/>
          </w:tcPr>
          <w:p w14:paraId="4AF051E2">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废边角料</w:t>
            </w:r>
          </w:p>
        </w:tc>
        <w:tc>
          <w:tcPr>
            <w:tcW w:w="1535" w:type="dxa"/>
            <w:tcBorders>
              <w:top w:val="single" w:color="auto" w:sz="4" w:space="0"/>
              <w:left w:val="single" w:color="auto" w:sz="4" w:space="0"/>
              <w:bottom w:val="single" w:color="auto" w:sz="4" w:space="0"/>
              <w:right w:val="single" w:color="auto" w:sz="4" w:space="0"/>
            </w:tcBorders>
            <w:shd w:val="clear" w:color="auto" w:fill="auto"/>
            <w:vAlign w:val="center"/>
          </w:tcPr>
          <w:p w14:paraId="3CA2EF12">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pP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2A01CC29">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14:textFill>
                  <w14:solidFill>
                    <w14:schemeClr w14:val="tx1"/>
                  </w14:solidFill>
                </w14:textFill>
              </w:rPr>
            </w:pPr>
          </w:p>
        </w:tc>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14:paraId="355DFFD2">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075F8A83">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cs="Times New Roman"/>
                <w:snapToGrid w:val="0"/>
                <w:color w:val="000000" w:themeColor="text1"/>
                <w:kern w:val="21"/>
                <w:szCs w:val="21"/>
                <w:lang w:val="en-US" w:eastAsia="zh-CN"/>
                <w14:textFill>
                  <w14:solidFill>
                    <w14:schemeClr w14:val="tx1"/>
                  </w14:solidFill>
                </w14:textFill>
              </w:rPr>
              <w:t>0.045</w:t>
            </w: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t/a</w:t>
            </w:r>
          </w:p>
        </w:tc>
        <w:tc>
          <w:tcPr>
            <w:tcW w:w="1415" w:type="dxa"/>
            <w:tcBorders>
              <w:top w:val="single" w:color="auto" w:sz="4" w:space="0"/>
              <w:left w:val="single" w:color="auto" w:sz="4" w:space="0"/>
              <w:bottom w:val="single" w:color="auto" w:sz="4" w:space="0"/>
              <w:right w:val="single" w:color="auto" w:sz="4" w:space="0"/>
            </w:tcBorders>
            <w:shd w:val="clear" w:color="auto" w:fill="auto"/>
            <w:vAlign w:val="center"/>
          </w:tcPr>
          <w:p w14:paraId="62680B2F">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14:textFill>
                  <w14:solidFill>
                    <w14:schemeClr w14:val="tx1"/>
                  </w14:solidFill>
                </w14:textFill>
              </w:rPr>
            </w:pPr>
          </w:p>
        </w:tc>
        <w:tc>
          <w:tcPr>
            <w:tcW w:w="1883" w:type="dxa"/>
            <w:tcBorders>
              <w:top w:val="single" w:color="auto" w:sz="4" w:space="0"/>
              <w:left w:val="single" w:color="auto" w:sz="4" w:space="0"/>
              <w:bottom w:val="single" w:color="auto" w:sz="4" w:space="0"/>
              <w:right w:val="single" w:color="auto" w:sz="4" w:space="0"/>
            </w:tcBorders>
            <w:shd w:val="clear" w:color="auto" w:fill="auto"/>
            <w:vAlign w:val="center"/>
          </w:tcPr>
          <w:p w14:paraId="14F00103">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cs="Times New Roman"/>
                <w:snapToGrid w:val="0"/>
                <w:color w:val="000000" w:themeColor="text1"/>
                <w:kern w:val="21"/>
                <w:szCs w:val="21"/>
                <w:lang w:val="en-US" w:eastAsia="zh-CN"/>
                <w14:textFill>
                  <w14:solidFill>
                    <w14:schemeClr w14:val="tx1"/>
                  </w14:solidFill>
                </w14:textFill>
              </w:rPr>
              <w:t>0.045</w:t>
            </w: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t/a</w:t>
            </w:r>
          </w:p>
        </w:tc>
        <w:tc>
          <w:tcPr>
            <w:tcW w:w="1248" w:type="dxa"/>
            <w:tcBorders>
              <w:top w:val="single" w:color="auto" w:sz="4" w:space="0"/>
              <w:left w:val="single" w:color="auto" w:sz="4" w:space="0"/>
              <w:bottom w:val="single" w:color="auto" w:sz="4" w:space="0"/>
              <w:right w:val="single" w:color="auto" w:sz="8" w:space="0"/>
            </w:tcBorders>
            <w:shd w:val="clear" w:color="auto" w:fill="auto"/>
            <w:vAlign w:val="center"/>
          </w:tcPr>
          <w:p w14:paraId="63DF1AE6">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cs="Times New Roman"/>
                <w:snapToGrid w:val="0"/>
                <w:color w:val="000000" w:themeColor="text1"/>
                <w:kern w:val="21"/>
                <w:szCs w:val="21"/>
                <w:lang w:val="en-US" w:eastAsia="zh-CN"/>
                <w14:textFill>
                  <w14:solidFill>
                    <w14:schemeClr w14:val="tx1"/>
                  </w14:solidFill>
                </w14:textFill>
              </w:rPr>
              <w:t>+0.045</w:t>
            </w: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t/a</w:t>
            </w:r>
          </w:p>
        </w:tc>
      </w:tr>
      <w:tr w14:paraId="04D76A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959" w:type="dxa"/>
            <w:vMerge w:val="continue"/>
            <w:tcBorders>
              <w:left w:val="single" w:color="auto" w:sz="8" w:space="0"/>
              <w:right w:val="single" w:color="auto" w:sz="4" w:space="0"/>
            </w:tcBorders>
            <w:shd w:val="clear" w:color="auto" w:fill="auto"/>
            <w:vAlign w:val="center"/>
          </w:tcPr>
          <w:p w14:paraId="68C0A4CF">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14:textFill>
                  <w14:solidFill>
                    <w14:schemeClr w14:val="tx1"/>
                  </w14:solidFill>
                </w14:textFill>
              </w:rPr>
            </w:pPr>
          </w:p>
        </w:tc>
        <w:tc>
          <w:tcPr>
            <w:tcW w:w="2211" w:type="dxa"/>
            <w:tcBorders>
              <w:top w:val="single" w:color="auto" w:sz="4" w:space="0"/>
              <w:left w:val="single" w:color="auto" w:sz="4" w:space="0"/>
              <w:bottom w:val="single" w:color="auto" w:sz="4" w:space="0"/>
              <w:right w:val="single" w:color="auto" w:sz="4" w:space="0"/>
            </w:tcBorders>
            <w:shd w:val="clear" w:color="auto" w:fill="auto"/>
            <w:vAlign w:val="center"/>
          </w:tcPr>
          <w:p w14:paraId="37A0B33A">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 xml:space="preserve">一般材料废包装袋/箱 </w:t>
            </w:r>
          </w:p>
        </w:tc>
        <w:tc>
          <w:tcPr>
            <w:tcW w:w="1535" w:type="dxa"/>
            <w:tcBorders>
              <w:top w:val="single" w:color="auto" w:sz="4" w:space="0"/>
              <w:left w:val="single" w:color="auto" w:sz="4" w:space="0"/>
              <w:bottom w:val="single" w:color="auto" w:sz="4" w:space="0"/>
              <w:right w:val="single" w:color="auto" w:sz="4" w:space="0"/>
            </w:tcBorders>
            <w:shd w:val="clear" w:color="auto" w:fill="auto"/>
            <w:vAlign w:val="center"/>
          </w:tcPr>
          <w:p w14:paraId="62A29A32">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pP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751FD9B2">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14:textFill>
                  <w14:solidFill>
                    <w14:schemeClr w14:val="tx1"/>
                  </w14:solidFill>
                </w14:textFill>
              </w:rPr>
            </w:pPr>
          </w:p>
        </w:tc>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14:paraId="3D4ECD6C">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1DBE29EB">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0.</w:t>
            </w: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18</w:t>
            </w: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t/a</w:t>
            </w:r>
          </w:p>
        </w:tc>
        <w:tc>
          <w:tcPr>
            <w:tcW w:w="1415" w:type="dxa"/>
            <w:tcBorders>
              <w:top w:val="single" w:color="auto" w:sz="4" w:space="0"/>
              <w:left w:val="single" w:color="auto" w:sz="4" w:space="0"/>
              <w:bottom w:val="single" w:color="auto" w:sz="4" w:space="0"/>
              <w:right w:val="single" w:color="auto" w:sz="4" w:space="0"/>
            </w:tcBorders>
            <w:shd w:val="clear" w:color="auto" w:fill="auto"/>
            <w:vAlign w:val="center"/>
          </w:tcPr>
          <w:p w14:paraId="6620F1D3">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14:textFill>
                  <w14:solidFill>
                    <w14:schemeClr w14:val="tx1"/>
                  </w14:solidFill>
                </w14:textFill>
              </w:rPr>
            </w:pPr>
          </w:p>
        </w:tc>
        <w:tc>
          <w:tcPr>
            <w:tcW w:w="1883" w:type="dxa"/>
            <w:tcBorders>
              <w:top w:val="single" w:color="auto" w:sz="4" w:space="0"/>
              <w:left w:val="single" w:color="auto" w:sz="4" w:space="0"/>
              <w:bottom w:val="single" w:color="auto" w:sz="4" w:space="0"/>
              <w:right w:val="single" w:color="auto" w:sz="4" w:space="0"/>
            </w:tcBorders>
            <w:shd w:val="clear" w:color="auto" w:fill="auto"/>
            <w:vAlign w:val="center"/>
          </w:tcPr>
          <w:p w14:paraId="50F9D271">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0.</w:t>
            </w: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18</w:t>
            </w: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t/a</w:t>
            </w:r>
          </w:p>
        </w:tc>
        <w:tc>
          <w:tcPr>
            <w:tcW w:w="1248" w:type="dxa"/>
            <w:tcBorders>
              <w:top w:val="single" w:color="auto" w:sz="4" w:space="0"/>
              <w:left w:val="single" w:color="auto" w:sz="4" w:space="0"/>
              <w:bottom w:val="single" w:color="auto" w:sz="4" w:space="0"/>
              <w:right w:val="single" w:color="auto" w:sz="8" w:space="0"/>
            </w:tcBorders>
            <w:shd w:val="clear" w:color="auto" w:fill="auto"/>
            <w:vAlign w:val="center"/>
          </w:tcPr>
          <w:p w14:paraId="19902490">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w:t>
            </w: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0.</w:t>
            </w: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18</w:t>
            </w: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t/a</w:t>
            </w:r>
          </w:p>
        </w:tc>
      </w:tr>
      <w:tr w14:paraId="444457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959" w:type="dxa"/>
            <w:vMerge w:val="continue"/>
            <w:tcBorders>
              <w:left w:val="single" w:color="auto" w:sz="8" w:space="0"/>
              <w:right w:val="single" w:color="auto" w:sz="4" w:space="0"/>
            </w:tcBorders>
            <w:shd w:val="clear" w:color="auto" w:fill="auto"/>
            <w:vAlign w:val="center"/>
          </w:tcPr>
          <w:p w14:paraId="2B5F6ABD">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14:textFill>
                  <w14:solidFill>
                    <w14:schemeClr w14:val="tx1"/>
                  </w14:solidFill>
                </w14:textFill>
              </w:rPr>
            </w:pPr>
          </w:p>
        </w:tc>
        <w:tc>
          <w:tcPr>
            <w:tcW w:w="2211" w:type="dxa"/>
            <w:tcBorders>
              <w:top w:val="single" w:color="auto" w:sz="4" w:space="0"/>
              <w:left w:val="single" w:color="auto" w:sz="4" w:space="0"/>
              <w:bottom w:val="single" w:color="auto" w:sz="4" w:space="0"/>
              <w:right w:val="single" w:color="auto" w:sz="4" w:space="0"/>
            </w:tcBorders>
            <w:shd w:val="clear" w:color="auto" w:fill="auto"/>
            <w:vAlign w:val="center"/>
          </w:tcPr>
          <w:p w14:paraId="5FE18817">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cs="Times New Roman"/>
                <w:snapToGrid w:val="0"/>
                <w:color w:val="000000" w:themeColor="text1"/>
                <w:kern w:val="21"/>
                <w:szCs w:val="21"/>
                <w:lang w:val="en-US" w:eastAsia="zh-CN"/>
                <w14:textFill>
                  <w14:solidFill>
                    <w14:schemeClr w14:val="tx1"/>
                  </w14:solidFill>
                </w14:textFill>
              </w:rPr>
              <w:t>不合格产品</w:t>
            </w:r>
          </w:p>
        </w:tc>
        <w:tc>
          <w:tcPr>
            <w:tcW w:w="1535" w:type="dxa"/>
            <w:tcBorders>
              <w:top w:val="single" w:color="auto" w:sz="4" w:space="0"/>
              <w:left w:val="single" w:color="auto" w:sz="4" w:space="0"/>
              <w:bottom w:val="single" w:color="auto" w:sz="4" w:space="0"/>
              <w:right w:val="single" w:color="auto" w:sz="4" w:space="0"/>
            </w:tcBorders>
            <w:shd w:val="clear" w:color="auto" w:fill="auto"/>
            <w:vAlign w:val="center"/>
          </w:tcPr>
          <w:p w14:paraId="28AD1A4A">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4A75946D">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14:textFill>
                  <w14:solidFill>
                    <w14:schemeClr w14:val="tx1"/>
                  </w14:solidFill>
                </w14:textFill>
              </w:rPr>
            </w:pPr>
          </w:p>
        </w:tc>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14:paraId="0FFC1FB0">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503440F9">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cs="Times New Roman"/>
                <w:snapToGrid w:val="0"/>
                <w:color w:val="000000" w:themeColor="text1"/>
                <w:kern w:val="21"/>
                <w:szCs w:val="21"/>
                <w:lang w:val="en-US" w:eastAsia="zh-CN"/>
                <w14:textFill>
                  <w14:solidFill>
                    <w14:schemeClr w14:val="tx1"/>
                  </w14:solidFill>
                </w14:textFill>
              </w:rPr>
              <w:t>1.4t/a</w:t>
            </w:r>
          </w:p>
        </w:tc>
        <w:tc>
          <w:tcPr>
            <w:tcW w:w="1415" w:type="dxa"/>
            <w:tcBorders>
              <w:top w:val="single" w:color="auto" w:sz="4" w:space="0"/>
              <w:left w:val="single" w:color="auto" w:sz="4" w:space="0"/>
              <w:bottom w:val="single" w:color="auto" w:sz="4" w:space="0"/>
              <w:right w:val="single" w:color="auto" w:sz="4" w:space="0"/>
            </w:tcBorders>
            <w:shd w:val="clear" w:color="auto" w:fill="auto"/>
            <w:vAlign w:val="center"/>
          </w:tcPr>
          <w:p w14:paraId="7CAFB8E5">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14:textFill>
                  <w14:solidFill>
                    <w14:schemeClr w14:val="tx1"/>
                  </w14:solidFill>
                </w14:textFill>
              </w:rPr>
            </w:pPr>
          </w:p>
        </w:tc>
        <w:tc>
          <w:tcPr>
            <w:tcW w:w="1883" w:type="dxa"/>
            <w:tcBorders>
              <w:top w:val="single" w:color="auto" w:sz="4" w:space="0"/>
              <w:left w:val="single" w:color="auto" w:sz="4" w:space="0"/>
              <w:bottom w:val="single" w:color="auto" w:sz="4" w:space="0"/>
              <w:right w:val="single" w:color="auto" w:sz="4" w:space="0"/>
            </w:tcBorders>
            <w:shd w:val="clear" w:color="auto" w:fill="auto"/>
            <w:vAlign w:val="center"/>
          </w:tcPr>
          <w:p w14:paraId="0538604C">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cs="Times New Roman"/>
                <w:snapToGrid w:val="0"/>
                <w:color w:val="000000" w:themeColor="text1"/>
                <w:kern w:val="21"/>
                <w:szCs w:val="21"/>
                <w:lang w:val="en-US" w:eastAsia="zh-CN"/>
                <w14:textFill>
                  <w14:solidFill>
                    <w14:schemeClr w14:val="tx1"/>
                  </w14:solidFill>
                </w14:textFill>
              </w:rPr>
              <w:t>1.4t/a</w:t>
            </w:r>
          </w:p>
        </w:tc>
        <w:tc>
          <w:tcPr>
            <w:tcW w:w="1248" w:type="dxa"/>
            <w:tcBorders>
              <w:top w:val="single" w:color="auto" w:sz="4" w:space="0"/>
              <w:left w:val="single" w:color="auto" w:sz="4" w:space="0"/>
              <w:bottom w:val="single" w:color="auto" w:sz="4" w:space="0"/>
              <w:right w:val="single" w:color="auto" w:sz="8" w:space="0"/>
            </w:tcBorders>
            <w:shd w:val="clear" w:color="auto" w:fill="auto"/>
            <w:vAlign w:val="center"/>
          </w:tcPr>
          <w:p w14:paraId="6F0B294A">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cs="Times New Roman"/>
                <w:snapToGrid w:val="0"/>
                <w:color w:val="000000" w:themeColor="text1"/>
                <w:kern w:val="21"/>
                <w:szCs w:val="21"/>
                <w:lang w:val="en-US" w:eastAsia="zh-CN"/>
                <w14:textFill>
                  <w14:solidFill>
                    <w14:schemeClr w14:val="tx1"/>
                  </w14:solidFill>
                </w14:textFill>
              </w:rPr>
              <w:t>+1.4t/a</w:t>
            </w:r>
          </w:p>
        </w:tc>
      </w:tr>
      <w:tr w14:paraId="492170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959" w:type="dxa"/>
            <w:vMerge w:val="continue"/>
            <w:tcBorders>
              <w:left w:val="single" w:color="auto" w:sz="8" w:space="0"/>
              <w:right w:val="single" w:color="auto" w:sz="4" w:space="0"/>
            </w:tcBorders>
            <w:shd w:val="clear" w:color="auto" w:fill="auto"/>
            <w:vAlign w:val="center"/>
          </w:tcPr>
          <w:p w14:paraId="1E65C444">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14:textFill>
                  <w14:solidFill>
                    <w14:schemeClr w14:val="tx1"/>
                  </w14:solidFill>
                </w14:textFill>
              </w:rPr>
            </w:pPr>
          </w:p>
        </w:tc>
        <w:tc>
          <w:tcPr>
            <w:tcW w:w="2211" w:type="dxa"/>
            <w:tcBorders>
              <w:top w:val="single" w:color="auto" w:sz="4" w:space="0"/>
              <w:left w:val="single" w:color="auto" w:sz="4" w:space="0"/>
              <w:bottom w:val="single" w:color="auto" w:sz="4" w:space="0"/>
              <w:right w:val="single" w:color="auto" w:sz="4" w:space="0"/>
            </w:tcBorders>
            <w:shd w:val="clear" w:color="auto" w:fill="auto"/>
            <w:vAlign w:val="center"/>
          </w:tcPr>
          <w:p w14:paraId="248D615D">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沉渣</w:t>
            </w:r>
          </w:p>
        </w:tc>
        <w:tc>
          <w:tcPr>
            <w:tcW w:w="1535" w:type="dxa"/>
            <w:tcBorders>
              <w:top w:val="single" w:color="auto" w:sz="4" w:space="0"/>
              <w:left w:val="single" w:color="auto" w:sz="4" w:space="0"/>
              <w:bottom w:val="single" w:color="auto" w:sz="4" w:space="0"/>
              <w:right w:val="single" w:color="auto" w:sz="4" w:space="0"/>
            </w:tcBorders>
            <w:shd w:val="clear" w:color="auto" w:fill="auto"/>
            <w:vAlign w:val="center"/>
          </w:tcPr>
          <w:p w14:paraId="76637938">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19372EEC">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14:textFill>
                  <w14:solidFill>
                    <w14:schemeClr w14:val="tx1"/>
                  </w14:solidFill>
                </w14:textFill>
              </w:rPr>
            </w:pPr>
          </w:p>
        </w:tc>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14:paraId="6C062816">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450616EC">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0.</w:t>
            </w: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4</w:t>
            </w: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t/a</w:t>
            </w:r>
          </w:p>
        </w:tc>
        <w:tc>
          <w:tcPr>
            <w:tcW w:w="1415" w:type="dxa"/>
            <w:tcBorders>
              <w:top w:val="single" w:color="auto" w:sz="4" w:space="0"/>
              <w:left w:val="single" w:color="auto" w:sz="4" w:space="0"/>
              <w:bottom w:val="single" w:color="auto" w:sz="4" w:space="0"/>
              <w:right w:val="single" w:color="auto" w:sz="4" w:space="0"/>
            </w:tcBorders>
            <w:shd w:val="clear" w:color="auto" w:fill="auto"/>
            <w:vAlign w:val="center"/>
          </w:tcPr>
          <w:p w14:paraId="39F548E0">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p>
        </w:tc>
        <w:tc>
          <w:tcPr>
            <w:tcW w:w="1883" w:type="dxa"/>
            <w:tcBorders>
              <w:top w:val="single" w:color="auto" w:sz="4" w:space="0"/>
              <w:left w:val="single" w:color="auto" w:sz="4" w:space="0"/>
              <w:bottom w:val="single" w:color="auto" w:sz="4" w:space="0"/>
              <w:right w:val="single" w:color="auto" w:sz="4" w:space="0"/>
            </w:tcBorders>
            <w:shd w:val="clear" w:color="auto" w:fill="auto"/>
            <w:vAlign w:val="center"/>
          </w:tcPr>
          <w:p w14:paraId="76FC7074">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0.</w:t>
            </w: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4</w:t>
            </w: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t/a</w:t>
            </w:r>
          </w:p>
        </w:tc>
        <w:tc>
          <w:tcPr>
            <w:tcW w:w="1248" w:type="dxa"/>
            <w:tcBorders>
              <w:top w:val="single" w:color="auto" w:sz="4" w:space="0"/>
              <w:left w:val="single" w:color="auto" w:sz="4" w:space="0"/>
              <w:bottom w:val="single" w:color="auto" w:sz="4" w:space="0"/>
              <w:right w:val="single" w:color="auto" w:sz="8" w:space="0"/>
            </w:tcBorders>
            <w:shd w:val="clear" w:color="auto" w:fill="auto"/>
            <w:vAlign w:val="center"/>
          </w:tcPr>
          <w:p w14:paraId="205E52EA">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w:t>
            </w: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0.</w:t>
            </w: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4</w:t>
            </w: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t/a</w:t>
            </w:r>
          </w:p>
        </w:tc>
      </w:tr>
      <w:tr w14:paraId="713AA4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959" w:type="dxa"/>
            <w:vMerge w:val="continue"/>
            <w:tcBorders>
              <w:left w:val="single" w:color="auto" w:sz="8" w:space="0"/>
              <w:right w:val="single" w:color="auto" w:sz="4" w:space="0"/>
            </w:tcBorders>
            <w:shd w:val="clear" w:color="auto" w:fill="auto"/>
            <w:vAlign w:val="center"/>
          </w:tcPr>
          <w:p w14:paraId="2C446747">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14:textFill>
                  <w14:solidFill>
                    <w14:schemeClr w14:val="tx1"/>
                  </w14:solidFill>
                </w14:textFill>
              </w:rPr>
            </w:pPr>
          </w:p>
        </w:tc>
        <w:tc>
          <w:tcPr>
            <w:tcW w:w="2211" w:type="dxa"/>
            <w:tcBorders>
              <w:top w:val="single" w:color="auto" w:sz="4" w:space="0"/>
              <w:left w:val="single" w:color="auto" w:sz="4" w:space="0"/>
              <w:bottom w:val="single" w:color="auto" w:sz="4" w:space="0"/>
              <w:right w:val="single" w:color="auto" w:sz="4" w:space="0"/>
            </w:tcBorders>
            <w:shd w:val="clear" w:color="auto" w:fill="auto"/>
            <w:vAlign w:val="center"/>
          </w:tcPr>
          <w:p w14:paraId="7EB97628">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污泥</w:t>
            </w:r>
          </w:p>
        </w:tc>
        <w:tc>
          <w:tcPr>
            <w:tcW w:w="1535" w:type="dxa"/>
            <w:tcBorders>
              <w:top w:val="single" w:color="auto" w:sz="4" w:space="0"/>
              <w:left w:val="single" w:color="auto" w:sz="4" w:space="0"/>
              <w:bottom w:val="single" w:color="auto" w:sz="4" w:space="0"/>
              <w:right w:val="single" w:color="auto" w:sz="4" w:space="0"/>
            </w:tcBorders>
            <w:shd w:val="clear" w:color="auto" w:fill="auto"/>
            <w:vAlign w:val="center"/>
          </w:tcPr>
          <w:p w14:paraId="5EECA4AF">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pP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64A16697">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14:textFill>
                  <w14:solidFill>
                    <w14:schemeClr w14:val="tx1"/>
                  </w14:solidFill>
                </w14:textFill>
              </w:rPr>
            </w:pPr>
          </w:p>
        </w:tc>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14:paraId="2D05833D">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5556C20D">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0.56</w:t>
            </w: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t/a</w:t>
            </w:r>
          </w:p>
        </w:tc>
        <w:tc>
          <w:tcPr>
            <w:tcW w:w="1415" w:type="dxa"/>
            <w:tcBorders>
              <w:top w:val="single" w:color="auto" w:sz="4" w:space="0"/>
              <w:left w:val="single" w:color="auto" w:sz="4" w:space="0"/>
              <w:bottom w:val="single" w:color="auto" w:sz="4" w:space="0"/>
              <w:right w:val="single" w:color="auto" w:sz="4" w:space="0"/>
            </w:tcBorders>
            <w:shd w:val="clear" w:color="auto" w:fill="auto"/>
            <w:vAlign w:val="center"/>
          </w:tcPr>
          <w:p w14:paraId="0B4933F6">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14:textFill>
                  <w14:solidFill>
                    <w14:schemeClr w14:val="tx1"/>
                  </w14:solidFill>
                </w14:textFill>
              </w:rPr>
            </w:pPr>
          </w:p>
        </w:tc>
        <w:tc>
          <w:tcPr>
            <w:tcW w:w="1883" w:type="dxa"/>
            <w:tcBorders>
              <w:top w:val="single" w:color="auto" w:sz="4" w:space="0"/>
              <w:left w:val="single" w:color="auto" w:sz="4" w:space="0"/>
              <w:bottom w:val="single" w:color="auto" w:sz="4" w:space="0"/>
              <w:right w:val="single" w:color="auto" w:sz="4" w:space="0"/>
            </w:tcBorders>
            <w:shd w:val="clear" w:color="auto" w:fill="auto"/>
            <w:vAlign w:val="center"/>
          </w:tcPr>
          <w:p w14:paraId="38AE327A">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0.</w:t>
            </w: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56</w:t>
            </w: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t/a</w:t>
            </w:r>
          </w:p>
        </w:tc>
        <w:tc>
          <w:tcPr>
            <w:tcW w:w="1248" w:type="dxa"/>
            <w:tcBorders>
              <w:top w:val="single" w:color="auto" w:sz="4" w:space="0"/>
              <w:left w:val="single" w:color="auto" w:sz="4" w:space="0"/>
              <w:bottom w:val="single" w:color="auto" w:sz="4" w:space="0"/>
              <w:right w:val="single" w:color="auto" w:sz="8" w:space="0"/>
            </w:tcBorders>
            <w:shd w:val="clear" w:color="auto" w:fill="auto"/>
            <w:vAlign w:val="center"/>
          </w:tcPr>
          <w:p w14:paraId="2EB062AB">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w:t>
            </w: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0.</w:t>
            </w: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56</w:t>
            </w: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t/a</w:t>
            </w:r>
          </w:p>
        </w:tc>
      </w:tr>
      <w:tr w14:paraId="08509B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959" w:type="dxa"/>
            <w:vMerge w:val="continue"/>
            <w:tcBorders>
              <w:left w:val="single" w:color="auto" w:sz="8" w:space="0"/>
              <w:right w:val="single" w:color="auto" w:sz="4" w:space="0"/>
            </w:tcBorders>
            <w:shd w:val="clear" w:color="auto" w:fill="auto"/>
            <w:vAlign w:val="center"/>
          </w:tcPr>
          <w:p w14:paraId="28703E95">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14:textFill>
                  <w14:solidFill>
                    <w14:schemeClr w14:val="tx1"/>
                  </w14:solidFill>
                </w14:textFill>
              </w:rPr>
            </w:pPr>
          </w:p>
        </w:tc>
        <w:tc>
          <w:tcPr>
            <w:tcW w:w="2211" w:type="dxa"/>
            <w:tcBorders>
              <w:top w:val="single" w:color="auto" w:sz="4" w:space="0"/>
              <w:left w:val="single" w:color="auto" w:sz="4" w:space="0"/>
              <w:bottom w:val="single" w:color="auto" w:sz="4" w:space="0"/>
              <w:right w:val="single" w:color="auto" w:sz="4" w:space="0"/>
            </w:tcBorders>
            <w:shd w:val="clear" w:color="auto" w:fill="auto"/>
            <w:vAlign w:val="center"/>
          </w:tcPr>
          <w:p w14:paraId="41859A62">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废反渗透膜</w:t>
            </w:r>
          </w:p>
        </w:tc>
        <w:tc>
          <w:tcPr>
            <w:tcW w:w="1535" w:type="dxa"/>
            <w:tcBorders>
              <w:top w:val="single" w:color="auto" w:sz="4" w:space="0"/>
              <w:left w:val="single" w:color="auto" w:sz="4" w:space="0"/>
              <w:bottom w:val="single" w:color="auto" w:sz="4" w:space="0"/>
              <w:right w:val="single" w:color="auto" w:sz="4" w:space="0"/>
            </w:tcBorders>
            <w:shd w:val="clear" w:color="auto" w:fill="auto"/>
            <w:vAlign w:val="center"/>
          </w:tcPr>
          <w:p w14:paraId="5B3E17BF">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pP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3B990C57">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p>
        </w:tc>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14:paraId="0B9B2057">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1BE9948A">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0.84kg/a</w:t>
            </w:r>
          </w:p>
        </w:tc>
        <w:tc>
          <w:tcPr>
            <w:tcW w:w="1415" w:type="dxa"/>
            <w:tcBorders>
              <w:top w:val="single" w:color="auto" w:sz="4" w:space="0"/>
              <w:left w:val="single" w:color="auto" w:sz="4" w:space="0"/>
              <w:bottom w:val="single" w:color="auto" w:sz="4" w:space="0"/>
              <w:right w:val="single" w:color="auto" w:sz="4" w:space="0"/>
            </w:tcBorders>
            <w:shd w:val="clear" w:color="auto" w:fill="auto"/>
            <w:vAlign w:val="center"/>
          </w:tcPr>
          <w:p w14:paraId="117CCA67">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pPr>
          </w:p>
        </w:tc>
        <w:tc>
          <w:tcPr>
            <w:tcW w:w="1883" w:type="dxa"/>
            <w:tcBorders>
              <w:top w:val="single" w:color="auto" w:sz="4" w:space="0"/>
              <w:left w:val="single" w:color="auto" w:sz="4" w:space="0"/>
              <w:bottom w:val="single" w:color="auto" w:sz="4" w:space="0"/>
              <w:right w:val="single" w:color="auto" w:sz="4" w:space="0"/>
            </w:tcBorders>
            <w:shd w:val="clear" w:color="auto" w:fill="auto"/>
            <w:vAlign w:val="center"/>
          </w:tcPr>
          <w:p w14:paraId="63C796A5">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0.84kg/a</w:t>
            </w:r>
          </w:p>
        </w:tc>
        <w:tc>
          <w:tcPr>
            <w:tcW w:w="1248" w:type="dxa"/>
            <w:tcBorders>
              <w:top w:val="single" w:color="auto" w:sz="4" w:space="0"/>
              <w:left w:val="single" w:color="auto" w:sz="4" w:space="0"/>
              <w:bottom w:val="single" w:color="auto" w:sz="4" w:space="0"/>
              <w:right w:val="single" w:color="auto" w:sz="8" w:space="0"/>
            </w:tcBorders>
            <w:shd w:val="clear" w:color="auto" w:fill="auto"/>
            <w:vAlign w:val="center"/>
          </w:tcPr>
          <w:p w14:paraId="3829C3D0">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+0.84kg/a</w:t>
            </w:r>
          </w:p>
        </w:tc>
      </w:tr>
      <w:tr w14:paraId="2A76A8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959" w:type="dxa"/>
            <w:vMerge w:val="restart"/>
            <w:tcBorders>
              <w:top w:val="single" w:color="auto" w:sz="4" w:space="0"/>
              <w:left w:val="single" w:color="auto" w:sz="8" w:space="0"/>
              <w:right w:val="single" w:color="auto" w:sz="4" w:space="0"/>
            </w:tcBorders>
            <w:shd w:val="clear" w:color="auto" w:fill="auto"/>
            <w:vAlign w:val="center"/>
          </w:tcPr>
          <w:p w14:paraId="5B17C7E6">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14:textFill>
                  <w14:solidFill>
                    <w14:schemeClr w14:val="tx1"/>
                  </w14:solidFill>
                </w14:textFill>
              </w:rPr>
            </w:pPr>
            <w:r>
              <w:rPr>
                <w:rFonts w:hint="default" w:ascii="Times New Roman" w:hAnsi="Times New Roman" w:eastAsia="宋体" w:cs="Times New Roman"/>
                <w:snapToGrid w:val="0"/>
                <w:color w:val="000000" w:themeColor="text1"/>
                <w:kern w:val="21"/>
                <w:szCs w:val="21"/>
                <w14:textFill>
                  <w14:solidFill>
                    <w14:schemeClr w14:val="tx1"/>
                  </w14:solidFill>
                </w14:textFill>
              </w:rPr>
              <w:t>危险废物</w:t>
            </w:r>
          </w:p>
        </w:tc>
        <w:tc>
          <w:tcPr>
            <w:tcW w:w="2211" w:type="dxa"/>
            <w:tcBorders>
              <w:top w:val="single" w:color="auto" w:sz="4" w:space="0"/>
              <w:left w:val="single" w:color="auto" w:sz="4" w:space="0"/>
              <w:bottom w:val="single" w:color="auto" w:sz="4" w:space="0"/>
              <w:right w:val="single" w:color="auto" w:sz="4" w:space="0"/>
            </w:tcBorders>
            <w:shd w:val="clear" w:color="auto" w:fill="auto"/>
            <w:vAlign w:val="center"/>
          </w:tcPr>
          <w:p w14:paraId="6209F3F9">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废空压机油</w:t>
            </w:r>
          </w:p>
        </w:tc>
        <w:tc>
          <w:tcPr>
            <w:tcW w:w="1535" w:type="dxa"/>
            <w:tcBorders>
              <w:top w:val="single" w:color="auto" w:sz="4" w:space="0"/>
              <w:left w:val="single" w:color="auto" w:sz="4" w:space="0"/>
              <w:bottom w:val="single" w:color="auto" w:sz="4" w:space="0"/>
              <w:right w:val="single" w:color="auto" w:sz="4" w:space="0"/>
            </w:tcBorders>
            <w:shd w:val="clear" w:color="auto" w:fill="auto"/>
            <w:vAlign w:val="center"/>
          </w:tcPr>
          <w:p w14:paraId="58874588">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pP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6E437C57">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14:textFill>
                  <w14:solidFill>
                    <w14:schemeClr w14:val="tx1"/>
                  </w14:solidFill>
                </w14:textFill>
              </w:rPr>
            </w:pPr>
          </w:p>
        </w:tc>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14:paraId="150973A2">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snapToGrid w:val="0"/>
                <w:color w:val="000000" w:themeColor="text1"/>
                <w:kern w:val="21"/>
                <w:szCs w:val="21"/>
                <w:lang w:val="en-US"/>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349287CA">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0.0</w:t>
            </w: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2t/a</w:t>
            </w:r>
          </w:p>
        </w:tc>
        <w:tc>
          <w:tcPr>
            <w:tcW w:w="1415" w:type="dxa"/>
            <w:tcBorders>
              <w:top w:val="single" w:color="auto" w:sz="4" w:space="0"/>
              <w:left w:val="single" w:color="auto" w:sz="4" w:space="0"/>
              <w:bottom w:val="single" w:color="auto" w:sz="4" w:space="0"/>
              <w:right w:val="single" w:color="auto" w:sz="4" w:space="0"/>
            </w:tcBorders>
            <w:shd w:val="clear" w:color="auto" w:fill="auto"/>
            <w:vAlign w:val="center"/>
          </w:tcPr>
          <w:p w14:paraId="013B33EB">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snapToGrid w:val="0"/>
                <w:color w:val="000000" w:themeColor="text1"/>
                <w:kern w:val="21"/>
                <w:szCs w:val="21"/>
                <w:lang w:val="en-US"/>
                <w14:textFill>
                  <w14:solidFill>
                    <w14:schemeClr w14:val="tx1"/>
                  </w14:solidFill>
                </w14:textFill>
              </w:rPr>
            </w:pPr>
          </w:p>
        </w:tc>
        <w:tc>
          <w:tcPr>
            <w:tcW w:w="1883" w:type="dxa"/>
            <w:tcBorders>
              <w:top w:val="single" w:color="auto" w:sz="4" w:space="0"/>
              <w:left w:val="single" w:color="auto" w:sz="4" w:space="0"/>
              <w:bottom w:val="single" w:color="auto" w:sz="4" w:space="0"/>
              <w:right w:val="single" w:color="auto" w:sz="4" w:space="0"/>
            </w:tcBorders>
            <w:shd w:val="clear" w:color="auto" w:fill="auto"/>
            <w:vAlign w:val="center"/>
          </w:tcPr>
          <w:p w14:paraId="635D4D6D">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0.</w:t>
            </w: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02t/a</w:t>
            </w:r>
          </w:p>
        </w:tc>
        <w:tc>
          <w:tcPr>
            <w:tcW w:w="1248" w:type="dxa"/>
            <w:tcBorders>
              <w:top w:val="single" w:color="auto" w:sz="4" w:space="0"/>
              <w:left w:val="single" w:color="auto" w:sz="4" w:space="0"/>
              <w:bottom w:val="single" w:color="auto" w:sz="4" w:space="0"/>
              <w:right w:val="single" w:color="auto" w:sz="8" w:space="0"/>
            </w:tcBorders>
            <w:shd w:val="clear" w:color="auto" w:fill="auto"/>
            <w:vAlign w:val="center"/>
          </w:tcPr>
          <w:p w14:paraId="6790048A">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w:t>
            </w: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0.</w:t>
            </w: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02t/a</w:t>
            </w:r>
          </w:p>
        </w:tc>
      </w:tr>
      <w:tr w14:paraId="6B56E0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5" w:hRule="atLeast"/>
        </w:trPr>
        <w:tc>
          <w:tcPr>
            <w:tcW w:w="959" w:type="dxa"/>
            <w:vMerge w:val="continue"/>
            <w:tcBorders>
              <w:left w:val="single" w:color="auto" w:sz="8" w:space="0"/>
              <w:right w:val="single" w:color="auto" w:sz="4" w:space="0"/>
            </w:tcBorders>
            <w:shd w:val="clear" w:color="auto" w:fill="auto"/>
            <w:vAlign w:val="center"/>
          </w:tcPr>
          <w:p w14:paraId="3A4B081C">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14:textFill>
                  <w14:solidFill>
                    <w14:schemeClr w14:val="tx1"/>
                  </w14:solidFill>
                </w14:textFill>
              </w:rPr>
            </w:pPr>
          </w:p>
        </w:tc>
        <w:tc>
          <w:tcPr>
            <w:tcW w:w="2211" w:type="dxa"/>
            <w:tcBorders>
              <w:top w:val="single" w:color="auto" w:sz="4" w:space="0"/>
              <w:left w:val="single" w:color="auto" w:sz="4" w:space="0"/>
              <w:bottom w:val="single" w:color="auto" w:sz="4" w:space="0"/>
              <w:right w:val="single" w:color="auto" w:sz="4" w:space="0"/>
            </w:tcBorders>
            <w:shd w:val="clear" w:color="auto" w:fill="auto"/>
            <w:vAlign w:val="center"/>
          </w:tcPr>
          <w:p w14:paraId="3F7B2F9B">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废润滑油</w:t>
            </w:r>
          </w:p>
        </w:tc>
        <w:tc>
          <w:tcPr>
            <w:tcW w:w="1535" w:type="dxa"/>
            <w:tcBorders>
              <w:top w:val="single" w:color="auto" w:sz="4" w:space="0"/>
              <w:left w:val="single" w:color="auto" w:sz="4" w:space="0"/>
              <w:bottom w:val="single" w:color="auto" w:sz="4" w:space="0"/>
              <w:right w:val="single" w:color="auto" w:sz="4" w:space="0"/>
            </w:tcBorders>
            <w:shd w:val="clear" w:color="auto" w:fill="auto"/>
            <w:vAlign w:val="center"/>
          </w:tcPr>
          <w:p w14:paraId="12A7B829">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4C07C5E9">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14:textFill>
                  <w14:solidFill>
                    <w14:schemeClr w14:val="tx1"/>
                  </w14:solidFill>
                </w14:textFill>
              </w:rPr>
            </w:pPr>
          </w:p>
        </w:tc>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14:paraId="5C6F1430">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snapToGrid w:val="0"/>
                <w:color w:val="000000" w:themeColor="text1"/>
                <w:kern w:val="21"/>
                <w:szCs w:val="21"/>
                <w:lang w:val="en-US"/>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5A96549D">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0.01t/a</w:t>
            </w:r>
          </w:p>
        </w:tc>
        <w:tc>
          <w:tcPr>
            <w:tcW w:w="1415" w:type="dxa"/>
            <w:tcBorders>
              <w:top w:val="single" w:color="auto" w:sz="4" w:space="0"/>
              <w:left w:val="single" w:color="auto" w:sz="4" w:space="0"/>
              <w:bottom w:val="single" w:color="auto" w:sz="4" w:space="0"/>
              <w:right w:val="single" w:color="auto" w:sz="4" w:space="0"/>
            </w:tcBorders>
            <w:shd w:val="clear" w:color="auto" w:fill="auto"/>
            <w:vAlign w:val="center"/>
          </w:tcPr>
          <w:p w14:paraId="5EFC28B6">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snapToGrid w:val="0"/>
                <w:color w:val="000000" w:themeColor="text1"/>
                <w:kern w:val="21"/>
                <w:szCs w:val="21"/>
                <w:lang w:val="en-US"/>
                <w14:textFill>
                  <w14:solidFill>
                    <w14:schemeClr w14:val="tx1"/>
                  </w14:solidFill>
                </w14:textFill>
              </w:rPr>
            </w:pPr>
          </w:p>
        </w:tc>
        <w:tc>
          <w:tcPr>
            <w:tcW w:w="1883" w:type="dxa"/>
            <w:tcBorders>
              <w:top w:val="single" w:color="auto" w:sz="4" w:space="0"/>
              <w:left w:val="single" w:color="auto" w:sz="4" w:space="0"/>
              <w:bottom w:val="single" w:color="auto" w:sz="4" w:space="0"/>
              <w:right w:val="single" w:color="auto" w:sz="4" w:space="0"/>
            </w:tcBorders>
            <w:shd w:val="clear" w:color="auto" w:fill="auto"/>
            <w:vAlign w:val="center"/>
          </w:tcPr>
          <w:p w14:paraId="77856D24">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0.01t/a</w:t>
            </w:r>
          </w:p>
        </w:tc>
        <w:tc>
          <w:tcPr>
            <w:tcW w:w="1248" w:type="dxa"/>
            <w:tcBorders>
              <w:top w:val="single" w:color="auto" w:sz="4" w:space="0"/>
              <w:left w:val="single" w:color="auto" w:sz="4" w:space="0"/>
              <w:bottom w:val="single" w:color="auto" w:sz="4" w:space="0"/>
              <w:right w:val="single" w:color="auto" w:sz="8" w:space="0"/>
            </w:tcBorders>
            <w:shd w:val="clear" w:color="auto" w:fill="auto"/>
            <w:vAlign w:val="center"/>
          </w:tcPr>
          <w:p w14:paraId="6D629D83">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+0.01t/a</w:t>
            </w:r>
          </w:p>
        </w:tc>
      </w:tr>
      <w:tr w14:paraId="099C31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959" w:type="dxa"/>
            <w:vMerge w:val="continue"/>
            <w:tcBorders>
              <w:left w:val="single" w:color="auto" w:sz="8" w:space="0"/>
              <w:right w:val="single" w:color="auto" w:sz="4" w:space="0"/>
            </w:tcBorders>
            <w:shd w:val="clear" w:color="auto" w:fill="auto"/>
            <w:vAlign w:val="center"/>
          </w:tcPr>
          <w:p w14:paraId="0A9F6A6D">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14:textFill>
                  <w14:solidFill>
                    <w14:schemeClr w14:val="tx1"/>
                  </w14:solidFill>
                </w14:textFill>
              </w:rPr>
            </w:pPr>
          </w:p>
        </w:tc>
        <w:tc>
          <w:tcPr>
            <w:tcW w:w="2211" w:type="dxa"/>
            <w:tcBorders>
              <w:top w:val="single" w:color="auto" w:sz="4" w:space="0"/>
              <w:left w:val="single" w:color="auto" w:sz="4" w:space="0"/>
              <w:bottom w:val="single" w:color="auto" w:sz="4" w:space="0"/>
              <w:right w:val="single" w:color="auto" w:sz="4" w:space="0"/>
            </w:tcBorders>
            <w:shd w:val="clear" w:color="auto" w:fill="auto"/>
            <w:vAlign w:val="center"/>
          </w:tcPr>
          <w:p w14:paraId="4BF60EC0">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废油桶</w:t>
            </w:r>
          </w:p>
        </w:tc>
        <w:tc>
          <w:tcPr>
            <w:tcW w:w="1535" w:type="dxa"/>
            <w:tcBorders>
              <w:top w:val="single" w:color="auto" w:sz="4" w:space="0"/>
              <w:left w:val="single" w:color="auto" w:sz="4" w:space="0"/>
              <w:bottom w:val="single" w:color="auto" w:sz="4" w:space="0"/>
              <w:right w:val="single" w:color="auto" w:sz="4" w:space="0"/>
            </w:tcBorders>
            <w:shd w:val="clear" w:color="auto" w:fill="auto"/>
            <w:vAlign w:val="center"/>
          </w:tcPr>
          <w:p w14:paraId="625BD974">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35261450">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14:textFill>
                  <w14:solidFill>
                    <w14:schemeClr w14:val="tx1"/>
                  </w14:solidFill>
                </w14:textFill>
              </w:rPr>
            </w:pPr>
          </w:p>
        </w:tc>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14:paraId="3662A049">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snapToGrid w:val="0"/>
                <w:color w:val="000000" w:themeColor="text1"/>
                <w:kern w:val="21"/>
                <w:szCs w:val="21"/>
                <w:lang w:val="en-US"/>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1AEC7BCE">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0.009t/a</w:t>
            </w:r>
          </w:p>
        </w:tc>
        <w:tc>
          <w:tcPr>
            <w:tcW w:w="1415" w:type="dxa"/>
            <w:tcBorders>
              <w:top w:val="single" w:color="auto" w:sz="4" w:space="0"/>
              <w:left w:val="single" w:color="auto" w:sz="4" w:space="0"/>
              <w:bottom w:val="single" w:color="auto" w:sz="4" w:space="0"/>
              <w:right w:val="single" w:color="auto" w:sz="4" w:space="0"/>
            </w:tcBorders>
            <w:shd w:val="clear" w:color="auto" w:fill="auto"/>
            <w:vAlign w:val="center"/>
          </w:tcPr>
          <w:p w14:paraId="2EFD117B">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snapToGrid w:val="0"/>
                <w:color w:val="000000" w:themeColor="text1"/>
                <w:kern w:val="21"/>
                <w:szCs w:val="21"/>
                <w:lang w:val="en-US"/>
                <w14:textFill>
                  <w14:solidFill>
                    <w14:schemeClr w14:val="tx1"/>
                  </w14:solidFill>
                </w14:textFill>
              </w:rPr>
            </w:pPr>
          </w:p>
        </w:tc>
        <w:tc>
          <w:tcPr>
            <w:tcW w:w="1883" w:type="dxa"/>
            <w:tcBorders>
              <w:top w:val="single" w:color="auto" w:sz="4" w:space="0"/>
              <w:left w:val="single" w:color="auto" w:sz="4" w:space="0"/>
              <w:bottom w:val="single" w:color="auto" w:sz="4" w:space="0"/>
              <w:right w:val="single" w:color="auto" w:sz="4" w:space="0"/>
            </w:tcBorders>
            <w:shd w:val="clear" w:color="auto" w:fill="auto"/>
            <w:vAlign w:val="center"/>
          </w:tcPr>
          <w:p w14:paraId="635EB4CF">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0.009t/a</w:t>
            </w:r>
          </w:p>
        </w:tc>
        <w:tc>
          <w:tcPr>
            <w:tcW w:w="1248" w:type="dxa"/>
            <w:tcBorders>
              <w:top w:val="single" w:color="auto" w:sz="4" w:space="0"/>
              <w:left w:val="single" w:color="auto" w:sz="4" w:space="0"/>
              <w:bottom w:val="single" w:color="auto" w:sz="4" w:space="0"/>
              <w:right w:val="single" w:color="auto" w:sz="8" w:space="0"/>
            </w:tcBorders>
            <w:shd w:val="clear" w:color="auto" w:fill="auto"/>
            <w:vAlign w:val="center"/>
          </w:tcPr>
          <w:p w14:paraId="3B85DB6E">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+0.009t/a</w:t>
            </w:r>
          </w:p>
        </w:tc>
      </w:tr>
      <w:tr w14:paraId="4C63EF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959" w:type="dxa"/>
            <w:vMerge w:val="continue"/>
            <w:tcBorders>
              <w:left w:val="single" w:color="auto" w:sz="8" w:space="0"/>
              <w:right w:val="single" w:color="auto" w:sz="4" w:space="0"/>
            </w:tcBorders>
            <w:shd w:val="clear" w:color="auto" w:fill="auto"/>
            <w:vAlign w:val="center"/>
          </w:tcPr>
          <w:p w14:paraId="11E9CF76">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14:textFill>
                  <w14:solidFill>
                    <w14:schemeClr w14:val="tx1"/>
                  </w14:solidFill>
                </w14:textFill>
              </w:rPr>
            </w:pPr>
          </w:p>
        </w:tc>
        <w:tc>
          <w:tcPr>
            <w:tcW w:w="2211" w:type="dxa"/>
            <w:tcBorders>
              <w:top w:val="single" w:color="auto" w:sz="4" w:space="0"/>
              <w:left w:val="single" w:color="auto" w:sz="4" w:space="0"/>
              <w:bottom w:val="single" w:color="auto" w:sz="4" w:space="0"/>
              <w:right w:val="single" w:color="auto" w:sz="4" w:space="0"/>
            </w:tcBorders>
            <w:shd w:val="clear" w:color="auto" w:fill="auto"/>
            <w:vAlign w:val="center"/>
          </w:tcPr>
          <w:p w14:paraId="61EFC958">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废活性炭</w:t>
            </w:r>
          </w:p>
        </w:tc>
        <w:tc>
          <w:tcPr>
            <w:tcW w:w="1535" w:type="dxa"/>
            <w:tcBorders>
              <w:top w:val="single" w:color="auto" w:sz="4" w:space="0"/>
              <w:left w:val="single" w:color="auto" w:sz="4" w:space="0"/>
              <w:bottom w:val="single" w:color="auto" w:sz="4" w:space="0"/>
              <w:right w:val="single" w:color="auto" w:sz="4" w:space="0"/>
            </w:tcBorders>
            <w:shd w:val="clear" w:color="auto" w:fill="auto"/>
            <w:vAlign w:val="center"/>
          </w:tcPr>
          <w:p w14:paraId="6727EA87">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pP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3F6BB33A">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14:textFill>
                  <w14:solidFill>
                    <w14:schemeClr w14:val="tx1"/>
                  </w14:solidFill>
                </w14:textFill>
              </w:rPr>
            </w:pPr>
          </w:p>
        </w:tc>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14:paraId="3D0E1D40">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snapToGrid w:val="0"/>
                <w:color w:val="000000" w:themeColor="text1"/>
                <w:kern w:val="21"/>
                <w:szCs w:val="21"/>
                <w:lang w:val="en-US"/>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6EA8E2C8">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7.7</w:t>
            </w: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t/a</w:t>
            </w:r>
          </w:p>
        </w:tc>
        <w:tc>
          <w:tcPr>
            <w:tcW w:w="1415" w:type="dxa"/>
            <w:tcBorders>
              <w:top w:val="single" w:color="auto" w:sz="4" w:space="0"/>
              <w:left w:val="single" w:color="auto" w:sz="4" w:space="0"/>
              <w:bottom w:val="single" w:color="auto" w:sz="4" w:space="0"/>
              <w:right w:val="single" w:color="auto" w:sz="4" w:space="0"/>
            </w:tcBorders>
            <w:shd w:val="clear" w:color="auto" w:fill="auto"/>
            <w:vAlign w:val="center"/>
          </w:tcPr>
          <w:p w14:paraId="26CD1298">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snapToGrid w:val="0"/>
                <w:color w:val="000000" w:themeColor="text1"/>
                <w:kern w:val="21"/>
                <w:szCs w:val="21"/>
                <w:lang w:val="en-US"/>
                <w14:textFill>
                  <w14:solidFill>
                    <w14:schemeClr w14:val="tx1"/>
                  </w14:solidFill>
                </w14:textFill>
              </w:rPr>
            </w:pPr>
          </w:p>
        </w:tc>
        <w:tc>
          <w:tcPr>
            <w:tcW w:w="1883" w:type="dxa"/>
            <w:tcBorders>
              <w:top w:val="single" w:color="auto" w:sz="4" w:space="0"/>
              <w:left w:val="single" w:color="auto" w:sz="4" w:space="0"/>
              <w:bottom w:val="single" w:color="auto" w:sz="4" w:space="0"/>
              <w:right w:val="single" w:color="auto" w:sz="4" w:space="0"/>
            </w:tcBorders>
            <w:shd w:val="clear" w:color="auto" w:fill="auto"/>
            <w:vAlign w:val="center"/>
          </w:tcPr>
          <w:p w14:paraId="4EB471AE">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7.7</w:t>
            </w: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t/a</w:t>
            </w:r>
          </w:p>
        </w:tc>
        <w:tc>
          <w:tcPr>
            <w:tcW w:w="1248" w:type="dxa"/>
            <w:tcBorders>
              <w:top w:val="single" w:color="auto" w:sz="4" w:space="0"/>
              <w:left w:val="single" w:color="auto" w:sz="4" w:space="0"/>
              <w:bottom w:val="single" w:color="auto" w:sz="4" w:space="0"/>
              <w:right w:val="single" w:color="auto" w:sz="8" w:space="0"/>
            </w:tcBorders>
            <w:shd w:val="clear" w:color="auto" w:fill="auto"/>
            <w:vAlign w:val="center"/>
          </w:tcPr>
          <w:p w14:paraId="5E6442BE">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+7.7</w:t>
            </w: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t/a</w:t>
            </w:r>
          </w:p>
        </w:tc>
      </w:tr>
      <w:tr w14:paraId="487A92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959" w:type="dxa"/>
            <w:vMerge w:val="continue"/>
            <w:tcBorders>
              <w:left w:val="single" w:color="auto" w:sz="8" w:space="0"/>
              <w:right w:val="single" w:color="auto" w:sz="4" w:space="0"/>
            </w:tcBorders>
            <w:shd w:val="clear" w:color="auto" w:fill="auto"/>
            <w:vAlign w:val="center"/>
          </w:tcPr>
          <w:p w14:paraId="07A3B184">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14:textFill>
                  <w14:solidFill>
                    <w14:schemeClr w14:val="tx1"/>
                  </w14:solidFill>
                </w14:textFill>
              </w:rPr>
            </w:pPr>
          </w:p>
        </w:tc>
        <w:tc>
          <w:tcPr>
            <w:tcW w:w="2211" w:type="dxa"/>
            <w:tcBorders>
              <w:top w:val="single" w:color="auto" w:sz="4" w:space="0"/>
              <w:left w:val="single" w:color="auto" w:sz="4" w:space="0"/>
              <w:bottom w:val="single" w:color="auto" w:sz="4" w:space="0"/>
              <w:right w:val="single" w:color="auto" w:sz="4" w:space="0"/>
            </w:tcBorders>
            <w:shd w:val="clear" w:color="auto" w:fill="auto"/>
            <w:vAlign w:val="center"/>
          </w:tcPr>
          <w:p w14:paraId="5144C2A9">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废过滤棉</w:t>
            </w:r>
          </w:p>
        </w:tc>
        <w:tc>
          <w:tcPr>
            <w:tcW w:w="1535" w:type="dxa"/>
            <w:tcBorders>
              <w:top w:val="single" w:color="auto" w:sz="4" w:space="0"/>
              <w:left w:val="single" w:color="auto" w:sz="4" w:space="0"/>
              <w:bottom w:val="single" w:color="auto" w:sz="4" w:space="0"/>
              <w:right w:val="single" w:color="auto" w:sz="4" w:space="0"/>
            </w:tcBorders>
            <w:shd w:val="clear" w:color="auto" w:fill="auto"/>
            <w:vAlign w:val="center"/>
          </w:tcPr>
          <w:p w14:paraId="4E6CAC56">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70DD2057">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14:textFill>
                  <w14:solidFill>
                    <w14:schemeClr w14:val="tx1"/>
                  </w14:solidFill>
                </w14:textFill>
              </w:rPr>
            </w:pPr>
          </w:p>
        </w:tc>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14:paraId="0D02DD59">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snapToGrid w:val="0"/>
                <w:color w:val="000000" w:themeColor="text1"/>
                <w:kern w:val="21"/>
                <w:szCs w:val="21"/>
                <w:lang w:val="en-US"/>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1CBB2A03">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0.02</w:t>
            </w: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t/a</w:t>
            </w:r>
          </w:p>
        </w:tc>
        <w:tc>
          <w:tcPr>
            <w:tcW w:w="1415" w:type="dxa"/>
            <w:tcBorders>
              <w:top w:val="single" w:color="auto" w:sz="4" w:space="0"/>
              <w:left w:val="single" w:color="auto" w:sz="4" w:space="0"/>
              <w:bottom w:val="single" w:color="auto" w:sz="4" w:space="0"/>
              <w:right w:val="single" w:color="auto" w:sz="4" w:space="0"/>
            </w:tcBorders>
            <w:shd w:val="clear" w:color="auto" w:fill="auto"/>
            <w:vAlign w:val="center"/>
          </w:tcPr>
          <w:p w14:paraId="011CBD74">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snapToGrid w:val="0"/>
                <w:color w:val="000000" w:themeColor="text1"/>
                <w:kern w:val="21"/>
                <w:szCs w:val="21"/>
                <w:lang w:val="en-US"/>
                <w14:textFill>
                  <w14:solidFill>
                    <w14:schemeClr w14:val="tx1"/>
                  </w14:solidFill>
                </w14:textFill>
              </w:rPr>
            </w:pPr>
          </w:p>
        </w:tc>
        <w:tc>
          <w:tcPr>
            <w:tcW w:w="1883" w:type="dxa"/>
            <w:tcBorders>
              <w:top w:val="single" w:color="auto" w:sz="4" w:space="0"/>
              <w:left w:val="single" w:color="auto" w:sz="4" w:space="0"/>
              <w:bottom w:val="single" w:color="auto" w:sz="4" w:space="0"/>
              <w:right w:val="single" w:color="auto" w:sz="4" w:space="0"/>
            </w:tcBorders>
            <w:shd w:val="clear" w:color="auto" w:fill="auto"/>
            <w:vAlign w:val="center"/>
          </w:tcPr>
          <w:p w14:paraId="5D885EE4">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0.02</w:t>
            </w: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t/a</w:t>
            </w:r>
          </w:p>
        </w:tc>
        <w:tc>
          <w:tcPr>
            <w:tcW w:w="1248" w:type="dxa"/>
            <w:tcBorders>
              <w:top w:val="single" w:color="auto" w:sz="4" w:space="0"/>
              <w:left w:val="single" w:color="auto" w:sz="4" w:space="0"/>
              <w:bottom w:val="single" w:color="auto" w:sz="4" w:space="0"/>
              <w:right w:val="single" w:color="auto" w:sz="8" w:space="0"/>
            </w:tcBorders>
            <w:shd w:val="clear" w:color="auto" w:fill="auto"/>
            <w:vAlign w:val="center"/>
          </w:tcPr>
          <w:p w14:paraId="107162BD">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+0.02</w:t>
            </w: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t/a</w:t>
            </w:r>
          </w:p>
        </w:tc>
      </w:tr>
      <w:tr w14:paraId="7FAC10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959" w:type="dxa"/>
            <w:vMerge w:val="continue"/>
            <w:tcBorders>
              <w:left w:val="single" w:color="auto" w:sz="8" w:space="0"/>
              <w:bottom w:val="single" w:color="auto" w:sz="8" w:space="0"/>
              <w:right w:val="single" w:color="auto" w:sz="4" w:space="0"/>
            </w:tcBorders>
            <w:shd w:val="clear" w:color="auto" w:fill="auto"/>
            <w:vAlign w:val="center"/>
          </w:tcPr>
          <w:p w14:paraId="00EF8E52">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14:textFill>
                  <w14:solidFill>
                    <w14:schemeClr w14:val="tx1"/>
                  </w14:solidFill>
                </w14:textFill>
              </w:rPr>
            </w:pPr>
          </w:p>
        </w:tc>
        <w:tc>
          <w:tcPr>
            <w:tcW w:w="2211" w:type="dxa"/>
            <w:tcBorders>
              <w:top w:val="single" w:color="auto" w:sz="4" w:space="0"/>
              <w:left w:val="single" w:color="auto" w:sz="4" w:space="0"/>
              <w:bottom w:val="single" w:color="auto" w:sz="4" w:space="0"/>
              <w:right w:val="single" w:color="auto" w:sz="4" w:space="0"/>
            </w:tcBorders>
            <w:shd w:val="clear" w:color="auto" w:fill="auto"/>
            <w:vAlign w:val="center"/>
          </w:tcPr>
          <w:p w14:paraId="2DC05369">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沾染废物</w:t>
            </w:r>
          </w:p>
        </w:tc>
        <w:tc>
          <w:tcPr>
            <w:tcW w:w="1535" w:type="dxa"/>
            <w:tcBorders>
              <w:top w:val="single" w:color="auto" w:sz="4" w:space="0"/>
              <w:left w:val="single" w:color="auto" w:sz="4" w:space="0"/>
              <w:bottom w:val="single" w:color="auto" w:sz="4" w:space="0"/>
              <w:right w:val="single" w:color="auto" w:sz="4" w:space="0"/>
            </w:tcBorders>
            <w:shd w:val="clear" w:color="auto" w:fill="auto"/>
            <w:vAlign w:val="center"/>
          </w:tcPr>
          <w:p w14:paraId="5F124111">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pP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2230A9A6">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p>
        </w:tc>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14:paraId="7D99E09B">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6F328E40">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0.1t/a</w:t>
            </w:r>
          </w:p>
        </w:tc>
        <w:tc>
          <w:tcPr>
            <w:tcW w:w="1415" w:type="dxa"/>
            <w:tcBorders>
              <w:top w:val="single" w:color="auto" w:sz="4" w:space="0"/>
              <w:left w:val="single" w:color="auto" w:sz="4" w:space="0"/>
              <w:bottom w:val="single" w:color="auto" w:sz="4" w:space="0"/>
              <w:right w:val="single" w:color="auto" w:sz="4" w:space="0"/>
            </w:tcBorders>
            <w:shd w:val="clear" w:color="auto" w:fill="auto"/>
            <w:vAlign w:val="center"/>
          </w:tcPr>
          <w:p w14:paraId="18067947">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pPr>
          </w:p>
        </w:tc>
        <w:tc>
          <w:tcPr>
            <w:tcW w:w="1883" w:type="dxa"/>
            <w:tcBorders>
              <w:top w:val="single" w:color="auto" w:sz="4" w:space="0"/>
              <w:left w:val="single" w:color="auto" w:sz="4" w:space="0"/>
              <w:bottom w:val="single" w:color="auto" w:sz="4" w:space="0"/>
              <w:right w:val="single" w:color="auto" w:sz="4" w:space="0"/>
            </w:tcBorders>
            <w:shd w:val="clear" w:color="auto" w:fill="auto"/>
            <w:vAlign w:val="center"/>
          </w:tcPr>
          <w:p w14:paraId="7C6F4DDC">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0.1t/a</w:t>
            </w:r>
          </w:p>
        </w:tc>
        <w:tc>
          <w:tcPr>
            <w:tcW w:w="1248" w:type="dxa"/>
            <w:tcBorders>
              <w:top w:val="single" w:color="auto" w:sz="4" w:space="0"/>
              <w:left w:val="single" w:color="auto" w:sz="4" w:space="0"/>
              <w:bottom w:val="single" w:color="auto" w:sz="4" w:space="0"/>
              <w:right w:val="single" w:color="auto" w:sz="8" w:space="0"/>
            </w:tcBorders>
            <w:shd w:val="clear" w:color="auto" w:fill="auto"/>
            <w:vAlign w:val="center"/>
          </w:tcPr>
          <w:p w14:paraId="572C691A">
            <w:pPr>
              <w:pStyle w:val="7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+0.1t/a</w:t>
            </w:r>
          </w:p>
        </w:tc>
      </w:tr>
    </w:tbl>
    <w:p w14:paraId="275AD7D0">
      <w:pPr>
        <w:jc w:val="both"/>
        <w:rPr>
          <w:rFonts w:hint="default"/>
          <w:lang w:eastAsia="zh-CN"/>
        </w:rPr>
      </w:pPr>
      <w:r>
        <w:rPr>
          <w:rFonts w:hint="default" w:ascii="Times New Roman" w:hAnsi="Times New Roman" w:cs="Times New Roman"/>
          <w:snapToGrid w:val="0"/>
          <w:color w:val="000000" w:themeColor="text1"/>
          <w:kern w:val="21"/>
          <w:szCs w:val="21"/>
          <w14:textFill>
            <w14:solidFill>
              <w14:schemeClr w14:val="tx1"/>
            </w14:solidFill>
          </w14:textFill>
        </w:rPr>
        <w:t>注：</w:t>
      </w:r>
      <w:r>
        <w:rPr>
          <w:rFonts w:hint="default" w:ascii="Times New Roman" w:hAnsi="Times New Roman" w:cs="Times New Roman"/>
          <w:snapToGrid w:val="0"/>
          <w:color w:val="000000" w:themeColor="text1"/>
          <w:spacing w:val="-16"/>
          <w:kern w:val="21"/>
          <w:szCs w:val="21"/>
          <w14:textFill>
            <w14:solidFill>
              <w14:schemeClr w14:val="tx1"/>
            </w14:solidFill>
          </w14:textFill>
        </w:rPr>
        <w:fldChar w:fldCharType="begin"/>
      </w:r>
      <w:r>
        <w:rPr>
          <w:rFonts w:hint="default" w:ascii="Times New Roman" w:hAnsi="Times New Roman" w:cs="Times New Roman"/>
          <w:snapToGrid w:val="0"/>
          <w:color w:val="000000" w:themeColor="text1"/>
          <w:spacing w:val="-16"/>
          <w:kern w:val="21"/>
          <w:szCs w:val="21"/>
          <w14:textFill>
            <w14:solidFill>
              <w14:schemeClr w14:val="tx1"/>
            </w14:solidFill>
          </w14:textFill>
        </w:rPr>
        <w:instrText xml:space="preserve"> = 6 \* GB3 \* MERGEFORMAT </w:instrText>
      </w:r>
      <w:r>
        <w:rPr>
          <w:rFonts w:hint="default" w:ascii="Times New Roman" w:hAnsi="Times New Roman" w:cs="Times New Roman"/>
          <w:snapToGrid w:val="0"/>
          <w:color w:val="000000" w:themeColor="text1"/>
          <w:spacing w:val="-16"/>
          <w:kern w:val="21"/>
          <w:szCs w:val="21"/>
          <w14:textFill>
            <w14:solidFill>
              <w14:schemeClr w14:val="tx1"/>
            </w14:solidFill>
          </w14:textFill>
        </w:rPr>
        <w:fldChar w:fldCharType="separate"/>
      </w:r>
      <w:r>
        <w:rPr>
          <w:rFonts w:hint="default" w:ascii="Times New Roman" w:hAnsi="Times New Roman" w:cs="Times New Roman"/>
          <w:color w:val="000000" w:themeColor="text1"/>
          <w:szCs w:val="21"/>
          <w14:textFill>
            <w14:solidFill>
              <w14:schemeClr w14:val="tx1"/>
            </w14:solidFill>
          </w14:textFill>
        </w:rPr>
        <w:t>⑥</w:t>
      </w:r>
      <w:r>
        <w:rPr>
          <w:rFonts w:hint="default" w:ascii="Times New Roman" w:hAnsi="Times New Roman" w:cs="Times New Roman"/>
          <w:snapToGrid w:val="0"/>
          <w:color w:val="000000" w:themeColor="text1"/>
          <w:spacing w:val="-16"/>
          <w:kern w:val="21"/>
          <w:szCs w:val="21"/>
          <w14:textFill>
            <w14:solidFill>
              <w14:schemeClr w14:val="tx1"/>
            </w14:solidFill>
          </w14:textFill>
        </w:rPr>
        <w:fldChar w:fldCharType="end"/>
      </w:r>
      <w:r>
        <w:rPr>
          <w:rFonts w:hint="default" w:ascii="Times New Roman" w:hAnsi="Times New Roman" w:cs="Times New Roman"/>
          <w:snapToGrid w:val="0"/>
          <w:color w:val="000000" w:themeColor="text1"/>
          <w:spacing w:val="-16"/>
          <w:kern w:val="21"/>
          <w:szCs w:val="21"/>
          <w14:textFill>
            <w14:solidFill>
              <w14:schemeClr w14:val="tx1"/>
            </w14:solidFill>
          </w14:textFill>
        </w:rPr>
        <w:t>=</w: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begin"/>
      </w:r>
      <w:r>
        <w:rPr>
          <w:rFonts w:hint="default" w:ascii="Times New Roman" w:hAnsi="Times New Roman" w:cs="Times New Roman"/>
          <w:snapToGrid w:val="0"/>
          <w:color w:val="000000" w:themeColor="text1"/>
          <w:spacing w:val="-6"/>
          <w:kern w:val="21"/>
          <w:szCs w:val="21"/>
          <w14:textFill>
            <w14:solidFill>
              <w14:schemeClr w14:val="tx1"/>
            </w14:solidFill>
          </w14:textFill>
        </w:rPr>
        <w:instrText xml:space="preserve"> = 1 \* GB3 \* MERGEFORMAT </w:instrTex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separate"/>
      </w:r>
      <w:r>
        <w:rPr>
          <w:rFonts w:hint="default" w:ascii="Times New Roman" w:hAnsi="Times New Roman" w:cs="Times New Roman"/>
          <w:color w:val="000000" w:themeColor="text1"/>
          <w:szCs w:val="21"/>
          <w14:textFill>
            <w14:solidFill>
              <w14:schemeClr w14:val="tx1"/>
            </w14:solidFill>
          </w14:textFill>
        </w:rPr>
        <w:t>①</w: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end"/>
      </w:r>
      <w:r>
        <w:rPr>
          <w:rFonts w:hint="default" w:ascii="Times New Roman" w:hAnsi="Times New Roman" w:cs="Times New Roman"/>
          <w:snapToGrid w:val="0"/>
          <w:color w:val="000000" w:themeColor="text1"/>
          <w:spacing w:val="-6"/>
          <w:kern w:val="21"/>
          <w:szCs w:val="21"/>
          <w14:textFill>
            <w14:solidFill>
              <w14:schemeClr w14:val="tx1"/>
            </w14:solidFill>
          </w14:textFill>
        </w:rPr>
        <w:t>+</w: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begin"/>
      </w:r>
      <w:r>
        <w:rPr>
          <w:rFonts w:hint="default" w:ascii="Times New Roman" w:hAnsi="Times New Roman" w:cs="Times New Roman"/>
          <w:snapToGrid w:val="0"/>
          <w:color w:val="000000" w:themeColor="text1"/>
          <w:spacing w:val="-6"/>
          <w:kern w:val="21"/>
          <w:szCs w:val="21"/>
          <w14:textFill>
            <w14:solidFill>
              <w14:schemeClr w14:val="tx1"/>
            </w14:solidFill>
          </w14:textFill>
        </w:rPr>
        <w:instrText xml:space="preserve"> = 3 \* GB3 \* MERGEFORMAT </w:instrTex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separate"/>
      </w:r>
      <w:r>
        <w:rPr>
          <w:rFonts w:hint="default" w:ascii="Times New Roman" w:hAnsi="Times New Roman" w:cs="Times New Roman"/>
          <w:color w:val="000000" w:themeColor="text1"/>
          <w:szCs w:val="21"/>
          <w14:textFill>
            <w14:solidFill>
              <w14:schemeClr w14:val="tx1"/>
            </w14:solidFill>
          </w14:textFill>
        </w:rPr>
        <w:t>③</w: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end"/>
      </w:r>
      <w:r>
        <w:rPr>
          <w:rFonts w:hint="default" w:ascii="Times New Roman" w:hAnsi="Times New Roman" w:cs="Times New Roman"/>
          <w:snapToGrid w:val="0"/>
          <w:color w:val="000000" w:themeColor="text1"/>
          <w:spacing w:val="-6"/>
          <w:kern w:val="21"/>
          <w:szCs w:val="21"/>
          <w14:textFill>
            <w14:solidFill>
              <w14:schemeClr w14:val="tx1"/>
            </w14:solidFill>
          </w14:textFill>
        </w:rPr>
        <w:t>+</w: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begin"/>
      </w:r>
      <w:r>
        <w:rPr>
          <w:rFonts w:hint="default" w:ascii="Times New Roman" w:hAnsi="Times New Roman" w:cs="Times New Roman"/>
          <w:snapToGrid w:val="0"/>
          <w:color w:val="000000" w:themeColor="text1"/>
          <w:spacing w:val="-6"/>
          <w:kern w:val="21"/>
          <w:szCs w:val="21"/>
          <w14:textFill>
            <w14:solidFill>
              <w14:schemeClr w14:val="tx1"/>
            </w14:solidFill>
          </w14:textFill>
        </w:rPr>
        <w:instrText xml:space="preserve"> = 4 \* GB3 \* MERGEFORMAT </w:instrTex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separate"/>
      </w:r>
      <w:r>
        <w:rPr>
          <w:rFonts w:hint="default" w:ascii="Times New Roman" w:hAnsi="Times New Roman" w:cs="Times New Roman"/>
          <w:color w:val="000000" w:themeColor="text1"/>
          <w:szCs w:val="21"/>
          <w14:textFill>
            <w14:solidFill>
              <w14:schemeClr w14:val="tx1"/>
            </w14:solidFill>
          </w14:textFill>
        </w:rPr>
        <w:t>④</w: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end"/>
      </w:r>
      <w:r>
        <w:rPr>
          <w:rFonts w:hint="default" w:ascii="Times New Roman" w:hAnsi="Times New Roman" w:cs="Times New Roman"/>
          <w:snapToGrid w:val="0"/>
          <w:color w:val="000000" w:themeColor="text1"/>
          <w:spacing w:val="-6"/>
          <w:kern w:val="21"/>
          <w:szCs w:val="21"/>
          <w14:textFill>
            <w14:solidFill>
              <w14:schemeClr w14:val="tx1"/>
            </w14:solidFill>
          </w14:textFill>
        </w:rPr>
        <w:t>-</w:t>
      </w:r>
      <w:r>
        <w:rPr>
          <w:rFonts w:hint="default" w:ascii="Times New Roman" w:hAnsi="Times New Roman" w:cs="Times New Roman"/>
          <w:snapToGrid w:val="0"/>
          <w:color w:val="000000" w:themeColor="text1"/>
          <w:spacing w:val="-16"/>
          <w:kern w:val="21"/>
          <w:szCs w:val="21"/>
          <w14:textFill>
            <w14:solidFill>
              <w14:schemeClr w14:val="tx1"/>
            </w14:solidFill>
          </w14:textFill>
        </w:rPr>
        <w:fldChar w:fldCharType="begin"/>
      </w:r>
      <w:r>
        <w:rPr>
          <w:rFonts w:hint="default" w:ascii="Times New Roman" w:hAnsi="Times New Roman" w:cs="Times New Roman"/>
          <w:snapToGrid w:val="0"/>
          <w:color w:val="000000" w:themeColor="text1"/>
          <w:spacing w:val="-16"/>
          <w:kern w:val="21"/>
          <w:szCs w:val="21"/>
          <w14:textFill>
            <w14:solidFill>
              <w14:schemeClr w14:val="tx1"/>
            </w14:solidFill>
          </w14:textFill>
        </w:rPr>
        <w:instrText xml:space="preserve"> = 5 \* GB3 \* MERGEFORMAT </w:instrText>
      </w:r>
      <w:r>
        <w:rPr>
          <w:rFonts w:hint="default" w:ascii="Times New Roman" w:hAnsi="Times New Roman" w:cs="Times New Roman"/>
          <w:snapToGrid w:val="0"/>
          <w:color w:val="000000" w:themeColor="text1"/>
          <w:spacing w:val="-16"/>
          <w:kern w:val="21"/>
          <w:szCs w:val="21"/>
          <w14:textFill>
            <w14:solidFill>
              <w14:schemeClr w14:val="tx1"/>
            </w14:solidFill>
          </w14:textFill>
        </w:rPr>
        <w:fldChar w:fldCharType="separate"/>
      </w:r>
      <w:r>
        <w:rPr>
          <w:rFonts w:hint="default" w:ascii="Times New Roman" w:hAnsi="Times New Roman" w:cs="Times New Roman"/>
          <w:color w:val="000000" w:themeColor="text1"/>
          <w:szCs w:val="21"/>
          <w14:textFill>
            <w14:solidFill>
              <w14:schemeClr w14:val="tx1"/>
            </w14:solidFill>
          </w14:textFill>
        </w:rPr>
        <w:t>⑤</w:t>
      </w:r>
      <w:r>
        <w:rPr>
          <w:rFonts w:hint="default" w:ascii="Times New Roman" w:hAnsi="Times New Roman" w:cs="Times New Roman"/>
          <w:snapToGrid w:val="0"/>
          <w:color w:val="000000" w:themeColor="text1"/>
          <w:spacing w:val="-16"/>
          <w:kern w:val="21"/>
          <w:szCs w:val="21"/>
          <w14:textFill>
            <w14:solidFill>
              <w14:schemeClr w14:val="tx1"/>
            </w14:solidFill>
          </w14:textFill>
        </w:rPr>
        <w:fldChar w:fldCharType="end"/>
      </w:r>
      <w:r>
        <w:rPr>
          <w:rFonts w:hint="default" w:ascii="Times New Roman" w:hAnsi="Times New Roman" w:cs="Times New Roman"/>
          <w:snapToGrid w:val="0"/>
          <w:color w:val="000000" w:themeColor="text1"/>
          <w:spacing w:val="-16"/>
          <w:kern w:val="21"/>
          <w:szCs w:val="21"/>
          <w14:textFill>
            <w14:solidFill>
              <w14:schemeClr w14:val="tx1"/>
            </w14:solidFill>
          </w14:textFill>
        </w:rPr>
        <w:t>；</w: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begin"/>
      </w:r>
      <w:r>
        <w:rPr>
          <w:rFonts w:hint="default" w:ascii="Times New Roman" w:hAnsi="Times New Roman" w:cs="Times New Roman"/>
          <w:snapToGrid w:val="0"/>
          <w:color w:val="000000" w:themeColor="text1"/>
          <w:spacing w:val="-6"/>
          <w:kern w:val="21"/>
          <w:szCs w:val="21"/>
          <w14:textFill>
            <w14:solidFill>
              <w14:schemeClr w14:val="tx1"/>
            </w14:solidFill>
          </w14:textFill>
        </w:rPr>
        <w:instrText xml:space="preserve"> = 7 \* GB3 \* MERGEFORMAT </w:instrTex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separate"/>
      </w:r>
      <w:r>
        <w:rPr>
          <w:rFonts w:hint="default" w:ascii="Times New Roman" w:hAnsi="Times New Roman" w:cs="Times New Roman"/>
          <w:color w:val="000000" w:themeColor="text1"/>
          <w:szCs w:val="21"/>
          <w14:textFill>
            <w14:solidFill>
              <w14:schemeClr w14:val="tx1"/>
            </w14:solidFill>
          </w14:textFill>
        </w:rPr>
        <w:t>⑦</w: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end"/>
      </w:r>
      <w:r>
        <w:rPr>
          <w:rFonts w:hint="default" w:ascii="Times New Roman" w:hAnsi="Times New Roman" w:cs="Times New Roman"/>
          <w:snapToGrid w:val="0"/>
          <w:color w:val="000000" w:themeColor="text1"/>
          <w:spacing w:val="-6"/>
          <w:kern w:val="21"/>
          <w:szCs w:val="21"/>
          <w14:textFill>
            <w14:solidFill>
              <w14:schemeClr w14:val="tx1"/>
            </w14:solidFill>
          </w14:textFill>
        </w:rPr>
        <w:t>=</w:t>
      </w:r>
      <w:r>
        <w:rPr>
          <w:rFonts w:hint="default" w:ascii="Times New Roman" w:hAnsi="Times New Roman" w:cs="Times New Roman"/>
          <w:snapToGrid w:val="0"/>
          <w:color w:val="000000" w:themeColor="text1"/>
          <w:spacing w:val="-16"/>
          <w:kern w:val="21"/>
          <w:szCs w:val="21"/>
          <w14:textFill>
            <w14:solidFill>
              <w14:schemeClr w14:val="tx1"/>
            </w14:solidFill>
          </w14:textFill>
        </w:rPr>
        <w:fldChar w:fldCharType="begin"/>
      </w:r>
      <w:r>
        <w:rPr>
          <w:rFonts w:hint="default" w:ascii="Times New Roman" w:hAnsi="Times New Roman" w:cs="Times New Roman"/>
          <w:snapToGrid w:val="0"/>
          <w:color w:val="000000" w:themeColor="text1"/>
          <w:spacing w:val="-16"/>
          <w:kern w:val="21"/>
          <w:szCs w:val="21"/>
          <w14:textFill>
            <w14:solidFill>
              <w14:schemeClr w14:val="tx1"/>
            </w14:solidFill>
          </w14:textFill>
        </w:rPr>
        <w:instrText xml:space="preserve"> = 6 \* GB3 \* MERGEFORMAT </w:instrText>
      </w:r>
      <w:r>
        <w:rPr>
          <w:rFonts w:hint="default" w:ascii="Times New Roman" w:hAnsi="Times New Roman" w:cs="Times New Roman"/>
          <w:snapToGrid w:val="0"/>
          <w:color w:val="000000" w:themeColor="text1"/>
          <w:spacing w:val="-16"/>
          <w:kern w:val="21"/>
          <w:szCs w:val="21"/>
          <w14:textFill>
            <w14:solidFill>
              <w14:schemeClr w14:val="tx1"/>
            </w14:solidFill>
          </w14:textFill>
        </w:rPr>
        <w:fldChar w:fldCharType="separate"/>
      </w:r>
      <w:r>
        <w:rPr>
          <w:rFonts w:hint="default" w:ascii="Times New Roman" w:hAnsi="Times New Roman" w:cs="Times New Roman"/>
          <w:color w:val="000000" w:themeColor="text1"/>
          <w:szCs w:val="21"/>
          <w14:textFill>
            <w14:solidFill>
              <w14:schemeClr w14:val="tx1"/>
            </w14:solidFill>
          </w14:textFill>
        </w:rPr>
        <w:t>⑥</w:t>
      </w:r>
      <w:r>
        <w:rPr>
          <w:rFonts w:hint="default" w:ascii="Times New Roman" w:hAnsi="Times New Roman" w:cs="Times New Roman"/>
          <w:snapToGrid w:val="0"/>
          <w:color w:val="000000" w:themeColor="text1"/>
          <w:spacing w:val="-16"/>
          <w:kern w:val="21"/>
          <w:szCs w:val="21"/>
          <w14:textFill>
            <w14:solidFill>
              <w14:schemeClr w14:val="tx1"/>
            </w14:solidFill>
          </w14:textFill>
        </w:rPr>
        <w:fldChar w:fldCharType="end"/>
      </w:r>
      <w:r>
        <w:rPr>
          <w:rFonts w:hint="default" w:ascii="Times New Roman" w:hAnsi="Times New Roman" w:cs="Times New Roman"/>
          <w:snapToGrid w:val="0"/>
          <w:color w:val="000000" w:themeColor="text1"/>
          <w:spacing w:val="-16"/>
          <w:kern w:val="21"/>
          <w:szCs w:val="21"/>
          <w14:textFill>
            <w14:solidFill>
              <w14:schemeClr w14:val="tx1"/>
            </w14:solidFill>
          </w14:textFill>
        </w:rPr>
        <w:t>-</w: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begin"/>
      </w:r>
      <w:r>
        <w:rPr>
          <w:rFonts w:hint="default" w:ascii="Times New Roman" w:hAnsi="Times New Roman" w:cs="Times New Roman"/>
          <w:snapToGrid w:val="0"/>
          <w:color w:val="000000" w:themeColor="text1"/>
          <w:spacing w:val="-6"/>
          <w:kern w:val="21"/>
          <w:szCs w:val="21"/>
          <w14:textFill>
            <w14:solidFill>
              <w14:schemeClr w14:val="tx1"/>
            </w14:solidFill>
          </w14:textFill>
        </w:rPr>
        <w:instrText xml:space="preserve"> = 1 \* GB3 \* MERGEFORMAT </w:instrTex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separate"/>
      </w:r>
      <w:r>
        <w:rPr>
          <w:rFonts w:hint="default" w:ascii="Times New Roman" w:hAnsi="Times New Roman" w:cs="Times New Roman"/>
          <w:color w:val="000000" w:themeColor="text1"/>
          <w:szCs w:val="21"/>
          <w14:textFill>
            <w14:solidFill>
              <w14:schemeClr w14:val="tx1"/>
            </w14:solidFill>
          </w14:textFill>
        </w:rPr>
        <w:t>①</w: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end"/>
      </w:r>
    </w:p>
    <w:sectPr>
      <w:footerReference r:id="rId7" w:type="default"/>
      <w:pgSz w:w="16838" w:h="11906" w:orient="landscape"/>
      <w:pgMar w:top="850" w:right="1440" w:bottom="964" w:left="144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4B19FC6-AA04-4C12-827F-2E1E3A8E0E9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等线 Light">
    <w:altName w:val="宋体"/>
    <w:panose1 w:val="02010600030101010101"/>
    <w:charset w:val="86"/>
    <w:family w:val="auto"/>
    <w:pitch w:val="default"/>
    <w:sig w:usb0="00000000" w:usb1="00000000" w:usb2="00000016" w:usb3="00000000" w:csb0="0004000F" w:csb1="00000000"/>
  </w:font>
  <w:font w:name="Cambria">
    <w:panose1 w:val="02040503050406030204"/>
    <w:charset w:val="00"/>
    <w:family w:val="roman"/>
    <w:pitch w:val="default"/>
    <w:sig w:usb0="A00002EF" w:usb1="4000004B" w:usb2="00000000" w:usb3="00000000" w:csb0="2000009F" w:csb1="00000000"/>
  </w:font>
  <w:font w:name="MingLiU">
    <w:altName w:val="Microsoft JhengHei UI"/>
    <w:panose1 w:val="02010609000101010101"/>
    <w:charset w:val="88"/>
    <w:family w:val="moder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仿宋体">
    <w:altName w:val="宋体"/>
    <w:panose1 w:val="00000000000000000000"/>
    <w:charset w:val="86"/>
    <w:family w:val="swiss"/>
    <w:pitch w:val="default"/>
    <w:sig w:usb0="00000000" w:usb1="00000000" w:usb2="00000010" w:usb3="00000000" w:csb0="00040000" w:csb1="00000000"/>
  </w:font>
  <w:font w:name="Segoe UI">
    <w:panose1 w:val="020B0502040204020203"/>
    <w:charset w:val="00"/>
    <w:family w:val="auto"/>
    <w:pitch w:val="default"/>
    <w:sig w:usb0="E4002EFF" w:usb1="C000E47F"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Arial Unicode MS">
    <w:panose1 w:val="020B0604020202020204"/>
    <w:charset w:val="86"/>
    <w:family w:val="swiss"/>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embedRegular r:id="rId2" w:fontKey="{8629FD12-133B-482F-ADD0-DE5911C7AC41}"/>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embedRegular r:id="rId3" w:fontKey="{5E7E93FD-DE84-4A17-AF34-9FC43B728B2B}"/>
  </w:font>
  <w:font w:name="仿宋">
    <w:panose1 w:val="02010609060101010101"/>
    <w:charset w:val="86"/>
    <w:family w:val="modern"/>
    <w:pitch w:val="default"/>
    <w:sig w:usb0="800002BF" w:usb1="38CF7CFA" w:usb2="00000016" w:usb3="00000000" w:csb0="00040001" w:csb1="00000000"/>
    <w:embedRegular r:id="rId4" w:fontKey="{A80771B3-F56C-4A91-9723-6C972AA8A41E}"/>
  </w:font>
  <w:font w:name="方正小标宋_GBK">
    <w:panose1 w:val="02000000000000000000"/>
    <w:charset w:val="86"/>
    <w:family w:val="script"/>
    <w:pitch w:val="default"/>
    <w:sig w:usb0="A00002BF" w:usb1="38CF7CFA" w:usb2="00082016" w:usb3="00000000" w:csb0="00040001" w:csb1="00000000"/>
    <w:embedRegular r:id="rId5" w:fontKey="{7D0AC824-B77E-4BFC-B299-EABB12BE5699}"/>
  </w:font>
  <w:font w:name="华文仿宋">
    <w:panose1 w:val="02010600040101010101"/>
    <w:charset w:val="86"/>
    <w:family w:val="auto"/>
    <w:pitch w:val="default"/>
    <w:sig w:usb0="00000287" w:usb1="080F0000" w:usb2="00000000" w:usb3="00000000" w:csb0="0004009F" w:csb1="DFD70000"/>
    <w:embedRegular r:id="rId6" w:fontKey="{FD41C7A2-C58A-41E4-96BB-2D16DF7D4365}"/>
  </w:font>
  <w:font w:name="Wingdings 2">
    <w:panose1 w:val="05020102010507070707"/>
    <w:charset w:val="02"/>
    <w:family w:val="auto"/>
    <w:pitch w:val="default"/>
    <w:sig w:usb0="00000000" w:usb1="00000000" w:usb2="00000000" w:usb3="00000000" w:csb0="80000000" w:csb1="00000000"/>
    <w:embedRegular r:id="rId7" w:fontKey="{2A85915C-4DCA-451D-8395-417A1E167367}"/>
  </w:font>
  <w:font w:name="Helvetica">
    <w:altName w:val="Arial"/>
    <w:panose1 w:val="00000000000000000000"/>
    <w:charset w:val="00"/>
    <w:family w:val="auto"/>
    <w:pitch w:val="default"/>
    <w:sig w:usb0="00000000" w:usb1="00000000" w:usb2="00000000" w:usb3="00000000" w:csb0="2000019F" w:csb1="4F010000"/>
    <w:embedRegular r:id="rId8" w:fontKey="{F1DFF949-4FDB-4286-B1D7-507CEBCBA380}"/>
  </w:font>
  <w:font w:name="KSOF29153A75">
    <w:panose1 w:val="020B0502040204020203"/>
    <w:charset w:val="00"/>
    <w:family w:val="auto"/>
    <w:pitch w:val="default"/>
    <w:sig w:usb0="00000001" w:usb1="00000000" w:usb2="00000000" w:usb3="00000000" w:csb0="00000001" w:csb1="00000000"/>
  </w:font>
  <w:font w:name="KSOF1D5EAB94">
    <w:panose1 w:val="020B0802040204020203"/>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E2A8E">
    <w:pPr>
      <w:pStyle w:val="2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EE97C">
    <w:pPr>
      <w:pStyle w:val="24"/>
      <w:framePr w:wrap="around" w:vAnchor="text" w:hAnchor="margin" w:xAlign="center" w:y="1"/>
      <w:rPr>
        <w:rStyle w:val="40"/>
      </w:rPr>
    </w:pPr>
    <w:r>
      <w:fldChar w:fldCharType="begin"/>
    </w:r>
    <w:r>
      <w:rPr>
        <w:rStyle w:val="40"/>
      </w:rPr>
      <w:instrText xml:space="preserve">PAGE  </w:instrText>
    </w:r>
    <w:r>
      <w:fldChar w:fldCharType="end"/>
    </w:r>
  </w:p>
  <w:p w14:paraId="710BAE9C">
    <w:pPr>
      <w:pStyle w:val="24"/>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A66FC0">
    <w:pPr>
      <w:pStyle w:val="24"/>
      <w:framePr w:wrap="around" w:vAnchor="text" w:hAnchor="margin" w:xAlign="outside" w:y="1"/>
      <w:rPr>
        <w:rStyle w:val="40"/>
        <w:rFonts w:ascii="宋体" w:hAnsi="宋体"/>
        <w:sz w:val="28"/>
        <w:szCs w:val="28"/>
      </w:rPr>
    </w:pPr>
    <w:r>
      <w:rPr>
        <w:rStyle w:val="40"/>
        <w:rFonts w:hint="eastAsia" w:ascii="宋体" w:hAnsi="宋体"/>
        <w:sz w:val="28"/>
        <w:szCs w:val="28"/>
      </w:rPr>
      <w:t>—</w:t>
    </w:r>
    <w:r>
      <w:rPr>
        <w:rStyle w:val="40"/>
        <w:rFonts w:hint="eastAsia" w:ascii="宋体" w:hAnsi="宋体"/>
        <w:sz w:val="20"/>
      </w:rPr>
      <w:t xml:space="preserve">  </w:t>
    </w:r>
    <w:r>
      <w:rPr>
        <w:rFonts w:ascii="宋体" w:hAnsi="宋体"/>
        <w:sz w:val="26"/>
        <w:szCs w:val="26"/>
      </w:rPr>
      <w:fldChar w:fldCharType="begin"/>
    </w:r>
    <w:r>
      <w:rPr>
        <w:rStyle w:val="40"/>
        <w:rFonts w:ascii="宋体" w:hAnsi="宋体"/>
        <w:sz w:val="26"/>
        <w:szCs w:val="26"/>
      </w:rPr>
      <w:instrText xml:space="preserve">PAGE  </w:instrText>
    </w:r>
    <w:r>
      <w:rPr>
        <w:rFonts w:ascii="宋体" w:hAnsi="宋体"/>
        <w:sz w:val="26"/>
        <w:szCs w:val="26"/>
      </w:rPr>
      <w:fldChar w:fldCharType="separate"/>
    </w:r>
    <w:r>
      <w:rPr>
        <w:rStyle w:val="40"/>
        <w:rFonts w:ascii="宋体" w:hAnsi="宋体"/>
        <w:sz w:val="26"/>
        <w:szCs w:val="26"/>
      </w:rPr>
      <w:t>9</w:t>
    </w:r>
    <w:r>
      <w:rPr>
        <w:rFonts w:ascii="宋体" w:hAnsi="宋体"/>
        <w:sz w:val="26"/>
        <w:szCs w:val="26"/>
      </w:rPr>
      <w:fldChar w:fldCharType="end"/>
    </w:r>
    <w:r>
      <w:rPr>
        <w:rStyle w:val="40"/>
        <w:rFonts w:hint="eastAsia" w:ascii="宋体" w:hAnsi="宋体"/>
        <w:sz w:val="20"/>
      </w:rPr>
      <w:t xml:space="preserve">  </w:t>
    </w:r>
    <w:r>
      <w:rPr>
        <w:rStyle w:val="40"/>
        <w:rFonts w:hint="eastAsia" w:ascii="宋体" w:hAnsi="宋体"/>
        <w:sz w:val="28"/>
        <w:szCs w:val="28"/>
      </w:rPr>
      <w:t>—</w:t>
    </w:r>
  </w:p>
  <w:p w14:paraId="7B9CC2C0">
    <w:pPr>
      <w:pStyle w:val="24"/>
      <w:ind w:right="360" w:firstLine="36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810193">
    <w:pPr>
      <w:pStyle w:val="24"/>
      <w:framePr w:wrap="around" w:vAnchor="text" w:hAnchor="margin" w:xAlign="outside" w:y="1"/>
      <w:rPr>
        <w:rStyle w:val="40"/>
        <w:rFonts w:ascii="宋体" w:hAnsi="宋体"/>
        <w:sz w:val="28"/>
        <w:szCs w:val="28"/>
      </w:rPr>
    </w:pPr>
    <w:r>
      <w:rPr>
        <w:rStyle w:val="40"/>
        <w:rFonts w:hint="eastAsia" w:ascii="宋体" w:hAnsi="宋体"/>
        <w:sz w:val="28"/>
        <w:szCs w:val="28"/>
      </w:rPr>
      <w:t>—</w:t>
    </w:r>
    <w:r>
      <w:rPr>
        <w:rStyle w:val="40"/>
        <w:rFonts w:hint="eastAsia" w:ascii="宋体" w:hAnsi="宋体"/>
        <w:sz w:val="20"/>
      </w:rPr>
      <w:t xml:space="preserve">  </w:t>
    </w:r>
    <w:r>
      <w:rPr>
        <w:rFonts w:ascii="宋体" w:hAnsi="宋体"/>
        <w:sz w:val="26"/>
        <w:szCs w:val="26"/>
      </w:rPr>
      <w:fldChar w:fldCharType="begin"/>
    </w:r>
    <w:r>
      <w:rPr>
        <w:rStyle w:val="40"/>
        <w:rFonts w:ascii="宋体" w:hAnsi="宋体"/>
        <w:sz w:val="26"/>
        <w:szCs w:val="26"/>
      </w:rPr>
      <w:instrText xml:space="preserve">PAGE  </w:instrText>
    </w:r>
    <w:r>
      <w:rPr>
        <w:rFonts w:ascii="宋体" w:hAnsi="宋体"/>
        <w:sz w:val="26"/>
        <w:szCs w:val="26"/>
      </w:rPr>
      <w:fldChar w:fldCharType="separate"/>
    </w:r>
    <w:r>
      <w:rPr>
        <w:rStyle w:val="40"/>
        <w:rFonts w:ascii="宋体" w:hAnsi="宋体"/>
        <w:sz w:val="26"/>
        <w:szCs w:val="26"/>
      </w:rPr>
      <w:t>11</w:t>
    </w:r>
    <w:r>
      <w:rPr>
        <w:rFonts w:ascii="宋体" w:hAnsi="宋体"/>
        <w:sz w:val="26"/>
        <w:szCs w:val="26"/>
      </w:rPr>
      <w:fldChar w:fldCharType="end"/>
    </w:r>
    <w:r>
      <w:rPr>
        <w:rStyle w:val="40"/>
        <w:rFonts w:hint="eastAsia" w:ascii="宋体" w:hAnsi="宋体"/>
        <w:sz w:val="20"/>
      </w:rPr>
      <w:t xml:space="preserve">  </w:t>
    </w:r>
    <w:r>
      <w:rPr>
        <w:rStyle w:val="40"/>
        <w:rFonts w:hint="eastAsia" w:ascii="宋体" w:hAnsi="宋体"/>
        <w:sz w:val="28"/>
        <w:szCs w:val="28"/>
      </w:rPr>
      <w:t>—</w:t>
    </w:r>
  </w:p>
  <w:p w14:paraId="26087427">
    <w:pPr>
      <w:pStyle w:val="24"/>
      <w:ind w:right="360" w:firstLine="36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72D5F6">
    <w:pPr>
      <w:pStyle w:val="2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89E95C"/>
    <w:multiLevelType w:val="singleLevel"/>
    <w:tmpl w:val="8589E95C"/>
    <w:lvl w:ilvl="0" w:tentative="0">
      <w:start w:val="4"/>
      <w:numFmt w:val="chineseCounting"/>
      <w:suff w:val="nothing"/>
      <w:lvlText w:val="%1、"/>
      <w:lvlJc w:val="left"/>
      <w:rPr>
        <w:rFonts w:hint="eastAsia"/>
      </w:rPr>
    </w:lvl>
  </w:abstractNum>
  <w:abstractNum w:abstractNumId="1">
    <w:nsid w:val="E34189ED"/>
    <w:multiLevelType w:val="singleLevel"/>
    <w:tmpl w:val="E34189ED"/>
    <w:lvl w:ilvl="0" w:tentative="0">
      <w:start w:val="2"/>
      <w:numFmt w:val="decimal"/>
      <w:suff w:val="nothing"/>
      <w:lvlText w:val="%1）"/>
      <w:lvlJc w:val="left"/>
    </w:lvl>
  </w:abstractNum>
  <w:abstractNum w:abstractNumId="2">
    <w:nsid w:val="153A7E4F"/>
    <w:multiLevelType w:val="singleLevel"/>
    <w:tmpl w:val="153A7E4F"/>
    <w:lvl w:ilvl="0" w:tentative="0">
      <w:start w:val="1"/>
      <w:numFmt w:val="upperLetter"/>
      <w:suff w:val="nothing"/>
      <w:lvlText w:val="%1．"/>
      <w:lvlJc w:val="left"/>
    </w:lvl>
  </w:abstractNum>
  <w:abstractNum w:abstractNumId="3">
    <w:nsid w:val="2441243B"/>
    <w:multiLevelType w:val="singleLevel"/>
    <w:tmpl w:val="2441243B"/>
    <w:lvl w:ilvl="0" w:tentative="0">
      <w:start w:val="3"/>
      <w:numFmt w:val="decimal"/>
      <w:suff w:val="nothing"/>
      <w:lvlText w:val="（%1）"/>
      <w:lvlJc w:val="left"/>
    </w:lvl>
  </w:abstractNum>
  <w:abstractNum w:abstractNumId="4">
    <w:nsid w:val="3A57C3E1"/>
    <w:multiLevelType w:val="singleLevel"/>
    <w:tmpl w:val="3A57C3E1"/>
    <w:lvl w:ilvl="0" w:tentative="0">
      <w:start w:val="2"/>
      <w:numFmt w:val="decimal"/>
      <w:lvlText w:val="%1."/>
      <w:lvlJc w:val="left"/>
      <w:pPr>
        <w:tabs>
          <w:tab w:val="left" w:pos="312"/>
        </w:tabs>
      </w:pPr>
    </w:lvl>
  </w:abstractNum>
  <w:abstractNum w:abstractNumId="5">
    <w:nsid w:val="466542E6"/>
    <w:multiLevelType w:val="singleLevel"/>
    <w:tmpl w:val="466542E6"/>
    <w:lvl w:ilvl="0" w:tentative="0">
      <w:start w:val="1"/>
      <w:numFmt w:val="upperLetter"/>
      <w:suff w:val="nothing"/>
      <w:lvlText w:val="%1．"/>
      <w:lvlJc w:val="left"/>
    </w:lvl>
  </w:abstractNum>
  <w:num w:numId="1">
    <w:abstractNumId w:val="1"/>
  </w:num>
  <w:num w:numId="2">
    <w:abstractNumId w:val="3"/>
  </w:num>
  <w:num w:numId="3">
    <w:abstractNumId w:val="0"/>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trackedChanges" w:enforcement="0"/>
  <w:defaultTabStop w:val="420"/>
  <w:hyphenationZone w:val="36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I0NGEwN2Q5YjAxMTNjMGQ4M2JhOTY4OTIwYzNkYzUifQ=="/>
  </w:docVars>
  <w:rsids>
    <w:rsidRoot w:val="00A14947"/>
    <w:rsid w:val="0000005C"/>
    <w:rsid w:val="00000093"/>
    <w:rsid w:val="00000961"/>
    <w:rsid w:val="00000F46"/>
    <w:rsid w:val="00001A1E"/>
    <w:rsid w:val="00001A47"/>
    <w:rsid w:val="00001EAB"/>
    <w:rsid w:val="00002568"/>
    <w:rsid w:val="00002919"/>
    <w:rsid w:val="00002B74"/>
    <w:rsid w:val="000032DD"/>
    <w:rsid w:val="00003592"/>
    <w:rsid w:val="000039F8"/>
    <w:rsid w:val="00003ED3"/>
    <w:rsid w:val="00003F5D"/>
    <w:rsid w:val="00003F7B"/>
    <w:rsid w:val="00004F64"/>
    <w:rsid w:val="000053C7"/>
    <w:rsid w:val="000057DA"/>
    <w:rsid w:val="00005E9F"/>
    <w:rsid w:val="00005F30"/>
    <w:rsid w:val="000060B3"/>
    <w:rsid w:val="00006451"/>
    <w:rsid w:val="0000663A"/>
    <w:rsid w:val="0000684D"/>
    <w:rsid w:val="0000692E"/>
    <w:rsid w:val="00006E32"/>
    <w:rsid w:val="00006E5D"/>
    <w:rsid w:val="000071A1"/>
    <w:rsid w:val="0000720D"/>
    <w:rsid w:val="000076C7"/>
    <w:rsid w:val="00007843"/>
    <w:rsid w:val="0000789B"/>
    <w:rsid w:val="00007EB5"/>
    <w:rsid w:val="000100CB"/>
    <w:rsid w:val="000104F5"/>
    <w:rsid w:val="00010BA5"/>
    <w:rsid w:val="00011591"/>
    <w:rsid w:val="0001223E"/>
    <w:rsid w:val="00012ECD"/>
    <w:rsid w:val="00013084"/>
    <w:rsid w:val="00013413"/>
    <w:rsid w:val="000138AE"/>
    <w:rsid w:val="000139DE"/>
    <w:rsid w:val="00013CA3"/>
    <w:rsid w:val="00014BB3"/>
    <w:rsid w:val="000154C8"/>
    <w:rsid w:val="0001587B"/>
    <w:rsid w:val="00015BE5"/>
    <w:rsid w:val="00015E80"/>
    <w:rsid w:val="00015ECD"/>
    <w:rsid w:val="00016126"/>
    <w:rsid w:val="000166FB"/>
    <w:rsid w:val="000167ED"/>
    <w:rsid w:val="00017C45"/>
    <w:rsid w:val="00017F37"/>
    <w:rsid w:val="000205D9"/>
    <w:rsid w:val="00020C7D"/>
    <w:rsid w:val="00020DD6"/>
    <w:rsid w:val="00020DF1"/>
    <w:rsid w:val="00021183"/>
    <w:rsid w:val="00021CBA"/>
    <w:rsid w:val="0002241E"/>
    <w:rsid w:val="00022474"/>
    <w:rsid w:val="000227A2"/>
    <w:rsid w:val="000227BE"/>
    <w:rsid w:val="00022A20"/>
    <w:rsid w:val="00022C11"/>
    <w:rsid w:val="00023B6E"/>
    <w:rsid w:val="00023BDC"/>
    <w:rsid w:val="00023D0A"/>
    <w:rsid w:val="000241B2"/>
    <w:rsid w:val="0002435B"/>
    <w:rsid w:val="00024453"/>
    <w:rsid w:val="0002460B"/>
    <w:rsid w:val="00024F4C"/>
    <w:rsid w:val="000250C4"/>
    <w:rsid w:val="0002592A"/>
    <w:rsid w:val="00025EE5"/>
    <w:rsid w:val="0002630A"/>
    <w:rsid w:val="00026690"/>
    <w:rsid w:val="00026C08"/>
    <w:rsid w:val="00026E65"/>
    <w:rsid w:val="00026F9A"/>
    <w:rsid w:val="0002701E"/>
    <w:rsid w:val="000273CC"/>
    <w:rsid w:val="0002750E"/>
    <w:rsid w:val="0003094C"/>
    <w:rsid w:val="00030C50"/>
    <w:rsid w:val="000317F4"/>
    <w:rsid w:val="00031BD3"/>
    <w:rsid w:val="00031C3E"/>
    <w:rsid w:val="00031FB7"/>
    <w:rsid w:val="000320A3"/>
    <w:rsid w:val="0003226C"/>
    <w:rsid w:val="000324AA"/>
    <w:rsid w:val="00032A2D"/>
    <w:rsid w:val="00032B6D"/>
    <w:rsid w:val="00032D08"/>
    <w:rsid w:val="00032DB3"/>
    <w:rsid w:val="00033BCE"/>
    <w:rsid w:val="00035CC9"/>
    <w:rsid w:val="00035D01"/>
    <w:rsid w:val="00036091"/>
    <w:rsid w:val="00036576"/>
    <w:rsid w:val="000369C7"/>
    <w:rsid w:val="00036A68"/>
    <w:rsid w:val="00036C39"/>
    <w:rsid w:val="00036E7C"/>
    <w:rsid w:val="00036EB5"/>
    <w:rsid w:val="000372AC"/>
    <w:rsid w:val="00037BD2"/>
    <w:rsid w:val="00037D76"/>
    <w:rsid w:val="00040453"/>
    <w:rsid w:val="000404D1"/>
    <w:rsid w:val="00041066"/>
    <w:rsid w:val="0004177E"/>
    <w:rsid w:val="00041FB5"/>
    <w:rsid w:val="00041FCB"/>
    <w:rsid w:val="000422E8"/>
    <w:rsid w:val="00042444"/>
    <w:rsid w:val="000426DE"/>
    <w:rsid w:val="00042CF0"/>
    <w:rsid w:val="00042D26"/>
    <w:rsid w:val="00042DAF"/>
    <w:rsid w:val="00043295"/>
    <w:rsid w:val="000433CB"/>
    <w:rsid w:val="000434FA"/>
    <w:rsid w:val="0004364B"/>
    <w:rsid w:val="00043E7C"/>
    <w:rsid w:val="00044025"/>
    <w:rsid w:val="000442F1"/>
    <w:rsid w:val="0004437C"/>
    <w:rsid w:val="000445B3"/>
    <w:rsid w:val="00044CBB"/>
    <w:rsid w:val="00044DBF"/>
    <w:rsid w:val="00045442"/>
    <w:rsid w:val="000457D3"/>
    <w:rsid w:val="00045A1C"/>
    <w:rsid w:val="00045C12"/>
    <w:rsid w:val="00045F0F"/>
    <w:rsid w:val="00046B7D"/>
    <w:rsid w:val="00046C72"/>
    <w:rsid w:val="00046D23"/>
    <w:rsid w:val="0004722B"/>
    <w:rsid w:val="0004745B"/>
    <w:rsid w:val="00047A4F"/>
    <w:rsid w:val="00047ADA"/>
    <w:rsid w:val="00047D4C"/>
    <w:rsid w:val="00050374"/>
    <w:rsid w:val="00050FB6"/>
    <w:rsid w:val="00051D96"/>
    <w:rsid w:val="00052798"/>
    <w:rsid w:val="00052905"/>
    <w:rsid w:val="00052DA4"/>
    <w:rsid w:val="00052EB4"/>
    <w:rsid w:val="000535B6"/>
    <w:rsid w:val="000538BD"/>
    <w:rsid w:val="00053F0C"/>
    <w:rsid w:val="0005411E"/>
    <w:rsid w:val="000541E0"/>
    <w:rsid w:val="00054496"/>
    <w:rsid w:val="00054E77"/>
    <w:rsid w:val="00055145"/>
    <w:rsid w:val="000551FD"/>
    <w:rsid w:val="00055E4D"/>
    <w:rsid w:val="00056037"/>
    <w:rsid w:val="00056048"/>
    <w:rsid w:val="00056069"/>
    <w:rsid w:val="0005684B"/>
    <w:rsid w:val="000569F6"/>
    <w:rsid w:val="00056A53"/>
    <w:rsid w:val="000576DF"/>
    <w:rsid w:val="00057836"/>
    <w:rsid w:val="00057970"/>
    <w:rsid w:val="00060022"/>
    <w:rsid w:val="00060B12"/>
    <w:rsid w:val="0006139F"/>
    <w:rsid w:val="000614AD"/>
    <w:rsid w:val="00061B1F"/>
    <w:rsid w:val="00061DDE"/>
    <w:rsid w:val="00062194"/>
    <w:rsid w:val="000621CF"/>
    <w:rsid w:val="00062493"/>
    <w:rsid w:val="00062E67"/>
    <w:rsid w:val="00062EEE"/>
    <w:rsid w:val="0006314D"/>
    <w:rsid w:val="00063352"/>
    <w:rsid w:val="00063756"/>
    <w:rsid w:val="00063794"/>
    <w:rsid w:val="000642BB"/>
    <w:rsid w:val="00064763"/>
    <w:rsid w:val="0006478F"/>
    <w:rsid w:val="00064C36"/>
    <w:rsid w:val="00064C7C"/>
    <w:rsid w:val="00064FC4"/>
    <w:rsid w:val="0006572C"/>
    <w:rsid w:val="00065D23"/>
    <w:rsid w:val="000660D4"/>
    <w:rsid w:val="0006654B"/>
    <w:rsid w:val="000669A4"/>
    <w:rsid w:val="00066BD6"/>
    <w:rsid w:val="00066CCC"/>
    <w:rsid w:val="000672DE"/>
    <w:rsid w:val="000678DE"/>
    <w:rsid w:val="000678FA"/>
    <w:rsid w:val="0006796C"/>
    <w:rsid w:val="00067E14"/>
    <w:rsid w:val="00067E4E"/>
    <w:rsid w:val="00070057"/>
    <w:rsid w:val="0007026C"/>
    <w:rsid w:val="0007046F"/>
    <w:rsid w:val="00070653"/>
    <w:rsid w:val="0007084E"/>
    <w:rsid w:val="00070862"/>
    <w:rsid w:val="00071757"/>
    <w:rsid w:val="00072430"/>
    <w:rsid w:val="000729D7"/>
    <w:rsid w:val="00072B48"/>
    <w:rsid w:val="00072C34"/>
    <w:rsid w:val="00072DB4"/>
    <w:rsid w:val="00072DB7"/>
    <w:rsid w:val="000733C4"/>
    <w:rsid w:val="0007367F"/>
    <w:rsid w:val="00073F0D"/>
    <w:rsid w:val="000740AA"/>
    <w:rsid w:val="000740E9"/>
    <w:rsid w:val="000745F0"/>
    <w:rsid w:val="000746CD"/>
    <w:rsid w:val="00074745"/>
    <w:rsid w:val="00074783"/>
    <w:rsid w:val="00075782"/>
    <w:rsid w:val="00075A1A"/>
    <w:rsid w:val="00075C9E"/>
    <w:rsid w:val="00075DE0"/>
    <w:rsid w:val="00075F37"/>
    <w:rsid w:val="0007672E"/>
    <w:rsid w:val="000767EE"/>
    <w:rsid w:val="00076C23"/>
    <w:rsid w:val="00077437"/>
    <w:rsid w:val="00077462"/>
    <w:rsid w:val="000802AC"/>
    <w:rsid w:val="0008057A"/>
    <w:rsid w:val="0008070B"/>
    <w:rsid w:val="00080742"/>
    <w:rsid w:val="00080801"/>
    <w:rsid w:val="00080F71"/>
    <w:rsid w:val="00081070"/>
    <w:rsid w:val="000810AB"/>
    <w:rsid w:val="000810AC"/>
    <w:rsid w:val="000811A1"/>
    <w:rsid w:val="000815B3"/>
    <w:rsid w:val="00081A02"/>
    <w:rsid w:val="00081B5B"/>
    <w:rsid w:val="00081EE7"/>
    <w:rsid w:val="00082231"/>
    <w:rsid w:val="000830E6"/>
    <w:rsid w:val="000831EC"/>
    <w:rsid w:val="0008385E"/>
    <w:rsid w:val="000839E8"/>
    <w:rsid w:val="00083CA1"/>
    <w:rsid w:val="000850F7"/>
    <w:rsid w:val="000855C9"/>
    <w:rsid w:val="00085851"/>
    <w:rsid w:val="000858E2"/>
    <w:rsid w:val="00085A2B"/>
    <w:rsid w:val="00085CC6"/>
    <w:rsid w:val="00086097"/>
    <w:rsid w:val="00086746"/>
    <w:rsid w:val="00086752"/>
    <w:rsid w:val="00086AD4"/>
    <w:rsid w:val="00087255"/>
    <w:rsid w:val="000875CF"/>
    <w:rsid w:val="00087700"/>
    <w:rsid w:val="00087BA0"/>
    <w:rsid w:val="00090762"/>
    <w:rsid w:val="00090858"/>
    <w:rsid w:val="00090880"/>
    <w:rsid w:val="00090950"/>
    <w:rsid w:val="00090A90"/>
    <w:rsid w:val="00090CE3"/>
    <w:rsid w:val="0009166D"/>
    <w:rsid w:val="00091DE1"/>
    <w:rsid w:val="00091EB2"/>
    <w:rsid w:val="00091EF9"/>
    <w:rsid w:val="00091F1F"/>
    <w:rsid w:val="000925F6"/>
    <w:rsid w:val="00092D38"/>
    <w:rsid w:val="00092D7B"/>
    <w:rsid w:val="000935AA"/>
    <w:rsid w:val="000936DE"/>
    <w:rsid w:val="0009377B"/>
    <w:rsid w:val="00093C26"/>
    <w:rsid w:val="000940DB"/>
    <w:rsid w:val="000942B7"/>
    <w:rsid w:val="00094414"/>
    <w:rsid w:val="0009473D"/>
    <w:rsid w:val="000947FB"/>
    <w:rsid w:val="00094933"/>
    <w:rsid w:val="00094F17"/>
    <w:rsid w:val="0009522E"/>
    <w:rsid w:val="000952DC"/>
    <w:rsid w:val="00095552"/>
    <w:rsid w:val="00095811"/>
    <w:rsid w:val="00095D9A"/>
    <w:rsid w:val="00096957"/>
    <w:rsid w:val="00096B18"/>
    <w:rsid w:val="00096B64"/>
    <w:rsid w:val="00096BCF"/>
    <w:rsid w:val="00096BE3"/>
    <w:rsid w:val="00097022"/>
    <w:rsid w:val="0009731A"/>
    <w:rsid w:val="0009751C"/>
    <w:rsid w:val="000976E7"/>
    <w:rsid w:val="000978AB"/>
    <w:rsid w:val="000979D7"/>
    <w:rsid w:val="00097CFB"/>
    <w:rsid w:val="00097ECA"/>
    <w:rsid w:val="000A002F"/>
    <w:rsid w:val="000A039D"/>
    <w:rsid w:val="000A07C2"/>
    <w:rsid w:val="000A1318"/>
    <w:rsid w:val="000A1473"/>
    <w:rsid w:val="000A14A2"/>
    <w:rsid w:val="000A16F7"/>
    <w:rsid w:val="000A20C9"/>
    <w:rsid w:val="000A287A"/>
    <w:rsid w:val="000A2F30"/>
    <w:rsid w:val="000A3809"/>
    <w:rsid w:val="000A3849"/>
    <w:rsid w:val="000A3DB5"/>
    <w:rsid w:val="000A539E"/>
    <w:rsid w:val="000A558F"/>
    <w:rsid w:val="000A6B3E"/>
    <w:rsid w:val="000A6F7E"/>
    <w:rsid w:val="000A6FFD"/>
    <w:rsid w:val="000A75FE"/>
    <w:rsid w:val="000A7908"/>
    <w:rsid w:val="000A7DAC"/>
    <w:rsid w:val="000A7E26"/>
    <w:rsid w:val="000A7EA8"/>
    <w:rsid w:val="000B016B"/>
    <w:rsid w:val="000B03DE"/>
    <w:rsid w:val="000B058F"/>
    <w:rsid w:val="000B08F5"/>
    <w:rsid w:val="000B0B19"/>
    <w:rsid w:val="000B129D"/>
    <w:rsid w:val="000B1522"/>
    <w:rsid w:val="000B1C3B"/>
    <w:rsid w:val="000B1E8C"/>
    <w:rsid w:val="000B23B3"/>
    <w:rsid w:val="000B2518"/>
    <w:rsid w:val="000B29D8"/>
    <w:rsid w:val="000B4467"/>
    <w:rsid w:val="000B44D3"/>
    <w:rsid w:val="000B464C"/>
    <w:rsid w:val="000B46F2"/>
    <w:rsid w:val="000B4DB9"/>
    <w:rsid w:val="000B502E"/>
    <w:rsid w:val="000B54C4"/>
    <w:rsid w:val="000B55AC"/>
    <w:rsid w:val="000B5657"/>
    <w:rsid w:val="000B56CB"/>
    <w:rsid w:val="000B60CB"/>
    <w:rsid w:val="000B6281"/>
    <w:rsid w:val="000B64A1"/>
    <w:rsid w:val="000B65B3"/>
    <w:rsid w:val="000B6BC9"/>
    <w:rsid w:val="000B79F9"/>
    <w:rsid w:val="000B7A0F"/>
    <w:rsid w:val="000C007F"/>
    <w:rsid w:val="000C0374"/>
    <w:rsid w:val="000C09AC"/>
    <w:rsid w:val="000C0AC4"/>
    <w:rsid w:val="000C103A"/>
    <w:rsid w:val="000C10F7"/>
    <w:rsid w:val="000C1691"/>
    <w:rsid w:val="000C18E7"/>
    <w:rsid w:val="000C1992"/>
    <w:rsid w:val="000C19E5"/>
    <w:rsid w:val="000C2405"/>
    <w:rsid w:val="000C26A7"/>
    <w:rsid w:val="000C289D"/>
    <w:rsid w:val="000C3082"/>
    <w:rsid w:val="000C3901"/>
    <w:rsid w:val="000C3929"/>
    <w:rsid w:val="000C3CBC"/>
    <w:rsid w:val="000C3DA7"/>
    <w:rsid w:val="000C3EFB"/>
    <w:rsid w:val="000C3F34"/>
    <w:rsid w:val="000C461A"/>
    <w:rsid w:val="000C48F2"/>
    <w:rsid w:val="000C572F"/>
    <w:rsid w:val="000C5880"/>
    <w:rsid w:val="000C5DF2"/>
    <w:rsid w:val="000C62C3"/>
    <w:rsid w:val="000C6994"/>
    <w:rsid w:val="000C7191"/>
    <w:rsid w:val="000C767F"/>
    <w:rsid w:val="000C76B9"/>
    <w:rsid w:val="000C7785"/>
    <w:rsid w:val="000C778A"/>
    <w:rsid w:val="000C7B04"/>
    <w:rsid w:val="000D0057"/>
    <w:rsid w:val="000D00AA"/>
    <w:rsid w:val="000D0BCE"/>
    <w:rsid w:val="000D0D23"/>
    <w:rsid w:val="000D0DC2"/>
    <w:rsid w:val="000D1D65"/>
    <w:rsid w:val="000D1F26"/>
    <w:rsid w:val="000D26C3"/>
    <w:rsid w:val="000D29E5"/>
    <w:rsid w:val="000D2B2C"/>
    <w:rsid w:val="000D2EDC"/>
    <w:rsid w:val="000D34FD"/>
    <w:rsid w:val="000D3515"/>
    <w:rsid w:val="000D37C4"/>
    <w:rsid w:val="000D3ADF"/>
    <w:rsid w:val="000D450D"/>
    <w:rsid w:val="000D4DC6"/>
    <w:rsid w:val="000D4DF4"/>
    <w:rsid w:val="000D4E50"/>
    <w:rsid w:val="000D51B4"/>
    <w:rsid w:val="000D527D"/>
    <w:rsid w:val="000D5307"/>
    <w:rsid w:val="000D550A"/>
    <w:rsid w:val="000D56FC"/>
    <w:rsid w:val="000D5A44"/>
    <w:rsid w:val="000D5FDE"/>
    <w:rsid w:val="000D60DD"/>
    <w:rsid w:val="000D61A0"/>
    <w:rsid w:val="000D6C96"/>
    <w:rsid w:val="000D75DB"/>
    <w:rsid w:val="000D7AA0"/>
    <w:rsid w:val="000D7C14"/>
    <w:rsid w:val="000D7CC1"/>
    <w:rsid w:val="000E0005"/>
    <w:rsid w:val="000E03C3"/>
    <w:rsid w:val="000E06B1"/>
    <w:rsid w:val="000E0C50"/>
    <w:rsid w:val="000E0F84"/>
    <w:rsid w:val="000E1AAE"/>
    <w:rsid w:val="000E1FAC"/>
    <w:rsid w:val="000E2009"/>
    <w:rsid w:val="000E20DC"/>
    <w:rsid w:val="000E26A3"/>
    <w:rsid w:val="000E2B27"/>
    <w:rsid w:val="000E2ED8"/>
    <w:rsid w:val="000E3034"/>
    <w:rsid w:val="000E3ED2"/>
    <w:rsid w:val="000E3FC3"/>
    <w:rsid w:val="000E41BC"/>
    <w:rsid w:val="000E4537"/>
    <w:rsid w:val="000E46FF"/>
    <w:rsid w:val="000E4B88"/>
    <w:rsid w:val="000E4C75"/>
    <w:rsid w:val="000E4C98"/>
    <w:rsid w:val="000E5124"/>
    <w:rsid w:val="000E54F7"/>
    <w:rsid w:val="000E5D1E"/>
    <w:rsid w:val="000E5D71"/>
    <w:rsid w:val="000E5E2A"/>
    <w:rsid w:val="000E5F60"/>
    <w:rsid w:val="000E63AD"/>
    <w:rsid w:val="000E65F1"/>
    <w:rsid w:val="000E6892"/>
    <w:rsid w:val="000E6A0D"/>
    <w:rsid w:val="000E6A7F"/>
    <w:rsid w:val="000E6BD1"/>
    <w:rsid w:val="000E6FFB"/>
    <w:rsid w:val="000E7207"/>
    <w:rsid w:val="000E7855"/>
    <w:rsid w:val="000E7954"/>
    <w:rsid w:val="000E7A6D"/>
    <w:rsid w:val="000E7B1F"/>
    <w:rsid w:val="000F02CA"/>
    <w:rsid w:val="000F046C"/>
    <w:rsid w:val="000F08A4"/>
    <w:rsid w:val="000F10F4"/>
    <w:rsid w:val="000F1F73"/>
    <w:rsid w:val="000F211B"/>
    <w:rsid w:val="000F28C9"/>
    <w:rsid w:val="000F304C"/>
    <w:rsid w:val="000F3072"/>
    <w:rsid w:val="000F38BF"/>
    <w:rsid w:val="000F4B3F"/>
    <w:rsid w:val="000F4E4A"/>
    <w:rsid w:val="000F56EC"/>
    <w:rsid w:val="000F5C27"/>
    <w:rsid w:val="000F5FD3"/>
    <w:rsid w:val="000F603D"/>
    <w:rsid w:val="000F6444"/>
    <w:rsid w:val="000F6AB5"/>
    <w:rsid w:val="000F6C6B"/>
    <w:rsid w:val="000F6DF1"/>
    <w:rsid w:val="000F74F2"/>
    <w:rsid w:val="000F7966"/>
    <w:rsid w:val="00100438"/>
    <w:rsid w:val="001006D9"/>
    <w:rsid w:val="00100712"/>
    <w:rsid w:val="00100C6D"/>
    <w:rsid w:val="00100D1B"/>
    <w:rsid w:val="001010ED"/>
    <w:rsid w:val="001011A5"/>
    <w:rsid w:val="0010123A"/>
    <w:rsid w:val="0010177A"/>
    <w:rsid w:val="001019FD"/>
    <w:rsid w:val="0010220A"/>
    <w:rsid w:val="00102426"/>
    <w:rsid w:val="00102A35"/>
    <w:rsid w:val="00102F7E"/>
    <w:rsid w:val="001032BB"/>
    <w:rsid w:val="00103567"/>
    <w:rsid w:val="00103897"/>
    <w:rsid w:val="001043C6"/>
    <w:rsid w:val="001049E0"/>
    <w:rsid w:val="00105203"/>
    <w:rsid w:val="00105558"/>
    <w:rsid w:val="00105B37"/>
    <w:rsid w:val="00106362"/>
    <w:rsid w:val="0010639F"/>
    <w:rsid w:val="00106886"/>
    <w:rsid w:val="00106A51"/>
    <w:rsid w:val="00106B0B"/>
    <w:rsid w:val="0010706F"/>
    <w:rsid w:val="001079C2"/>
    <w:rsid w:val="00107B24"/>
    <w:rsid w:val="00107DC0"/>
    <w:rsid w:val="00107FF1"/>
    <w:rsid w:val="001101A7"/>
    <w:rsid w:val="0011088D"/>
    <w:rsid w:val="00110D75"/>
    <w:rsid w:val="00111A20"/>
    <w:rsid w:val="001123D5"/>
    <w:rsid w:val="001124B3"/>
    <w:rsid w:val="00112849"/>
    <w:rsid w:val="00112A14"/>
    <w:rsid w:val="00113E1E"/>
    <w:rsid w:val="00114715"/>
    <w:rsid w:val="00114F6C"/>
    <w:rsid w:val="001152FA"/>
    <w:rsid w:val="001155C4"/>
    <w:rsid w:val="00115648"/>
    <w:rsid w:val="00115C69"/>
    <w:rsid w:val="00115DD0"/>
    <w:rsid w:val="00115FE2"/>
    <w:rsid w:val="00116175"/>
    <w:rsid w:val="001164A1"/>
    <w:rsid w:val="00116A47"/>
    <w:rsid w:val="00117440"/>
    <w:rsid w:val="0011760F"/>
    <w:rsid w:val="00117AB9"/>
    <w:rsid w:val="00117D33"/>
    <w:rsid w:val="001213A8"/>
    <w:rsid w:val="001216DD"/>
    <w:rsid w:val="00121DDA"/>
    <w:rsid w:val="00122604"/>
    <w:rsid w:val="00122F8D"/>
    <w:rsid w:val="00123165"/>
    <w:rsid w:val="001231F7"/>
    <w:rsid w:val="001234B7"/>
    <w:rsid w:val="00123D0F"/>
    <w:rsid w:val="0012420D"/>
    <w:rsid w:val="00124C4B"/>
    <w:rsid w:val="00125EB7"/>
    <w:rsid w:val="00126E9C"/>
    <w:rsid w:val="00126EAB"/>
    <w:rsid w:val="00127015"/>
    <w:rsid w:val="001279A6"/>
    <w:rsid w:val="00127CD0"/>
    <w:rsid w:val="0013017B"/>
    <w:rsid w:val="001303A1"/>
    <w:rsid w:val="00130AF5"/>
    <w:rsid w:val="00130DEA"/>
    <w:rsid w:val="00131556"/>
    <w:rsid w:val="001319E3"/>
    <w:rsid w:val="00131EF2"/>
    <w:rsid w:val="00131F42"/>
    <w:rsid w:val="00132717"/>
    <w:rsid w:val="001328E0"/>
    <w:rsid w:val="00132D25"/>
    <w:rsid w:val="00132EFD"/>
    <w:rsid w:val="00133091"/>
    <w:rsid w:val="001331CC"/>
    <w:rsid w:val="00133272"/>
    <w:rsid w:val="00133CE1"/>
    <w:rsid w:val="00133D9D"/>
    <w:rsid w:val="001342A4"/>
    <w:rsid w:val="001342B5"/>
    <w:rsid w:val="001342E6"/>
    <w:rsid w:val="0013471C"/>
    <w:rsid w:val="0013473A"/>
    <w:rsid w:val="0013476E"/>
    <w:rsid w:val="001353CA"/>
    <w:rsid w:val="001353E4"/>
    <w:rsid w:val="001357F1"/>
    <w:rsid w:val="001358C8"/>
    <w:rsid w:val="00135986"/>
    <w:rsid w:val="00135D15"/>
    <w:rsid w:val="00135E75"/>
    <w:rsid w:val="0013607C"/>
    <w:rsid w:val="0013656D"/>
    <w:rsid w:val="00136A87"/>
    <w:rsid w:val="00136ACC"/>
    <w:rsid w:val="00136DAF"/>
    <w:rsid w:val="0013719E"/>
    <w:rsid w:val="001379F7"/>
    <w:rsid w:val="00137B74"/>
    <w:rsid w:val="00137FD6"/>
    <w:rsid w:val="001401FC"/>
    <w:rsid w:val="001406A3"/>
    <w:rsid w:val="001406E9"/>
    <w:rsid w:val="0014073E"/>
    <w:rsid w:val="001408D8"/>
    <w:rsid w:val="00140FA8"/>
    <w:rsid w:val="00141231"/>
    <w:rsid w:val="00141785"/>
    <w:rsid w:val="00141C6F"/>
    <w:rsid w:val="001421F3"/>
    <w:rsid w:val="0014225C"/>
    <w:rsid w:val="0014231F"/>
    <w:rsid w:val="0014265A"/>
    <w:rsid w:val="001426E2"/>
    <w:rsid w:val="00142FEB"/>
    <w:rsid w:val="001433A7"/>
    <w:rsid w:val="0014351B"/>
    <w:rsid w:val="001438A6"/>
    <w:rsid w:val="00143A2D"/>
    <w:rsid w:val="00143B29"/>
    <w:rsid w:val="00143B98"/>
    <w:rsid w:val="001442A6"/>
    <w:rsid w:val="00144B14"/>
    <w:rsid w:val="00144D8E"/>
    <w:rsid w:val="00145270"/>
    <w:rsid w:val="0014532D"/>
    <w:rsid w:val="001453B3"/>
    <w:rsid w:val="0014577A"/>
    <w:rsid w:val="00145933"/>
    <w:rsid w:val="00145A41"/>
    <w:rsid w:val="00145C4D"/>
    <w:rsid w:val="00145C87"/>
    <w:rsid w:val="00145FAB"/>
    <w:rsid w:val="00146A7D"/>
    <w:rsid w:val="00146E66"/>
    <w:rsid w:val="001473C8"/>
    <w:rsid w:val="0014769E"/>
    <w:rsid w:val="00147B88"/>
    <w:rsid w:val="00150243"/>
    <w:rsid w:val="00150483"/>
    <w:rsid w:val="001504A1"/>
    <w:rsid w:val="001508B3"/>
    <w:rsid w:val="00150A37"/>
    <w:rsid w:val="00150EAD"/>
    <w:rsid w:val="0015157A"/>
    <w:rsid w:val="00151675"/>
    <w:rsid w:val="00151EAD"/>
    <w:rsid w:val="00152418"/>
    <w:rsid w:val="00152A43"/>
    <w:rsid w:val="001531C5"/>
    <w:rsid w:val="00153273"/>
    <w:rsid w:val="00153FEF"/>
    <w:rsid w:val="001542A7"/>
    <w:rsid w:val="001543CD"/>
    <w:rsid w:val="00155223"/>
    <w:rsid w:val="00155351"/>
    <w:rsid w:val="00156143"/>
    <w:rsid w:val="00156E51"/>
    <w:rsid w:val="00157435"/>
    <w:rsid w:val="0015762C"/>
    <w:rsid w:val="00157BD7"/>
    <w:rsid w:val="00160317"/>
    <w:rsid w:val="0016055B"/>
    <w:rsid w:val="00160969"/>
    <w:rsid w:val="00160A5A"/>
    <w:rsid w:val="001614A4"/>
    <w:rsid w:val="00161B41"/>
    <w:rsid w:val="00161C4C"/>
    <w:rsid w:val="00161DE6"/>
    <w:rsid w:val="0016278F"/>
    <w:rsid w:val="001627EA"/>
    <w:rsid w:val="00162A29"/>
    <w:rsid w:val="00162B3A"/>
    <w:rsid w:val="00163C58"/>
    <w:rsid w:val="00164D55"/>
    <w:rsid w:val="00165228"/>
    <w:rsid w:val="001657CA"/>
    <w:rsid w:val="0016607A"/>
    <w:rsid w:val="001666B9"/>
    <w:rsid w:val="00166868"/>
    <w:rsid w:val="001669D4"/>
    <w:rsid w:val="001669EA"/>
    <w:rsid w:val="00166B8D"/>
    <w:rsid w:val="00166DE9"/>
    <w:rsid w:val="00167101"/>
    <w:rsid w:val="00167252"/>
    <w:rsid w:val="00167ADF"/>
    <w:rsid w:val="00170128"/>
    <w:rsid w:val="00170509"/>
    <w:rsid w:val="00170590"/>
    <w:rsid w:val="00170840"/>
    <w:rsid w:val="00170BC1"/>
    <w:rsid w:val="00170E8D"/>
    <w:rsid w:val="00171952"/>
    <w:rsid w:val="00171B60"/>
    <w:rsid w:val="00172D96"/>
    <w:rsid w:val="00172D9A"/>
    <w:rsid w:val="00172DCC"/>
    <w:rsid w:val="00172E81"/>
    <w:rsid w:val="0017310F"/>
    <w:rsid w:val="00173C27"/>
    <w:rsid w:val="00173D87"/>
    <w:rsid w:val="0017444F"/>
    <w:rsid w:val="001746BF"/>
    <w:rsid w:val="00174EFB"/>
    <w:rsid w:val="0017504D"/>
    <w:rsid w:val="0017537C"/>
    <w:rsid w:val="00175431"/>
    <w:rsid w:val="00175A09"/>
    <w:rsid w:val="00175D9D"/>
    <w:rsid w:val="001765E8"/>
    <w:rsid w:val="0017671A"/>
    <w:rsid w:val="001769F7"/>
    <w:rsid w:val="00176B77"/>
    <w:rsid w:val="00176FB2"/>
    <w:rsid w:val="00177422"/>
    <w:rsid w:val="001774C5"/>
    <w:rsid w:val="00177511"/>
    <w:rsid w:val="001776EC"/>
    <w:rsid w:val="00177838"/>
    <w:rsid w:val="00177B5A"/>
    <w:rsid w:val="0018006B"/>
    <w:rsid w:val="00180960"/>
    <w:rsid w:val="00180AFB"/>
    <w:rsid w:val="00180C61"/>
    <w:rsid w:val="00180E36"/>
    <w:rsid w:val="00180EDC"/>
    <w:rsid w:val="001812ED"/>
    <w:rsid w:val="00181A8B"/>
    <w:rsid w:val="00181DDB"/>
    <w:rsid w:val="00181E86"/>
    <w:rsid w:val="00182158"/>
    <w:rsid w:val="00182160"/>
    <w:rsid w:val="0018246A"/>
    <w:rsid w:val="00183C6C"/>
    <w:rsid w:val="00183D11"/>
    <w:rsid w:val="00183D31"/>
    <w:rsid w:val="00183FCC"/>
    <w:rsid w:val="0018447D"/>
    <w:rsid w:val="0018457B"/>
    <w:rsid w:val="00184590"/>
    <w:rsid w:val="00184E49"/>
    <w:rsid w:val="001856C3"/>
    <w:rsid w:val="001863C3"/>
    <w:rsid w:val="001863FF"/>
    <w:rsid w:val="00186575"/>
    <w:rsid w:val="00186A86"/>
    <w:rsid w:val="00186D1E"/>
    <w:rsid w:val="00186D28"/>
    <w:rsid w:val="001870D1"/>
    <w:rsid w:val="0018724D"/>
    <w:rsid w:val="0018781E"/>
    <w:rsid w:val="00187AB0"/>
    <w:rsid w:val="00187D96"/>
    <w:rsid w:val="00187E04"/>
    <w:rsid w:val="001900B1"/>
    <w:rsid w:val="001900E5"/>
    <w:rsid w:val="00190711"/>
    <w:rsid w:val="00191797"/>
    <w:rsid w:val="00191E82"/>
    <w:rsid w:val="001921BA"/>
    <w:rsid w:val="00192376"/>
    <w:rsid w:val="001925EE"/>
    <w:rsid w:val="0019262D"/>
    <w:rsid w:val="00192811"/>
    <w:rsid w:val="00192C05"/>
    <w:rsid w:val="00192D5F"/>
    <w:rsid w:val="001930D2"/>
    <w:rsid w:val="0019333B"/>
    <w:rsid w:val="0019351D"/>
    <w:rsid w:val="00193CDA"/>
    <w:rsid w:val="00194107"/>
    <w:rsid w:val="00194275"/>
    <w:rsid w:val="001943FE"/>
    <w:rsid w:val="00194A5B"/>
    <w:rsid w:val="00195607"/>
    <w:rsid w:val="001959C0"/>
    <w:rsid w:val="00195F14"/>
    <w:rsid w:val="00195FE4"/>
    <w:rsid w:val="0019622B"/>
    <w:rsid w:val="00196349"/>
    <w:rsid w:val="00196468"/>
    <w:rsid w:val="00196470"/>
    <w:rsid w:val="00196C78"/>
    <w:rsid w:val="00196D39"/>
    <w:rsid w:val="001975AE"/>
    <w:rsid w:val="001976F9"/>
    <w:rsid w:val="001978EF"/>
    <w:rsid w:val="00197AF4"/>
    <w:rsid w:val="001A02FA"/>
    <w:rsid w:val="001A07CF"/>
    <w:rsid w:val="001A0B11"/>
    <w:rsid w:val="001A0D0C"/>
    <w:rsid w:val="001A0DC2"/>
    <w:rsid w:val="001A0F4D"/>
    <w:rsid w:val="001A0FCD"/>
    <w:rsid w:val="001A12CF"/>
    <w:rsid w:val="001A15C9"/>
    <w:rsid w:val="001A183D"/>
    <w:rsid w:val="001A19D7"/>
    <w:rsid w:val="001A1B35"/>
    <w:rsid w:val="001A1C50"/>
    <w:rsid w:val="001A1DF4"/>
    <w:rsid w:val="001A1E7A"/>
    <w:rsid w:val="001A1EF5"/>
    <w:rsid w:val="001A2035"/>
    <w:rsid w:val="001A20E5"/>
    <w:rsid w:val="001A2640"/>
    <w:rsid w:val="001A2935"/>
    <w:rsid w:val="001A2A0F"/>
    <w:rsid w:val="001A2B17"/>
    <w:rsid w:val="001A2C2D"/>
    <w:rsid w:val="001A3334"/>
    <w:rsid w:val="001A36FD"/>
    <w:rsid w:val="001A4003"/>
    <w:rsid w:val="001A400D"/>
    <w:rsid w:val="001A434B"/>
    <w:rsid w:val="001A48A2"/>
    <w:rsid w:val="001A4E6A"/>
    <w:rsid w:val="001A4FCC"/>
    <w:rsid w:val="001A5588"/>
    <w:rsid w:val="001A64C4"/>
    <w:rsid w:val="001A6BCB"/>
    <w:rsid w:val="001A6EB4"/>
    <w:rsid w:val="001A6F61"/>
    <w:rsid w:val="001A72B1"/>
    <w:rsid w:val="001A7C22"/>
    <w:rsid w:val="001A7EF3"/>
    <w:rsid w:val="001B0048"/>
    <w:rsid w:val="001B09DD"/>
    <w:rsid w:val="001B09F5"/>
    <w:rsid w:val="001B0F81"/>
    <w:rsid w:val="001B10A1"/>
    <w:rsid w:val="001B1310"/>
    <w:rsid w:val="001B1589"/>
    <w:rsid w:val="001B1616"/>
    <w:rsid w:val="001B19F2"/>
    <w:rsid w:val="001B1DF2"/>
    <w:rsid w:val="001B326E"/>
    <w:rsid w:val="001B3979"/>
    <w:rsid w:val="001B3BBA"/>
    <w:rsid w:val="001B4092"/>
    <w:rsid w:val="001B47CF"/>
    <w:rsid w:val="001B48CF"/>
    <w:rsid w:val="001B491E"/>
    <w:rsid w:val="001B4AB6"/>
    <w:rsid w:val="001B5128"/>
    <w:rsid w:val="001B5535"/>
    <w:rsid w:val="001B59E2"/>
    <w:rsid w:val="001B62B1"/>
    <w:rsid w:val="001B63A8"/>
    <w:rsid w:val="001B63D0"/>
    <w:rsid w:val="001B67D9"/>
    <w:rsid w:val="001B69C6"/>
    <w:rsid w:val="001B6DF0"/>
    <w:rsid w:val="001B72B8"/>
    <w:rsid w:val="001B7987"/>
    <w:rsid w:val="001B7D89"/>
    <w:rsid w:val="001C056D"/>
    <w:rsid w:val="001C10B3"/>
    <w:rsid w:val="001C1445"/>
    <w:rsid w:val="001C1648"/>
    <w:rsid w:val="001C1814"/>
    <w:rsid w:val="001C1A95"/>
    <w:rsid w:val="001C1B32"/>
    <w:rsid w:val="001C21AB"/>
    <w:rsid w:val="001C225F"/>
    <w:rsid w:val="001C239D"/>
    <w:rsid w:val="001C2475"/>
    <w:rsid w:val="001C2762"/>
    <w:rsid w:val="001C280D"/>
    <w:rsid w:val="001C2A57"/>
    <w:rsid w:val="001C30BD"/>
    <w:rsid w:val="001C3477"/>
    <w:rsid w:val="001C34AC"/>
    <w:rsid w:val="001C366D"/>
    <w:rsid w:val="001C388E"/>
    <w:rsid w:val="001C3B5B"/>
    <w:rsid w:val="001C3D0F"/>
    <w:rsid w:val="001C3EDD"/>
    <w:rsid w:val="001C3F14"/>
    <w:rsid w:val="001C404C"/>
    <w:rsid w:val="001C4CCF"/>
    <w:rsid w:val="001C4DF1"/>
    <w:rsid w:val="001C57B8"/>
    <w:rsid w:val="001C5A3E"/>
    <w:rsid w:val="001C5BE9"/>
    <w:rsid w:val="001C6138"/>
    <w:rsid w:val="001C6389"/>
    <w:rsid w:val="001C6736"/>
    <w:rsid w:val="001C6821"/>
    <w:rsid w:val="001C6889"/>
    <w:rsid w:val="001C69B3"/>
    <w:rsid w:val="001C69CE"/>
    <w:rsid w:val="001C6B81"/>
    <w:rsid w:val="001C6BEA"/>
    <w:rsid w:val="001D12C2"/>
    <w:rsid w:val="001D203D"/>
    <w:rsid w:val="001D219E"/>
    <w:rsid w:val="001D24B3"/>
    <w:rsid w:val="001D2A2B"/>
    <w:rsid w:val="001D2AAC"/>
    <w:rsid w:val="001D2AB1"/>
    <w:rsid w:val="001D3011"/>
    <w:rsid w:val="001D32DC"/>
    <w:rsid w:val="001D35E6"/>
    <w:rsid w:val="001D3906"/>
    <w:rsid w:val="001D3C63"/>
    <w:rsid w:val="001D4206"/>
    <w:rsid w:val="001D4749"/>
    <w:rsid w:val="001D4A8E"/>
    <w:rsid w:val="001D4B21"/>
    <w:rsid w:val="001D4DD8"/>
    <w:rsid w:val="001D5595"/>
    <w:rsid w:val="001D59FF"/>
    <w:rsid w:val="001D5E41"/>
    <w:rsid w:val="001D5FB4"/>
    <w:rsid w:val="001D658A"/>
    <w:rsid w:val="001D66CE"/>
    <w:rsid w:val="001D6829"/>
    <w:rsid w:val="001D733A"/>
    <w:rsid w:val="001D7726"/>
    <w:rsid w:val="001D7874"/>
    <w:rsid w:val="001D7939"/>
    <w:rsid w:val="001D7D62"/>
    <w:rsid w:val="001D7F22"/>
    <w:rsid w:val="001E0B4F"/>
    <w:rsid w:val="001E0C69"/>
    <w:rsid w:val="001E0D88"/>
    <w:rsid w:val="001E0E49"/>
    <w:rsid w:val="001E0F55"/>
    <w:rsid w:val="001E0F6C"/>
    <w:rsid w:val="001E115B"/>
    <w:rsid w:val="001E1184"/>
    <w:rsid w:val="001E17B7"/>
    <w:rsid w:val="001E19BF"/>
    <w:rsid w:val="001E1EE9"/>
    <w:rsid w:val="001E2053"/>
    <w:rsid w:val="001E2867"/>
    <w:rsid w:val="001E2BB6"/>
    <w:rsid w:val="001E2DD0"/>
    <w:rsid w:val="001E2E98"/>
    <w:rsid w:val="001E2EE5"/>
    <w:rsid w:val="001E36A4"/>
    <w:rsid w:val="001E386F"/>
    <w:rsid w:val="001E3B5D"/>
    <w:rsid w:val="001E44E3"/>
    <w:rsid w:val="001E4770"/>
    <w:rsid w:val="001E477B"/>
    <w:rsid w:val="001E5679"/>
    <w:rsid w:val="001E58AE"/>
    <w:rsid w:val="001E5DA0"/>
    <w:rsid w:val="001E60D2"/>
    <w:rsid w:val="001E6306"/>
    <w:rsid w:val="001E63F8"/>
    <w:rsid w:val="001E6529"/>
    <w:rsid w:val="001E6B78"/>
    <w:rsid w:val="001E7676"/>
    <w:rsid w:val="001E78BE"/>
    <w:rsid w:val="001E7EAD"/>
    <w:rsid w:val="001F027D"/>
    <w:rsid w:val="001F0900"/>
    <w:rsid w:val="001F0F17"/>
    <w:rsid w:val="001F1313"/>
    <w:rsid w:val="001F2243"/>
    <w:rsid w:val="001F235A"/>
    <w:rsid w:val="001F25E8"/>
    <w:rsid w:val="001F269E"/>
    <w:rsid w:val="001F2DDA"/>
    <w:rsid w:val="001F3149"/>
    <w:rsid w:val="001F3347"/>
    <w:rsid w:val="001F33B9"/>
    <w:rsid w:val="001F3596"/>
    <w:rsid w:val="001F3685"/>
    <w:rsid w:val="001F3ADA"/>
    <w:rsid w:val="001F3C07"/>
    <w:rsid w:val="001F3D2B"/>
    <w:rsid w:val="001F40B3"/>
    <w:rsid w:val="001F4EEC"/>
    <w:rsid w:val="001F4F6A"/>
    <w:rsid w:val="001F5909"/>
    <w:rsid w:val="001F5E16"/>
    <w:rsid w:val="001F6112"/>
    <w:rsid w:val="001F6278"/>
    <w:rsid w:val="001F63CE"/>
    <w:rsid w:val="001F6747"/>
    <w:rsid w:val="001F679D"/>
    <w:rsid w:val="001F69E4"/>
    <w:rsid w:val="001F6FFA"/>
    <w:rsid w:val="001F7049"/>
    <w:rsid w:val="001F72F0"/>
    <w:rsid w:val="001F7786"/>
    <w:rsid w:val="001F7F7E"/>
    <w:rsid w:val="002002C2"/>
    <w:rsid w:val="002003A4"/>
    <w:rsid w:val="00200871"/>
    <w:rsid w:val="00200C2A"/>
    <w:rsid w:val="002019C5"/>
    <w:rsid w:val="002019FE"/>
    <w:rsid w:val="00201B27"/>
    <w:rsid w:val="00201CCF"/>
    <w:rsid w:val="002026A4"/>
    <w:rsid w:val="002028CF"/>
    <w:rsid w:val="002031C1"/>
    <w:rsid w:val="00203466"/>
    <w:rsid w:val="00203F11"/>
    <w:rsid w:val="002041DA"/>
    <w:rsid w:val="0020426E"/>
    <w:rsid w:val="00204363"/>
    <w:rsid w:val="0020445C"/>
    <w:rsid w:val="00204804"/>
    <w:rsid w:val="002052CC"/>
    <w:rsid w:val="002056E5"/>
    <w:rsid w:val="00205B87"/>
    <w:rsid w:val="00205BF0"/>
    <w:rsid w:val="00205E2A"/>
    <w:rsid w:val="00205FE7"/>
    <w:rsid w:val="002061F3"/>
    <w:rsid w:val="00206868"/>
    <w:rsid w:val="00206AC9"/>
    <w:rsid w:val="00206B6F"/>
    <w:rsid w:val="00206DD0"/>
    <w:rsid w:val="00206F65"/>
    <w:rsid w:val="002074BD"/>
    <w:rsid w:val="00207852"/>
    <w:rsid w:val="0020798A"/>
    <w:rsid w:val="00207B57"/>
    <w:rsid w:val="00207DCA"/>
    <w:rsid w:val="00210401"/>
    <w:rsid w:val="00210892"/>
    <w:rsid w:val="00210CA5"/>
    <w:rsid w:val="00210D6B"/>
    <w:rsid w:val="00210F26"/>
    <w:rsid w:val="00211528"/>
    <w:rsid w:val="00211E88"/>
    <w:rsid w:val="00212251"/>
    <w:rsid w:val="002122B2"/>
    <w:rsid w:val="002125B4"/>
    <w:rsid w:val="00212676"/>
    <w:rsid w:val="00212DCE"/>
    <w:rsid w:val="0021310D"/>
    <w:rsid w:val="002131E0"/>
    <w:rsid w:val="002132D3"/>
    <w:rsid w:val="00213670"/>
    <w:rsid w:val="002138AA"/>
    <w:rsid w:val="00213969"/>
    <w:rsid w:val="00213CF6"/>
    <w:rsid w:val="0021454C"/>
    <w:rsid w:val="0021498F"/>
    <w:rsid w:val="002155B8"/>
    <w:rsid w:val="00215A0F"/>
    <w:rsid w:val="00215A52"/>
    <w:rsid w:val="00215C87"/>
    <w:rsid w:val="00215E01"/>
    <w:rsid w:val="00216504"/>
    <w:rsid w:val="0021665C"/>
    <w:rsid w:val="00216B8C"/>
    <w:rsid w:val="00216E63"/>
    <w:rsid w:val="00217510"/>
    <w:rsid w:val="0021757E"/>
    <w:rsid w:val="00217672"/>
    <w:rsid w:val="00217712"/>
    <w:rsid w:val="00217B70"/>
    <w:rsid w:val="00217B91"/>
    <w:rsid w:val="00217D23"/>
    <w:rsid w:val="00220097"/>
    <w:rsid w:val="0022016B"/>
    <w:rsid w:val="0022028D"/>
    <w:rsid w:val="00220633"/>
    <w:rsid w:val="00220ED0"/>
    <w:rsid w:val="002212DF"/>
    <w:rsid w:val="002212F4"/>
    <w:rsid w:val="0022181C"/>
    <w:rsid w:val="00221DDC"/>
    <w:rsid w:val="00222177"/>
    <w:rsid w:val="002221CC"/>
    <w:rsid w:val="002224A7"/>
    <w:rsid w:val="00222917"/>
    <w:rsid w:val="00222B27"/>
    <w:rsid w:val="00222F5C"/>
    <w:rsid w:val="00222FAE"/>
    <w:rsid w:val="002231BA"/>
    <w:rsid w:val="002232AF"/>
    <w:rsid w:val="002235EF"/>
    <w:rsid w:val="00223CA6"/>
    <w:rsid w:val="0022429B"/>
    <w:rsid w:val="00224404"/>
    <w:rsid w:val="00224563"/>
    <w:rsid w:val="002246BE"/>
    <w:rsid w:val="00224839"/>
    <w:rsid w:val="002249B2"/>
    <w:rsid w:val="00224A3F"/>
    <w:rsid w:val="00224CC4"/>
    <w:rsid w:val="00224EFB"/>
    <w:rsid w:val="00225272"/>
    <w:rsid w:val="00225374"/>
    <w:rsid w:val="00225393"/>
    <w:rsid w:val="0022565C"/>
    <w:rsid w:val="00225E13"/>
    <w:rsid w:val="00225E58"/>
    <w:rsid w:val="00226574"/>
    <w:rsid w:val="0022671E"/>
    <w:rsid w:val="002267A3"/>
    <w:rsid w:val="00226FCA"/>
    <w:rsid w:val="00226FE8"/>
    <w:rsid w:val="00227104"/>
    <w:rsid w:val="002278EC"/>
    <w:rsid w:val="00227C47"/>
    <w:rsid w:val="002306B7"/>
    <w:rsid w:val="00231173"/>
    <w:rsid w:val="002312CE"/>
    <w:rsid w:val="002317AA"/>
    <w:rsid w:val="00231943"/>
    <w:rsid w:val="00231A29"/>
    <w:rsid w:val="00232369"/>
    <w:rsid w:val="0023280E"/>
    <w:rsid w:val="00232BCA"/>
    <w:rsid w:val="00232C4D"/>
    <w:rsid w:val="00232F94"/>
    <w:rsid w:val="0023302E"/>
    <w:rsid w:val="00233BA5"/>
    <w:rsid w:val="00233E0C"/>
    <w:rsid w:val="0023406F"/>
    <w:rsid w:val="00234364"/>
    <w:rsid w:val="00234B0F"/>
    <w:rsid w:val="00234CD7"/>
    <w:rsid w:val="00234D4D"/>
    <w:rsid w:val="00234E16"/>
    <w:rsid w:val="00235219"/>
    <w:rsid w:val="0023545F"/>
    <w:rsid w:val="002360A7"/>
    <w:rsid w:val="00236220"/>
    <w:rsid w:val="00236383"/>
    <w:rsid w:val="002363F7"/>
    <w:rsid w:val="0023649C"/>
    <w:rsid w:val="002366BB"/>
    <w:rsid w:val="00236965"/>
    <w:rsid w:val="002371A7"/>
    <w:rsid w:val="0023734C"/>
    <w:rsid w:val="002373D5"/>
    <w:rsid w:val="0023775D"/>
    <w:rsid w:val="002377D1"/>
    <w:rsid w:val="0024066D"/>
    <w:rsid w:val="0024114E"/>
    <w:rsid w:val="00241335"/>
    <w:rsid w:val="0024135C"/>
    <w:rsid w:val="00241419"/>
    <w:rsid w:val="00241575"/>
    <w:rsid w:val="00241708"/>
    <w:rsid w:val="00241A1A"/>
    <w:rsid w:val="00241B6D"/>
    <w:rsid w:val="002424D7"/>
    <w:rsid w:val="00242A61"/>
    <w:rsid w:val="00242ACC"/>
    <w:rsid w:val="00242B71"/>
    <w:rsid w:val="00242DF8"/>
    <w:rsid w:val="00242F53"/>
    <w:rsid w:val="00243A1E"/>
    <w:rsid w:val="00244355"/>
    <w:rsid w:val="0024444F"/>
    <w:rsid w:val="0024469F"/>
    <w:rsid w:val="00244B6B"/>
    <w:rsid w:val="002450C4"/>
    <w:rsid w:val="002450F1"/>
    <w:rsid w:val="00245126"/>
    <w:rsid w:val="0024561B"/>
    <w:rsid w:val="00245764"/>
    <w:rsid w:val="0024579B"/>
    <w:rsid w:val="0024596E"/>
    <w:rsid w:val="00245BD1"/>
    <w:rsid w:val="002460B4"/>
    <w:rsid w:val="00246854"/>
    <w:rsid w:val="00246AE0"/>
    <w:rsid w:val="00246FF4"/>
    <w:rsid w:val="00247343"/>
    <w:rsid w:val="00247350"/>
    <w:rsid w:val="00247DF1"/>
    <w:rsid w:val="00247E51"/>
    <w:rsid w:val="00250113"/>
    <w:rsid w:val="0025019F"/>
    <w:rsid w:val="00250461"/>
    <w:rsid w:val="002504B7"/>
    <w:rsid w:val="002504E6"/>
    <w:rsid w:val="002506BC"/>
    <w:rsid w:val="00250C9C"/>
    <w:rsid w:val="00250CF5"/>
    <w:rsid w:val="00250E20"/>
    <w:rsid w:val="00250FBF"/>
    <w:rsid w:val="002519C0"/>
    <w:rsid w:val="002523EB"/>
    <w:rsid w:val="002526BE"/>
    <w:rsid w:val="00252C27"/>
    <w:rsid w:val="00252C57"/>
    <w:rsid w:val="00253019"/>
    <w:rsid w:val="00253243"/>
    <w:rsid w:val="002532D0"/>
    <w:rsid w:val="00253501"/>
    <w:rsid w:val="00253636"/>
    <w:rsid w:val="00253BAE"/>
    <w:rsid w:val="00253F25"/>
    <w:rsid w:val="0025413C"/>
    <w:rsid w:val="0025415B"/>
    <w:rsid w:val="0025430D"/>
    <w:rsid w:val="00254345"/>
    <w:rsid w:val="002548C6"/>
    <w:rsid w:val="00254AFE"/>
    <w:rsid w:val="00254CCB"/>
    <w:rsid w:val="00254D8E"/>
    <w:rsid w:val="00254E06"/>
    <w:rsid w:val="00255575"/>
    <w:rsid w:val="0025557A"/>
    <w:rsid w:val="00255798"/>
    <w:rsid w:val="00255C8E"/>
    <w:rsid w:val="00255F42"/>
    <w:rsid w:val="002565F4"/>
    <w:rsid w:val="00256BEC"/>
    <w:rsid w:val="00256C23"/>
    <w:rsid w:val="00257704"/>
    <w:rsid w:val="00257A30"/>
    <w:rsid w:val="00257A9D"/>
    <w:rsid w:val="00257EC4"/>
    <w:rsid w:val="00257EF8"/>
    <w:rsid w:val="0026033C"/>
    <w:rsid w:val="002604EE"/>
    <w:rsid w:val="00260630"/>
    <w:rsid w:val="00260876"/>
    <w:rsid w:val="00260930"/>
    <w:rsid w:val="00260C1A"/>
    <w:rsid w:val="002612D3"/>
    <w:rsid w:val="0026130D"/>
    <w:rsid w:val="00261380"/>
    <w:rsid w:val="00261C83"/>
    <w:rsid w:val="00261E76"/>
    <w:rsid w:val="002630BB"/>
    <w:rsid w:val="00263315"/>
    <w:rsid w:val="00263366"/>
    <w:rsid w:val="0026336E"/>
    <w:rsid w:val="0026378A"/>
    <w:rsid w:val="00263FDB"/>
    <w:rsid w:val="00264557"/>
    <w:rsid w:val="002657D4"/>
    <w:rsid w:val="0026588B"/>
    <w:rsid w:val="002659D8"/>
    <w:rsid w:val="002659ED"/>
    <w:rsid w:val="00265CCE"/>
    <w:rsid w:val="002673B0"/>
    <w:rsid w:val="002674FA"/>
    <w:rsid w:val="002678E2"/>
    <w:rsid w:val="00267A39"/>
    <w:rsid w:val="00267AD2"/>
    <w:rsid w:val="00267BEC"/>
    <w:rsid w:val="002702B9"/>
    <w:rsid w:val="00270795"/>
    <w:rsid w:val="00271152"/>
    <w:rsid w:val="002713A0"/>
    <w:rsid w:val="0027187A"/>
    <w:rsid w:val="00271B14"/>
    <w:rsid w:val="00271C63"/>
    <w:rsid w:val="00272BB7"/>
    <w:rsid w:val="0027328C"/>
    <w:rsid w:val="00273CC5"/>
    <w:rsid w:val="00273D32"/>
    <w:rsid w:val="00274109"/>
    <w:rsid w:val="002747AA"/>
    <w:rsid w:val="00274E07"/>
    <w:rsid w:val="00275048"/>
    <w:rsid w:val="0027535D"/>
    <w:rsid w:val="00275558"/>
    <w:rsid w:val="0027568D"/>
    <w:rsid w:val="0027578E"/>
    <w:rsid w:val="00275CDA"/>
    <w:rsid w:val="002760D8"/>
    <w:rsid w:val="002764CE"/>
    <w:rsid w:val="002765B8"/>
    <w:rsid w:val="00276DC3"/>
    <w:rsid w:val="0027726B"/>
    <w:rsid w:val="00277716"/>
    <w:rsid w:val="00277A9F"/>
    <w:rsid w:val="00277AFB"/>
    <w:rsid w:val="00280514"/>
    <w:rsid w:val="002805AB"/>
    <w:rsid w:val="002807C3"/>
    <w:rsid w:val="0028097C"/>
    <w:rsid w:val="00280DEE"/>
    <w:rsid w:val="002810D4"/>
    <w:rsid w:val="00281BBE"/>
    <w:rsid w:val="00281D7A"/>
    <w:rsid w:val="0028222E"/>
    <w:rsid w:val="00282548"/>
    <w:rsid w:val="00282B6E"/>
    <w:rsid w:val="0028326E"/>
    <w:rsid w:val="00283305"/>
    <w:rsid w:val="00283630"/>
    <w:rsid w:val="00283E66"/>
    <w:rsid w:val="002841ED"/>
    <w:rsid w:val="00284204"/>
    <w:rsid w:val="0028427E"/>
    <w:rsid w:val="00284448"/>
    <w:rsid w:val="0028464E"/>
    <w:rsid w:val="002846B1"/>
    <w:rsid w:val="00284C8F"/>
    <w:rsid w:val="00284EAE"/>
    <w:rsid w:val="00284F95"/>
    <w:rsid w:val="002856C9"/>
    <w:rsid w:val="0028573E"/>
    <w:rsid w:val="00285997"/>
    <w:rsid w:val="00285CE3"/>
    <w:rsid w:val="00286169"/>
    <w:rsid w:val="002861E9"/>
    <w:rsid w:val="002862B9"/>
    <w:rsid w:val="00287111"/>
    <w:rsid w:val="00287543"/>
    <w:rsid w:val="00287EAF"/>
    <w:rsid w:val="002902A6"/>
    <w:rsid w:val="00291773"/>
    <w:rsid w:val="00291935"/>
    <w:rsid w:val="002919EB"/>
    <w:rsid w:val="002919ED"/>
    <w:rsid w:val="00291A36"/>
    <w:rsid w:val="00291DF8"/>
    <w:rsid w:val="00292362"/>
    <w:rsid w:val="002924D5"/>
    <w:rsid w:val="0029252C"/>
    <w:rsid w:val="002925EA"/>
    <w:rsid w:val="002927CE"/>
    <w:rsid w:val="00292D2C"/>
    <w:rsid w:val="00293EAB"/>
    <w:rsid w:val="00294902"/>
    <w:rsid w:val="00294959"/>
    <w:rsid w:val="00294BBA"/>
    <w:rsid w:val="00294CF8"/>
    <w:rsid w:val="00295089"/>
    <w:rsid w:val="0029517D"/>
    <w:rsid w:val="00295CF7"/>
    <w:rsid w:val="00295E5B"/>
    <w:rsid w:val="00295FA0"/>
    <w:rsid w:val="002963DA"/>
    <w:rsid w:val="00296D6D"/>
    <w:rsid w:val="00297035"/>
    <w:rsid w:val="00297154"/>
    <w:rsid w:val="00297469"/>
    <w:rsid w:val="00297589"/>
    <w:rsid w:val="002975FE"/>
    <w:rsid w:val="00297967"/>
    <w:rsid w:val="00297A03"/>
    <w:rsid w:val="00297C61"/>
    <w:rsid w:val="00297ED0"/>
    <w:rsid w:val="002A001D"/>
    <w:rsid w:val="002A04BF"/>
    <w:rsid w:val="002A0B90"/>
    <w:rsid w:val="002A0BED"/>
    <w:rsid w:val="002A1034"/>
    <w:rsid w:val="002A168C"/>
    <w:rsid w:val="002A16BD"/>
    <w:rsid w:val="002A1E85"/>
    <w:rsid w:val="002A24ED"/>
    <w:rsid w:val="002A2BFC"/>
    <w:rsid w:val="002A3339"/>
    <w:rsid w:val="002A3DC7"/>
    <w:rsid w:val="002A45AC"/>
    <w:rsid w:val="002A5355"/>
    <w:rsid w:val="002A59D6"/>
    <w:rsid w:val="002A5AC6"/>
    <w:rsid w:val="002A5DD7"/>
    <w:rsid w:val="002A5F9D"/>
    <w:rsid w:val="002A6291"/>
    <w:rsid w:val="002A6A44"/>
    <w:rsid w:val="002A6AF4"/>
    <w:rsid w:val="002A706A"/>
    <w:rsid w:val="002A71C2"/>
    <w:rsid w:val="002A79DD"/>
    <w:rsid w:val="002B0294"/>
    <w:rsid w:val="002B08E1"/>
    <w:rsid w:val="002B0BEA"/>
    <w:rsid w:val="002B0BF3"/>
    <w:rsid w:val="002B0EA5"/>
    <w:rsid w:val="002B178B"/>
    <w:rsid w:val="002B19D4"/>
    <w:rsid w:val="002B19F2"/>
    <w:rsid w:val="002B1D3B"/>
    <w:rsid w:val="002B1EBC"/>
    <w:rsid w:val="002B1F21"/>
    <w:rsid w:val="002B2005"/>
    <w:rsid w:val="002B2918"/>
    <w:rsid w:val="002B2CEB"/>
    <w:rsid w:val="002B2ED7"/>
    <w:rsid w:val="002B3119"/>
    <w:rsid w:val="002B3A42"/>
    <w:rsid w:val="002B3BAC"/>
    <w:rsid w:val="002B403B"/>
    <w:rsid w:val="002B40B9"/>
    <w:rsid w:val="002B48CF"/>
    <w:rsid w:val="002B49E2"/>
    <w:rsid w:val="002B4B61"/>
    <w:rsid w:val="002B4FF1"/>
    <w:rsid w:val="002B506A"/>
    <w:rsid w:val="002B53BF"/>
    <w:rsid w:val="002B5BBA"/>
    <w:rsid w:val="002B5DEB"/>
    <w:rsid w:val="002B600A"/>
    <w:rsid w:val="002B62DC"/>
    <w:rsid w:val="002B70EC"/>
    <w:rsid w:val="002B7B00"/>
    <w:rsid w:val="002B7B42"/>
    <w:rsid w:val="002B7C44"/>
    <w:rsid w:val="002B7D1B"/>
    <w:rsid w:val="002C0247"/>
    <w:rsid w:val="002C0749"/>
    <w:rsid w:val="002C0ABA"/>
    <w:rsid w:val="002C0BEA"/>
    <w:rsid w:val="002C0C4A"/>
    <w:rsid w:val="002C0F2D"/>
    <w:rsid w:val="002C1066"/>
    <w:rsid w:val="002C14CA"/>
    <w:rsid w:val="002C1ADB"/>
    <w:rsid w:val="002C1FE1"/>
    <w:rsid w:val="002C2249"/>
    <w:rsid w:val="002C2B17"/>
    <w:rsid w:val="002C2B19"/>
    <w:rsid w:val="002C2B1C"/>
    <w:rsid w:val="002C2E64"/>
    <w:rsid w:val="002C3259"/>
    <w:rsid w:val="002C3699"/>
    <w:rsid w:val="002C4268"/>
    <w:rsid w:val="002C449E"/>
    <w:rsid w:val="002C4AB0"/>
    <w:rsid w:val="002C5031"/>
    <w:rsid w:val="002C544A"/>
    <w:rsid w:val="002C5690"/>
    <w:rsid w:val="002C5E8E"/>
    <w:rsid w:val="002C5F3F"/>
    <w:rsid w:val="002C647F"/>
    <w:rsid w:val="002C6F4F"/>
    <w:rsid w:val="002C7083"/>
    <w:rsid w:val="002C7408"/>
    <w:rsid w:val="002C7B75"/>
    <w:rsid w:val="002C7BCA"/>
    <w:rsid w:val="002D04FE"/>
    <w:rsid w:val="002D05CD"/>
    <w:rsid w:val="002D061C"/>
    <w:rsid w:val="002D0889"/>
    <w:rsid w:val="002D15F0"/>
    <w:rsid w:val="002D175F"/>
    <w:rsid w:val="002D1D63"/>
    <w:rsid w:val="002D2B52"/>
    <w:rsid w:val="002D370C"/>
    <w:rsid w:val="002D3716"/>
    <w:rsid w:val="002D382B"/>
    <w:rsid w:val="002D3DD0"/>
    <w:rsid w:val="002D3F8F"/>
    <w:rsid w:val="002D40EB"/>
    <w:rsid w:val="002D41E3"/>
    <w:rsid w:val="002D44B5"/>
    <w:rsid w:val="002D47CC"/>
    <w:rsid w:val="002D4DA0"/>
    <w:rsid w:val="002D516A"/>
    <w:rsid w:val="002D586A"/>
    <w:rsid w:val="002D59DC"/>
    <w:rsid w:val="002D5C1F"/>
    <w:rsid w:val="002D5CE7"/>
    <w:rsid w:val="002D5D10"/>
    <w:rsid w:val="002D6375"/>
    <w:rsid w:val="002D63EE"/>
    <w:rsid w:val="002D6970"/>
    <w:rsid w:val="002D6A7C"/>
    <w:rsid w:val="002D7A4A"/>
    <w:rsid w:val="002D7D46"/>
    <w:rsid w:val="002E0200"/>
    <w:rsid w:val="002E0345"/>
    <w:rsid w:val="002E0A88"/>
    <w:rsid w:val="002E0AA0"/>
    <w:rsid w:val="002E0DAD"/>
    <w:rsid w:val="002E0E21"/>
    <w:rsid w:val="002E0E37"/>
    <w:rsid w:val="002E166F"/>
    <w:rsid w:val="002E198E"/>
    <w:rsid w:val="002E1E62"/>
    <w:rsid w:val="002E1F3A"/>
    <w:rsid w:val="002E298A"/>
    <w:rsid w:val="002E2B38"/>
    <w:rsid w:val="002E2BE5"/>
    <w:rsid w:val="002E301F"/>
    <w:rsid w:val="002E337B"/>
    <w:rsid w:val="002E379A"/>
    <w:rsid w:val="002E4543"/>
    <w:rsid w:val="002E45BF"/>
    <w:rsid w:val="002E4EED"/>
    <w:rsid w:val="002E538C"/>
    <w:rsid w:val="002E5595"/>
    <w:rsid w:val="002E5DE3"/>
    <w:rsid w:val="002E5E09"/>
    <w:rsid w:val="002E6273"/>
    <w:rsid w:val="002E6413"/>
    <w:rsid w:val="002E6566"/>
    <w:rsid w:val="002E664D"/>
    <w:rsid w:val="002E6E88"/>
    <w:rsid w:val="002E712A"/>
    <w:rsid w:val="002E783F"/>
    <w:rsid w:val="002E7B70"/>
    <w:rsid w:val="002E7D8E"/>
    <w:rsid w:val="002E7E1B"/>
    <w:rsid w:val="002F00D4"/>
    <w:rsid w:val="002F03E3"/>
    <w:rsid w:val="002F042B"/>
    <w:rsid w:val="002F0C7D"/>
    <w:rsid w:val="002F18E4"/>
    <w:rsid w:val="002F1A29"/>
    <w:rsid w:val="002F1A4C"/>
    <w:rsid w:val="002F1CE4"/>
    <w:rsid w:val="002F1DD7"/>
    <w:rsid w:val="002F21A1"/>
    <w:rsid w:val="002F21FF"/>
    <w:rsid w:val="002F2AE1"/>
    <w:rsid w:val="002F2B6F"/>
    <w:rsid w:val="002F2D2C"/>
    <w:rsid w:val="002F2F7C"/>
    <w:rsid w:val="002F3118"/>
    <w:rsid w:val="002F31B5"/>
    <w:rsid w:val="002F341D"/>
    <w:rsid w:val="002F35B2"/>
    <w:rsid w:val="002F361B"/>
    <w:rsid w:val="002F36DD"/>
    <w:rsid w:val="002F370B"/>
    <w:rsid w:val="002F3927"/>
    <w:rsid w:val="002F3A33"/>
    <w:rsid w:val="002F3BF8"/>
    <w:rsid w:val="002F441A"/>
    <w:rsid w:val="002F47FF"/>
    <w:rsid w:val="002F4DB8"/>
    <w:rsid w:val="002F53A8"/>
    <w:rsid w:val="002F54F6"/>
    <w:rsid w:val="002F5AF2"/>
    <w:rsid w:val="002F5CB4"/>
    <w:rsid w:val="002F5E51"/>
    <w:rsid w:val="002F5FC8"/>
    <w:rsid w:val="002F60B4"/>
    <w:rsid w:val="002F6CEC"/>
    <w:rsid w:val="002F6EA6"/>
    <w:rsid w:val="002F75F3"/>
    <w:rsid w:val="002F7AB7"/>
    <w:rsid w:val="002F7CA6"/>
    <w:rsid w:val="0030006D"/>
    <w:rsid w:val="0030008A"/>
    <w:rsid w:val="00300651"/>
    <w:rsid w:val="00300AEF"/>
    <w:rsid w:val="0030125D"/>
    <w:rsid w:val="0030136A"/>
    <w:rsid w:val="0030156C"/>
    <w:rsid w:val="003015DE"/>
    <w:rsid w:val="00301978"/>
    <w:rsid w:val="003019D3"/>
    <w:rsid w:val="00302058"/>
    <w:rsid w:val="00302206"/>
    <w:rsid w:val="00302323"/>
    <w:rsid w:val="003023CD"/>
    <w:rsid w:val="00302833"/>
    <w:rsid w:val="00302D3E"/>
    <w:rsid w:val="0030332C"/>
    <w:rsid w:val="0030345B"/>
    <w:rsid w:val="003039E4"/>
    <w:rsid w:val="00303A03"/>
    <w:rsid w:val="00303F39"/>
    <w:rsid w:val="00304025"/>
    <w:rsid w:val="00304573"/>
    <w:rsid w:val="00304ABB"/>
    <w:rsid w:val="003051C2"/>
    <w:rsid w:val="0030529B"/>
    <w:rsid w:val="00305CB0"/>
    <w:rsid w:val="00305FCA"/>
    <w:rsid w:val="0030640E"/>
    <w:rsid w:val="00306697"/>
    <w:rsid w:val="00306B08"/>
    <w:rsid w:val="00306C86"/>
    <w:rsid w:val="003070C9"/>
    <w:rsid w:val="003079BA"/>
    <w:rsid w:val="00307A2A"/>
    <w:rsid w:val="00310142"/>
    <w:rsid w:val="0031023A"/>
    <w:rsid w:val="003103AF"/>
    <w:rsid w:val="003106B4"/>
    <w:rsid w:val="00310799"/>
    <w:rsid w:val="00310EE6"/>
    <w:rsid w:val="00311229"/>
    <w:rsid w:val="0031122D"/>
    <w:rsid w:val="00311991"/>
    <w:rsid w:val="00311B84"/>
    <w:rsid w:val="00311CB0"/>
    <w:rsid w:val="00312296"/>
    <w:rsid w:val="0031259A"/>
    <w:rsid w:val="00312A15"/>
    <w:rsid w:val="00312A35"/>
    <w:rsid w:val="00312B26"/>
    <w:rsid w:val="00312D9D"/>
    <w:rsid w:val="00312E10"/>
    <w:rsid w:val="0031333E"/>
    <w:rsid w:val="003134E9"/>
    <w:rsid w:val="003135BB"/>
    <w:rsid w:val="00313BFF"/>
    <w:rsid w:val="00313FB3"/>
    <w:rsid w:val="003147AD"/>
    <w:rsid w:val="00314E96"/>
    <w:rsid w:val="00314F0E"/>
    <w:rsid w:val="00316324"/>
    <w:rsid w:val="003167AA"/>
    <w:rsid w:val="00316954"/>
    <w:rsid w:val="00316D27"/>
    <w:rsid w:val="00316DBE"/>
    <w:rsid w:val="00317721"/>
    <w:rsid w:val="00317EAF"/>
    <w:rsid w:val="00320614"/>
    <w:rsid w:val="0032066E"/>
    <w:rsid w:val="00320CF8"/>
    <w:rsid w:val="003213C0"/>
    <w:rsid w:val="00321D8E"/>
    <w:rsid w:val="00322558"/>
    <w:rsid w:val="00322D40"/>
    <w:rsid w:val="00322EEE"/>
    <w:rsid w:val="00323957"/>
    <w:rsid w:val="00323999"/>
    <w:rsid w:val="00323BBD"/>
    <w:rsid w:val="003243F3"/>
    <w:rsid w:val="003245F4"/>
    <w:rsid w:val="003249CB"/>
    <w:rsid w:val="00325224"/>
    <w:rsid w:val="00325266"/>
    <w:rsid w:val="0032579C"/>
    <w:rsid w:val="00325928"/>
    <w:rsid w:val="003259FE"/>
    <w:rsid w:val="003265B4"/>
    <w:rsid w:val="00326751"/>
    <w:rsid w:val="00326851"/>
    <w:rsid w:val="00326A5A"/>
    <w:rsid w:val="00326AD8"/>
    <w:rsid w:val="003275E1"/>
    <w:rsid w:val="00327F87"/>
    <w:rsid w:val="0033014A"/>
    <w:rsid w:val="003301AD"/>
    <w:rsid w:val="0033025E"/>
    <w:rsid w:val="003302B9"/>
    <w:rsid w:val="00330390"/>
    <w:rsid w:val="00330768"/>
    <w:rsid w:val="00330D46"/>
    <w:rsid w:val="0033179F"/>
    <w:rsid w:val="00331C33"/>
    <w:rsid w:val="00331C3E"/>
    <w:rsid w:val="00332048"/>
    <w:rsid w:val="00332094"/>
    <w:rsid w:val="003325E4"/>
    <w:rsid w:val="0033268E"/>
    <w:rsid w:val="00332863"/>
    <w:rsid w:val="00332C7C"/>
    <w:rsid w:val="003336E7"/>
    <w:rsid w:val="00333737"/>
    <w:rsid w:val="0033391A"/>
    <w:rsid w:val="00333E3C"/>
    <w:rsid w:val="00334C27"/>
    <w:rsid w:val="00334FFE"/>
    <w:rsid w:val="003357D8"/>
    <w:rsid w:val="00336426"/>
    <w:rsid w:val="0033677A"/>
    <w:rsid w:val="0033684D"/>
    <w:rsid w:val="00336A7D"/>
    <w:rsid w:val="00336CF6"/>
    <w:rsid w:val="00336E51"/>
    <w:rsid w:val="00336FAA"/>
    <w:rsid w:val="00337340"/>
    <w:rsid w:val="0033787B"/>
    <w:rsid w:val="00337B42"/>
    <w:rsid w:val="00340C97"/>
    <w:rsid w:val="00341B42"/>
    <w:rsid w:val="00341C4F"/>
    <w:rsid w:val="00341FC2"/>
    <w:rsid w:val="003420EB"/>
    <w:rsid w:val="0034212E"/>
    <w:rsid w:val="00342564"/>
    <w:rsid w:val="00342DD7"/>
    <w:rsid w:val="00343106"/>
    <w:rsid w:val="0034348F"/>
    <w:rsid w:val="00343B3A"/>
    <w:rsid w:val="00343CA2"/>
    <w:rsid w:val="00344934"/>
    <w:rsid w:val="00344D32"/>
    <w:rsid w:val="00344D39"/>
    <w:rsid w:val="00344FAD"/>
    <w:rsid w:val="00345488"/>
    <w:rsid w:val="0034579B"/>
    <w:rsid w:val="00345ED0"/>
    <w:rsid w:val="00345F96"/>
    <w:rsid w:val="0034601B"/>
    <w:rsid w:val="00346278"/>
    <w:rsid w:val="00346750"/>
    <w:rsid w:val="00346A63"/>
    <w:rsid w:val="00346A77"/>
    <w:rsid w:val="00347168"/>
    <w:rsid w:val="003471E1"/>
    <w:rsid w:val="00347458"/>
    <w:rsid w:val="00347B34"/>
    <w:rsid w:val="003504EA"/>
    <w:rsid w:val="003506E0"/>
    <w:rsid w:val="00351331"/>
    <w:rsid w:val="00351382"/>
    <w:rsid w:val="00351550"/>
    <w:rsid w:val="0035163A"/>
    <w:rsid w:val="00351833"/>
    <w:rsid w:val="0035267F"/>
    <w:rsid w:val="00352981"/>
    <w:rsid w:val="003531CB"/>
    <w:rsid w:val="003532FE"/>
    <w:rsid w:val="003536FD"/>
    <w:rsid w:val="0035465A"/>
    <w:rsid w:val="00354E89"/>
    <w:rsid w:val="00354F1E"/>
    <w:rsid w:val="00355017"/>
    <w:rsid w:val="003550AC"/>
    <w:rsid w:val="003551B6"/>
    <w:rsid w:val="003555F5"/>
    <w:rsid w:val="0035588D"/>
    <w:rsid w:val="003558CE"/>
    <w:rsid w:val="00355BE7"/>
    <w:rsid w:val="00356362"/>
    <w:rsid w:val="00356653"/>
    <w:rsid w:val="0035670D"/>
    <w:rsid w:val="003569D0"/>
    <w:rsid w:val="00356C48"/>
    <w:rsid w:val="0035743F"/>
    <w:rsid w:val="0035748E"/>
    <w:rsid w:val="003575C1"/>
    <w:rsid w:val="003577AE"/>
    <w:rsid w:val="003578A7"/>
    <w:rsid w:val="00357BE2"/>
    <w:rsid w:val="003600F8"/>
    <w:rsid w:val="003605C5"/>
    <w:rsid w:val="00360678"/>
    <w:rsid w:val="0036084B"/>
    <w:rsid w:val="00360A05"/>
    <w:rsid w:val="00360AEE"/>
    <w:rsid w:val="00360DBA"/>
    <w:rsid w:val="003612E5"/>
    <w:rsid w:val="0036170C"/>
    <w:rsid w:val="00361BA4"/>
    <w:rsid w:val="00362414"/>
    <w:rsid w:val="003624C1"/>
    <w:rsid w:val="003626BF"/>
    <w:rsid w:val="00362E5E"/>
    <w:rsid w:val="00362E64"/>
    <w:rsid w:val="0036309E"/>
    <w:rsid w:val="00363F2A"/>
    <w:rsid w:val="003643F6"/>
    <w:rsid w:val="00364446"/>
    <w:rsid w:val="00365111"/>
    <w:rsid w:val="00365234"/>
    <w:rsid w:val="003652AE"/>
    <w:rsid w:val="003652D4"/>
    <w:rsid w:val="00365A40"/>
    <w:rsid w:val="00365CF2"/>
    <w:rsid w:val="0036636F"/>
    <w:rsid w:val="0036649C"/>
    <w:rsid w:val="003664A6"/>
    <w:rsid w:val="003666CE"/>
    <w:rsid w:val="00366A51"/>
    <w:rsid w:val="00366E0F"/>
    <w:rsid w:val="00367067"/>
    <w:rsid w:val="0036745F"/>
    <w:rsid w:val="00367544"/>
    <w:rsid w:val="003675A7"/>
    <w:rsid w:val="00367932"/>
    <w:rsid w:val="00367C3C"/>
    <w:rsid w:val="0037000B"/>
    <w:rsid w:val="00370907"/>
    <w:rsid w:val="00370B7D"/>
    <w:rsid w:val="00370B8C"/>
    <w:rsid w:val="00370F33"/>
    <w:rsid w:val="0037154C"/>
    <w:rsid w:val="00371583"/>
    <w:rsid w:val="00371805"/>
    <w:rsid w:val="00372806"/>
    <w:rsid w:val="00372822"/>
    <w:rsid w:val="00372A6A"/>
    <w:rsid w:val="00372DCD"/>
    <w:rsid w:val="003743A2"/>
    <w:rsid w:val="00374BA9"/>
    <w:rsid w:val="00374C09"/>
    <w:rsid w:val="00375241"/>
    <w:rsid w:val="00375CB9"/>
    <w:rsid w:val="00375E8F"/>
    <w:rsid w:val="00376682"/>
    <w:rsid w:val="0037687C"/>
    <w:rsid w:val="00376940"/>
    <w:rsid w:val="003769F8"/>
    <w:rsid w:val="00376A01"/>
    <w:rsid w:val="00376D26"/>
    <w:rsid w:val="0037714F"/>
    <w:rsid w:val="003771B2"/>
    <w:rsid w:val="00377969"/>
    <w:rsid w:val="00377EA9"/>
    <w:rsid w:val="00380209"/>
    <w:rsid w:val="00380CD9"/>
    <w:rsid w:val="00380D84"/>
    <w:rsid w:val="003811B4"/>
    <w:rsid w:val="003815D6"/>
    <w:rsid w:val="0038169E"/>
    <w:rsid w:val="00381786"/>
    <w:rsid w:val="00381A72"/>
    <w:rsid w:val="00382C7A"/>
    <w:rsid w:val="00382CBD"/>
    <w:rsid w:val="00382D0F"/>
    <w:rsid w:val="00382DEE"/>
    <w:rsid w:val="00382F4D"/>
    <w:rsid w:val="0038396A"/>
    <w:rsid w:val="00383C1D"/>
    <w:rsid w:val="003844A9"/>
    <w:rsid w:val="00384676"/>
    <w:rsid w:val="00384B9C"/>
    <w:rsid w:val="00384DF9"/>
    <w:rsid w:val="00384F7F"/>
    <w:rsid w:val="003851BA"/>
    <w:rsid w:val="00385296"/>
    <w:rsid w:val="003855C1"/>
    <w:rsid w:val="00385950"/>
    <w:rsid w:val="00385D8A"/>
    <w:rsid w:val="00386463"/>
    <w:rsid w:val="00386550"/>
    <w:rsid w:val="00386822"/>
    <w:rsid w:val="00386C28"/>
    <w:rsid w:val="00386E00"/>
    <w:rsid w:val="0038705D"/>
    <w:rsid w:val="00387742"/>
    <w:rsid w:val="00387F6C"/>
    <w:rsid w:val="00390341"/>
    <w:rsid w:val="003903D2"/>
    <w:rsid w:val="00390857"/>
    <w:rsid w:val="00390BC8"/>
    <w:rsid w:val="00391062"/>
    <w:rsid w:val="00391257"/>
    <w:rsid w:val="003913D1"/>
    <w:rsid w:val="00391947"/>
    <w:rsid w:val="00391CA5"/>
    <w:rsid w:val="00391F04"/>
    <w:rsid w:val="003922ED"/>
    <w:rsid w:val="00392C8A"/>
    <w:rsid w:val="00393364"/>
    <w:rsid w:val="003935F3"/>
    <w:rsid w:val="0039375D"/>
    <w:rsid w:val="00393E11"/>
    <w:rsid w:val="003940B2"/>
    <w:rsid w:val="0039413A"/>
    <w:rsid w:val="00394281"/>
    <w:rsid w:val="003946CF"/>
    <w:rsid w:val="003946E0"/>
    <w:rsid w:val="00394968"/>
    <w:rsid w:val="00394ADD"/>
    <w:rsid w:val="00394B6A"/>
    <w:rsid w:val="00395547"/>
    <w:rsid w:val="0039559A"/>
    <w:rsid w:val="0039579E"/>
    <w:rsid w:val="0039589F"/>
    <w:rsid w:val="00395AA0"/>
    <w:rsid w:val="00395D0E"/>
    <w:rsid w:val="00396188"/>
    <w:rsid w:val="0039658C"/>
    <w:rsid w:val="0039683F"/>
    <w:rsid w:val="00396A7D"/>
    <w:rsid w:val="003972F2"/>
    <w:rsid w:val="003976AA"/>
    <w:rsid w:val="003A09FF"/>
    <w:rsid w:val="003A0B46"/>
    <w:rsid w:val="003A0E38"/>
    <w:rsid w:val="003A111F"/>
    <w:rsid w:val="003A1355"/>
    <w:rsid w:val="003A1449"/>
    <w:rsid w:val="003A1857"/>
    <w:rsid w:val="003A1872"/>
    <w:rsid w:val="003A188A"/>
    <w:rsid w:val="003A1F76"/>
    <w:rsid w:val="003A2217"/>
    <w:rsid w:val="003A2D30"/>
    <w:rsid w:val="003A3C0E"/>
    <w:rsid w:val="003A3D43"/>
    <w:rsid w:val="003A418F"/>
    <w:rsid w:val="003A4308"/>
    <w:rsid w:val="003A4BF3"/>
    <w:rsid w:val="003A5693"/>
    <w:rsid w:val="003A5A2B"/>
    <w:rsid w:val="003A5A38"/>
    <w:rsid w:val="003A5A9B"/>
    <w:rsid w:val="003A5C17"/>
    <w:rsid w:val="003A5E57"/>
    <w:rsid w:val="003A5EED"/>
    <w:rsid w:val="003A6BEF"/>
    <w:rsid w:val="003A72A0"/>
    <w:rsid w:val="003A7810"/>
    <w:rsid w:val="003A7A9B"/>
    <w:rsid w:val="003A7D42"/>
    <w:rsid w:val="003A7DC6"/>
    <w:rsid w:val="003B0481"/>
    <w:rsid w:val="003B0606"/>
    <w:rsid w:val="003B0AEB"/>
    <w:rsid w:val="003B0BE9"/>
    <w:rsid w:val="003B0E60"/>
    <w:rsid w:val="003B1814"/>
    <w:rsid w:val="003B19E3"/>
    <w:rsid w:val="003B1AE2"/>
    <w:rsid w:val="003B26C0"/>
    <w:rsid w:val="003B2809"/>
    <w:rsid w:val="003B2828"/>
    <w:rsid w:val="003B2C17"/>
    <w:rsid w:val="003B2D0F"/>
    <w:rsid w:val="003B2F17"/>
    <w:rsid w:val="003B39D8"/>
    <w:rsid w:val="003B3A0D"/>
    <w:rsid w:val="003B3D15"/>
    <w:rsid w:val="003B420D"/>
    <w:rsid w:val="003B45A6"/>
    <w:rsid w:val="003B466B"/>
    <w:rsid w:val="003B488D"/>
    <w:rsid w:val="003B497B"/>
    <w:rsid w:val="003B4A65"/>
    <w:rsid w:val="003B5D8B"/>
    <w:rsid w:val="003B6373"/>
    <w:rsid w:val="003B64F7"/>
    <w:rsid w:val="003B666A"/>
    <w:rsid w:val="003B6883"/>
    <w:rsid w:val="003B6995"/>
    <w:rsid w:val="003B6FC3"/>
    <w:rsid w:val="003B7148"/>
    <w:rsid w:val="003B7620"/>
    <w:rsid w:val="003B7A1A"/>
    <w:rsid w:val="003B7B22"/>
    <w:rsid w:val="003C005C"/>
    <w:rsid w:val="003C03FA"/>
    <w:rsid w:val="003C0892"/>
    <w:rsid w:val="003C0CEE"/>
    <w:rsid w:val="003C117B"/>
    <w:rsid w:val="003C11D2"/>
    <w:rsid w:val="003C18C3"/>
    <w:rsid w:val="003C1B72"/>
    <w:rsid w:val="003C1D0D"/>
    <w:rsid w:val="003C1D15"/>
    <w:rsid w:val="003C215D"/>
    <w:rsid w:val="003C2331"/>
    <w:rsid w:val="003C244B"/>
    <w:rsid w:val="003C2703"/>
    <w:rsid w:val="003C2E7E"/>
    <w:rsid w:val="003C4500"/>
    <w:rsid w:val="003C46B1"/>
    <w:rsid w:val="003C52F9"/>
    <w:rsid w:val="003C5359"/>
    <w:rsid w:val="003C53F8"/>
    <w:rsid w:val="003C5716"/>
    <w:rsid w:val="003C5EDB"/>
    <w:rsid w:val="003C6602"/>
    <w:rsid w:val="003C66DD"/>
    <w:rsid w:val="003C6C09"/>
    <w:rsid w:val="003C6C16"/>
    <w:rsid w:val="003C6F87"/>
    <w:rsid w:val="003C70FF"/>
    <w:rsid w:val="003C7580"/>
    <w:rsid w:val="003D008F"/>
    <w:rsid w:val="003D022A"/>
    <w:rsid w:val="003D0404"/>
    <w:rsid w:val="003D0C6C"/>
    <w:rsid w:val="003D0C6D"/>
    <w:rsid w:val="003D0D1C"/>
    <w:rsid w:val="003D13C6"/>
    <w:rsid w:val="003D182F"/>
    <w:rsid w:val="003D185C"/>
    <w:rsid w:val="003D1926"/>
    <w:rsid w:val="003D2009"/>
    <w:rsid w:val="003D222C"/>
    <w:rsid w:val="003D2291"/>
    <w:rsid w:val="003D2741"/>
    <w:rsid w:val="003D2785"/>
    <w:rsid w:val="003D3117"/>
    <w:rsid w:val="003D3226"/>
    <w:rsid w:val="003D3429"/>
    <w:rsid w:val="003D3519"/>
    <w:rsid w:val="003D3655"/>
    <w:rsid w:val="003D3789"/>
    <w:rsid w:val="003D4521"/>
    <w:rsid w:val="003D4BC1"/>
    <w:rsid w:val="003D53BF"/>
    <w:rsid w:val="003D5655"/>
    <w:rsid w:val="003D5ADF"/>
    <w:rsid w:val="003D5DF4"/>
    <w:rsid w:val="003D6718"/>
    <w:rsid w:val="003D6C95"/>
    <w:rsid w:val="003D6F3E"/>
    <w:rsid w:val="003D70CD"/>
    <w:rsid w:val="003D750B"/>
    <w:rsid w:val="003D794D"/>
    <w:rsid w:val="003E00E2"/>
    <w:rsid w:val="003E00F9"/>
    <w:rsid w:val="003E02AD"/>
    <w:rsid w:val="003E03D3"/>
    <w:rsid w:val="003E098E"/>
    <w:rsid w:val="003E09A0"/>
    <w:rsid w:val="003E0B6B"/>
    <w:rsid w:val="003E0CEF"/>
    <w:rsid w:val="003E0FA1"/>
    <w:rsid w:val="003E15C2"/>
    <w:rsid w:val="003E1673"/>
    <w:rsid w:val="003E16E6"/>
    <w:rsid w:val="003E17D1"/>
    <w:rsid w:val="003E1F23"/>
    <w:rsid w:val="003E21C4"/>
    <w:rsid w:val="003E25FF"/>
    <w:rsid w:val="003E3000"/>
    <w:rsid w:val="003E3058"/>
    <w:rsid w:val="003E338D"/>
    <w:rsid w:val="003E3AD1"/>
    <w:rsid w:val="003E450F"/>
    <w:rsid w:val="003E4682"/>
    <w:rsid w:val="003E4AA8"/>
    <w:rsid w:val="003E4B3F"/>
    <w:rsid w:val="003E55F1"/>
    <w:rsid w:val="003E562D"/>
    <w:rsid w:val="003E5A36"/>
    <w:rsid w:val="003E5A82"/>
    <w:rsid w:val="003E5D80"/>
    <w:rsid w:val="003E6039"/>
    <w:rsid w:val="003E6171"/>
    <w:rsid w:val="003E6BCF"/>
    <w:rsid w:val="003E7243"/>
    <w:rsid w:val="003E732C"/>
    <w:rsid w:val="003E76A9"/>
    <w:rsid w:val="003E7A1D"/>
    <w:rsid w:val="003F0336"/>
    <w:rsid w:val="003F0353"/>
    <w:rsid w:val="003F07C9"/>
    <w:rsid w:val="003F0809"/>
    <w:rsid w:val="003F092F"/>
    <w:rsid w:val="003F0931"/>
    <w:rsid w:val="003F0B32"/>
    <w:rsid w:val="003F0E26"/>
    <w:rsid w:val="003F1748"/>
    <w:rsid w:val="003F1CB5"/>
    <w:rsid w:val="003F20A3"/>
    <w:rsid w:val="003F27CA"/>
    <w:rsid w:val="003F27D4"/>
    <w:rsid w:val="003F3858"/>
    <w:rsid w:val="003F39C6"/>
    <w:rsid w:val="003F3C8E"/>
    <w:rsid w:val="003F438E"/>
    <w:rsid w:val="003F49E1"/>
    <w:rsid w:val="003F51C3"/>
    <w:rsid w:val="003F581B"/>
    <w:rsid w:val="003F5F2A"/>
    <w:rsid w:val="003F6A8C"/>
    <w:rsid w:val="003F6D65"/>
    <w:rsid w:val="003F755C"/>
    <w:rsid w:val="003F7678"/>
    <w:rsid w:val="003F7879"/>
    <w:rsid w:val="003F7C23"/>
    <w:rsid w:val="003F7C27"/>
    <w:rsid w:val="004003A0"/>
    <w:rsid w:val="004013E1"/>
    <w:rsid w:val="004015C8"/>
    <w:rsid w:val="00401D51"/>
    <w:rsid w:val="00401FC2"/>
    <w:rsid w:val="004022C5"/>
    <w:rsid w:val="004037CA"/>
    <w:rsid w:val="00403D6F"/>
    <w:rsid w:val="00404516"/>
    <w:rsid w:val="00404EA7"/>
    <w:rsid w:val="0040533B"/>
    <w:rsid w:val="004053B6"/>
    <w:rsid w:val="00405490"/>
    <w:rsid w:val="004056FE"/>
    <w:rsid w:val="00405F4F"/>
    <w:rsid w:val="0040603C"/>
    <w:rsid w:val="0040646D"/>
    <w:rsid w:val="00406558"/>
    <w:rsid w:val="0040665D"/>
    <w:rsid w:val="00406F01"/>
    <w:rsid w:val="00410049"/>
    <w:rsid w:val="0041027B"/>
    <w:rsid w:val="004105A0"/>
    <w:rsid w:val="00410BCC"/>
    <w:rsid w:val="00410D19"/>
    <w:rsid w:val="0041117F"/>
    <w:rsid w:val="004113C6"/>
    <w:rsid w:val="004119CF"/>
    <w:rsid w:val="00411A54"/>
    <w:rsid w:val="00411B24"/>
    <w:rsid w:val="00411E94"/>
    <w:rsid w:val="004122D0"/>
    <w:rsid w:val="00412BFF"/>
    <w:rsid w:val="00412D84"/>
    <w:rsid w:val="00412E54"/>
    <w:rsid w:val="00412EE9"/>
    <w:rsid w:val="00413604"/>
    <w:rsid w:val="00413A51"/>
    <w:rsid w:val="00413A99"/>
    <w:rsid w:val="00413BCD"/>
    <w:rsid w:val="00413E65"/>
    <w:rsid w:val="0041484E"/>
    <w:rsid w:val="00414A3A"/>
    <w:rsid w:val="0041534F"/>
    <w:rsid w:val="00415A0D"/>
    <w:rsid w:val="00415EC9"/>
    <w:rsid w:val="0041654C"/>
    <w:rsid w:val="00416AF1"/>
    <w:rsid w:val="00416D50"/>
    <w:rsid w:val="00416FD5"/>
    <w:rsid w:val="004174EB"/>
    <w:rsid w:val="00417772"/>
    <w:rsid w:val="0042016E"/>
    <w:rsid w:val="00420E6A"/>
    <w:rsid w:val="00421C7C"/>
    <w:rsid w:val="00422538"/>
    <w:rsid w:val="0042260C"/>
    <w:rsid w:val="004228DB"/>
    <w:rsid w:val="00422E59"/>
    <w:rsid w:val="00422EAD"/>
    <w:rsid w:val="004232E8"/>
    <w:rsid w:val="004233FA"/>
    <w:rsid w:val="0042342F"/>
    <w:rsid w:val="0042346E"/>
    <w:rsid w:val="0042352A"/>
    <w:rsid w:val="004235A9"/>
    <w:rsid w:val="0042379F"/>
    <w:rsid w:val="004238B8"/>
    <w:rsid w:val="004238D4"/>
    <w:rsid w:val="00423C6D"/>
    <w:rsid w:val="0042409E"/>
    <w:rsid w:val="004244C3"/>
    <w:rsid w:val="00424F37"/>
    <w:rsid w:val="00425210"/>
    <w:rsid w:val="0042528A"/>
    <w:rsid w:val="0042580D"/>
    <w:rsid w:val="00425A1B"/>
    <w:rsid w:val="00425A9E"/>
    <w:rsid w:val="0042600C"/>
    <w:rsid w:val="0042640D"/>
    <w:rsid w:val="00426630"/>
    <w:rsid w:val="00426971"/>
    <w:rsid w:val="00426D6B"/>
    <w:rsid w:val="00426EC5"/>
    <w:rsid w:val="004270C9"/>
    <w:rsid w:val="0042763F"/>
    <w:rsid w:val="0042766C"/>
    <w:rsid w:val="004277FB"/>
    <w:rsid w:val="00427B5E"/>
    <w:rsid w:val="004304FC"/>
    <w:rsid w:val="00431202"/>
    <w:rsid w:val="004312A5"/>
    <w:rsid w:val="004317C9"/>
    <w:rsid w:val="00431911"/>
    <w:rsid w:val="00431AE8"/>
    <w:rsid w:val="00431D52"/>
    <w:rsid w:val="00431E6C"/>
    <w:rsid w:val="004322F0"/>
    <w:rsid w:val="0043230C"/>
    <w:rsid w:val="00432853"/>
    <w:rsid w:val="00432E1C"/>
    <w:rsid w:val="00433717"/>
    <w:rsid w:val="00433CE7"/>
    <w:rsid w:val="00433DC1"/>
    <w:rsid w:val="00433EA0"/>
    <w:rsid w:val="004340A4"/>
    <w:rsid w:val="004343A6"/>
    <w:rsid w:val="0043455C"/>
    <w:rsid w:val="00434B77"/>
    <w:rsid w:val="00434E07"/>
    <w:rsid w:val="00434E54"/>
    <w:rsid w:val="00434E9C"/>
    <w:rsid w:val="00435078"/>
    <w:rsid w:val="004351FF"/>
    <w:rsid w:val="00435742"/>
    <w:rsid w:val="00436632"/>
    <w:rsid w:val="004366D9"/>
    <w:rsid w:val="00436BA6"/>
    <w:rsid w:val="00436BEF"/>
    <w:rsid w:val="00437056"/>
    <w:rsid w:val="00437095"/>
    <w:rsid w:val="0043778C"/>
    <w:rsid w:val="004378CF"/>
    <w:rsid w:val="004378E7"/>
    <w:rsid w:val="00437909"/>
    <w:rsid w:val="004402A8"/>
    <w:rsid w:val="004404AD"/>
    <w:rsid w:val="00440CEB"/>
    <w:rsid w:val="00440EDE"/>
    <w:rsid w:val="00441715"/>
    <w:rsid w:val="004417C9"/>
    <w:rsid w:val="00441A17"/>
    <w:rsid w:val="00441BBA"/>
    <w:rsid w:val="00441C64"/>
    <w:rsid w:val="0044222C"/>
    <w:rsid w:val="004425AC"/>
    <w:rsid w:val="00442655"/>
    <w:rsid w:val="004428A9"/>
    <w:rsid w:val="0044295A"/>
    <w:rsid w:val="00442F39"/>
    <w:rsid w:val="00443283"/>
    <w:rsid w:val="00443421"/>
    <w:rsid w:val="004435D7"/>
    <w:rsid w:val="0044395C"/>
    <w:rsid w:val="00443F6B"/>
    <w:rsid w:val="0044404C"/>
    <w:rsid w:val="004441FE"/>
    <w:rsid w:val="00444669"/>
    <w:rsid w:val="00444760"/>
    <w:rsid w:val="0044480F"/>
    <w:rsid w:val="00445328"/>
    <w:rsid w:val="004455DF"/>
    <w:rsid w:val="00445795"/>
    <w:rsid w:val="004462D9"/>
    <w:rsid w:val="004464FC"/>
    <w:rsid w:val="004465C7"/>
    <w:rsid w:val="0044667F"/>
    <w:rsid w:val="00446805"/>
    <w:rsid w:val="00446930"/>
    <w:rsid w:val="00446998"/>
    <w:rsid w:val="00446DF2"/>
    <w:rsid w:val="004475CA"/>
    <w:rsid w:val="004476B5"/>
    <w:rsid w:val="00447BA1"/>
    <w:rsid w:val="004500EC"/>
    <w:rsid w:val="00450FA8"/>
    <w:rsid w:val="00451027"/>
    <w:rsid w:val="0045105D"/>
    <w:rsid w:val="00451DA0"/>
    <w:rsid w:val="00452188"/>
    <w:rsid w:val="00452738"/>
    <w:rsid w:val="00452BC8"/>
    <w:rsid w:val="00452D40"/>
    <w:rsid w:val="00452ED5"/>
    <w:rsid w:val="00453023"/>
    <w:rsid w:val="004535F0"/>
    <w:rsid w:val="004537D5"/>
    <w:rsid w:val="00455B6C"/>
    <w:rsid w:val="00456091"/>
    <w:rsid w:val="00456C59"/>
    <w:rsid w:val="00456C80"/>
    <w:rsid w:val="004601E4"/>
    <w:rsid w:val="00460966"/>
    <w:rsid w:val="00460F37"/>
    <w:rsid w:val="00462AB0"/>
    <w:rsid w:val="00462BF0"/>
    <w:rsid w:val="00463584"/>
    <w:rsid w:val="0046375D"/>
    <w:rsid w:val="00463CF2"/>
    <w:rsid w:val="00464281"/>
    <w:rsid w:val="004646AF"/>
    <w:rsid w:val="00464C08"/>
    <w:rsid w:val="00464C41"/>
    <w:rsid w:val="0046593A"/>
    <w:rsid w:val="00465E7A"/>
    <w:rsid w:val="00466031"/>
    <w:rsid w:val="0046613D"/>
    <w:rsid w:val="00466207"/>
    <w:rsid w:val="00466321"/>
    <w:rsid w:val="0046642B"/>
    <w:rsid w:val="00466730"/>
    <w:rsid w:val="00466C42"/>
    <w:rsid w:val="00466DD5"/>
    <w:rsid w:val="00466E35"/>
    <w:rsid w:val="00466E7E"/>
    <w:rsid w:val="0046702E"/>
    <w:rsid w:val="00467158"/>
    <w:rsid w:val="0046731D"/>
    <w:rsid w:val="00467689"/>
    <w:rsid w:val="00467B9F"/>
    <w:rsid w:val="00467DD1"/>
    <w:rsid w:val="00470059"/>
    <w:rsid w:val="00470952"/>
    <w:rsid w:val="00470971"/>
    <w:rsid w:val="0047131A"/>
    <w:rsid w:val="00471CB5"/>
    <w:rsid w:val="0047206D"/>
    <w:rsid w:val="0047214D"/>
    <w:rsid w:val="004723A8"/>
    <w:rsid w:val="00472663"/>
    <w:rsid w:val="004727A8"/>
    <w:rsid w:val="00472F6D"/>
    <w:rsid w:val="004742C9"/>
    <w:rsid w:val="00474946"/>
    <w:rsid w:val="00474B1D"/>
    <w:rsid w:val="0047581A"/>
    <w:rsid w:val="00475CDA"/>
    <w:rsid w:val="00475D24"/>
    <w:rsid w:val="00475DD1"/>
    <w:rsid w:val="00476027"/>
    <w:rsid w:val="00476245"/>
    <w:rsid w:val="00476446"/>
    <w:rsid w:val="00476538"/>
    <w:rsid w:val="00477494"/>
    <w:rsid w:val="00477BB3"/>
    <w:rsid w:val="00477C16"/>
    <w:rsid w:val="00477D3C"/>
    <w:rsid w:val="00480142"/>
    <w:rsid w:val="004807BD"/>
    <w:rsid w:val="00480CC7"/>
    <w:rsid w:val="00480FBD"/>
    <w:rsid w:val="0048163B"/>
    <w:rsid w:val="00481873"/>
    <w:rsid w:val="004819D0"/>
    <w:rsid w:val="00481E60"/>
    <w:rsid w:val="00482006"/>
    <w:rsid w:val="0048234D"/>
    <w:rsid w:val="0048262D"/>
    <w:rsid w:val="004828E4"/>
    <w:rsid w:val="00482F0C"/>
    <w:rsid w:val="00483C55"/>
    <w:rsid w:val="00483D12"/>
    <w:rsid w:val="00483F16"/>
    <w:rsid w:val="0048405F"/>
    <w:rsid w:val="0048438C"/>
    <w:rsid w:val="00484A74"/>
    <w:rsid w:val="00484B49"/>
    <w:rsid w:val="00484B9B"/>
    <w:rsid w:val="00484BA5"/>
    <w:rsid w:val="00484E53"/>
    <w:rsid w:val="00485460"/>
    <w:rsid w:val="004855F6"/>
    <w:rsid w:val="0048583C"/>
    <w:rsid w:val="00485B86"/>
    <w:rsid w:val="004860D2"/>
    <w:rsid w:val="00486540"/>
    <w:rsid w:val="0048661E"/>
    <w:rsid w:val="00486ACF"/>
    <w:rsid w:val="00486B34"/>
    <w:rsid w:val="00486CEC"/>
    <w:rsid w:val="00486E1C"/>
    <w:rsid w:val="00487FC2"/>
    <w:rsid w:val="00491301"/>
    <w:rsid w:val="004915C5"/>
    <w:rsid w:val="004916B0"/>
    <w:rsid w:val="00491725"/>
    <w:rsid w:val="00491A47"/>
    <w:rsid w:val="00491B1C"/>
    <w:rsid w:val="00491E75"/>
    <w:rsid w:val="00491EFD"/>
    <w:rsid w:val="004923ED"/>
    <w:rsid w:val="0049293D"/>
    <w:rsid w:val="00492F23"/>
    <w:rsid w:val="00492FC0"/>
    <w:rsid w:val="0049323E"/>
    <w:rsid w:val="004933A4"/>
    <w:rsid w:val="00493AB0"/>
    <w:rsid w:val="004944F3"/>
    <w:rsid w:val="00494664"/>
    <w:rsid w:val="00494670"/>
    <w:rsid w:val="00494A71"/>
    <w:rsid w:val="00494EF2"/>
    <w:rsid w:val="00495A25"/>
    <w:rsid w:val="00495C81"/>
    <w:rsid w:val="004964E0"/>
    <w:rsid w:val="004966AE"/>
    <w:rsid w:val="00496D33"/>
    <w:rsid w:val="00497613"/>
    <w:rsid w:val="004A0297"/>
    <w:rsid w:val="004A0479"/>
    <w:rsid w:val="004A0B30"/>
    <w:rsid w:val="004A14B2"/>
    <w:rsid w:val="004A1546"/>
    <w:rsid w:val="004A1705"/>
    <w:rsid w:val="004A1824"/>
    <w:rsid w:val="004A1DF4"/>
    <w:rsid w:val="004A237F"/>
    <w:rsid w:val="004A2667"/>
    <w:rsid w:val="004A310F"/>
    <w:rsid w:val="004A34FA"/>
    <w:rsid w:val="004A37AA"/>
    <w:rsid w:val="004A3823"/>
    <w:rsid w:val="004A4049"/>
    <w:rsid w:val="004A4224"/>
    <w:rsid w:val="004A4580"/>
    <w:rsid w:val="004A47EC"/>
    <w:rsid w:val="004A4A5F"/>
    <w:rsid w:val="004A4AF6"/>
    <w:rsid w:val="004A4B39"/>
    <w:rsid w:val="004A4CDB"/>
    <w:rsid w:val="004A5170"/>
    <w:rsid w:val="004A55F9"/>
    <w:rsid w:val="004A589B"/>
    <w:rsid w:val="004A5C1C"/>
    <w:rsid w:val="004A6552"/>
    <w:rsid w:val="004A6561"/>
    <w:rsid w:val="004A65CF"/>
    <w:rsid w:val="004A6D8D"/>
    <w:rsid w:val="004A6DAF"/>
    <w:rsid w:val="004A70B7"/>
    <w:rsid w:val="004A717A"/>
    <w:rsid w:val="004A7607"/>
    <w:rsid w:val="004A7E1B"/>
    <w:rsid w:val="004B06AE"/>
    <w:rsid w:val="004B0845"/>
    <w:rsid w:val="004B0CC2"/>
    <w:rsid w:val="004B0D73"/>
    <w:rsid w:val="004B0D8D"/>
    <w:rsid w:val="004B127E"/>
    <w:rsid w:val="004B1319"/>
    <w:rsid w:val="004B14A6"/>
    <w:rsid w:val="004B1807"/>
    <w:rsid w:val="004B1995"/>
    <w:rsid w:val="004B1B58"/>
    <w:rsid w:val="004B1DE2"/>
    <w:rsid w:val="004B270A"/>
    <w:rsid w:val="004B2B90"/>
    <w:rsid w:val="004B30F2"/>
    <w:rsid w:val="004B41A8"/>
    <w:rsid w:val="004B41AC"/>
    <w:rsid w:val="004B424E"/>
    <w:rsid w:val="004B4836"/>
    <w:rsid w:val="004B4991"/>
    <w:rsid w:val="004B4AB4"/>
    <w:rsid w:val="004B52F2"/>
    <w:rsid w:val="004B5376"/>
    <w:rsid w:val="004B537E"/>
    <w:rsid w:val="004B5C0B"/>
    <w:rsid w:val="004B60C8"/>
    <w:rsid w:val="004B63D4"/>
    <w:rsid w:val="004B6BD0"/>
    <w:rsid w:val="004B6CAB"/>
    <w:rsid w:val="004B6D4B"/>
    <w:rsid w:val="004B6E55"/>
    <w:rsid w:val="004B6F23"/>
    <w:rsid w:val="004B7292"/>
    <w:rsid w:val="004B732E"/>
    <w:rsid w:val="004C0595"/>
    <w:rsid w:val="004C0A48"/>
    <w:rsid w:val="004C0B1D"/>
    <w:rsid w:val="004C1266"/>
    <w:rsid w:val="004C1AC9"/>
    <w:rsid w:val="004C222E"/>
    <w:rsid w:val="004C280B"/>
    <w:rsid w:val="004C30A0"/>
    <w:rsid w:val="004C3346"/>
    <w:rsid w:val="004C37A2"/>
    <w:rsid w:val="004C3D71"/>
    <w:rsid w:val="004C44B7"/>
    <w:rsid w:val="004C4569"/>
    <w:rsid w:val="004C4984"/>
    <w:rsid w:val="004C4A4B"/>
    <w:rsid w:val="004C5AFC"/>
    <w:rsid w:val="004C5E7C"/>
    <w:rsid w:val="004C5FB7"/>
    <w:rsid w:val="004C629D"/>
    <w:rsid w:val="004C6458"/>
    <w:rsid w:val="004C64A6"/>
    <w:rsid w:val="004C6BA4"/>
    <w:rsid w:val="004C7064"/>
    <w:rsid w:val="004C7263"/>
    <w:rsid w:val="004C769E"/>
    <w:rsid w:val="004C7B23"/>
    <w:rsid w:val="004D002A"/>
    <w:rsid w:val="004D0070"/>
    <w:rsid w:val="004D089E"/>
    <w:rsid w:val="004D0E0F"/>
    <w:rsid w:val="004D17D7"/>
    <w:rsid w:val="004D1C49"/>
    <w:rsid w:val="004D26E6"/>
    <w:rsid w:val="004D2717"/>
    <w:rsid w:val="004D27A0"/>
    <w:rsid w:val="004D27D3"/>
    <w:rsid w:val="004D2A3A"/>
    <w:rsid w:val="004D2A79"/>
    <w:rsid w:val="004D3067"/>
    <w:rsid w:val="004D38FE"/>
    <w:rsid w:val="004D3999"/>
    <w:rsid w:val="004D39A8"/>
    <w:rsid w:val="004D3A4A"/>
    <w:rsid w:val="004D3FD9"/>
    <w:rsid w:val="004D41F5"/>
    <w:rsid w:val="004D44A0"/>
    <w:rsid w:val="004D467D"/>
    <w:rsid w:val="004D4A0F"/>
    <w:rsid w:val="004D526C"/>
    <w:rsid w:val="004D528E"/>
    <w:rsid w:val="004D5366"/>
    <w:rsid w:val="004D5B0A"/>
    <w:rsid w:val="004D5C38"/>
    <w:rsid w:val="004D5CBB"/>
    <w:rsid w:val="004D68F8"/>
    <w:rsid w:val="004D6D2D"/>
    <w:rsid w:val="004D6FEB"/>
    <w:rsid w:val="004D747B"/>
    <w:rsid w:val="004D747E"/>
    <w:rsid w:val="004E00CE"/>
    <w:rsid w:val="004E01AB"/>
    <w:rsid w:val="004E0370"/>
    <w:rsid w:val="004E038A"/>
    <w:rsid w:val="004E0797"/>
    <w:rsid w:val="004E0A0F"/>
    <w:rsid w:val="004E0E99"/>
    <w:rsid w:val="004E0FC0"/>
    <w:rsid w:val="004E12B0"/>
    <w:rsid w:val="004E12C3"/>
    <w:rsid w:val="004E143B"/>
    <w:rsid w:val="004E16B7"/>
    <w:rsid w:val="004E1E90"/>
    <w:rsid w:val="004E1EED"/>
    <w:rsid w:val="004E1FD8"/>
    <w:rsid w:val="004E2AD9"/>
    <w:rsid w:val="004E2D34"/>
    <w:rsid w:val="004E2E5F"/>
    <w:rsid w:val="004E2EBE"/>
    <w:rsid w:val="004E31C9"/>
    <w:rsid w:val="004E3762"/>
    <w:rsid w:val="004E3B9B"/>
    <w:rsid w:val="004E3CA4"/>
    <w:rsid w:val="004E49C3"/>
    <w:rsid w:val="004E4B23"/>
    <w:rsid w:val="004E51D1"/>
    <w:rsid w:val="004E56B2"/>
    <w:rsid w:val="004E5A3D"/>
    <w:rsid w:val="004E616D"/>
    <w:rsid w:val="004E6261"/>
    <w:rsid w:val="004E6430"/>
    <w:rsid w:val="004E6946"/>
    <w:rsid w:val="004E6F23"/>
    <w:rsid w:val="004E70B2"/>
    <w:rsid w:val="004E713C"/>
    <w:rsid w:val="004E71C4"/>
    <w:rsid w:val="004E763D"/>
    <w:rsid w:val="004E7CC0"/>
    <w:rsid w:val="004E7D10"/>
    <w:rsid w:val="004E7D50"/>
    <w:rsid w:val="004F096C"/>
    <w:rsid w:val="004F0D0F"/>
    <w:rsid w:val="004F0F46"/>
    <w:rsid w:val="004F1AD8"/>
    <w:rsid w:val="004F2DBF"/>
    <w:rsid w:val="004F3241"/>
    <w:rsid w:val="004F3902"/>
    <w:rsid w:val="004F3BC1"/>
    <w:rsid w:val="004F3C84"/>
    <w:rsid w:val="004F3D2B"/>
    <w:rsid w:val="004F3F5A"/>
    <w:rsid w:val="004F415F"/>
    <w:rsid w:val="004F42A8"/>
    <w:rsid w:val="004F4694"/>
    <w:rsid w:val="004F4897"/>
    <w:rsid w:val="004F4997"/>
    <w:rsid w:val="004F4E18"/>
    <w:rsid w:val="004F5008"/>
    <w:rsid w:val="004F51DE"/>
    <w:rsid w:val="004F5869"/>
    <w:rsid w:val="004F5C65"/>
    <w:rsid w:val="004F5DF9"/>
    <w:rsid w:val="004F6CEF"/>
    <w:rsid w:val="004F7059"/>
    <w:rsid w:val="004F7364"/>
    <w:rsid w:val="004F772F"/>
    <w:rsid w:val="004F77A8"/>
    <w:rsid w:val="004F787B"/>
    <w:rsid w:val="004F7A31"/>
    <w:rsid w:val="0050026C"/>
    <w:rsid w:val="005006E6"/>
    <w:rsid w:val="0050074B"/>
    <w:rsid w:val="00500A41"/>
    <w:rsid w:val="00501450"/>
    <w:rsid w:val="00501555"/>
    <w:rsid w:val="00501820"/>
    <w:rsid w:val="00501AE6"/>
    <w:rsid w:val="005029C4"/>
    <w:rsid w:val="0050331C"/>
    <w:rsid w:val="00503351"/>
    <w:rsid w:val="005039AE"/>
    <w:rsid w:val="005039CB"/>
    <w:rsid w:val="005041C0"/>
    <w:rsid w:val="0050558F"/>
    <w:rsid w:val="00505608"/>
    <w:rsid w:val="00505823"/>
    <w:rsid w:val="005058FB"/>
    <w:rsid w:val="00505C43"/>
    <w:rsid w:val="00505EAB"/>
    <w:rsid w:val="00506286"/>
    <w:rsid w:val="00506733"/>
    <w:rsid w:val="005069F0"/>
    <w:rsid w:val="00506DE1"/>
    <w:rsid w:val="00507230"/>
    <w:rsid w:val="00507FA0"/>
    <w:rsid w:val="00510047"/>
    <w:rsid w:val="00510813"/>
    <w:rsid w:val="00510B53"/>
    <w:rsid w:val="00511146"/>
    <w:rsid w:val="0051166A"/>
    <w:rsid w:val="005117F8"/>
    <w:rsid w:val="00511990"/>
    <w:rsid w:val="00511DE0"/>
    <w:rsid w:val="00512146"/>
    <w:rsid w:val="005122AF"/>
    <w:rsid w:val="00512B5B"/>
    <w:rsid w:val="00512D14"/>
    <w:rsid w:val="00513475"/>
    <w:rsid w:val="005136C0"/>
    <w:rsid w:val="00513938"/>
    <w:rsid w:val="00513993"/>
    <w:rsid w:val="0051434B"/>
    <w:rsid w:val="005147B7"/>
    <w:rsid w:val="00514870"/>
    <w:rsid w:val="005149E0"/>
    <w:rsid w:val="00514B9B"/>
    <w:rsid w:val="005158C3"/>
    <w:rsid w:val="00515BB2"/>
    <w:rsid w:val="00516546"/>
    <w:rsid w:val="00516887"/>
    <w:rsid w:val="005179C1"/>
    <w:rsid w:val="00517C13"/>
    <w:rsid w:val="00517C60"/>
    <w:rsid w:val="00517D95"/>
    <w:rsid w:val="00517F02"/>
    <w:rsid w:val="0052041C"/>
    <w:rsid w:val="00520B1F"/>
    <w:rsid w:val="00520F5C"/>
    <w:rsid w:val="00521B08"/>
    <w:rsid w:val="00521C34"/>
    <w:rsid w:val="00521C78"/>
    <w:rsid w:val="005220B2"/>
    <w:rsid w:val="00522102"/>
    <w:rsid w:val="00522477"/>
    <w:rsid w:val="0052257A"/>
    <w:rsid w:val="005229D8"/>
    <w:rsid w:val="00522C6A"/>
    <w:rsid w:val="00522F23"/>
    <w:rsid w:val="00523095"/>
    <w:rsid w:val="00523160"/>
    <w:rsid w:val="00523643"/>
    <w:rsid w:val="00524255"/>
    <w:rsid w:val="00524303"/>
    <w:rsid w:val="005252AE"/>
    <w:rsid w:val="00525811"/>
    <w:rsid w:val="005258A2"/>
    <w:rsid w:val="005258B5"/>
    <w:rsid w:val="0052647A"/>
    <w:rsid w:val="0052677F"/>
    <w:rsid w:val="005267B9"/>
    <w:rsid w:val="00526B53"/>
    <w:rsid w:val="00527728"/>
    <w:rsid w:val="00527A48"/>
    <w:rsid w:val="0053012E"/>
    <w:rsid w:val="0053024A"/>
    <w:rsid w:val="005303C2"/>
    <w:rsid w:val="00530789"/>
    <w:rsid w:val="00530BA6"/>
    <w:rsid w:val="00530CD0"/>
    <w:rsid w:val="0053101E"/>
    <w:rsid w:val="0053110E"/>
    <w:rsid w:val="00531143"/>
    <w:rsid w:val="005314E0"/>
    <w:rsid w:val="005319C2"/>
    <w:rsid w:val="005319D6"/>
    <w:rsid w:val="00531B11"/>
    <w:rsid w:val="00531B2D"/>
    <w:rsid w:val="00531D54"/>
    <w:rsid w:val="00531EE2"/>
    <w:rsid w:val="0053231A"/>
    <w:rsid w:val="00532728"/>
    <w:rsid w:val="00532AA9"/>
    <w:rsid w:val="00532DB4"/>
    <w:rsid w:val="00532E82"/>
    <w:rsid w:val="00533035"/>
    <w:rsid w:val="00533203"/>
    <w:rsid w:val="00533312"/>
    <w:rsid w:val="00533405"/>
    <w:rsid w:val="0053352E"/>
    <w:rsid w:val="0053365F"/>
    <w:rsid w:val="00534229"/>
    <w:rsid w:val="00534480"/>
    <w:rsid w:val="00534CB8"/>
    <w:rsid w:val="00535709"/>
    <w:rsid w:val="00535AD8"/>
    <w:rsid w:val="00535B38"/>
    <w:rsid w:val="005364ED"/>
    <w:rsid w:val="0053661A"/>
    <w:rsid w:val="00537174"/>
    <w:rsid w:val="005372F8"/>
    <w:rsid w:val="00537875"/>
    <w:rsid w:val="00537D17"/>
    <w:rsid w:val="005401AE"/>
    <w:rsid w:val="0054108F"/>
    <w:rsid w:val="0054159A"/>
    <w:rsid w:val="00541794"/>
    <w:rsid w:val="00541919"/>
    <w:rsid w:val="00542112"/>
    <w:rsid w:val="005423B2"/>
    <w:rsid w:val="0054247D"/>
    <w:rsid w:val="00542943"/>
    <w:rsid w:val="00542C9E"/>
    <w:rsid w:val="00542E07"/>
    <w:rsid w:val="00542F96"/>
    <w:rsid w:val="005437FC"/>
    <w:rsid w:val="00543892"/>
    <w:rsid w:val="005438B5"/>
    <w:rsid w:val="00543B11"/>
    <w:rsid w:val="00543D3F"/>
    <w:rsid w:val="0054460B"/>
    <w:rsid w:val="00544EAE"/>
    <w:rsid w:val="00544F4C"/>
    <w:rsid w:val="00545424"/>
    <w:rsid w:val="00545B2E"/>
    <w:rsid w:val="00545B6F"/>
    <w:rsid w:val="00545E66"/>
    <w:rsid w:val="0054617B"/>
    <w:rsid w:val="00546483"/>
    <w:rsid w:val="005464B6"/>
    <w:rsid w:val="005465AD"/>
    <w:rsid w:val="00546640"/>
    <w:rsid w:val="00546689"/>
    <w:rsid w:val="00546EF1"/>
    <w:rsid w:val="00547031"/>
    <w:rsid w:val="0054721F"/>
    <w:rsid w:val="005473D6"/>
    <w:rsid w:val="005477DC"/>
    <w:rsid w:val="0054787F"/>
    <w:rsid w:val="00547F95"/>
    <w:rsid w:val="00550CFE"/>
    <w:rsid w:val="00551011"/>
    <w:rsid w:val="005512EC"/>
    <w:rsid w:val="00551630"/>
    <w:rsid w:val="00551734"/>
    <w:rsid w:val="005524E6"/>
    <w:rsid w:val="005525EF"/>
    <w:rsid w:val="00552EE7"/>
    <w:rsid w:val="00553451"/>
    <w:rsid w:val="005534EA"/>
    <w:rsid w:val="00553633"/>
    <w:rsid w:val="00553E05"/>
    <w:rsid w:val="00553F7E"/>
    <w:rsid w:val="00554A7B"/>
    <w:rsid w:val="0055572C"/>
    <w:rsid w:val="0055687A"/>
    <w:rsid w:val="00557AF1"/>
    <w:rsid w:val="005601FB"/>
    <w:rsid w:val="005604A4"/>
    <w:rsid w:val="00560564"/>
    <w:rsid w:val="00560A5A"/>
    <w:rsid w:val="00560C93"/>
    <w:rsid w:val="0056106A"/>
    <w:rsid w:val="00561733"/>
    <w:rsid w:val="00561B71"/>
    <w:rsid w:val="0056265F"/>
    <w:rsid w:val="00562ADB"/>
    <w:rsid w:val="00562C72"/>
    <w:rsid w:val="00562D83"/>
    <w:rsid w:val="00562F4E"/>
    <w:rsid w:val="00563015"/>
    <w:rsid w:val="005630E6"/>
    <w:rsid w:val="005631DA"/>
    <w:rsid w:val="0056337F"/>
    <w:rsid w:val="0056394D"/>
    <w:rsid w:val="005639CE"/>
    <w:rsid w:val="00564189"/>
    <w:rsid w:val="00565548"/>
    <w:rsid w:val="00565F17"/>
    <w:rsid w:val="00566060"/>
    <w:rsid w:val="00566847"/>
    <w:rsid w:val="00566991"/>
    <w:rsid w:val="0056732D"/>
    <w:rsid w:val="00567556"/>
    <w:rsid w:val="005675D5"/>
    <w:rsid w:val="005676E5"/>
    <w:rsid w:val="00567747"/>
    <w:rsid w:val="00567A4E"/>
    <w:rsid w:val="00567D1D"/>
    <w:rsid w:val="0057034A"/>
    <w:rsid w:val="005708ED"/>
    <w:rsid w:val="0057092E"/>
    <w:rsid w:val="00570C7A"/>
    <w:rsid w:val="00571021"/>
    <w:rsid w:val="005714C6"/>
    <w:rsid w:val="0057181C"/>
    <w:rsid w:val="00571B3E"/>
    <w:rsid w:val="00571C63"/>
    <w:rsid w:val="005720AE"/>
    <w:rsid w:val="0057224C"/>
    <w:rsid w:val="00572798"/>
    <w:rsid w:val="0057302A"/>
    <w:rsid w:val="005731AC"/>
    <w:rsid w:val="005733CE"/>
    <w:rsid w:val="00574397"/>
    <w:rsid w:val="0057447F"/>
    <w:rsid w:val="0057450A"/>
    <w:rsid w:val="00574860"/>
    <w:rsid w:val="00575185"/>
    <w:rsid w:val="00575283"/>
    <w:rsid w:val="005753E1"/>
    <w:rsid w:val="005754C7"/>
    <w:rsid w:val="0057562D"/>
    <w:rsid w:val="00576093"/>
    <w:rsid w:val="00576703"/>
    <w:rsid w:val="00576B33"/>
    <w:rsid w:val="00576DBA"/>
    <w:rsid w:val="00576EF0"/>
    <w:rsid w:val="00577718"/>
    <w:rsid w:val="00577C41"/>
    <w:rsid w:val="00580754"/>
    <w:rsid w:val="005809C5"/>
    <w:rsid w:val="00580F07"/>
    <w:rsid w:val="00580F77"/>
    <w:rsid w:val="00581771"/>
    <w:rsid w:val="00581A5B"/>
    <w:rsid w:val="00581F7D"/>
    <w:rsid w:val="00582749"/>
    <w:rsid w:val="00582AE4"/>
    <w:rsid w:val="00583446"/>
    <w:rsid w:val="0058365B"/>
    <w:rsid w:val="00583AF4"/>
    <w:rsid w:val="00583B02"/>
    <w:rsid w:val="00583D63"/>
    <w:rsid w:val="005843C7"/>
    <w:rsid w:val="00584CC2"/>
    <w:rsid w:val="00584EF8"/>
    <w:rsid w:val="0058520F"/>
    <w:rsid w:val="0058523E"/>
    <w:rsid w:val="00585456"/>
    <w:rsid w:val="00585AC1"/>
    <w:rsid w:val="00585D46"/>
    <w:rsid w:val="005862B7"/>
    <w:rsid w:val="00586340"/>
    <w:rsid w:val="0058671A"/>
    <w:rsid w:val="00586E14"/>
    <w:rsid w:val="00586E85"/>
    <w:rsid w:val="00586FEC"/>
    <w:rsid w:val="00587273"/>
    <w:rsid w:val="005878D0"/>
    <w:rsid w:val="00587A7E"/>
    <w:rsid w:val="00587D32"/>
    <w:rsid w:val="0059050C"/>
    <w:rsid w:val="005905F5"/>
    <w:rsid w:val="00590731"/>
    <w:rsid w:val="00590E00"/>
    <w:rsid w:val="00590FDB"/>
    <w:rsid w:val="005910D5"/>
    <w:rsid w:val="0059110A"/>
    <w:rsid w:val="00591227"/>
    <w:rsid w:val="00591409"/>
    <w:rsid w:val="0059191D"/>
    <w:rsid w:val="0059194E"/>
    <w:rsid w:val="00591CBB"/>
    <w:rsid w:val="00591DC9"/>
    <w:rsid w:val="00591FA9"/>
    <w:rsid w:val="00592578"/>
    <w:rsid w:val="0059257B"/>
    <w:rsid w:val="005928DD"/>
    <w:rsid w:val="00592DB1"/>
    <w:rsid w:val="00592F8A"/>
    <w:rsid w:val="00593185"/>
    <w:rsid w:val="00594807"/>
    <w:rsid w:val="00594D77"/>
    <w:rsid w:val="00595FFB"/>
    <w:rsid w:val="00596047"/>
    <w:rsid w:val="00596189"/>
    <w:rsid w:val="0059621F"/>
    <w:rsid w:val="0059639D"/>
    <w:rsid w:val="005963C3"/>
    <w:rsid w:val="005963DF"/>
    <w:rsid w:val="005969E4"/>
    <w:rsid w:val="00596AD0"/>
    <w:rsid w:val="00596AD2"/>
    <w:rsid w:val="0059761B"/>
    <w:rsid w:val="00597A94"/>
    <w:rsid w:val="00597FF1"/>
    <w:rsid w:val="005A0035"/>
    <w:rsid w:val="005A0414"/>
    <w:rsid w:val="005A06B7"/>
    <w:rsid w:val="005A07DC"/>
    <w:rsid w:val="005A0FB0"/>
    <w:rsid w:val="005A0FB6"/>
    <w:rsid w:val="005A14D1"/>
    <w:rsid w:val="005A1759"/>
    <w:rsid w:val="005A1974"/>
    <w:rsid w:val="005A1B8A"/>
    <w:rsid w:val="005A1F02"/>
    <w:rsid w:val="005A2954"/>
    <w:rsid w:val="005A2AD0"/>
    <w:rsid w:val="005A2D64"/>
    <w:rsid w:val="005A3636"/>
    <w:rsid w:val="005A373A"/>
    <w:rsid w:val="005A3841"/>
    <w:rsid w:val="005A428F"/>
    <w:rsid w:val="005A45D4"/>
    <w:rsid w:val="005A496D"/>
    <w:rsid w:val="005A4E80"/>
    <w:rsid w:val="005A52F8"/>
    <w:rsid w:val="005A53B0"/>
    <w:rsid w:val="005A54FF"/>
    <w:rsid w:val="005A55A8"/>
    <w:rsid w:val="005A55B0"/>
    <w:rsid w:val="005A5CC2"/>
    <w:rsid w:val="005A5F93"/>
    <w:rsid w:val="005A6173"/>
    <w:rsid w:val="005A61D0"/>
    <w:rsid w:val="005A68A7"/>
    <w:rsid w:val="005A6BEC"/>
    <w:rsid w:val="005A6CDE"/>
    <w:rsid w:val="005A6DAC"/>
    <w:rsid w:val="005B04C9"/>
    <w:rsid w:val="005B05D6"/>
    <w:rsid w:val="005B0C92"/>
    <w:rsid w:val="005B13B2"/>
    <w:rsid w:val="005B1831"/>
    <w:rsid w:val="005B194B"/>
    <w:rsid w:val="005B2005"/>
    <w:rsid w:val="005B251F"/>
    <w:rsid w:val="005B266E"/>
    <w:rsid w:val="005B27C8"/>
    <w:rsid w:val="005B2CD8"/>
    <w:rsid w:val="005B2E4F"/>
    <w:rsid w:val="005B2E9C"/>
    <w:rsid w:val="005B3078"/>
    <w:rsid w:val="005B30ED"/>
    <w:rsid w:val="005B31B2"/>
    <w:rsid w:val="005B362C"/>
    <w:rsid w:val="005B3A93"/>
    <w:rsid w:val="005B3AF8"/>
    <w:rsid w:val="005B3C4A"/>
    <w:rsid w:val="005B4449"/>
    <w:rsid w:val="005B4506"/>
    <w:rsid w:val="005B4AD8"/>
    <w:rsid w:val="005B53AD"/>
    <w:rsid w:val="005B6035"/>
    <w:rsid w:val="005B62D1"/>
    <w:rsid w:val="005B6365"/>
    <w:rsid w:val="005B66E5"/>
    <w:rsid w:val="005B68E0"/>
    <w:rsid w:val="005B6B44"/>
    <w:rsid w:val="005B712D"/>
    <w:rsid w:val="005B72EF"/>
    <w:rsid w:val="005B7636"/>
    <w:rsid w:val="005B76DD"/>
    <w:rsid w:val="005B7BDE"/>
    <w:rsid w:val="005C0234"/>
    <w:rsid w:val="005C0560"/>
    <w:rsid w:val="005C06DB"/>
    <w:rsid w:val="005C0E2B"/>
    <w:rsid w:val="005C10ED"/>
    <w:rsid w:val="005C1BA4"/>
    <w:rsid w:val="005C2A87"/>
    <w:rsid w:val="005C2BBF"/>
    <w:rsid w:val="005C2F63"/>
    <w:rsid w:val="005C385A"/>
    <w:rsid w:val="005C427C"/>
    <w:rsid w:val="005C434D"/>
    <w:rsid w:val="005C4517"/>
    <w:rsid w:val="005C48F3"/>
    <w:rsid w:val="005C4D2E"/>
    <w:rsid w:val="005C4E34"/>
    <w:rsid w:val="005C4E41"/>
    <w:rsid w:val="005C5474"/>
    <w:rsid w:val="005C5596"/>
    <w:rsid w:val="005C5C18"/>
    <w:rsid w:val="005C5EFB"/>
    <w:rsid w:val="005C5FB0"/>
    <w:rsid w:val="005C60AE"/>
    <w:rsid w:val="005C66A6"/>
    <w:rsid w:val="005C6A90"/>
    <w:rsid w:val="005C6ADC"/>
    <w:rsid w:val="005C715B"/>
    <w:rsid w:val="005C7277"/>
    <w:rsid w:val="005C794F"/>
    <w:rsid w:val="005C7A7D"/>
    <w:rsid w:val="005C7DCA"/>
    <w:rsid w:val="005D0816"/>
    <w:rsid w:val="005D090E"/>
    <w:rsid w:val="005D0A44"/>
    <w:rsid w:val="005D0A68"/>
    <w:rsid w:val="005D0E72"/>
    <w:rsid w:val="005D0F1A"/>
    <w:rsid w:val="005D114E"/>
    <w:rsid w:val="005D1A1E"/>
    <w:rsid w:val="005D1BBD"/>
    <w:rsid w:val="005D1CAA"/>
    <w:rsid w:val="005D1D9E"/>
    <w:rsid w:val="005D1F1F"/>
    <w:rsid w:val="005D26B8"/>
    <w:rsid w:val="005D27C3"/>
    <w:rsid w:val="005D2854"/>
    <w:rsid w:val="005D2C15"/>
    <w:rsid w:val="005D3140"/>
    <w:rsid w:val="005D36AB"/>
    <w:rsid w:val="005D37B3"/>
    <w:rsid w:val="005D3942"/>
    <w:rsid w:val="005D3E54"/>
    <w:rsid w:val="005D47FF"/>
    <w:rsid w:val="005D4A14"/>
    <w:rsid w:val="005D4C04"/>
    <w:rsid w:val="005D4D37"/>
    <w:rsid w:val="005D53B0"/>
    <w:rsid w:val="005D56A6"/>
    <w:rsid w:val="005D5C58"/>
    <w:rsid w:val="005D6571"/>
    <w:rsid w:val="005D6839"/>
    <w:rsid w:val="005D6A75"/>
    <w:rsid w:val="005D6CEF"/>
    <w:rsid w:val="005D6F80"/>
    <w:rsid w:val="005D7186"/>
    <w:rsid w:val="005D741D"/>
    <w:rsid w:val="005D7873"/>
    <w:rsid w:val="005D7F41"/>
    <w:rsid w:val="005E02CF"/>
    <w:rsid w:val="005E046E"/>
    <w:rsid w:val="005E0772"/>
    <w:rsid w:val="005E07E3"/>
    <w:rsid w:val="005E09F4"/>
    <w:rsid w:val="005E12E5"/>
    <w:rsid w:val="005E13F4"/>
    <w:rsid w:val="005E1BA1"/>
    <w:rsid w:val="005E1EEE"/>
    <w:rsid w:val="005E20BB"/>
    <w:rsid w:val="005E2682"/>
    <w:rsid w:val="005E2CD3"/>
    <w:rsid w:val="005E2D2D"/>
    <w:rsid w:val="005E2D85"/>
    <w:rsid w:val="005E2EDF"/>
    <w:rsid w:val="005E2EE0"/>
    <w:rsid w:val="005E2F28"/>
    <w:rsid w:val="005E2FCB"/>
    <w:rsid w:val="005E30E5"/>
    <w:rsid w:val="005E31FE"/>
    <w:rsid w:val="005E3401"/>
    <w:rsid w:val="005E3741"/>
    <w:rsid w:val="005E379B"/>
    <w:rsid w:val="005E39BD"/>
    <w:rsid w:val="005E3B19"/>
    <w:rsid w:val="005E3B2D"/>
    <w:rsid w:val="005E4AE4"/>
    <w:rsid w:val="005E55A4"/>
    <w:rsid w:val="005E5F85"/>
    <w:rsid w:val="005E6097"/>
    <w:rsid w:val="005E61F9"/>
    <w:rsid w:val="005E65B3"/>
    <w:rsid w:val="005E6A41"/>
    <w:rsid w:val="005E6BE1"/>
    <w:rsid w:val="005E7035"/>
    <w:rsid w:val="005E78F5"/>
    <w:rsid w:val="005E7BF9"/>
    <w:rsid w:val="005E7F23"/>
    <w:rsid w:val="005F0D45"/>
    <w:rsid w:val="005F0F7A"/>
    <w:rsid w:val="005F11AF"/>
    <w:rsid w:val="005F122C"/>
    <w:rsid w:val="005F12DC"/>
    <w:rsid w:val="005F1346"/>
    <w:rsid w:val="005F1602"/>
    <w:rsid w:val="005F1A67"/>
    <w:rsid w:val="005F1BE2"/>
    <w:rsid w:val="005F1C4C"/>
    <w:rsid w:val="005F1ED2"/>
    <w:rsid w:val="005F1F93"/>
    <w:rsid w:val="005F2217"/>
    <w:rsid w:val="005F23F5"/>
    <w:rsid w:val="005F245A"/>
    <w:rsid w:val="005F24B7"/>
    <w:rsid w:val="005F2A3D"/>
    <w:rsid w:val="005F301F"/>
    <w:rsid w:val="005F31D3"/>
    <w:rsid w:val="005F3F0E"/>
    <w:rsid w:val="005F4339"/>
    <w:rsid w:val="005F4546"/>
    <w:rsid w:val="005F48B7"/>
    <w:rsid w:val="005F4EE3"/>
    <w:rsid w:val="005F5020"/>
    <w:rsid w:val="005F5039"/>
    <w:rsid w:val="005F53F4"/>
    <w:rsid w:val="005F66F3"/>
    <w:rsid w:val="005F760A"/>
    <w:rsid w:val="005F79BD"/>
    <w:rsid w:val="005F7AAF"/>
    <w:rsid w:val="005F7B84"/>
    <w:rsid w:val="005F7F88"/>
    <w:rsid w:val="0060123E"/>
    <w:rsid w:val="006014EF"/>
    <w:rsid w:val="006016B3"/>
    <w:rsid w:val="00601737"/>
    <w:rsid w:val="006017F1"/>
    <w:rsid w:val="0060193A"/>
    <w:rsid w:val="00601C86"/>
    <w:rsid w:val="006023D8"/>
    <w:rsid w:val="006026DA"/>
    <w:rsid w:val="00602D96"/>
    <w:rsid w:val="00602DCD"/>
    <w:rsid w:val="00604477"/>
    <w:rsid w:val="006044C6"/>
    <w:rsid w:val="00604F6A"/>
    <w:rsid w:val="006050BB"/>
    <w:rsid w:val="00606A74"/>
    <w:rsid w:val="00606DC2"/>
    <w:rsid w:val="006071AD"/>
    <w:rsid w:val="006074B0"/>
    <w:rsid w:val="006075C1"/>
    <w:rsid w:val="006102A2"/>
    <w:rsid w:val="00610436"/>
    <w:rsid w:val="006106CE"/>
    <w:rsid w:val="0061096C"/>
    <w:rsid w:val="00610F05"/>
    <w:rsid w:val="00611193"/>
    <w:rsid w:val="006118E4"/>
    <w:rsid w:val="00611AFD"/>
    <w:rsid w:val="00612249"/>
    <w:rsid w:val="00612345"/>
    <w:rsid w:val="006123FD"/>
    <w:rsid w:val="00612456"/>
    <w:rsid w:val="00612841"/>
    <w:rsid w:val="00612B09"/>
    <w:rsid w:val="0061300A"/>
    <w:rsid w:val="0061327B"/>
    <w:rsid w:val="0061342E"/>
    <w:rsid w:val="00613896"/>
    <w:rsid w:val="0061408F"/>
    <w:rsid w:val="006140F3"/>
    <w:rsid w:val="006144A5"/>
    <w:rsid w:val="006147F1"/>
    <w:rsid w:val="00614809"/>
    <w:rsid w:val="00614A77"/>
    <w:rsid w:val="006151E7"/>
    <w:rsid w:val="00615593"/>
    <w:rsid w:val="00615779"/>
    <w:rsid w:val="00615CB9"/>
    <w:rsid w:val="00615D77"/>
    <w:rsid w:val="00615F29"/>
    <w:rsid w:val="006162D9"/>
    <w:rsid w:val="00616336"/>
    <w:rsid w:val="00616B0E"/>
    <w:rsid w:val="006171FF"/>
    <w:rsid w:val="0061724F"/>
    <w:rsid w:val="006172FC"/>
    <w:rsid w:val="00617364"/>
    <w:rsid w:val="0061775C"/>
    <w:rsid w:val="00617CC3"/>
    <w:rsid w:val="00617D3F"/>
    <w:rsid w:val="006203B0"/>
    <w:rsid w:val="00620855"/>
    <w:rsid w:val="00620E2D"/>
    <w:rsid w:val="00621338"/>
    <w:rsid w:val="006219A5"/>
    <w:rsid w:val="00621A98"/>
    <w:rsid w:val="00621F52"/>
    <w:rsid w:val="00622D46"/>
    <w:rsid w:val="0062326E"/>
    <w:rsid w:val="00623414"/>
    <w:rsid w:val="006235E9"/>
    <w:rsid w:val="00623AF7"/>
    <w:rsid w:val="00623CC7"/>
    <w:rsid w:val="00624723"/>
    <w:rsid w:val="00624E35"/>
    <w:rsid w:val="00624F9D"/>
    <w:rsid w:val="006251FD"/>
    <w:rsid w:val="006253D5"/>
    <w:rsid w:val="00625916"/>
    <w:rsid w:val="00625BAF"/>
    <w:rsid w:val="00625CC2"/>
    <w:rsid w:val="0062616C"/>
    <w:rsid w:val="00626207"/>
    <w:rsid w:val="00626651"/>
    <w:rsid w:val="00626965"/>
    <w:rsid w:val="00626988"/>
    <w:rsid w:val="00627374"/>
    <w:rsid w:val="00627C23"/>
    <w:rsid w:val="00627C59"/>
    <w:rsid w:val="00627D73"/>
    <w:rsid w:val="00627E6B"/>
    <w:rsid w:val="00630366"/>
    <w:rsid w:val="0063049C"/>
    <w:rsid w:val="00630810"/>
    <w:rsid w:val="00630B30"/>
    <w:rsid w:val="00630FBC"/>
    <w:rsid w:val="0063103A"/>
    <w:rsid w:val="00631461"/>
    <w:rsid w:val="00632074"/>
    <w:rsid w:val="00632189"/>
    <w:rsid w:val="00632233"/>
    <w:rsid w:val="0063247D"/>
    <w:rsid w:val="00632AFC"/>
    <w:rsid w:val="00632E1C"/>
    <w:rsid w:val="00633272"/>
    <w:rsid w:val="00633BBA"/>
    <w:rsid w:val="00633F0A"/>
    <w:rsid w:val="00634D00"/>
    <w:rsid w:val="00634D65"/>
    <w:rsid w:val="00635188"/>
    <w:rsid w:val="00636753"/>
    <w:rsid w:val="006369CE"/>
    <w:rsid w:val="00636BB9"/>
    <w:rsid w:val="00636BE7"/>
    <w:rsid w:val="006370E3"/>
    <w:rsid w:val="00637377"/>
    <w:rsid w:val="0063750B"/>
    <w:rsid w:val="0063775F"/>
    <w:rsid w:val="006377A6"/>
    <w:rsid w:val="00637A3D"/>
    <w:rsid w:val="00637A9B"/>
    <w:rsid w:val="00637DCE"/>
    <w:rsid w:val="00637EF7"/>
    <w:rsid w:val="00640803"/>
    <w:rsid w:val="006408E1"/>
    <w:rsid w:val="006410C4"/>
    <w:rsid w:val="006411EF"/>
    <w:rsid w:val="006415A1"/>
    <w:rsid w:val="00641706"/>
    <w:rsid w:val="00641841"/>
    <w:rsid w:val="00642397"/>
    <w:rsid w:val="00642878"/>
    <w:rsid w:val="00642B42"/>
    <w:rsid w:val="00642E07"/>
    <w:rsid w:val="00642EE4"/>
    <w:rsid w:val="00643062"/>
    <w:rsid w:val="00643297"/>
    <w:rsid w:val="006435DA"/>
    <w:rsid w:val="0064374B"/>
    <w:rsid w:val="00643783"/>
    <w:rsid w:val="0064455D"/>
    <w:rsid w:val="0064470F"/>
    <w:rsid w:val="006448D9"/>
    <w:rsid w:val="0064580C"/>
    <w:rsid w:val="00645991"/>
    <w:rsid w:val="00645ACA"/>
    <w:rsid w:val="00645D1E"/>
    <w:rsid w:val="00646170"/>
    <w:rsid w:val="006462CB"/>
    <w:rsid w:val="0064651F"/>
    <w:rsid w:val="00646A1A"/>
    <w:rsid w:val="00647268"/>
    <w:rsid w:val="00647701"/>
    <w:rsid w:val="0065044B"/>
    <w:rsid w:val="006508A9"/>
    <w:rsid w:val="00651FF4"/>
    <w:rsid w:val="00652177"/>
    <w:rsid w:val="00652AA4"/>
    <w:rsid w:val="00652D7E"/>
    <w:rsid w:val="00652F95"/>
    <w:rsid w:val="00653733"/>
    <w:rsid w:val="0065397D"/>
    <w:rsid w:val="00654D1B"/>
    <w:rsid w:val="00654F08"/>
    <w:rsid w:val="0065500F"/>
    <w:rsid w:val="006552F2"/>
    <w:rsid w:val="0065593F"/>
    <w:rsid w:val="00655B26"/>
    <w:rsid w:val="00655F64"/>
    <w:rsid w:val="006561CB"/>
    <w:rsid w:val="00656FC1"/>
    <w:rsid w:val="006573A5"/>
    <w:rsid w:val="006574D1"/>
    <w:rsid w:val="00657682"/>
    <w:rsid w:val="00657C39"/>
    <w:rsid w:val="00661015"/>
    <w:rsid w:val="00661515"/>
    <w:rsid w:val="00661BAE"/>
    <w:rsid w:val="00661C5F"/>
    <w:rsid w:val="006620CD"/>
    <w:rsid w:val="0066226E"/>
    <w:rsid w:val="006624B2"/>
    <w:rsid w:val="00662655"/>
    <w:rsid w:val="0066278A"/>
    <w:rsid w:val="006629C0"/>
    <w:rsid w:val="00663050"/>
    <w:rsid w:val="0066311A"/>
    <w:rsid w:val="006633F6"/>
    <w:rsid w:val="00663483"/>
    <w:rsid w:val="006634C8"/>
    <w:rsid w:val="006635FE"/>
    <w:rsid w:val="00663934"/>
    <w:rsid w:val="00663FF6"/>
    <w:rsid w:val="00663FFC"/>
    <w:rsid w:val="00664058"/>
    <w:rsid w:val="00664084"/>
    <w:rsid w:val="006641DB"/>
    <w:rsid w:val="006649DC"/>
    <w:rsid w:val="00664BCA"/>
    <w:rsid w:val="0066580E"/>
    <w:rsid w:val="00665882"/>
    <w:rsid w:val="00665A4E"/>
    <w:rsid w:val="00665A99"/>
    <w:rsid w:val="00665BC9"/>
    <w:rsid w:val="00665FCF"/>
    <w:rsid w:val="00666156"/>
    <w:rsid w:val="00666353"/>
    <w:rsid w:val="00666998"/>
    <w:rsid w:val="00666CB1"/>
    <w:rsid w:val="006671FA"/>
    <w:rsid w:val="00667716"/>
    <w:rsid w:val="0066784D"/>
    <w:rsid w:val="0066795B"/>
    <w:rsid w:val="00670486"/>
    <w:rsid w:val="00670D8A"/>
    <w:rsid w:val="006713E0"/>
    <w:rsid w:val="0067163D"/>
    <w:rsid w:val="006719BD"/>
    <w:rsid w:val="0067290D"/>
    <w:rsid w:val="00672DCD"/>
    <w:rsid w:val="00672EEA"/>
    <w:rsid w:val="00672F6C"/>
    <w:rsid w:val="00672FE8"/>
    <w:rsid w:val="00672FF0"/>
    <w:rsid w:val="0067328A"/>
    <w:rsid w:val="006733AA"/>
    <w:rsid w:val="00673B4A"/>
    <w:rsid w:val="00673C7A"/>
    <w:rsid w:val="00673CD9"/>
    <w:rsid w:val="00673DAB"/>
    <w:rsid w:val="00674489"/>
    <w:rsid w:val="006748B8"/>
    <w:rsid w:val="00674BB2"/>
    <w:rsid w:val="00674FF8"/>
    <w:rsid w:val="006750B7"/>
    <w:rsid w:val="0067514C"/>
    <w:rsid w:val="0067518E"/>
    <w:rsid w:val="00675218"/>
    <w:rsid w:val="006758FB"/>
    <w:rsid w:val="0067594E"/>
    <w:rsid w:val="00675D68"/>
    <w:rsid w:val="00675E04"/>
    <w:rsid w:val="0067603E"/>
    <w:rsid w:val="00676817"/>
    <w:rsid w:val="00676C27"/>
    <w:rsid w:val="00676D98"/>
    <w:rsid w:val="0067705E"/>
    <w:rsid w:val="006770BD"/>
    <w:rsid w:val="00677180"/>
    <w:rsid w:val="0067722F"/>
    <w:rsid w:val="0067751C"/>
    <w:rsid w:val="006775C3"/>
    <w:rsid w:val="0067761E"/>
    <w:rsid w:val="006776C1"/>
    <w:rsid w:val="006803C7"/>
    <w:rsid w:val="00680FEF"/>
    <w:rsid w:val="006816BA"/>
    <w:rsid w:val="00681E77"/>
    <w:rsid w:val="0068200E"/>
    <w:rsid w:val="006828F1"/>
    <w:rsid w:val="0068299D"/>
    <w:rsid w:val="006829A8"/>
    <w:rsid w:val="00682A62"/>
    <w:rsid w:val="00682BCF"/>
    <w:rsid w:val="00682E87"/>
    <w:rsid w:val="00682EEB"/>
    <w:rsid w:val="006831E4"/>
    <w:rsid w:val="006833B7"/>
    <w:rsid w:val="00684055"/>
    <w:rsid w:val="0068412F"/>
    <w:rsid w:val="0068414E"/>
    <w:rsid w:val="006841C4"/>
    <w:rsid w:val="00684247"/>
    <w:rsid w:val="00684A6B"/>
    <w:rsid w:val="00684FBA"/>
    <w:rsid w:val="00685069"/>
    <w:rsid w:val="006856EF"/>
    <w:rsid w:val="00685ACB"/>
    <w:rsid w:val="00686025"/>
    <w:rsid w:val="006869E4"/>
    <w:rsid w:val="00686F2B"/>
    <w:rsid w:val="00687226"/>
    <w:rsid w:val="006876BE"/>
    <w:rsid w:val="006879F9"/>
    <w:rsid w:val="00687F12"/>
    <w:rsid w:val="00687FF4"/>
    <w:rsid w:val="006906CD"/>
    <w:rsid w:val="00690B78"/>
    <w:rsid w:val="00691474"/>
    <w:rsid w:val="006915A3"/>
    <w:rsid w:val="00691C52"/>
    <w:rsid w:val="0069201F"/>
    <w:rsid w:val="006922D6"/>
    <w:rsid w:val="0069290A"/>
    <w:rsid w:val="0069299D"/>
    <w:rsid w:val="00692A01"/>
    <w:rsid w:val="00692BAC"/>
    <w:rsid w:val="00692CE0"/>
    <w:rsid w:val="00692E74"/>
    <w:rsid w:val="00692FA7"/>
    <w:rsid w:val="0069302A"/>
    <w:rsid w:val="00694049"/>
    <w:rsid w:val="0069451A"/>
    <w:rsid w:val="00694DF6"/>
    <w:rsid w:val="00695336"/>
    <w:rsid w:val="00695668"/>
    <w:rsid w:val="00695BF3"/>
    <w:rsid w:val="00696173"/>
    <w:rsid w:val="00696B95"/>
    <w:rsid w:val="00696D4C"/>
    <w:rsid w:val="0069775A"/>
    <w:rsid w:val="00697813"/>
    <w:rsid w:val="00697866"/>
    <w:rsid w:val="0069794D"/>
    <w:rsid w:val="00697DB9"/>
    <w:rsid w:val="00697E0F"/>
    <w:rsid w:val="006A02BD"/>
    <w:rsid w:val="006A0D1C"/>
    <w:rsid w:val="006A0E97"/>
    <w:rsid w:val="006A0F96"/>
    <w:rsid w:val="006A1127"/>
    <w:rsid w:val="006A1555"/>
    <w:rsid w:val="006A1633"/>
    <w:rsid w:val="006A18C3"/>
    <w:rsid w:val="006A22D9"/>
    <w:rsid w:val="006A2B27"/>
    <w:rsid w:val="006A2C00"/>
    <w:rsid w:val="006A2DE5"/>
    <w:rsid w:val="006A2F2D"/>
    <w:rsid w:val="006A3603"/>
    <w:rsid w:val="006A3EE8"/>
    <w:rsid w:val="006A459A"/>
    <w:rsid w:val="006A45E7"/>
    <w:rsid w:val="006A46A6"/>
    <w:rsid w:val="006A525A"/>
    <w:rsid w:val="006A6348"/>
    <w:rsid w:val="006A6359"/>
    <w:rsid w:val="006A64C2"/>
    <w:rsid w:val="006A688F"/>
    <w:rsid w:val="006A69D0"/>
    <w:rsid w:val="006A7186"/>
    <w:rsid w:val="006A71D8"/>
    <w:rsid w:val="006A72B0"/>
    <w:rsid w:val="006A72BF"/>
    <w:rsid w:val="006A7621"/>
    <w:rsid w:val="006A7859"/>
    <w:rsid w:val="006A7CCB"/>
    <w:rsid w:val="006A7DEC"/>
    <w:rsid w:val="006B03F2"/>
    <w:rsid w:val="006B06B0"/>
    <w:rsid w:val="006B0BC6"/>
    <w:rsid w:val="006B0CB9"/>
    <w:rsid w:val="006B1082"/>
    <w:rsid w:val="006B14D4"/>
    <w:rsid w:val="006B1B44"/>
    <w:rsid w:val="006B25C3"/>
    <w:rsid w:val="006B2895"/>
    <w:rsid w:val="006B35D3"/>
    <w:rsid w:val="006B37DC"/>
    <w:rsid w:val="006B3E95"/>
    <w:rsid w:val="006B3F9B"/>
    <w:rsid w:val="006B4290"/>
    <w:rsid w:val="006B43AE"/>
    <w:rsid w:val="006B4F68"/>
    <w:rsid w:val="006B53A4"/>
    <w:rsid w:val="006B5D8B"/>
    <w:rsid w:val="006B6103"/>
    <w:rsid w:val="006B656C"/>
    <w:rsid w:val="006B69F0"/>
    <w:rsid w:val="006B76EF"/>
    <w:rsid w:val="006B773D"/>
    <w:rsid w:val="006B77B1"/>
    <w:rsid w:val="006B7E93"/>
    <w:rsid w:val="006B7F8E"/>
    <w:rsid w:val="006C0424"/>
    <w:rsid w:val="006C0592"/>
    <w:rsid w:val="006C065A"/>
    <w:rsid w:val="006C0952"/>
    <w:rsid w:val="006C1EA9"/>
    <w:rsid w:val="006C1EC9"/>
    <w:rsid w:val="006C2377"/>
    <w:rsid w:val="006C272E"/>
    <w:rsid w:val="006C2877"/>
    <w:rsid w:val="006C33A1"/>
    <w:rsid w:val="006C360D"/>
    <w:rsid w:val="006C3AB4"/>
    <w:rsid w:val="006C3DEE"/>
    <w:rsid w:val="006C43C3"/>
    <w:rsid w:val="006C4787"/>
    <w:rsid w:val="006C4C80"/>
    <w:rsid w:val="006C5272"/>
    <w:rsid w:val="006C53D8"/>
    <w:rsid w:val="006C5479"/>
    <w:rsid w:val="006C54C3"/>
    <w:rsid w:val="006C551C"/>
    <w:rsid w:val="006C568C"/>
    <w:rsid w:val="006C58F0"/>
    <w:rsid w:val="006C5A3D"/>
    <w:rsid w:val="006C5A46"/>
    <w:rsid w:val="006C5C1E"/>
    <w:rsid w:val="006C631F"/>
    <w:rsid w:val="006C644F"/>
    <w:rsid w:val="006C69FD"/>
    <w:rsid w:val="006C6C75"/>
    <w:rsid w:val="006C6F31"/>
    <w:rsid w:val="006C7119"/>
    <w:rsid w:val="006C71EA"/>
    <w:rsid w:val="006C7446"/>
    <w:rsid w:val="006C767D"/>
    <w:rsid w:val="006C77E9"/>
    <w:rsid w:val="006C7D68"/>
    <w:rsid w:val="006D00F6"/>
    <w:rsid w:val="006D03AC"/>
    <w:rsid w:val="006D0594"/>
    <w:rsid w:val="006D13B5"/>
    <w:rsid w:val="006D141E"/>
    <w:rsid w:val="006D1B49"/>
    <w:rsid w:val="006D1F2E"/>
    <w:rsid w:val="006D2300"/>
    <w:rsid w:val="006D2322"/>
    <w:rsid w:val="006D2664"/>
    <w:rsid w:val="006D2990"/>
    <w:rsid w:val="006D29DF"/>
    <w:rsid w:val="006D2CF1"/>
    <w:rsid w:val="006D2F1E"/>
    <w:rsid w:val="006D3319"/>
    <w:rsid w:val="006D4182"/>
    <w:rsid w:val="006D43AE"/>
    <w:rsid w:val="006D5026"/>
    <w:rsid w:val="006D5A00"/>
    <w:rsid w:val="006D6256"/>
    <w:rsid w:val="006D66F1"/>
    <w:rsid w:val="006D6726"/>
    <w:rsid w:val="006D6B0E"/>
    <w:rsid w:val="006D6B15"/>
    <w:rsid w:val="006D6D52"/>
    <w:rsid w:val="006D7F2A"/>
    <w:rsid w:val="006E08C4"/>
    <w:rsid w:val="006E0D94"/>
    <w:rsid w:val="006E0F12"/>
    <w:rsid w:val="006E1016"/>
    <w:rsid w:val="006E12FF"/>
    <w:rsid w:val="006E1662"/>
    <w:rsid w:val="006E1702"/>
    <w:rsid w:val="006E17E7"/>
    <w:rsid w:val="006E1DCC"/>
    <w:rsid w:val="006E25C4"/>
    <w:rsid w:val="006E25DE"/>
    <w:rsid w:val="006E26F2"/>
    <w:rsid w:val="006E30C2"/>
    <w:rsid w:val="006E3B04"/>
    <w:rsid w:val="006E3C86"/>
    <w:rsid w:val="006E42A6"/>
    <w:rsid w:val="006E4785"/>
    <w:rsid w:val="006E4A5F"/>
    <w:rsid w:val="006E4B2D"/>
    <w:rsid w:val="006E4DC3"/>
    <w:rsid w:val="006E4DF3"/>
    <w:rsid w:val="006E56F8"/>
    <w:rsid w:val="006E58F7"/>
    <w:rsid w:val="006E607E"/>
    <w:rsid w:val="006E6417"/>
    <w:rsid w:val="006E64CC"/>
    <w:rsid w:val="006E65A0"/>
    <w:rsid w:val="006E66D5"/>
    <w:rsid w:val="006E6810"/>
    <w:rsid w:val="006E682D"/>
    <w:rsid w:val="006E6CCF"/>
    <w:rsid w:val="006E6D4A"/>
    <w:rsid w:val="006E758B"/>
    <w:rsid w:val="006E758C"/>
    <w:rsid w:val="006E768F"/>
    <w:rsid w:val="006E7D97"/>
    <w:rsid w:val="006F1381"/>
    <w:rsid w:val="006F176B"/>
    <w:rsid w:val="006F1974"/>
    <w:rsid w:val="006F265A"/>
    <w:rsid w:val="006F2924"/>
    <w:rsid w:val="006F2F83"/>
    <w:rsid w:val="006F3128"/>
    <w:rsid w:val="006F32F4"/>
    <w:rsid w:val="006F3D2E"/>
    <w:rsid w:val="006F40B4"/>
    <w:rsid w:val="006F4F71"/>
    <w:rsid w:val="006F51AB"/>
    <w:rsid w:val="006F5CC7"/>
    <w:rsid w:val="006F6988"/>
    <w:rsid w:val="006F6C5A"/>
    <w:rsid w:val="006F759A"/>
    <w:rsid w:val="006F7B45"/>
    <w:rsid w:val="006F7D6B"/>
    <w:rsid w:val="006F7D8E"/>
    <w:rsid w:val="007000B9"/>
    <w:rsid w:val="007006DA"/>
    <w:rsid w:val="00700A83"/>
    <w:rsid w:val="00700AD3"/>
    <w:rsid w:val="00700C78"/>
    <w:rsid w:val="00700C7D"/>
    <w:rsid w:val="0070119D"/>
    <w:rsid w:val="007017D8"/>
    <w:rsid w:val="00701862"/>
    <w:rsid w:val="00702158"/>
    <w:rsid w:val="00702553"/>
    <w:rsid w:val="00702588"/>
    <w:rsid w:val="00702834"/>
    <w:rsid w:val="00702A3E"/>
    <w:rsid w:val="00702A4C"/>
    <w:rsid w:val="00702B1B"/>
    <w:rsid w:val="00702CEF"/>
    <w:rsid w:val="00703440"/>
    <w:rsid w:val="007040A1"/>
    <w:rsid w:val="007040A2"/>
    <w:rsid w:val="007041EC"/>
    <w:rsid w:val="00704EB4"/>
    <w:rsid w:val="0070533B"/>
    <w:rsid w:val="00705482"/>
    <w:rsid w:val="007057C5"/>
    <w:rsid w:val="00705BAE"/>
    <w:rsid w:val="00705D58"/>
    <w:rsid w:val="00705EFE"/>
    <w:rsid w:val="0070641B"/>
    <w:rsid w:val="007064EC"/>
    <w:rsid w:val="007067A5"/>
    <w:rsid w:val="00706C5D"/>
    <w:rsid w:val="007079A4"/>
    <w:rsid w:val="00707A7C"/>
    <w:rsid w:val="00707A9A"/>
    <w:rsid w:val="00707AC6"/>
    <w:rsid w:val="00707D85"/>
    <w:rsid w:val="00710154"/>
    <w:rsid w:val="00710910"/>
    <w:rsid w:val="00710970"/>
    <w:rsid w:val="00710B0D"/>
    <w:rsid w:val="00710CC7"/>
    <w:rsid w:val="007112D2"/>
    <w:rsid w:val="0071207D"/>
    <w:rsid w:val="007120D7"/>
    <w:rsid w:val="00712283"/>
    <w:rsid w:val="007123BE"/>
    <w:rsid w:val="00713B27"/>
    <w:rsid w:val="00713CD8"/>
    <w:rsid w:val="00713D50"/>
    <w:rsid w:val="00714079"/>
    <w:rsid w:val="0071473D"/>
    <w:rsid w:val="00714849"/>
    <w:rsid w:val="00714BAA"/>
    <w:rsid w:val="00714FC0"/>
    <w:rsid w:val="0071524B"/>
    <w:rsid w:val="0071547B"/>
    <w:rsid w:val="0071559A"/>
    <w:rsid w:val="007156CB"/>
    <w:rsid w:val="00715BD9"/>
    <w:rsid w:val="00715F2E"/>
    <w:rsid w:val="0071656F"/>
    <w:rsid w:val="00716BC5"/>
    <w:rsid w:val="00716BC7"/>
    <w:rsid w:val="00717C1C"/>
    <w:rsid w:val="00717D6D"/>
    <w:rsid w:val="007200B1"/>
    <w:rsid w:val="007201DC"/>
    <w:rsid w:val="00720263"/>
    <w:rsid w:val="007202F9"/>
    <w:rsid w:val="007207C2"/>
    <w:rsid w:val="00720A8E"/>
    <w:rsid w:val="00720AD9"/>
    <w:rsid w:val="00721935"/>
    <w:rsid w:val="00721FF8"/>
    <w:rsid w:val="007224A8"/>
    <w:rsid w:val="007224D3"/>
    <w:rsid w:val="0072277D"/>
    <w:rsid w:val="00722A78"/>
    <w:rsid w:val="00722BA9"/>
    <w:rsid w:val="00722F29"/>
    <w:rsid w:val="00723349"/>
    <w:rsid w:val="00723A49"/>
    <w:rsid w:val="007240AE"/>
    <w:rsid w:val="00724D82"/>
    <w:rsid w:val="00725CFF"/>
    <w:rsid w:val="00725D6C"/>
    <w:rsid w:val="00725E76"/>
    <w:rsid w:val="00726300"/>
    <w:rsid w:val="00726543"/>
    <w:rsid w:val="007265A8"/>
    <w:rsid w:val="007267F5"/>
    <w:rsid w:val="007271BE"/>
    <w:rsid w:val="00727240"/>
    <w:rsid w:val="007277BA"/>
    <w:rsid w:val="00727973"/>
    <w:rsid w:val="00727F39"/>
    <w:rsid w:val="007309AB"/>
    <w:rsid w:val="00730DCF"/>
    <w:rsid w:val="00731354"/>
    <w:rsid w:val="00731AA4"/>
    <w:rsid w:val="0073269F"/>
    <w:rsid w:val="00732922"/>
    <w:rsid w:val="00733270"/>
    <w:rsid w:val="007332D3"/>
    <w:rsid w:val="00733575"/>
    <w:rsid w:val="00733746"/>
    <w:rsid w:val="00733A76"/>
    <w:rsid w:val="00733D21"/>
    <w:rsid w:val="00733E26"/>
    <w:rsid w:val="00733EA3"/>
    <w:rsid w:val="007340AF"/>
    <w:rsid w:val="00734E03"/>
    <w:rsid w:val="0073529F"/>
    <w:rsid w:val="00735F14"/>
    <w:rsid w:val="00736492"/>
    <w:rsid w:val="00736686"/>
    <w:rsid w:val="0073698C"/>
    <w:rsid w:val="00736B9B"/>
    <w:rsid w:val="00736E6D"/>
    <w:rsid w:val="00737CB6"/>
    <w:rsid w:val="0074005F"/>
    <w:rsid w:val="00740940"/>
    <w:rsid w:val="00740941"/>
    <w:rsid w:val="007417AE"/>
    <w:rsid w:val="00741B84"/>
    <w:rsid w:val="00741D40"/>
    <w:rsid w:val="007429A2"/>
    <w:rsid w:val="00743592"/>
    <w:rsid w:val="007439B2"/>
    <w:rsid w:val="00743A67"/>
    <w:rsid w:val="00743AE5"/>
    <w:rsid w:val="00743D48"/>
    <w:rsid w:val="0074454E"/>
    <w:rsid w:val="00744814"/>
    <w:rsid w:val="00744839"/>
    <w:rsid w:val="00744DDA"/>
    <w:rsid w:val="00744F59"/>
    <w:rsid w:val="00744FDA"/>
    <w:rsid w:val="00745371"/>
    <w:rsid w:val="00745433"/>
    <w:rsid w:val="00745B6D"/>
    <w:rsid w:val="007461E2"/>
    <w:rsid w:val="00746595"/>
    <w:rsid w:val="00746DEA"/>
    <w:rsid w:val="00747868"/>
    <w:rsid w:val="00747A0D"/>
    <w:rsid w:val="0075003F"/>
    <w:rsid w:val="0075076C"/>
    <w:rsid w:val="00750981"/>
    <w:rsid w:val="00750F85"/>
    <w:rsid w:val="00751042"/>
    <w:rsid w:val="0075154A"/>
    <w:rsid w:val="0075162E"/>
    <w:rsid w:val="007516D8"/>
    <w:rsid w:val="00751C3B"/>
    <w:rsid w:val="0075242B"/>
    <w:rsid w:val="00753B50"/>
    <w:rsid w:val="00753EC2"/>
    <w:rsid w:val="00753F70"/>
    <w:rsid w:val="00753FA8"/>
    <w:rsid w:val="00754034"/>
    <w:rsid w:val="00754057"/>
    <w:rsid w:val="00754ECC"/>
    <w:rsid w:val="0075517C"/>
    <w:rsid w:val="0075537E"/>
    <w:rsid w:val="007556B4"/>
    <w:rsid w:val="007557FC"/>
    <w:rsid w:val="0075586A"/>
    <w:rsid w:val="007559BA"/>
    <w:rsid w:val="00755A41"/>
    <w:rsid w:val="00755B04"/>
    <w:rsid w:val="00755F54"/>
    <w:rsid w:val="00756556"/>
    <w:rsid w:val="007574CD"/>
    <w:rsid w:val="007577F7"/>
    <w:rsid w:val="00757B9E"/>
    <w:rsid w:val="00757CC1"/>
    <w:rsid w:val="0076096F"/>
    <w:rsid w:val="00761122"/>
    <w:rsid w:val="0076123B"/>
    <w:rsid w:val="00761298"/>
    <w:rsid w:val="007618C4"/>
    <w:rsid w:val="0076230D"/>
    <w:rsid w:val="007625E6"/>
    <w:rsid w:val="00762698"/>
    <w:rsid w:val="00762A05"/>
    <w:rsid w:val="00762FB2"/>
    <w:rsid w:val="007630D8"/>
    <w:rsid w:val="00763740"/>
    <w:rsid w:val="00763AEF"/>
    <w:rsid w:val="00763EB2"/>
    <w:rsid w:val="00763F84"/>
    <w:rsid w:val="00765078"/>
    <w:rsid w:val="0076581E"/>
    <w:rsid w:val="00765B0F"/>
    <w:rsid w:val="00765E67"/>
    <w:rsid w:val="00765EBE"/>
    <w:rsid w:val="00766C99"/>
    <w:rsid w:val="00767121"/>
    <w:rsid w:val="0076760C"/>
    <w:rsid w:val="00767796"/>
    <w:rsid w:val="00767980"/>
    <w:rsid w:val="00770B19"/>
    <w:rsid w:val="00770BA3"/>
    <w:rsid w:val="00771759"/>
    <w:rsid w:val="007728BA"/>
    <w:rsid w:val="007729B9"/>
    <w:rsid w:val="00772BA6"/>
    <w:rsid w:val="00772CC2"/>
    <w:rsid w:val="00773118"/>
    <w:rsid w:val="007733CC"/>
    <w:rsid w:val="00773532"/>
    <w:rsid w:val="00773580"/>
    <w:rsid w:val="00773600"/>
    <w:rsid w:val="0077360A"/>
    <w:rsid w:val="007736E1"/>
    <w:rsid w:val="0077392D"/>
    <w:rsid w:val="00773D8B"/>
    <w:rsid w:val="00773F7C"/>
    <w:rsid w:val="00773FCE"/>
    <w:rsid w:val="007740AF"/>
    <w:rsid w:val="00774370"/>
    <w:rsid w:val="007744A7"/>
    <w:rsid w:val="007744F2"/>
    <w:rsid w:val="0077463F"/>
    <w:rsid w:val="00774B43"/>
    <w:rsid w:val="00774B47"/>
    <w:rsid w:val="007751A6"/>
    <w:rsid w:val="00775575"/>
    <w:rsid w:val="00775F9C"/>
    <w:rsid w:val="0077686A"/>
    <w:rsid w:val="00776939"/>
    <w:rsid w:val="00777D7F"/>
    <w:rsid w:val="00780201"/>
    <w:rsid w:val="00780245"/>
    <w:rsid w:val="00780707"/>
    <w:rsid w:val="00780B08"/>
    <w:rsid w:val="00780E25"/>
    <w:rsid w:val="007818B4"/>
    <w:rsid w:val="00781CB3"/>
    <w:rsid w:val="00781E18"/>
    <w:rsid w:val="0078270C"/>
    <w:rsid w:val="007829C6"/>
    <w:rsid w:val="007830B6"/>
    <w:rsid w:val="007834D0"/>
    <w:rsid w:val="007836EA"/>
    <w:rsid w:val="00783963"/>
    <w:rsid w:val="00783E3C"/>
    <w:rsid w:val="0078455D"/>
    <w:rsid w:val="00784729"/>
    <w:rsid w:val="00784757"/>
    <w:rsid w:val="007848D4"/>
    <w:rsid w:val="00784956"/>
    <w:rsid w:val="00784A34"/>
    <w:rsid w:val="00784ABF"/>
    <w:rsid w:val="00784CDA"/>
    <w:rsid w:val="0078503F"/>
    <w:rsid w:val="00785942"/>
    <w:rsid w:val="00786000"/>
    <w:rsid w:val="0078646A"/>
    <w:rsid w:val="007867D2"/>
    <w:rsid w:val="00786EE3"/>
    <w:rsid w:val="00786EEA"/>
    <w:rsid w:val="00787455"/>
    <w:rsid w:val="00787572"/>
    <w:rsid w:val="00787735"/>
    <w:rsid w:val="00787B48"/>
    <w:rsid w:val="00787BAA"/>
    <w:rsid w:val="007900BA"/>
    <w:rsid w:val="00790228"/>
    <w:rsid w:val="00790552"/>
    <w:rsid w:val="007906C4"/>
    <w:rsid w:val="00790908"/>
    <w:rsid w:val="00790E2E"/>
    <w:rsid w:val="00791198"/>
    <w:rsid w:val="007912B3"/>
    <w:rsid w:val="007917EF"/>
    <w:rsid w:val="007918B1"/>
    <w:rsid w:val="00791B38"/>
    <w:rsid w:val="00791B89"/>
    <w:rsid w:val="00791DEA"/>
    <w:rsid w:val="007921BF"/>
    <w:rsid w:val="00792637"/>
    <w:rsid w:val="00792923"/>
    <w:rsid w:val="00792DED"/>
    <w:rsid w:val="007930E3"/>
    <w:rsid w:val="00793473"/>
    <w:rsid w:val="00793D6C"/>
    <w:rsid w:val="00793E46"/>
    <w:rsid w:val="007940EA"/>
    <w:rsid w:val="00794162"/>
    <w:rsid w:val="007942B7"/>
    <w:rsid w:val="00794D4B"/>
    <w:rsid w:val="00795189"/>
    <w:rsid w:val="00795265"/>
    <w:rsid w:val="00795371"/>
    <w:rsid w:val="00795785"/>
    <w:rsid w:val="00795D8B"/>
    <w:rsid w:val="00795DAA"/>
    <w:rsid w:val="0079606C"/>
    <w:rsid w:val="00796204"/>
    <w:rsid w:val="007967E8"/>
    <w:rsid w:val="007969D7"/>
    <w:rsid w:val="00796D48"/>
    <w:rsid w:val="00796DB9"/>
    <w:rsid w:val="00797E25"/>
    <w:rsid w:val="007A01E9"/>
    <w:rsid w:val="007A0944"/>
    <w:rsid w:val="007A09EF"/>
    <w:rsid w:val="007A0B84"/>
    <w:rsid w:val="007A0D21"/>
    <w:rsid w:val="007A0E5F"/>
    <w:rsid w:val="007A16BA"/>
    <w:rsid w:val="007A1C07"/>
    <w:rsid w:val="007A1CBB"/>
    <w:rsid w:val="007A2170"/>
    <w:rsid w:val="007A22BF"/>
    <w:rsid w:val="007A2500"/>
    <w:rsid w:val="007A287F"/>
    <w:rsid w:val="007A2950"/>
    <w:rsid w:val="007A2A11"/>
    <w:rsid w:val="007A2FCA"/>
    <w:rsid w:val="007A3323"/>
    <w:rsid w:val="007A334F"/>
    <w:rsid w:val="007A35B4"/>
    <w:rsid w:val="007A3B68"/>
    <w:rsid w:val="007A43F6"/>
    <w:rsid w:val="007A4457"/>
    <w:rsid w:val="007A47C9"/>
    <w:rsid w:val="007A47F9"/>
    <w:rsid w:val="007A4807"/>
    <w:rsid w:val="007A4E6A"/>
    <w:rsid w:val="007A4FC8"/>
    <w:rsid w:val="007A677D"/>
    <w:rsid w:val="007A6F63"/>
    <w:rsid w:val="007A7942"/>
    <w:rsid w:val="007B00A6"/>
    <w:rsid w:val="007B06C5"/>
    <w:rsid w:val="007B0A7F"/>
    <w:rsid w:val="007B0BFA"/>
    <w:rsid w:val="007B0F50"/>
    <w:rsid w:val="007B1282"/>
    <w:rsid w:val="007B16CA"/>
    <w:rsid w:val="007B1CEF"/>
    <w:rsid w:val="007B1F32"/>
    <w:rsid w:val="007B21E8"/>
    <w:rsid w:val="007B25E3"/>
    <w:rsid w:val="007B386A"/>
    <w:rsid w:val="007B3AF4"/>
    <w:rsid w:val="007B3C67"/>
    <w:rsid w:val="007B3F9C"/>
    <w:rsid w:val="007B51E9"/>
    <w:rsid w:val="007B5562"/>
    <w:rsid w:val="007B5762"/>
    <w:rsid w:val="007B5BE7"/>
    <w:rsid w:val="007B5D07"/>
    <w:rsid w:val="007B5D69"/>
    <w:rsid w:val="007B5FB7"/>
    <w:rsid w:val="007B65EB"/>
    <w:rsid w:val="007B6AD7"/>
    <w:rsid w:val="007B6B7F"/>
    <w:rsid w:val="007B6E4D"/>
    <w:rsid w:val="007B72B8"/>
    <w:rsid w:val="007B748C"/>
    <w:rsid w:val="007B7978"/>
    <w:rsid w:val="007B7A58"/>
    <w:rsid w:val="007B7B20"/>
    <w:rsid w:val="007B7B3B"/>
    <w:rsid w:val="007B7C8E"/>
    <w:rsid w:val="007B7E5D"/>
    <w:rsid w:val="007C006F"/>
    <w:rsid w:val="007C0A86"/>
    <w:rsid w:val="007C0C24"/>
    <w:rsid w:val="007C0D5F"/>
    <w:rsid w:val="007C10A2"/>
    <w:rsid w:val="007C135B"/>
    <w:rsid w:val="007C13B3"/>
    <w:rsid w:val="007C14D8"/>
    <w:rsid w:val="007C153C"/>
    <w:rsid w:val="007C1EB9"/>
    <w:rsid w:val="007C21B5"/>
    <w:rsid w:val="007C3253"/>
    <w:rsid w:val="007C3ED9"/>
    <w:rsid w:val="007C4182"/>
    <w:rsid w:val="007C4333"/>
    <w:rsid w:val="007C4499"/>
    <w:rsid w:val="007C4570"/>
    <w:rsid w:val="007C4695"/>
    <w:rsid w:val="007C48F8"/>
    <w:rsid w:val="007C4B39"/>
    <w:rsid w:val="007C4F7B"/>
    <w:rsid w:val="007C500E"/>
    <w:rsid w:val="007C5115"/>
    <w:rsid w:val="007C54A0"/>
    <w:rsid w:val="007C5C73"/>
    <w:rsid w:val="007C5CD1"/>
    <w:rsid w:val="007C5D84"/>
    <w:rsid w:val="007C5DEF"/>
    <w:rsid w:val="007C685E"/>
    <w:rsid w:val="007C69B9"/>
    <w:rsid w:val="007C6A6C"/>
    <w:rsid w:val="007C6B3D"/>
    <w:rsid w:val="007C7083"/>
    <w:rsid w:val="007C717F"/>
    <w:rsid w:val="007C776F"/>
    <w:rsid w:val="007D1358"/>
    <w:rsid w:val="007D19FE"/>
    <w:rsid w:val="007D24BC"/>
    <w:rsid w:val="007D24BD"/>
    <w:rsid w:val="007D2A8B"/>
    <w:rsid w:val="007D2E7F"/>
    <w:rsid w:val="007D31A4"/>
    <w:rsid w:val="007D3F72"/>
    <w:rsid w:val="007D477F"/>
    <w:rsid w:val="007D4C33"/>
    <w:rsid w:val="007D4D01"/>
    <w:rsid w:val="007D4F0A"/>
    <w:rsid w:val="007D5445"/>
    <w:rsid w:val="007D5471"/>
    <w:rsid w:val="007D55BE"/>
    <w:rsid w:val="007D5A5D"/>
    <w:rsid w:val="007D606E"/>
    <w:rsid w:val="007D6932"/>
    <w:rsid w:val="007D6DA1"/>
    <w:rsid w:val="007D6F38"/>
    <w:rsid w:val="007D7557"/>
    <w:rsid w:val="007D7597"/>
    <w:rsid w:val="007D78B5"/>
    <w:rsid w:val="007E0021"/>
    <w:rsid w:val="007E0250"/>
    <w:rsid w:val="007E0606"/>
    <w:rsid w:val="007E0D5B"/>
    <w:rsid w:val="007E0EC0"/>
    <w:rsid w:val="007E1881"/>
    <w:rsid w:val="007E1915"/>
    <w:rsid w:val="007E1B43"/>
    <w:rsid w:val="007E1DBC"/>
    <w:rsid w:val="007E1F45"/>
    <w:rsid w:val="007E21DE"/>
    <w:rsid w:val="007E22CF"/>
    <w:rsid w:val="007E2792"/>
    <w:rsid w:val="007E32D8"/>
    <w:rsid w:val="007E36B8"/>
    <w:rsid w:val="007E3C56"/>
    <w:rsid w:val="007E4111"/>
    <w:rsid w:val="007E4942"/>
    <w:rsid w:val="007E4BD2"/>
    <w:rsid w:val="007E4E9E"/>
    <w:rsid w:val="007E4EE5"/>
    <w:rsid w:val="007E4FDC"/>
    <w:rsid w:val="007E5777"/>
    <w:rsid w:val="007E5AFC"/>
    <w:rsid w:val="007E6216"/>
    <w:rsid w:val="007E65C4"/>
    <w:rsid w:val="007E6B03"/>
    <w:rsid w:val="007E6B4B"/>
    <w:rsid w:val="007E6B93"/>
    <w:rsid w:val="007E7104"/>
    <w:rsid w:val="007E750A"/>
    <w:rsid w:val="007E77C5"/>
    <w:rsid w:val="007E7873"/>
    <w:rsid w:val="007E79AE"/>
    <w:rsid w:val="007E7A33"/>
    <w:rsid w:val="007E7B52"/>
    <w:rsid w:val="007E7DD1"/>
    <w:rsid w:val="007E7E0A"/>
    <w:rsid w:val="007F0008"/>
    <w:rsid w:val="007F0608"/>
    <w:rsid w:val="007F0884"/>
    <w:rsid w:val="007F10BC"/>
    <w:rsid w:val="007F13BA"/>
    <w:rsid w:val="007F1848"/>
    <w:rsid w:val="007F1DFE"/>
    <w:rsid w:val="007F2145"/>
    <w:rsid w:val="007F2624"/>
    <w:rsid w:val="007F3035"/>
    <w:rsid w:val="007F35CA"/>
    <w:rsid w:val="007F38AD"/>
    <w:rsid w:val="007F4097"/>
    <w:rsid w:val="007F4443"/>
    <w:rsid w:val="007F446C"/>
    <w:rsid w:val="007F4A33"/>
    <w:rsid w:val="007F4AEB"/>
    <w:rsid w:val="007F4CF3"/>
    <w:rsid w:val="007F5415"/>
    <w:rsid w:val="007F5771"/>
    <w:rsid w:val="007F58DB"/>
    <w:rsid w:val="007F58E5"/>
    <w:rsid w:val="007F594E"/>
    <w:rsid w:val="007F5BF6"/>
    <w:rsid w:val="007F5DE1"/>
    <w:rsid w:val="007F62CE"/>
    <w:rsid w:val="007F6DF3"/>
    <w:rsid w:val="007F6E90"/>
    <w:rsid w:val="007F6EFA"/>
    <w:rsid w:val="007F7090"/>
    <w:rsid w:val="007F74F8"/>
    <w:rsid w:val="00800095"/>
    <w:rsid w:val="00800171"/>
    <w:rsid w:val="0080089A"/>
    <w:rsid w:val="008009B9"/>
    <w:rsid w:val="0080112F"/>
    <w:rsid w:val="008011EB"/>
    <w:rsid w:val="00801393"/>
    <w:rsid w:val="00801526"/>
    <w:rsid w:val="0080182A"/>
    <w:rsid w:val="008020F0"/>
    <w:rsid w:val="00802443"/>
    <w:rsid w:val="008026E7"/>
    <w:rsid w:val="008027DD"/>
    <w:rsid w:val="00802B95"/>
    <w:rsid w:val="00802DC2"/>
    <w:rsid w:val="00802F88"/>
    <w:rsid w:val="0080323D"/>
    <w:rsid w:val="0080387B"/>
    <w:rsid w:val="00803886"/>
    <w:rsid w:val="00803A05"/>
    <w:rsid w:val="00803EA0"/>
    <w:rsid w:val="0080457B"/>
    <w:rsid w:val="00804655"/>
    <w:rsid w:val="00805418"/>
    <w:rsid w:val="00805A1B"/>
    <w:rsid w:val="00806196"/>
    <w:rsid w:val="008062EE"/>
    <w:rsid w:val="00806897"/>
    <w:rsid w:val="008074FB"/>
    <w:rsid w:val="00807729"/>
    <w:rsid w:val="00807F86"/>
    <w:rsid w:val="008100E1"/>
    <w:rsid w:val="00810304"/>
    <w:rsid w:val="00810636"/>
    <w:rsid w:val="008108D3"/>
    <w:rsid w:val="00810B57"/>
    <w:rsid w:val="00810DDC"/>
    <w:rsid w:val="00811701"/>
    <w:rsid w:val="00811B7A"/>
    <w:rsid w:val="00811C1A"/>
    <w:rsid w:val="00811D93"/>
    <w:rsid w:val="0081293E"/>
    <w:rsid w:val="00812C41"/>
    <w:rsid w:val="00812CB8"/>
    <w:rsid w:val="00812D6F"/>
    <w:rsid w:val="00812E91"/>
    <w:rsid w:val="00813A03"/>
    <w:rsid w:val="00813C19"/>
    <w:rsid w:val="0081474D"/>
    <w:rsid w:val="00814C18"/>
    <w:rsid w:val="00815319"/>
    <w:rsid w:val="0081541B"/>
    <w:rsid w:val="00815465"/>
    <w:rsid w:val="008157E8"/>
    <w:rsid w:val="0081606C"/>
    <w:rsid w:val="0081655F"/>
    <w:rsid w:val="00816B1B"/>
    <w:rsid w:val="00816C62"/>
    <w:rsid w:val="0081723D"/>
    <w:rsid w:val="0081737D"/>
    <w:rsid w:val="008174C7"/>
    <w:rsid w:val="00817A04"/>
    <w:rsid w:val="00817E9A"/>
    <w:rsid w:val="0082072F"/>
    <w:rsid w:val="0082077E"/>
    <w:rsid w:val="00820DBD"/>
    <w:rsid w:val="00820E01"/>
    <w:rsid w:val="00820E89"/>
    <w:rsid w:val="00820F28"/>
    <w:rsid w:val="0082151E"/>
    <w:rsid w:val="00821552"/>
    <w:rsid w:val="00821769"/>
    <w:rsid w:val="00821ACC"/>
    <w:rsid w:val="00821C42"/>
    <w:rsid w:val="00821DE8"/>
    <w:rsid w:val="0082256F"/>
    <w:rsid w:val="00822B3F"/>
    <w:rsid w:val="00823283"/>
    <w:rsid w:val="00823386"/>
    <w:rsid w:val="008249C3"/>
    <w:rsid w:val="00824A3D"/>
    <w:rsid w:val="00824BEB"/>
    <w:rsid w:val="0082543D"/>
    <w:rsid w:val="00825535"/>
    <w:rsid w:val="00825537"/>
    <w:rsid w:val="00825646"/>
    <w:rsid w:val="00825C51"/>
    <w:rsid w:val="00825D8E"/>
    <w:rsid w:val="0082654B"/>
    <w:rsid w:val="00826FB7"/>
    <w:rsid w:val="00827380"/>
    <w:rsid w:val="008306BD"/>
    <w:rsid w:val="00830A82"/>
    <w:rsid w:val="00831003"/>
    <w:rsid w:val="00831191"/>
    <w:rsid w:val="00831292"/>
    <w:rsid w:val="00831406"/>
    <w:rsid w:val="0083176B"/>
    <w:rsid w:val="00831A80"/>
    <w:rsid w:val="00831F86"/>
    <w:rsid w:val="00832C7B"/>
    <w:rsid w:val="008332A4"/>
    <w:rsid w:val="00833743"/>
    <w:rsid w:val="00833798"/>
    <w:rsid w:val="008338DF"/>
    <w:rsid w:val="00833C6C"/>
    <w:rsid w:val="00833F10"/>
    <w:rsid w:val="008340A4"/>
    <w:rsid w:val="0083447A"/>
    <w:rsid w:val="0083457A"/>
    <w:rsid w:val="008347C2"/>
    <w:rsid w:val="00834CB2"/>
    <w:rsid w:val="0083505F"/>
    <w:rsid w:val="008351D6"/>
    <w:rsid w:val="00835570"/>
    <w:rsid w:val="00835571"/>
    <w:rsid w:val="0083563A"/>
    <w:rsid w:val="0083570C"/>
    <w:rsid w:val="00836205"/>
    <w:rsid w:val="0083646D"/>
    <w:rsid w:val="0083653F"/>
    <w:rsid w:val="00836AFE"/>
    <w:rsid w:val="0083744F"/>
    <w:rsid w:val="00837DD3"/>
    <w:rsid w:val="008400D3"/>
    <w:rsid w:val="00840DD9"/>
    <w:rsid w:val="0084103D"/>
    <w:rsid w:val="00841197"/>
    <w:rsid w:val="00841231"/>
    <w:rsid w:val="00841324"/>
    <w:rsid w:val="0084148B"/>
    <w:rsid w:val="00841DA3"/>
    <w:rsid w:val="00841E07"/>
    <w:rsid w:val="0084216D"/>
    <w:rsid w:val="00842425"/>
    <w:rsid w:val="00842439"/>
    <w:rsid w:val="0084330A"/>
    <w:rsid w:val="008434B3"/>
    <w:rsid w:val="0084388F"/>
    <w:rsid w:val="00843A0B"/>
    <w:rsid w:val="00843C30"/>
    <w:rsid w:val="00843EF4"/>
    <w:rsid w:val="00844194"/>
    <w:rsid w:val="0084424F"/>
    <w:rsid w:val="00844A3F"/>
    <w:rsid w:val="00844FCE"/>
    <w:rsid w:val="00845653"/>
    <w:rsid w:val="00845A84"/>
    <w:rsid w:val="00845A9A"/>
    <w:rsid w:val="00846673"/>
    <w:rsid w:val="0084789F"/>
    <w:rsid w:val="00847904"/>
    <w:rsid w:val="0085002D"/>
    <w:rsid w:val="008500EE"/>
    <w:rsid w:val="00850102"/>
    <w:rsid w:val="0085042D"/>
    <w:rsid w:val="0085059C"/>
    <w:rsid w:val="00850628"/>
    <w:rsid w:val="00850B32"/>
    <w:rsid w:val="00851CED"/>
    <w:rsid w:val="008528FF"/>
    <w:rsid w:val="0085312C"/>
    <w:rsid w:val="00853192"/>
    <w:rsid w:val="008535EE"/>
    <w:rsid w:val="0085368C"/>
    <w:rsid w:val="008546A2"/>
    <w:rsid w:val="008548F9"/>
    <w:rsid w:val="00854A1C"/>
    <w:rsid w:val="00854CFB"/>
    <w:rsid w:val="00855125"/>
    <w:rsid w:val="008558BE"/>
    <w:rsid w:val="00855DC3"/>
    <w:rsid w:val="00855F34"/>
    <w:rsid w:val="0085602B"/>
    <w:rsid w:val="008563A1"/>
    <w:rsid w:val="00856459"/>
    <w:rsid w:val="00856470"/>
    <w:rsid w:val="00856972"/>
    <w:rsid w:val="00857602"/>
    <w:rsid w:val="00857C89"/>
    <w:rsid w:val="00860000"/>
    <w:rsid w:val="00860400"/>
    <w:rsid w:val="00860441"/>
    <w:rsid w:val="008605FE"/>
    <w:rsid w:val="00860E6D"/>
    <w:rsid w:val="0086130A"/>
    <w:rsid w:val="00861A61"/>
    <w:rsid w:val="00861F70"/>
    <w:rsid w:val="00861FE2"/>
    <w:rsid w:val="0086228D"/>
    <w:rsid w:val="008626D2"/>
    <w:rsid w:val="0086304C"/>
    <w:rsid w:val="008634B0"/>
    <w:rsid w:val="008636AB"/>
    <w:rsid w:val="008637A7"/>
    <w:rsid w:val="00863C25"/>
    <w:rsid w:val="008647EA"/>
    <w:rsid w:val="00864E21"/>
    <w:rsid w:val="0086572C"/>
    <w:rsid w:val="00865781"/>
    <w:rsid w:val="00865C87"/>
    <w:rsid w:val="0086600C"/>
    <w:rsid w:val="00866061"/>
    <w:rsid w:val="0086630A"/>
    <w:rsid w:val="00866516"/>
    <w:rsid w:val="008666BC"/>
    <w:rsid w:val="00866A34"/>
    <w:rsid w:val="00866DB6"/>
    <w:rsid w:val="00867167"/>
    <w:rsid w:val="00867247"/>
    <w:rsid w:val="0086779D"/>
    <w:rsid w:val="0086786D"/>
    <w:rsid w:val="00867B41"/>
    <w:rsid w:val="00867DE9"/>
    <w:rsid w:val="00867E0A"/>
    <w:rsid w:val="00867ECA"/>
    <w:rsid w:val="00867FFD"/>
    <w:rsid w:val="00870791"/>
    <w:rsid w:val="008709CE"/>
    <w:rsid w:val="00870AD4"/>
    <w:rsid w:val="00870FB4"/>
    <w:rsid w:val="00871048"/>
    <w:rsid w:val="0087135F"/>
    <w:rsid w:val="00871563"/>
    <w:rsid w:val="00871701"/>
    <w:rsid w:val="008717DF"/>
    <w:rsid w:val="00871E60"/>
    <w:rsid w:val="0087229F"/>
    <w:rsid w:val="00872525"/>
    <w:rsid w:val="0087252C"/>
    <w:rsid w:val="0087296E"/>
    <w:rsid w:val="00872D94"/>
    <w:rsid w:val="00873615"/>
    <w:rsid w:val="0087364D"/>
    <w:rsid w:val="008739BB"/>
    <w:rsid w:val="00874445"/>
    <w:rsid w:val="00874577"/>
    <w:rsid w:val="008749AD"/>
    <w:rsid w:val="00874AD2"/>
    <w:rsid w:val="00874C67"/>
    <w:rsid w:val="008752BF"/>
    <w:rsid w:val="00875376"/>
    <w:rsid w:val="0087554A"/>
    <w:rsid w:val="00875B56"/>
    <w:rsid w:val="008761A0"/>
    <w:rsid w:val="0087674B"/>
    <w:rsid w:val="00876A40"/>
    <w:rsid w:val="00876D4F"/>
    <w:rsid w:val="0087799A"/>
    <w:rsid w:val="00877D6A"/>
    <w:rsid w:val="00877D87"/>
    <w:rsid w:val="00880161"/>
    <w:rsid w:val="00880188"/>
    <w:rsid w:val="00880364"/>
    <w:rsid w:val="00880369"/>
    <w:rsid w:val="008803D4"/>
    <w:rsid w:val="00880766"/>
    <w:rsid w:val="0088078A"/>
    <w:rsid w:val="00880DFC"/>
    <w:rsid w:val="00881228"/>
    <w:rsid w:val="00881A52"/>
    <w:rsid w:val="00881CFD"/>
    <w:rsid w:val="00881D81"/>
    <w:rsid w:val="0088203D"/>
    <w:rsid w:val="008820D1"/>
    <w:rsid w:val="008821F8"/>
    <w:rsid w:val="00882649"/>
    <w:rsid w:val="00882966"/>
    <w:rsid w:val="008830D5"/>
    <w:rsid w:val="0088312F"/>
    <w:rsid w:val="00883849"/>
    <w:rsid w:val="0088416D"/>
    <w:rsid w:val="008842AE"/>
    <w:rsid w:val="008842C7"/>
    <w:rsid w:val="008845A5"/>
    <w:rsid w:val="00884A11"/>
    <w:rsid w:val="00884FBC"/>
    <w:rsid w:val="0088521F"/>
    <w:rsid w:val="008858D7"/>
    <w:rsid w:val="00885ABD"/>
    <w:rsid w:val="00885AEE"/>
    <w:rsid w:val="00885C9B"/>
    <w:rsid w:val="00885E49"/>
    <w:rsid w:val="00885E5D"/>
    <w:rsid w:val="008860AA"/>
    <w:rsid w:val="00886300"/>
    <w:rsid w:val="008864BC"/>
    <w:rsid w:val="008864F2"/>
    <w:rsid w:val="00887B21"/>
    <w:rsid w:val="00887BD8"/>
    <w:rsid w:val="00887EC2"/>
    <w:rsid w:val="00887F65"/>
    <w:rsid w:val="0089092E"/>
    <w:rsid w:val="00890D9F"/>
    <w:rsid w:val="00890EDB"/>
    <w:rsid w:val="00891592"/>
    <w:rsid w:val="0089191D"/>
    <w:rsid w:val="00891B81"/>
    <w:rsid w:val="00891C16"/>
    <w:rsid w:val="00891E9E"/>
    <w:rsid w:val="00892020"/>
    <w:rsid w:val="008921A6"/>
    <w:rsid w:val="00892223"/>
    <w:rsid w:val="0089228D"/>
    <w:rsid w:val="008922E7"/>
    <w:rsid w:val="0089233D"/>
    <w:rsid w:val="00892C0C"/>
    <w:rsid w:val="008930B5"/>
    <w:rsid w:val="008930D1"/>
    <w:rsid w:val="00893480"/>
    <w:rsid w:val="00893649"/>
    <w:rsid w:val="008941DA"/>
    <w:rsid w:val="00895044"/>
    <w:rsid w:val="00895354"/>
    <w:rsid w:val="008955BE"/>
    <w:rsid w:val="00896234"/>
    <w:rsid w:val="008966A2"/>
    <w:rsid w:val="00896A6E"/>
    <w:rsid w:val="00896B57"/>
    <w:rsid w:val="00896BDB"/>
    <w:rsid w:val="0089702C"/>
    <w:rsid w:val="0089719D"/>
    <w:rsid w:val="008976CF"/>
    <w:rsid w:val="00897C1A"/>
    <w:rsid w:val="00897CE1"/>
    <w:rsid w:val="008A0077"/>
    <w:rsid w:val="008A0129"/>
    <w:rsid w:val="008A0EF2"/>
    <w:rsid w:val="008A1526"/>
    <w:rsid w:val="008A1BC1"/>
    <w:rsid w:val="008A218D"/>
    <w:rsid w:val="008A2931"/>
    <w:rsid w:val="008A2A99"/>
    <w:rsid w:val="008A2DF1"/>
    <w:rsid w:val="008A2F68"/>
    <w:rsid w:val="008A39D3"/>
    <w:rsid w:val="008A3C39"/>
    <w:rsid w:val="008A43EE"/>
    <w:rsid w:val="008A4B9B"/>
    <w:rsid w:val="008A4CDC"/>
    <w:rsid w:val="008A4DC3"/>
    <w:rsid w:val="008A4DDD"/>
    <w:rsid w:val="008A4E4E"/>
    <w:rsid w:val="008A603C"/>
    <w:rsid w:val="008A6105"/>
    <w:rsid w:val="008A637E"/>
    <w:rsid w:val="008A669D"/>
    <w:rsid w:val="008A66D8"/>
    <w:rsid w:val="008A6907"/>
    <w:rsid w:val="008A6942"/>
    <w:rsid w:val="008A6949"/>
    <w:rsid w:val="008A73EB"/>
    <w:rsid w:val="008A748E"/>
    <w:rsid w:val="008A756C"/>
    <w:rsid w:val="008A78F9"/>
    <w:rsid w:val="008A7D62"/>
    <w:rsid w:val="008A7DB0"/>
    <w:rsid w:val="008A7FB1"/>
    <w:rsid w:val="008B0FBB"/>
    <w:rsid w:val="008B1329"/>
    <w:rsid w:val="008B14E7"/>
    <w:rsid w:val="008B17FF"/>
    <w:rsid w:val="008B1BBA"/>
    <w:rsid w:val="008B26CB"/>
    <w:rsid w:val="008B2D1E"/>
    <w:rsid w:val="008B3537"/>
    <w:rsid w:val="008B38AF"/>
    <w:rsid w:val="008B3DCF"/>
    <w:rsid w:val="008B3DFB"/>
    <w:rsid w:val="008B3E76"/>
    <w:rsid w:val="008B41D0"/>
    <w:rsid w:val="008B4D62"/>
    <w:rsid w:val="008B4FA6"/>
    <w:rsid w:val="008B50FF"/>
    <w:rsid w:val="008B51A2"/>
    <w:rsid w:val="008B5282"/>
    <w:rsid w:val="008B52F6"/>
    <w:rsid w:val="008B5614"/>
    <w:rsid w:val="008B5D26"/>
    <w:rsid w:val="008B6A64"/>
    <w:rsid w:val="008B6C34"/>
    <w:rsid w:val="008B73C2"/>
    <w:rsid w:val="008B7C17"/>
    <w:rsid w:val="008C0203"/>
    <w:rsid w:val="008C0FB2"/>
    <w:rsid w:val="008C11BA"/>
    <w:rsid w:val="008C1639"/>
    <w:rsid w:val="008C1D18"/>
    <w:rsid w:val="008C249B"/>
    <w:rsid w:val="008C26C1"/>
    <w:rsid w:val="008C2D01"/>
    <w:rsid w:val="008C2D95"/>
    <w:rsid w:val="008C2E99"/>
    <w:rsid w:val="008C3178"/>
    <w:rsid w:val="008C33B2"/>
    <w:rsid w:val="008C3615"/>
    <w:rsid w:val="008C3DF3"/>
    <w:rsid w:val="008C40E6"/>
    <w:rsid w:val="008C489D"/>
    <w:rsid w:val="008C4923"/>
    <w:rsid w:val="008C4DDA"/>
    <w:rsid w:val="008C4FAB"/>
    <w:rsid w:val="008C52D4"/>
    <w:rsid w:val="008C5620"/>
    <w:rsid w:val="008C5ABC"/>
    <w:rsid w:val="008C5BA9"/>
    <w:rsid w:val="008C5BD9"/>
    <w:rsid w:val="008C5EAC"/>
    <w:rsid w:val="008C6C96"/>
    <w:rsid w:val="008C72CB"/>
    <w:rsid w:val="008C7693"/>
    <w:rsid w:val="008C76F6"/>
    <w:rsid w:val="008C77D3"/>
    <w:rsid w:val="008C7B1B"/>
    <w:rsid w:val="008C7B60"/>
    <w:rsid w:val="008C7F35"/>
    <w:rsid w:val="008D00B8"/>
    <w:rsid w:val="008D010F"/>
    <w:rsid w:val="008D0259"/>
    <w:rsid w:val="008D06E4"/>
    <w:rsid w:val="008D0AF5"/>
    <w:rsid w:val="008D0F2F"/>
    <w:rsid w:val="008D0F7A"/>
    <w:rsid w:val="008D1605"/>
    <w:rsid w:val="008D1753"/>
    <w:rsid w:val="008D1BE1"/>
    <w:rsid w:val="008D2738"/>
    <w:rsid w:val="008D2A68"/>
    <w:rsid w:val="008D2C90"/>
    <w:rsid w:val="008D2D4D"/>
    <w:rsid w:val="008D2D75"/>
    <w:rsid w:val="008D32CD"/>
    <w:rsid w:val="008D32E9"/>
    <w:rsid w:val="008D3480"/>
    <w:rsid w:val="008D4154"/>
    <w:rsid w:val="008D415A"/>
    <w:rsid w:val="008D4CBD"/>
    <w:rsid w:val="008D4EE8"/>
    <w:rsid w:val="008D564B"/>
    <w:rsid w:val="008D58D0"/>
    <w:rsid w:val="008D597A"/>
    <w:rsid w:val="008D6506"/>
    <w:rsid w:val="008D6767"/>
    <w:rsid w:val="008D68E4"/>
    <w:rsid w:val="008D7DA4"/>
    <w:rsid w:val="008D7E9E"/>
    <w:rsid w:val="008E0506"/>
    <w:rsid w:val="008E059E"/>
    <w:rsid w:val="008E0CFF"/>
    <w:rsid w:val="008E1453"/>
    <w:rsid w:val="008E1B12"/>
    <w:rsid w:val="008E2861"/>
    <w:rsid w:val="008E2A0E"/>
    <w:rsid w:val="008E2AD5"/>
    <w:rsid w:val="008E36C8"/>
    <w:rsid w:val="008E3A9F"/>
    <w:rsid w:val="008E3D7D"/>
    <w:rsid w:val="008E41E3"/>
    <w:rsid w:val="008E4228"/>
    <w:rsid w:val="008E478F"/>
    <w:rsid w:val="008E488E"/>
    <w:rsid w:val="008E50D7"/>
    <w:rsid w:val="008E560A"/>
    <w:rsid w:val="008E5D6B"/>
    <w:rsid w:val="008E6266"/>
    <w:rsid w:val="008E66DB"/>
    <w:rsid w:val="008E6790"/>
    <w:rsid w:val="008E7015"/>
    <w:rsid w:val="008E70FD"/>
    <w:rsid w:val="008E74C8"/>
    <w:rsid w:val="008E7555"/>
    <w:rsid w:val="008E76F0"/>
    <w:rsid w:val="008E7802"/>
    <w:rsid w:val="008E7CA8"/>
    <w:rsid w:val="008E7F30"/>
    <w:rsid w:val="008F0FFD"/>
    <w:rsid w:val="008F103B"/>
    <w:rsid w:val="008F15FE"/>
    <w:rsid w:val="008F1F63"/>
    <w:rsid w:val="008F2129"/>
    <w:rsid w:val="008F2281"/>
    <w:rsid w:val="008F25A4"/>
    <w:rsid w:val="008F2732"/>
    <w:rsid w:val="008F2B75"/>
    <w:rsid w:val="008F2D29"/>
    <w:rsid w:val="008F2E20"/>
    <w:rsid w:val="008F3055"/>
    <w:rsid w:val="008F3F68"/>
    <w:rsid w:val="008F3F9A"/>
    <w:rsid w:val="008F3FBB"/>
    <w:rsid w:val="008F4545"/>
    <w:rsid w:val="008F4627"/>
    <w:rsid w:val="008F4897"/>
    <w:rsid w:val="008F4D1F"/>
    <w:rsid w:val="008F5187"/>
    <w:rsid w:val="008F523F"/>
    <w:rsid w:val="008F53EF"/>
    <w:rsid w:val="008F584A"/>
    <w:rsid w:val="008F5C06"/>
    <w:rsid w:val="008F60D8"/>
    <w:rsid w:val="008F6300"/>
    <w:rsid w:val="008F66F8"/>
    <w:rsid w:val="008F698D"/>
    <w:rsid w:val="008F6D0F"/>
    <w:rsid w:val="008F7200"/>
    <w:rsid w:val="008F7510"/>
    <w:rsid w:val="008F7C0D"/>
    <w:rsid w:val="008F7C42"/>
    <w:rsid w:val="008F7C8F"/>
    <w:rsid w:val="009002A0"/>
    <w:rsid w:val="00900505"/>
    <w:rsid w:val="00900A26"/>
    <w:rsid w:val="00900CB1"/>
    <w:rsid w:val="00901170"/>
    <w:rsid w:val="00901285"/>
    <w:rsid w:val="009021DC"/>
    <w:rsid w:val="00902491"/>
    <w:rsid w:val="00902669"/>
    <w:rsid w:val="00902727"/>
    <w:rsid w:val="009027D4"/>
    <w:rsid w:val="00902909"/>
    <w:rsid w:val="009029BE"/>
    <w:rsid w:val="00902CCA"/>
    <w:rsid w:val="00902D19"/>
    <w:rsid w:val="00902F73"/>
    <w:rsid w:val="0090312B"/>
    <w:rsid w:val="0090368F"/>
    <w:rsid w:val="00903BA3"/>
    <w:rsid w:val="0090454D"/>
    <w:rsid w:val="009049D8"/>
    <w:rsid w:val="00904EA1"/>
    <w:rsid w:val="00905C40"/>
    <w:rsid w:val="00906021"/>
    <w:rsid w:val="0090635A"/>
    <w:rsid w:val="0090653C"/>
    <w:rsid w:val="00906573"/>
    <w:rsid w:val="00906786"/>
    <w:rsid w:val="009068E8"/>
    <w:rsid w:val="00906E6C"/>
    <w:rsid w:val="00907678"/>
    <w:rsid w:val="00907679"/>
    <w:rsid w:val="009076C5"/>
    <w:rsid w:val="00907DEF"/>
    <w:rsid w:val="00907FFE"/>
    <w:rsid w:val="009100D8"/>
    <w:rsid w:val="00910146"/>
    <w:rsid w:val="0091036C"/>
    <w:rsid w:val="009108C5"/>
    <w:rsid w:val="00910996"/>
    <w:rsid w:val="00910B71"/>
    <w:rsid w:val="00910C4B"/>
    <w:rsid w:val="00910CDE"/>
    <w:rsid w:val="00910E9E"/>
    <w:rsid w:val="00910F18"/>
    <w:rsid w:val="00911171"/>
    <w:rsid w:val="00911449"/>
    <w:rsid w:val="00911526"/>
    <w:rsid w:val="0091231F"/>
    <w:rsid w:val="00912692"/>
    <w:rsid w:val="00912D74"/>
    <w:rsid w:val="00913521"/>
    <w:rsid w:val="009136C5"/>
    <w:rsid w:val="009137FD"/>
    <w:rsid w:val="009138D1"/>
    <w:rsid w:val="00913A35"/>
    <w:rsid w:val="00913F2A"/>
    <w:rsid w:val="00914002"/>
    <w:rsid w:val="00914179"/>
    <w:rsid w:val="00914D10"/>
    <w:rsid w:val="0091513A"/>
    <w:rsid w:val="00915196"/>
    <w:rsid w:val="00915A96"/>
    <w:rsid w:val="00915E04"/>
    <w:rsid w:val="00915F23"/>
    <w:rsid w:val="0091709A"/>
    <w:rsid w:val="009171B0"/>
    <w:rsid w:val="009172B1"/>
    <w:rsid w:val="009172FE"/>
    <w:rsid w:val="0091736D"/>
    <w:rsid w:val="0091787B"/>
    <w:rsid w:val="00917AD9"/>
    <w:rsid w:val="00917C02"/>
    <w:rsid w:val="0092002B"/>
    <w:rsid w:val="00920DDF"/>
    <w:rsid w:val="00921CC5"/>
    <w:rsid w:val="00921D01"/>
    <w:rsid w:val="00922001"/>
    <w:rsid w:val="0092215E"/>
    <w:rsid w:val="009224FE"/>
    <w:rsid w:val="009229A1"/>
    <w:rsid w:val="00922BEF"/>
    <w:rsid w:val="00922E77"/>
    <w:rsid w:val="00923002"/>
    <w:rsid w:val="0092307F"/>
    <w:rsid w:val="009231A0"/>
    <w:rsid w:val="009231C5"/>
    <w:rsid w:val="00923240"/>
    <w:rsid w:val="00923D78"/>
    <w:rsid w:val="00924FB6"/>
    <w:rsid w:val="00925075"/>
    <w:rsid w:val="00925478"/>
    <w:rsid w:val="00925660"/>
    <w:rsid w:val="00925864"/>
    <w:rsid w:val="0092663A"/>
    <w:rsid w:val="009268FF"/>
    <w:rsid w:val="0092691A"/>
    <w:rsid w:val="00926A16"/>
    <w:rsid w:val="009272FD"/>
    <w:rsid w:val="00927412"/>
    <w:rsid w:val="00927684"/>
    <w:rsid w:val="00927893"/>
    <w:rsid w:val="00927EFA"/>
    <w:rsid w:val="0093037A"/>
    <w:rsid w:val="00930383"/>
    <w:rsid w:val="00930559"/>
    <w:rsid w:val="0093077C"/>
    <w:rsid w:val="009309F8"/>
    <w:rsid w:val="00930CE9"/>
    <w:rsid w:val="00930F36"/>
    <w:rsid w:val="00931844"/>
    <w:rsid w:val="00931A94"/>
    <w:rsid w:val="00932236"/>
    <w:rsid w:val="00932406"/>
    <w:rsid w:val="0093245A"/>
    <w:rsid w:val="009324C8"/>
    <w:rsid w:val="009330EC"/>
    <w:rsid w:val="009333C5"/>
    <w:rsid w:val="00933E59"/>
    <w:rsid w:val="00933F48"/>
    <w:rsid w:val="00934086"/>
    <w:rsid w:val="0093416E"/>
    <w:rsid w:val="00934ACB"/>
    <w:rsid w:val="00934CB1"/>
    <w:rsid w:val="00934D3E"/>
    <w:rsid w:val="00934F08"/>
    <w:rsid w:val="0093560D"/>
    <w:rsid w:val="009359F9"/>
    <w:rsid w:val="00935C37"/>
    <w:rsid w:val="00935FA1"/>
    <w:rsid w:val="00936BF9"/>
    <w:rsid w:val="009372F9"/>
    <w:rsid w:val="00937630"/>
    <w:rsid w:val="00937835"/>
    <w:rsid w:val="00937957"/>
    <w:rsid w:val="00937D37"/>
    <w:rsid w:val="00937F20"/>
    <w:rsid w:val="009405FD"/>
    <w:rsid w:val="0094068B"/>
    <w:rsid w:val="00940F2F"/>
    <w:rsid w:val="00941323"/>
    <w:rsid w:val="00941424"/>
    <w:rsid w:val="0094154D"/>
    <w:rsid w:val="009415DE"/>
    <w:rsid w:val="00941CE8"/>
    <w:rsid w:val="00941D35"/>
    <w:rsid w:val="00941E2C"/>
    <w:rsid w:val="00942139"/>
    <w:rsid w:val="00942311"/>
    <w:rsid w:val="00942DE3"/>
    <w:rsid w:val="00942FBF"/>
    <w:rsid w:val="00943257"/>
    <w:rsid w:val="00943631"/>
    <w:rsid w:val="00943999"/>
    <w:rsid w:val="00943E49"/>
    <w:rsid w:val="009444C8"/>
    <w:rsid w:val="009446D4"/>
    <w:rsid w:val="009448AD"/>
    <w:rsid w:val="00944990"/>
    <w:rsid w:val="00944DB0"/>
    <w:rsid w:val="00944DCB"/>
    <w:rsid w:val="009451B1"/>
    <w:rsid w:val="009459C6"/>
    <w:rsid w:val="00945FF6"/>
    <w:rsid w:val="009460A0"/>
    <w:rsid w:val="009463C8"/>
    <w:rsid w:val="009463F6"/>
    <w:rsid w:val="00946486"/>
    <w:rsid w:val="009466BF"/>
    <w:rsid w:val="00946BA3"/>
    <w:rsid w:val="00946BB1"/>
    <w:rsid w:val="00946EDE"/>
    <w:rsid w:val="009478DE"/>
    <w:rsid w:val="00947A51"/>
    <w:rsid w:val="00947A54"/>
    <w:rsid w:val="00950240"/>
    <w:rsid w:val="00950B87"/>
    <w:rsid w:val="0095155F"/>
    <w:rsid w:val="00951983"/>
    <w:rsid w:val="00951A4C"/>
    <w:rsid w:val="00952296"/>
    <w:rsid w:val="00952C43"/>
    <w:rsid w:val="00952CB8"/>
    <w:rsid w:val="0095303A"/>
    <w:rsid w:val="00953190"/>
    <w:rsid w:val="00953488"/>
    <w:rsid w:val="009537A5"/>
    <w:rsid w:val="00953A8D"/>
    <w:rsid w:val="00953CBA"/>
    <w:rsid w:val="00953FC1"/>
    <w:rsid w:val="009542D9"/>
    <w:rsid w:val="00954429"/>
    <w:rsid w:val="0095508C"/>
    <w:rsid w:val="00955C63"/>
    <w:rsid w:val="00956093"/>
    <w:rsid w:val="009563CE"/>
    <w:rsid w:val="00956B65"/>
    <w:rsid w:val="00956FCE"/>
    <w:rsid w:val="00957C94"/>
    <w:rsid w:val="00957E6F"/>
    <w:rsid w:val="0096027A"/>
    <w:rsid w:val="00961525"/>
    <w:rsid w:val="009616C5"/>
    <w:rsid w:val="0096204E"/>
    <w:rsid w:val="00963193"/>
    <w:rsid w:val="009636B1"/>
    <w:rsid w:val="00963703"/>
    <w:rsid w:val="0096396E"/>
    <w:rsid w:val="00964263"/>
    <w:rsid w:val="0096442F"/>
    <w:rsid w:val="0096497A"/>
    <w:rsid w:val="00964EF6"/>
    <w:rsid w:val="00965780"/>
    <w:rsid w:val="00965ABF"/>
    <w:rsid w:val="009661CD"/>
    <w:rsid w:val="009663AF"/>
    <w:rsid w:val="00966753"/>
    <w:rsid w:val="00966C8E"/>
    <w:rsid w:val="009674D4"/>
    <w:rsid w:val="0096757E"/>
    <w:rsid w:val="0096786C"/>
    <w:rsid w:val="00967A7F"/>
    <w:rsid w:val="00967D64"/>
    <w:rsid w:val="00970143"/>
    <w:rsid w:val="00970357"/>
    <w:rsid w:val="00970D61"/>
    <w:rsid w:val="00971CBC"/>
    <w:rsid w:val="00972614"/>
    <w:rsid w:val="009728CB"/>
    <w:rsid w:val="00972A50"/>
    <w:rsid w:val="00973917"/>
    <w:rsid w:val="00973D87"/>
    <w:rsid w:val="009740D7"/>
    <w:rsid w:val="00974959"/>
    <w:rsid w:val="00974F0A"/>
    <w:rsid w:val="00975344"/>
    <w:rsid w:val="0097538D"/>
    <w:rsid w:val="009753EA"/>
    <w:rsid w:val="00975436"/>
    <w:rsid w:val="009762C8"/>
    <w:rsid w:val="00976328"/>
    <w:rsid w:val="00976537"/>
    <w:rsid w:val="0097680D"/>
    <w:rsid w:val="00976B2E"/>
    <w:rsid w:val="00976C91"/>
    <w:rsid w:val="009775F8"/>
    <w:rsid w:val="00977695"/>
    <w:rsid w:val="009776AC"/>
    <w:rsid w:val="00977727"/>
    <w:rsid w:val="00977B14"/>
    <w:rsid w:val="00977FEC"/>
    <w:rsid w:val="00980141"/>
    <w:rsid w:val="00980251"/>
    <w:rsid w:val="00980A85"/>
    <w:rsid w:val="00980A92"/>
    <w:rsid w:val="00980AF3"/>
    <w:rsid w:val="009813EF"/>
    <w:rsid w:val="00981591"/>
    <w:rsid w:val="00981A54"/>
    <w:rsid w:val="00982182"/>
    <w:rsid w:val="00982249"/>
    <w:rsid w:val="00982438"/>
    <w:rsid w:val="0098280C"/>
    <w:rsid w:val="00982ED3"/>
    <w:rsid w:val="00982FE8"/>
    <w:rsid w:val="009832F9"/>
    <w:rsid w:val="00983DF4"/>
    <w:rsid w:val="0098404C"/>
    <w:rsid w:val="0098482C"/>
    <w:rsid w:val="00984B81"/>
    <w:rsid w:val="00985283"/>
    <w:rsid w:val="009854A7"/>
    <w:rsid w:val="0098551E"/>
    <w:rsid w:val="009855F4"/>
    <w:rsid w:val="00985C48"/>
    <w:rsid w:val="009865AB"/>
    <w:rsid w:val="009868CD"/>
    <w:rsid w:val="00986915"/>
    <w:rsid w:val="00986D41"/>
    <w:rsid w:val="00986F34"/>
    <w:rsid w:val="0098723F"/>
    <w:rsid w:val="009872D4"/>
    <w:rsid w:val="009873CA"/>
    <w:rsid w:val="00987697"/>
    <w:rsid w:val="009876C3"/>
    <w:rsid w:val="0098792E"/>
    <w:rsid w:val="009902A4"/>
    <w:rsid w:val="00991ADF"/>
    <w:rsid w:val="00991CA1"/>
    <w:rsid w:val="00992039"/>
    <w:rsid w:val="00992174"/>
    <w:rsid w:val="009921EA"/>
    <w:rsid w:val="00992656"/>
    <w:rsid w:val="00992964"/>
    <w:rsid w:val="00992F5C"/>
    <w:rsid w:val="009933A2"/>
    <w:rsid w:val="00993F7D"/>
    <w:rsid w:val="00994073"/>
    <w:rsid w:val="0099409A"/>
    <w:rsid w:val="009941C9"/>
    <w:rsid w:val="009941E4"/>
    <w:rsid w:val="00994477"/>
    <w:rsid w:val="00994C01"/>
    <w:rsid w:val="00995992"/>
    <w:rsid w:val="00995A57"/>
    <w:rsid w:val="009960EC"/>
    <w:rsid w:val="00996135"/>
    <w:rsid w:val="0099631B"/>
    <w:rsid w:val="00996326"/>
    <w:rsid w:val="00996859"/>
    <w:rsid w:val="00996FF8"/>
    <w:rsid w:val="0099703A"/>
    <w:rsid w:val="00997863"/>
    <w:rsid w:val="00997989"/>
    <w:rsid w:val="00997D30"/>
    <w:rsid w:val="00997F13"/>
    <w:rsid w:val="009A0059"/>
    <w:rsid w:val="009A03E5"/>
    <w:rsid w:val="009A0753"/>
    <w:rsid w:val="009A078E"/>
    <w:rsid w:val="009A08E5"/>
    <w:rsid w:val="009A0C89"/>
    <w:rsid w:val="009A0F3B"/>
    <w:rsid w:val="009A1303"/>
    <w:rsid w:val="009A133A"/>
    <w:rsid w:val="009A13D9"/>
    <w:rsid w:val="009A18AB"/>
    <w:rsid w:val="009A18E1"/>
    <w:rsid w:val="009A1AF7"/>
    <w:rsid w:val="009A1BB4"/>
    <w:rsid w:val="009A1DF7"/>
    <w:rsid w:val="009A1EFA"/>
    <w:rsid w:val="009A1EFC"/>
    <w:rsid w:val="009A2628"/>
    <w:rsid w:val="009A282C"/>
    <w:rsid w:val="009A2CD2"/>
    <w:rsid w:val="009A2D5B"/>
    <w:rsid w:val="009A3200"/>
    <w:rsid w:val="009A3553"/>
    <w:rsid w:val="009A3853"/>
    <w:rsid w:val="009A3C52"/>
    <w:rsid w:val="009A3DEF"/>
    <w:rsid w:val="009A47DD"/>
    <w:rsid w:val="009A49F0"/>
    <w:rsid w:val="009A4E16"/>
    <w:rsid w:val="009A4EB9"/>
    <w:rsid w:val="009A5354"/>
    <w:rsid w:val="009A544B"/>
    <w:rsid w:val="009A557C"/>
    <w:rsid w:val="009A5933"/>
    <w:rsid w:val="009A5A12"/>
    <w:rsid w:val="009A5CC3"/>
    <w:rsid w:val="009A608B"/>
    <w:rsid w:val="009A60E5"/>
    <w:rsid w:val="009A69C6"/>
    <w:rsid w:val="009A7288"/>
    <w:rsid w:val="009A7F5D"/>
    <w:rsid w:val="009A7FFC"/>
    <w:rsid w:val="009B04FB"/>
    <w:rsid w:val="009B0671"/>
    <w:rsid w:val="009B06E5"/>
    <w:rsid w:val="009B0897"/>
    <w:rsid w:val="009B0F7E"/>
    <w:rsid w:val="009B10BE"/>
    <w:rsid w:val="009B1215"/>
    <w:rsid w:val="009B191E"/>
    <w:rsid w:val="009B1AE7"/>
    <w:rsid w:val="009B1C67"/>
    <w:rsid w:val="009B1FFD"/>
    <w:rsid w:val="009B2B76"/>
    <w:rsid w:val="009B2C17"/>
    <w:rsid w:val="009B329D"/>
    <w:rsid w:val="009B3545"/>
    <w:rsid w:val="009B3669"/>
    <w:rsid w:val="009B398C"/>
    <w:rsid w:val="009B3C91"/>
    <w:rsid w:val="009B4AD0"/>
    <w:rsid w:val="009B4F2B"/>
    <w:rsid w:val="009B51B5"/>
    <w:rsid w:val="009B5549"/>
    <w:rsid w:val="009B5B33"/>
    <w:rsid w:val="009B5C7F"/>
    <w:rsid w:val="009B5EA4"/>
    <w:rsid w:val="009B61B6"/>
    <w:rsid w:val="009B67BC"/>
    <w:rsid w:val="009B6FF1"/>
    <w:rsid w:val="009B770E"/>
    <w:rsid w:val="009B781F"/>
    <w:rsid w:val="009B78FD"/>
    <w:rsid w:val="009B7BD9"/>
    <w:rsid w:val="009B7C37"/>
    <w:rsid w:val="009C078A"/>
    <w:rsid w:val="009C0BB3"/>
    <w:rsid w:val="009C0BE1"/>
    <w:rsid w:val="009C0E75"/>
    <w:rsid w:val="009C0F04"/>
    <w:rsid w:val="009C1459"/>
    <w:rsid w:val="009C15CE"/>
    <w:rsid w:val="009C1853"/>
    <w:rsid w:val="009C1A34"/>
    <w:rsid w:val="009C1B37"/>
    <w:rsid w:val="009C2360"/>
    <w:rsid w:val="009C2ABE"/>
    <w:rsid w:val="009C3187"/>
    <w:rsid w:val="009C31A4"/>
    <w:rsid w:val="009C3277"/>
    <w:rsid w:val="009C397A"/>
    <w:rsid w:val="009C3D4B"/>
    <w:rsid w:val="009C40D3"/>
    <w:rsid w:val="009C41A6"/>
    <w:rsid w:val="009C42BE"/>
    <w:rsid w:val="009C4BFE"/>
    <w:rsid w:val="009C4D96"/>
    <w:rsid w:val="009C512B"/>
    <w:rsid w:val="009C5B2C"/>
    <w:rsid w:val="009C5CAB"/>
    <w:rsid w:val="009C66FA"/>
    <w:rsid w:val="009C6838"/>
    <w:rsid w:val="009C68B9"/>
    <w:rsid w:val="009C6C0A"/>
    <w:rsid w:val="009C6C8C"/>
    <w:rsid w:val="009C706C"/>
    <w:rsid w:val="009C742E"/>
    <w:rsid w:val="009C7CDC"/>
    <w:rsid w:val="009C7DD3"/>
    <w:rsid w:val="009C7DD5"/>
    <w:rsid w:val="009D000F"/>
    <w:rsid w:val="009D01A1"/>
    <w:rsid w:val="009D09E9"/>
    <w:rsid w:val="009D0C33"/>
    <w:rsid w:val="009D1463"/>
    <w:rsid w:val="009D1DB2"/>
    <w:rsid w:val="009D1DFB"/>
    <w:rsid w:val="009D1F41"/>
    <w:rsid w:val="009D2795"/>
    <w:rsid w:val="009D2D84"/>
    <w:rsid w:val="009D3404"/>
    <w:rsid w:val="009D39FD"/>
    <w:rsid w:val="009D3B7F"/>
    <w:rsid w:val="009D4581"/>
    <w:rsid w:val="009D5151"/>
    <w:rsid w:val="009D5C92"/>
    <w:rsid w:val="009D6B1D"/>
    <w:rsid w:val="009D6D52"/>
    <w:rsid w:val="009D78C3"/>
    <w:rsid w:val="009D7AB1"/>
    <w:rsid w:val="009D7C37"/>
    <w:rsid w:val="009D7E2E"/>
    <w:rsid w:val="009E01C2"/>
    <w:rsid w:val="009E02ED"/>
    <w:rsid w:val="009E044D"/>
    <w:rsid w:val="009E095A"/>
    <w:rsid w:val="009E0B25"/>
    <w:rsid w:val="009E0E0D"/>
    <w:rsid w:val="009E0F67"/>
    <w:rsid w:val="009E0FFB"/>
    <w:rsid w:val="009E1417"/>
    <w:rsid w:val="009E142C"/>
    <w:rsid w:val="009E1655"/>
    <w:rsid w:val="009E1905"/>
    <w:rsid w:val="009E19A2"/>
    <w:rsid w:val="009E1F62"/>
    <w:rsid w:val="009E2022"/>
    <w:rsid w:val="009E20DF"/>
    <w:rsid w:val="009E227D"/>
    <w:rsid w:val="009E2582"/>
    <w:rsid w:val="009E2D83"/>
    <w:rsid w:val="009E2F3B"/>
    <w:rsid w:val="009E313D"/>
    <w:rsid w:val="009E3207"/>
    <w:rsid w:val="009E350E"/>
    <w:rsid w:val="009E3A12"/>
    <w:rsid w:val="009E3C5F"/>
    <w:rsid w:val="009E4858"/>
    <w:rsid w:val="009E499C"/>
    <w:rsid w:val="009E5019"/>
    <w:rsid w:val="009E607C"/>
    <w:rsid w:val="009E6188"/>
    <w:rsid w:val="009E6191"/>
    <w:rsid w:val="009E636F"/>
    <w:rsid w:val="009E63A5"/>
    <w:rsid w:val="009E70F5"/>
    <w:rsid w:val="009E753B"/>
    <w:rsid w:val="009F0734"/>
    <w:rsid w:val="009F0899"/>
    <w:rsid w:val="009F0BCF"/>
    <w:rsid w:val="009F0C60"/>
    <w:rsid w:val="009F1451"/>
    <w:rsid w:val="009F211C"/>
    <w:rsid w:val="009F283A"/>
    <w:rsid w:val="009F31AE"/>
    <w:rsid w:val="009F396D"/>
    <w:rsid w:val="009F3A23"/>
    <w:rsid w:val="009F3DD8"/>
    <w:rsid w:val="009F403F"/>
    <w:rsid w:val="009F433D"/>
    <w:rsid w:val="009F47A8"/>
    <w:rsid w:val="009F47CC"/>
    <w:rsid w:val="009F48E9"/>
    <w:rsid w:val="009F4B7D"/>
    <w:rsid w:val="009F4C1B"/>
    <w:rsid w:val="009F4ED8"/>
    <w:rsid w:val="009F54A7"/>
    <w:rsid w:val="009F587C"/>
    <w:rsid w:val="009F5CE4"/>
    <w:rsid w:val="009F6317"/>
    <w:rsid w:val="009F708F"/>
    <w:rsid w:val="009F70DF"/>
    <w:rsid w:val="009F7C09"/>
    <w:rsid w:val="00A00404"/>
    <w:rsid w:val="00A00677"/>
    <w:rsid w:val="00A00AFE"/>
    <w:rsid w:val="00A010BF"/>
    <w:rsid w:val="00A01969"/>
    <w:rsid w:val="00A01C04"/>
    <w:rsid w:val="00A01C6E"/>
    <w:rsid w:val="00A01F88"/>
    <w:rsid w:val="00A032CC"/>
    <w:rsid w:val="00A035F2"/>
    <w:rsid w:val="00A03741"/>
    <w:rsid w:val="00A03FB0"/>
    <w:rsid w:val="00A04139"/>
    <w:rsid w:val="00A0486D"/>
    <w:rsid w:val="00A049B1"/>
    <w:rsid w:val="00A04F1B"/>
    <w:rsid w:val="00A0501B"/>
    <w:rsid w:val="00A050FE"/>
    <w:rsid w:val="00A05635"/>
    <w:rsid w:val="00A05A17"/>
    <w:rsid w:val="00A05C6B"/>
    <w:rsid w:val="00A05F41"/>
    <w:rsid w:val="00A0606A"/>
    <w:rsid w:val="00A06158"/>
    <w:rsid w:val="00A063E1"/>
    <w:rsid w:val="00A06E42"/>
    <w:rsid w:val="00A07022"/>
    <w:rsid w:val="00A0709D"/>
    <w:rsid w:val="00A070FA"/>
    <w:rsid w:val="00A07126"/>
    <w:rsid w:val="00A07980"/>
    <w:rsid w:val="00A07A9B"/>
    <w:rsid w:val="00A07C39"/>
    <w:rsid w:val="00A07DB4"/>
    <w:rsid w:val="00A1013B"/>
    <w:rsid w:val="00A1023E"/>
    <w:rsid w:val="00A1077C"/>
    <w:rsid w:val="00A11040"/>
    <w:rsid w:val="00A11254"/>
    <w:rsid w:val="00A115C7"/>
    <w:rsid w:val="00A11881"/>
    <w:rsid w:val="00A11910"/>
    <w:rsid w:val="00A12081"/>
    <w:rsid w:val="00A120FD"/>
    <w:rsid w:val="00A1243F"/>
    <w:rsid w:val="00A125AC"/>
    <w:rsid w:val="00A128F6"/>
    <w:rsid w:val="00A12CCB"/>
    <w:rsid w:val="00A12EED"/>
    <w:rsid w:val="00A130C2"/>
    <w:rsid w:val="00A13115"/>
    <w:rsid w:val="00A1354E"/>
    <w:rsid w:val="00A13F5A"/>
    <w:rsid w:val="00A14947"/>
    <w:rsid w:val="00A14AB5"/>
    <w:rsid w:val="00A1556D"/>
    <w:rsid w:val="00A157EE"/>
    <w:rsid w:val="00A15931"/>
    <w:rsid w:val="00A15AC1"/>
    <w:rsid w:val="00A15E69"/>
    <w:rsid w:val="00A15F14"/>
    <w:rsid w:val="00A161B7"/>
    <w:rsid w:val="00A1676A"/>
    <w:rsid w:val="00A167EC"/>
    <w:rsid w:val="00A168B4"/>
    <w:rsid w:val="00A17848"/>
    <w:rsid w:val="00A2038E"/>
    <w:rsid w:val="00A20718"/>
    <w:rsid w:val="00A20DD3"/>
    <w:rsid w:val="00A2132A"/>
    <w:rsid w:val="00A214B2"/>
    <w:rsid w:val="00A215F7"/>
    <w:rsid w:val="00A218D0"/>
    <w:rsid w:val="00A21D15"/>
    <w:rsid w:val="00A221CB"/>
    <w:rsid w:val="00A22817"/>
    <w:rsid w:val="00A22922"/>
    <w:rsid w:val="00A237BE"/>
    <w:rsid w:val="00A24A00"/>
    <w:rsid w:val="00A24A0D"/>
    <w:rsid w:val="00A25067"/>
    <w:rsid w:val="00A2544E"/>
    <w:rsid w:val="00A255A5"/>
    <w:rsid w:val="00A25F59"/>
    <w:rsid w:val="00A260C5"/>
    <w:rsid w:val="00A2614B"/>
    <w:rsid w:val="00A26938"/>
    <w:rsid w:val="00A26B45"/>
    <w:rsid w:val="00A273A5"/>
    <w:rsid w:val="00A2766E"/>
    <w:rsid w:val="00A27679"/>
    <w:rsid w:val="00A30026"/>
    <w:rsid w:val="00A3029B"/>
    <w:rsid w:val="00A3063C"/>
    <w:rsid w:val="00A307E3"/>
    <w:rsid w:val="00A30925"/>
    <w:rsid w:val="00A30F98"/>
    <w:rsid w:val="00A310FC"/>
    <w:rsid w:val="00A311A6"/>
    <w:rsid w:val="00A311F8"/>
    <w:rsid w:val="00A31D63"/>
    <w:rsid w:val="00A322C7"/>
    <w:rsid w:val="00A32A83"/>
    <w:rsid w:val="00A32C3A"/>
    <w:rsid w:val="00A32DEA"/>
    <w:rsid w:val="00A32FD3"/>
    <w:rsid w:val="00A3337D"/>
    <w:rsid w:val="00A33ADF"/>
    <w:rsid w:val="00A33AE6"/>
    <w:rsid w:val="00A33F00"/>
    <w:rsid w:val="00A3419B"/>
    <w:rsid w:val="00A345BB"/>
    <w:rsid w:val="00A3461E"/>
    <w:rsid w:val="00A348A9"/>
    <w:rsid w:val="00A348C1"/>
    <w:rsid w:val="00A3496D"/>
    <w:rsid w:val="00A358FA"/>
    <w:rsid w:val="00A35A7C"/>
    <w:rsid w:val="00A35ADE"/>
    <w:rsid w:val="00A35B3E"/>
    <w:rsid w:val="00A360FD"/>
    <w:rsid w:val="00A363AE"/>
    <w:rsid w:val="00A368DB"/>
    <w:rsid w:val="00A36CB8"/>
    <w:rsid w:val="00A36E8B"/>
    <w:rsid w:val="00A36F3C"/>
    <w:rsid w:val="00A371A2"/>
    <w:rsid w:val="00A3757B"/>
    <w:rsid w:val="00A37905"/>
    <w:rsid w:val="00A37A3D"/>
    <w:rsid w:val="00A40483"/>
    <w:rsid w:val="00A40CC2"/>
    <w:rsid w:val="00A41013"/>
    <w:rsid w:val="00A41356"/>
    <w:rsid w:val="00A41EEC"/>
    <w:rsid w:val="00A41F80"/>
    <w:rsid w:val="00A421DF"/>
    <w:rsid w:val="00A423AA"/>
    <w:rsid w:val="00A4289A"/>
    <w:rsid w:val="00A42F79"/>
    <w:rsid w:val="00A4319C"/>
    <w:rsid w:val="00A435F3"/>
    <w:rsid w:val="00A43624"/>
    <w:rsid w:val="00A438B3"/>
    <w:rsid w:val="00A43A86"/>
    <w:rsid w:val="00A43BB1"/>
    <w:rsid w:val="00A43E8A"/>
    <w:rsid w:val="00A44063"/>
    <w:rsid w:val="00A44427"/>
    <w:rsid w:val="00A446AF"/>
    <w:rsid w:val="00A448BC"/>
    <w:rsid w:val="00A4574A"/>
    <w:rsid w:val="00A45D45"/>
    <w:rsid w:val="00A46233"/>
    <w:rsid w:val="00A46468"/>
    <w:rsid w:val="00A465F6"/>
    <w:rsid w:val="00A47002"/>
    <w:rsid w:val="00A4768B"/>
    <w:rsid w:val="00A4791F"/>
    <w:rsid w:val="00A47F0C"/>
    <w:rsid w:val="00A50B97"/>
    <w:rsid w:val="00A5108C"/>
    <w:rsid w:val="00A514D4"/>
    <w:rsid w:val="00A51846"/>
    <w:rsid w:val="00A51E46"/>
    <w:rsid w:val="00A51F73"/>
    <w:rsid w:val="00A52573"/>
    <w:rsid w:val="00A525E2"/>
    <w:rsid w:val="00A52DD9"/>
    <w:rsid w:val="00A5369B"/>
    <w:rsid w:val="00A53C4A"/>
    <w:rsid w:val="00A53CA5"/>
    <w:rsid w:val="00A53EC6"/>
    <w:rsid w:val="00A53F3C"/>
    <w:rsid w:val="00A54289"/>
    <w:rsid w:val="00A55386"/>
    <w:rsid w:val="00A55C0F"/>
    <w:rsid w:val="00A55C90"/>
    <w:rsid w:val="00A561BD"/>
    <w:rsid w:val="00A561F9"/>
    <w:rsid w:val="00A5683C"/>
    <w:rsid w:val="00A56EAF"/>
    <w:rsid w:val="00A5708F"/>
    <w:rsid w:val="00A57171"/>
    <w:rsid w:val="00A573A1"/>
    <w:rsid w:val="00A579C7"/>
    <w:rsid w:val="00A60D45"/>
    <w:rsid w:val="00A60E28"/>
    <w:rsid w:val="00A61287"/>
    <w:rsid w:val="00A61802"/>
    <w:rsid w:val="00A61EED"/>
    <w:rsid w:val="00A6200A"/>
    <w:rsid w:val="00A621BC"/>
    <w:rsid w:val="00A62DB0"/>
    <w:rsid w:val="00A62E9F"/>
    <w:rsid w:val="00A6302C"/>
    <w:rsid w:val="00A633F7"/>
    <w:rsid w:val="00A63716"/>
    <w:rsid w:val="00A63768"/>
    <w:rsid w:val="00A63B46"/>
    <w:rsid w:val="00A63DF6"/>
    <w:rsid w:val="00A649CE"/>
    <w:rsid w:val="00A649D3"/>
    <w:rsid w:val="00A64D73"/>
    <w:rsid w:val="00A64DAA"/>
    <w:rsid w:val="00A6599B"/>
    <w:rsid w:val="00A65BD3"/>
    <w:rsid w:val="00A65DCF"/>
    <w:rsid w:val="00A65F70"/>
    <w:rsid w:val="00A6606D"/>
    <w:rsid w:val="00A66306"/>
    <w:rsid w:val="00A668C5"/>
    <w:rsid w:val="00A66AEF"/>
    <w:rsid w:val="00A673B9"/>
    <w:rsid w:val="00A67439"/>
    <w:rsid w:val="00A67B80"/>
    <w:rsid w:val="00A67BA4"/>
    <w:rsid w:val="00A67BF7"/>
    <w:rsid w:val="00A67EF9"/>
    <w:rsid w:val="00A67F90"/>
    <w:rsid w:val="00A700C3"/>
    <w:rsid w:val="00A70878"/>
    <w:rsid w:val="00A70942"/>
    <w:rsid w:val="00A70E0C"/>
    <w:rsid w:val="00A71138"/>
    <w:rsid w:val="00A71383"/>
    <w:rsid w:val="00A7231D"/>
    <w:rsid w:val="00A723E0"/>
    <w:rsid w:val="00A72594"/>
    <w:rsid w:val="00A72E88"/>
    <w:rsid w:val="00A72F5D"/>
    <w:rsid w:val="00A73E88"/>
    <w:rsid w:val="00A74092"/>
    <w:rsid w:val="00A75304"/>
    <w:rsid w:val="00A75482"/>
    <w:rsid w:val="00A75656"/>
    <w:rsid w:val="00A756DB"/>
    <w:rsid w:val="00A759F8"/>
    <w:rsid w:val="00A75CBF"/>
    <w:rsid w:val="00A76A84"/>
    <w:rsid w:val="00A770F9"/>
    <w:rsid w:val="00A77615"/>
    <w:rsid w:val="00A777E8"/>
    <w:rsid w:val="00A80023"/>
    <w:rsid w:val="00A8038D"/>
    <w:rsid w:val="00A805CE"/>
    <w:rsid w:val="00A80ADC"/>
    <w:rsid w:val="00A80B96"/>
    <w:rsid w:val="00A813AB"/>
    <w:rsid w:val="00A814FC"/>
    <w:rsid w:val="00A81B77"/>
    <w:rsid w:val="00A82056"/>
    <w:rsid w:val="00A8231C"/>
    <w:rsid w:val="00A8246E"/>
    <w:rsid w:val="00A83069"/>
    <w:rsid w:val="00A83130"/>
    <w:rsid w:val="00A832A5"/>
    <w:rsid w:val="00A832F6"/>
    <w:rsid w:val="00A83413"/>
    <w:rsid w:val="00A8388F"/>
    <w:rsid w:val="00A83CA6"/>
    <w:rsid w:val="00A83E6A"/>
    <w:rsid w:val="00A83FB9"/>
    <w:rsid w:val="00A84024"/>
    <w:rsid w:val="00A840C9"/>
    <w:rsid w:val="00A845FE"/>
    <w:rsid w:val="00A84C35"/>
    <w:rsid w:val="00A8528B"/>
    <w:rsid w:val="00A853C0"/>
    <w:rsid w:val="00A86002"/>
    <w:rsid w:val="00A86340"/>
    <w:rsid w:val="00A86877"/>
    <w:rsid w:val="00A86E07"/>
    <w:rsid w:val="00A8713F"/>
    <w:rsid w:val="00A872EB"/>
    <w:rsid w:val="00A875D4"/>
    <w:rsid w:val="00A8761C"/>
    <w:rsid w:val="00A87EE7"/>
    <w:rsid w:val="00A9026C"/>
    <w:rsid w:val="00A905C4"/>
    <w:rsid w:val="00A90BA1"/>
    <w:rsid w:val="00A91595"/>
    <w:rsid w:val="00A91809"/>
    <w:rsid w:val="00A918DF"/>
    <w:rsid w:val="00A91B20"/>
    <w:rsid w:val="00A91B36"/>
    <w:rsid w:val="00A91DE0"/>
    <w:rsid w:val="00A92A18"/>
    <w:rsid w:val="00A92C21"/>
    <w:rsid w:val="00A92C4E"/>
    <w:rsid w:val="00A92DD7"/>
    <w:rsid w:val="00A92EFE"/>
    <w:rsid w:val="00A930F1"/>
    <w:rsid w:val="00A9354F"/>
    <w:rsid w:val="00A93B93"/>
    <w:rsid w:val="00A93C6D"/>
    <w:rsid w:val="00A943C8"/>
    <w:rsid w:val="00A9468D"/>
    <w:rsid w:val="00A9488A"/>
    <w:rsid w:val="00A94E40"/>
    <w:rsid w:val="00A952ED"/>
    <w:rsid w:val="00A95404"/>
    <w:rsid w:val="00A9546F"/>
    <w:rsid w:val="00A9591C"/>
    <w:rsid w:val="00A95D58"/>
    <w:rsid w:val="00A95E10"/>
    <w:rsid w:val="00A961DB"/>
    <w:rsid w:val="00A963BA"/>
    <w:rsid w:val="00A96810"/>
    <w:rsid w:val="00A96862"/>
    <w:rsid w:val="00A969C7"/>
    <w:rsid w:val="00A973CD"/>
    <w:rsid w:val="00A973FA"/>
    <w:rsid w:val="00A97450"/>
    <w:rsid w:val="00A97A9A"/>
    <w:rsid w:val="00AA0564"/>
    <w:rsid w:val="00AA0671"/>
    <w:rsid w:val="00AA0A9F"/>
    <w:rsid w:val="00AA0F4C"/>
    <w:rsid w:val="00AA113E"/>
    <w:rsid w:val="00AA1AA0"/>
    <w:rsid w:val="00AA2108"/>
    <w:rsid w:val="00AA22C8"/>
    <w:rsid w:val="00AA2447"/>
    <w:rsid w:val="00AA2531"/>
    <w:rsid w:val="00AA26B0"/>
    <w:rsid w:val="00AA2A21"/>
    <w:rsid w:val="00AA2BF3"/>
    <w:rsid w:val="00AA3811"/>
    <w:rsid w:val="00AA3EFB"/>
    <w:rsid w:val="00AA3FFF"/>
    <w:rsid w:val="00AA4206"/>
    <w:rsid w:val="00AA4E83"/>
    <w:rsid w:val="00AA4FC3"/>
    <w:rsid w:val="00AA546E"/>
    <w:rsid w:val="00AA550E"/>
    <w:rsid w:val="00AA5A4E"/>
    <w:rsid w:val="00AA5CFF"/>
    <w:rsid w:val="00AA6858"/>
    <w:rsid w:val="00AA68B9"/>
    <w:rsid w:val="00AA6E80"/>
    <w:rsid w:val="00AA7143"/>
    <w:rsid w:val="00AA7273"/>
    <w:rsid w:val="00AA73B1"/>
    <w:rsid w:val="00AA73FB"/>
    <w:rsid w:val="00AA7421"/>
    <w:rsid w:val="00AA7804"/>
    <w:rsid w:val="00AA7987"/>
    <w:rsid w:val="00AA79CB"/>
    <w:rsid w:val="00AA7DE4"/>
    <w:rsid w:val="00AB0396"/>
    <w:rsid w:val="00AB0899"/>
    <w:rsid w:val="00AB0998"/>
    <w:rsid w:val="00AB0D36"/>
    <w:rsid w:val="00AB107F"/>
    <w:rsid w:val="00AB10AF"/>
    <w:rsid w:val="00AB133E"/>
    <w:rsid w:val="00AB14A1"/>
    <w:rsid w:val="00AB15C0"/>
    <w:rsid w:val="00AB1764"/>
    <w:rsid w:val="00AB1812"/>
    <w:rsid w:val="00AB1D6E"/>
    <w:rsid w:val="00AB1E09"/>
    <w:rsid w:val="00AB1F89"/>
    <w:rsid w:val="00AB2060"/>
    <w:rsid w:val="00AB20E4"/>
    <w:rsid w:val="00AB26E4"/>
    <w:rsid w:val="00AB2D71"/>
    <w:rsid w:val="00AB2E4C"/>
    <w:rsid w:val="00AB3464"/>
    <w:rsid w:val="00AB35C0"/>
    <w:rsid w:val="00AB35F5"/>
    <w:rsid w:val="00AB3CDC"/>
    <w:rsid w:val="00AB3F33"/>
    <w:rsid w:val="00AB3FED"/>
    <w:rsid w:val="00AB4208"/>
    <w:rsid w:val="00AB424F"/>
    <w:rsid w:val="00AB4523"/>
    <w:rsid w:val="00AB4974"/>
    <w:rsid w:val="00AB4A32"/>
    <w:rsid w:val="00AB4A62"/>
    <w:rsid w:val="00AB5028"/>
    <w:rsid w:val="00AB5238"/>
    <w:rsid w:val="00AB5330"/>
    <w:rsid w:val="00AB54C6"/>
    <w:rsid w:val="00AB5684"/>
    <w:rsid w:val="00AB5778"/>
    <w:rsid w:val="00AB5F63"/>
    <w:rsid w:val="00AB658F"/>
    <w:rsid w:val="00AB6644"/>
    <w:rsid w:val="00AB675F"/>
    <w:rsid w:val="00AB7191"/>
    <w:rsid w:val="00AB7446"/>
    <w:rsid w:val="00AB7747"/>
    <w:rsid w:val="00AB7940"/>
    <w:rsid w:val="00AB797B"/>
    <w:rsid w:val="00AB7E07"/>
    <w:rsid w:val="00AC066F"/>
    <w:rsid w:val="00AC07D6"/>
    <w:rsid w:val="00AC094F"/>
    <w:rsid w:val="00AC0B5B"/>
    <w:rsid w:val="00AC14CE"/>
    <w:rsid w:val="00AC1C0B"/>
    <w:rsid w:val="00AC1FF0"/>
    <w:rsid w:val="00AC28DB"/>
    <w:rsid w:val="00AC2A56"/>
    <w:rsid w:val="00AC2BBE"/>
    <w:rsid w:val="00AC2DAF"/>
    <w:rsid w:val="00AC2E75"/>
    <w:rsid w:val="00AC3F71"/>
    <w:rsid w:val="00AC45EA"/>
    <w:rsid w:val="00AC497E"/>
    <w:rsid w:val="00AC5263"/>
    <w:rsid w:val="00AC5D44"/>
    <w:rsid w:val="00AC5D55"/>
    <w:rsid w:val="00AC6A9B"/>
    <w:rsid w:val="00AC6B77"/>
    <w:rsid w:val="00AC6C6F"/>
    <w:rsid w:val="00AC6F45"/>
    <w:rsid w:val="00AC7D3B"/>
    <w:rsid w:val="00AD031E"/>
    <w:rsid w:val="00AD0514"/>
    <w:rsid w:val="00AD055E"/>
    <w:rsid w:val="00AD124B"/>
    <w:rsid w:val="00AD135A"/>
    <w:rsid w:val="00AD1572"/>
    <w:rsid w:val="00AD16C3"/>
    <w:rsid w:val="00AD1853"/>
    <w:rsid w:val="00AD1A0E"/>
    <w:rsid w:val="00AD24E7"/>
    <w:rsid w:val="00AD286F"/>
    <w:rsid w:val="00AD29F5"/>
    <w:rsid w:val="00AD324B"/>
    <w:rsid w:val="00AD35CD"/>
    <w:rsid w:val="00AD3A43"/>
    <w:rsid w:val="00AD3D9C"/>
    <w:rsid w:val="00AD3F1B"/>
    <w:rsid w:val="00AD47A7"/>
    <w:rsid w:val="00AD52A6"/>
    <w:rsid w:val="00AD57E0"/>
    <w:rsid w:val="00AD58FC"/>
    <w:rsid w:val="00AD5A95"/>
    <w:rsid w:val="00AD625C"/>
    <w:rsid w:val="00AD66CF"/>
    <w:rsid w:val="00AD70D3"/>
    <w:rsid w:val="00AD7338"/>
    <w:rsid w:val="00AD7584"/>
    <w:rsid w:val="00AD7696"/>
    <w:rsid w:val="00AD77D7"/>
    <w:rsid w:val="00AD7AE1"/>
    <w:rsid w:val="00AD7B7A"/>
    <w:rsid w:val="00AD7D17"/>
    <w:rsid w:val="00AE00B1"/>
    <w:rsid w:val="00AE0387"/>
    <w:rsid w:val="00AE0863"/>
    <w:rsid w:val="00AE0DA7"/>
    <w:rsid w:val="00AE0E03"/>
    <w:rsid w:val="00AE0FD1"/>
    <w:rsid w:val="00AE11A8"/>
    <w:rsid w:val="00AE1D79"/>
    <w:rsid w:val="00AE1DE7"/>
    <w:rsid w:val="00AE1EDD"/>
    <w:rsid w:val="00AE1F49"/>
    <w:rsid w:val="00AE2321"/>
    <w:rsid w:val="00AE233F"/>
    <w:rsid w:val="00AE2546"/>
    <w:rsid w:val="00AE2619"/>
    <w:rsid w:val="00AE28C6"/>
    <w:rsid w:val="00AE2964"/>
    <w:rsid w:val="00AE2F8A"/>
    <w:rsid w:val="00AE30B0"/>
    <w:rsid w:val="00AE395C"/>
    <w:rsid w:val="00AE3993"/>
    <w:rsid w:val="00AE59A6"/>
    <w:rsid w:val="00AE5A6A"/>
    <w:rsid w:val="00AE5D84"/>
    <w:rsid w:val="00AE6C2C"/>
    <w:rsid w:val="00AE737F"/>
    <w:rsid w:val="00AE744D"/>
    <w:rsid w:val="00AE74AD"/>
    <w:rsid w:val="00AF0CBF"/>
    <w:rsid w:val="00AF1049"/>
    <w:rsid w:val="00AF1E55"/>
    <w:rsid w:val="00AF1E9E"/>
    <w:rsid w:val="00AF1F5C"/>
    <w:rsid w:val="00AF2292"/>
    <w:rsid w:val="00AF2438"/>
    <w:rsid w:val="00AF257F"/>
    <w:rsid w:val="00AF290B"/>
    <w:rsid w:val="00AF29AE"/>
    <w:rsid w:val="00AF2A5F"/>
    <w:rsid w:val="00AF2A94"/>
    <w:rsid w:val="00AF3257"/>
    <w:rsid w:val="00AF331A"/>
    <w:rsid w:val="00AF33CF"/>
    <w:rsid w:val="00AF34A1"/>
    <w:rsid w:val="00AF3748"/>
    <w:rsid w:val="00AF3E6B"/>
    <w:rsid w:val="00AF3E81"/>
    <w:rsid w:val="00AF46AA"/>
    <w:rsid w:val="00AF46DB"/>
    <w:rsid w:val="00AF4750"/>
    <w:rsid w:val="00AF4D50"/>
    <w:rsid w:val="00AF5020"/>
    <w:rsid w:val="00AF5C8B"/>
    <w:rsid w:val="00AF607E"/>
    <w:rsid w:val="00AF6179"/>
    <w:rsid w:val="00AF6527"/>
    <w:rsid w:val="00AF6550"/>
    <w:rsid w:val="00AF6970"/>
    <w:rsid w:val="00AF6B2D"/>
    <w:rsid w:val="00AF6BFE"/>
    <w:rsid w:val="00AF6D40"/>
    <w:rsid w:val="00AF7B3A"/>
    <w:rsid w:val="00B003A0"/>
    <w:rsid w:val="00B0068F"/>
    <w:rsid w:val="00B00883"/>
    <w:rsid w:val="00B009FE"/>
    <w:rsid w:val="00B01227"/>
    <w:rsid w:val="00B01ADC"/>
    <w:rsid w:val="00B01E69"/>
    <w:rsid w:val="00B01ED9"/>
    <w:rsid w:val="00B02595"/>
    <w:rsid w:val="00B026A6"/>
    <w:rsid w:val="00B02B88"/>
    <w:rsid w:val="00B02E2B"/>
    <w:rsid w:val="00B0365F"/>
    <w:rsid w:val="00B0394A"/>
    <w:rsid w:val="00B039E4"/>
    <w:rsid w:val="00B04693"/>
    <w:rsid w:val="00B04857"/>
    <w:rsid w:val="00B048F0"/>
    <w:rsid w:val="00B04E56"/>
    <w:rsid w:val="00B0502B"/>
    <w:rsid w:val="00B0507A"/>
    <w:rsid w:val="00B0540E"/>
    <w:rsid w:val="00B0552B"/>
    <w:rsid w:val="00B058D3"/>
    <w:rsid w:val="00B0599B"/>
    <w:rsid w:val="00B06504"/>
    <w:rsid w:val="00B06AFD"/>
    <w:rsid w:val="00B06DC1"/>
    <w:rsid w:val="00B06E7B"/>
    <w:rsid w:val="00B06FE2"/>
    <w:rsid w:val="00B0751E"/>
    <w:rsid w:val="00B07D16"/>
    <w:rsid w:val="00B07EC1"/>
    <w:rsid w:val="00B101F5"/>
    <w:rsid w:val="00B101FA"/>
    <w:rsid w:val="00B1039D"/>
    <w:rsid w:val="00B1049F"/>
    <w:rsid w:val="00B1056A"/>
    <w:rsid w:val="00B1070A"/>
    <w:rsid w:val="00B107DA"/>
    <w:rsid w:val="00B10EC2"/>
    <w:rsid w:val="00B11CFA"/>
    <w:rsid w:val="00B12531"/>
    <w:rsid w:val="00B1295A"/>
    <w:rsid w:val="00B12E51"/>
    <w:rsid w:val="00B13331"/>
    <w:rsid w:val="00B13885"/>
    <w:rsid w:val="00B138DA"/>
    <w:rsid w:val="00B138DB"/>
    <w:rsid w:val="00B13B3E"/>
    <w:rsid w:val="00B13C68"/>
    <w:rsid w:val="00B13E37"/>
    <w:rsid w:val="00B13F24"/>
    <w:rsid w:val="00B143EB"/>
    <w:rsid w:val="00B1472F"/>
    <w:rsid w:val="00B147DB"/>
    <w:rsid w:val="00B14BCE"/>
    <w:rsid w:val="00B150CB"/>
    <w:rsid w:val="00B1584B"/>
    <w:rsid w:val="00B160BE"/>
    <w:rsid w:val="00B1619B"/>
    <w:rsid w:val="00B1648E"/>
    <w:rsid w:val="00B16A24"/>
    <w:rsid w:val="00B16E1E"/>
    <w:rsid w:val="00B17029"/>
    <w:rsid w:val="00B17272"/>
    <w:rsid w:val="00B1775F"/>
    <w:rsid w:val="00B17A92"/>
    <w:rsid w:val="00B17CEA"/>
    <w:rsid w:val="00B20964"/>
    <w:rsid w:val="00B20A45"/>
    <w:rsid w:val="00B20D98"/>
    <w:rsid w:val="00B20DF2"/>
    <w:rsid w:val="00B21D42"/>
    <w:rsid w:val="00B21F95"/>
    <w:rsid w:val="00B2223C"/>
    <w:rsid w:val="00B22492"/>
    <w:rsid w:val="00B2256C"/>
    <w:rsid w:val="00B2273F"/>
    <w:rsid w:val="00B22B61"/>
    <w:rsid w:val="00B22C5C"/>
    <w:rsid w:val="00B22D02"/>
    <w:rsid w:val="00B22E2C"/>
    <w:rsid w:val="00B22ED5"/>
    <w:rsid w:val="00B2347D"/>
    <w:rsid w:val="00B23573"/>
    <w:rsid w:val="00B2361D"/>
    <w:rsid w:val="00B23684"/>
    <w:rsid w:val="00B246CA"/>
    <w:rsid w:val="00B24B20"/>
    <w:rsid w:val="00B24B70"/>
    <w:rsid w:val="00B24BBB"/>
    <w:rsid w:val="00B24E07"/>
    <w:rsid w:val="00B24F30"/>
    <w:rsid w:val="00B253CD"/>
    <w:rsid w:val="00B25B56"/>
    <w:rsid w:val="00B25B5A"/>
    <w:rsid w:val="00B25D30"/>
    <w:rsid w:val="00B25D98"/>
    <w:rsid w:val="00B260E7"/>
    <w:rsid w:val="00B26939"/>
    <w:rsid w:val="00B26DBB"/>
    <w:rsid w:val="00B2702C"/>
    <w:rsid w:val="00B272C3"/>
    <w:rsid w:val="00B278CC"/>
    <w:rsid w:val="00B27A4E"/>
    <w:rsid w:val="00B27C90"/>
    <w:rsid w:val="00B27F91"/>
    <w:rsid w:val="00B311D2"/>
    <w:rsid w:val="00B31ABF"/>
    <w:rsid w:val="00B31C5C"/>
    <w:rsid w:val="00B31D8A"/>
    <w:rsid w:val="00B32474"/>
    <w:rsid w:val="00B328F7"/>
    <w:rsid w:val="00B32DF1"/>
    <w:rsid w:val="00B32EC1"/>
    <w:rsid w:val="00B3330E"/>
    <w:rsid w:val="00B3379E"/>
    <w:rsid w:val="00B33AD6"/>
    <w:rsid w:val="00B33BE3"/>
    <w:rsid w:val="00B33FC6"/>
    <w:rsid w:val="00B3404A"/>
    <w:rsid w:val="00B34263"/>
    <w:rsid w:val="00B350A5"/>
    <w:rsid w:val="00B3510F"/>
    <w:rsid w:val="00B35221"/>
    <w:rsid w:val="00B35538"/>
    <w:rsid w:val="00B3573C"/>
    <w:rsid w:val="00B35E44"/>
    <w:rsid w:val="00B3614A"/>
    <w:rsid w:val="00B36244"/>
    <w:rsid w:val="00B36E27"/>
    <w:rsid w:val="00B36FCB"/>
    <w:rsid w:val="00B3709D"/>
    <w:rsid w:val="00B37E08"/>
    <w:rsid w:val="00B37F67"/>
    <w:rsid w:val="00B4024D"/>
    <w:rsid w:val="00B4062C"/>
    <w:rsid w:val="00B4063B"/>
    <w:rsid w:val="00B406C6"/>
    <w:rsid w:val="00B40834"/>
    <w:rsid w:val="00B40A6E"/>
    <w:rsid w:val="00B40E50"/>
    <w:rsid w:val="00B41173"/>
    <w:rsid w:val="00B412D9"/>
    <w:rsid w:val="00B41606"/>
    <w:rsid w:val="00B4168E"/>
    <w:rsid w:val="00B41790"/>
    <w:rsid w:val="00B4185A"/>
    <w:rsid w:val="00B425DB"/>
    <w:rsid w:val="00B42982"/>
    <w:rsid w:val="00B42C55"/>
    <w:rsid w:val="00B430C4"/>
    <w:rsid w:val="00B43316"/>
    <w:rsid w:val="00B4347C"/>
    <w:rsid w:val="00B43863"/>
    <w:rsid w:val="00B43D81"/>
    <w:rsid w:val="00B43EBC"/>
    <w:rsid w:val="00B44522"/>
    <w:rsid w:val="00B44535"/>
    <w:rsid w:val="00B4489C"/>
    <w:rsid w:val="00B44D47"/>
    <w:rsid w:val="00B45335"/>
    <w:rsid w:val="00B45A79"/>
    <w:rsid w:val="00B45F38"/>
    <w:rsid w:val="00B46451"/>
    <w:rsid w:val="00B46BA4"/>
    <w:rsid w:val="00B4769E"/>
    <w:rsid w:val="00B47A42"/>
    <w:rsid w:val="00B509E9"/>
    <w:rsid w:val="00B50A35"/>
    <w:rsid w:val="00B50B2F"/>
    <w:rsid w:val="00B50CB0"/>
    <w:rsid w:val="00B513E7"/>
    <w:rsid w:val="00B51CDC"/>
    <w:rsid w:val="00B52382"/>
    <w:rsid w:val="00B5287E"/>
    <w:rsid w:val="00B52F97"/>
    <w:rsid w:val="00B53B5D"/>
    <w:rsid w:val="00B53D0A"/>
    <w:rsid w:val="00B53D52"/>
    <w:rsid w:val="00B53E1F"/>
    <w:rsid w:val="00B5443F"/>
    <w:rsid w:val="00B546F1"/>
    <w:rsid w:val="00B54B4E"/>
    <w:rsid w:val="00B551C5"/>
    <w:rsid w:val="00B5588A"/>
    <w:rsid w:val="00B55A39"/>
    <w:rsid w:val="00B55FBE"/>
    <w:rsid w:val="00B5667B"/>
    <w:rsid w:val="00B5671E"/>
    <w:rsid w:val="00B56C8F"/>
    <w:rsid w:val="00B572B4"/>
    <w:rsid w:val="00B575DA"/>
    <w:rsid w:val="00B577D8"/>
    <w:rsid w:val="00B57D54"/>
    <w:rsid w:val="00B6055E"/>
    <w:rsid w:val="00B60688"/>
    <w:rsid w:val="00B60D99"/>
    <w:rsid w:val="00B610C0"/>
    <w:rsid w:val="00B612F8"/>
    <w:rsid w:val="00B6147E"/>
    <w:rsid w:val="00B615D2"/>
    <w:rsid w:val="00B61BEC"/>
    <w:rsid w:val="00B61CE9"/>
    <w:rsid w:val="00B62082"/>
    <w:rsid w:val="00B62C13"/>
    <w:rsid w:val="00B62C92"/>
    <w:rsid w:val="00B62F4E"/>
    <w:rsid w:val="00B6317D"/>
    <w:rsid w:val="00B6399E"/>
    <w:rsid w:val="00B63A9A"/>
    <w:rsid w:val="00B63D1F"/>
    <w:rsid w:val="00B63D89"/>
    <w:rsid w:val="00B63EFE"/>
    <w:rsid w:val="00B63F18"/>
    <w:rsid w:val="00B63F34"/>
    <w:rsid w:val="00B645D4"/>
    <w:rsid w:val="00B6468F"/>
    <w:rsid w:val="00B6499B"/>
    <w:rsid w:val="00B64FE6"/>
    <w:rsid w:val="00B650CF"/>
    <w:rsid w:val="00B65340"/>
    <w:rsid w:val="00B654B0"/>
    <w:rsid w:val="00B65565"/>
    <w:rsid w:val="00B659F0"/>
    <w:rsid w:val="00B66060"/>
    <w:rsid w:val="00B6609D"/>
    <w:rsid w:val="00B66250"/>
    <w:rsid w:val="00B664C8"/>
    <w:rsid w:val="00B670E9"/>
    <w:rsid w:val="00B6718A"/>
    <w:rsid w:val="00B673DC"/>
    <w:rsid w:val="00B67B95"/>
    <w:rsid w:val="00B67DD7"/>
    <w:rsid w:val="00B67EC2"/>
    <w:rsid w:val="00B709C5"/>
    <w:rsid w:val="00B70AA3"/>
    <w:rsid w:val="00B70BA9"/>
    <w:rsid w:val="00B70D5C"/>
    <w:rsid w:val="00B70F83"/>
    <w:rsid w:val="00B71D37"/>
    <w:rsid w:val="00B72835"/>
    <w:rsid w:val="00B7299F"/>
    <w:rsid w:val="00B7344C"/>
    <w:rsid w:val="00B7348A"/>
    <w:rsid w:val="00B736EC"/>
    <w:rsid w:val="00B73A85"/>
    <w:rsid w:val="00B7428A"/>
    <w:rsid w:val="00B7478B"/>
    <w:rsid w:val="00B7487D"/>
    <w:rsid w:val="00B751F8"/>
    <w:rsid w:val="00B75B42"/>
    <w:rsid w:val="00B761C5"/>
    <w:rsid w:val="00B76753"/>
    <w:rsid w:val="00B76CA4"/>
    <w:rsid w:val="00B7704C"/>
    <w:rsid w:val="00B7723F"/>
    <w:rsid w:val="00B772C5"/>
    <w:rsid w:val="00B772CC"/>
    <w:rsid w:val="00B7751A"/>
    <w:rsid w:val="00B77C39"/>
    <w:rsid w:val="00B80062"/>
    <w:rsid w:val="00B800AD"/>
    <w:rsid w:val="00B80534"/>
    <w:rsid w:val="00B80F9F"/>
    <w:rsid w:val="00B80FF0"/>
    <w:rsid w:val="00B81513"/>
    <w:rsid w:val="00B8183C"/>
    <w:rsid w:val="00B819EF"/>
    <w:rsid w:val="00B81AF1"/>
    <w:rsid w:val="00B81B17"/>
    <w:rsid w:val="00B81ED6"/>
    <w:rsid w:val="00B8209C"/>
    <w:rsid w:val="00B832C7"/>
    <w:rsid w:val="00B8361D"/>
    <w:rsid w:val="00B83A37"/>
    <w:rsid w:val="00B83F67"/>
    <w:rsid w:val="00B84076"/>
    <w:rsid w:val="00B8433C"/>
    <w:rsid w:val="00B84B78"/>
    <w:rsid w:val="00B85569"/>
    <w:rsid w:val="00B85D69"/>
    <w:rsid w:val="00B85F18"/>
    <w:rsid w:val="00B862C9"/>
    <w:rsid w:val="00B86873"/>
    <w:rsid w:val="00B86A3D"/>
    <w:rsid w:val="00B86D47"/>
    <w:rsid w:val="00B8708C"/>
    <w:rsid w:val="00B8713D"/>
    <w:rsid w:val="00B87491"/>
    <w:rsid w:val="00B87D00"/>
    <w:rsid w:val="00B90544"/>
    <w:rsid w:val="00B90C70"/>
    <w:rsid w:val="00B916BB"/>
    <w:rsid w:val="00B91869"/>
    <w:rsid w:val="00B91C9F"/>
    <w:rsid w:val="00B91FCE"/>
    <w:rsid w:val="00B9225D"/>
    <w:rsid w:val="00B92290"/>
    <w:rsid w:val="00B92299"/>
    <w:rsid w:val="00B926EC"/>
    <w:rsid w:val="00B9273E"/>
    <w:rsid w:val="00B9282C"/>
    <w:rsid w:val="00B92A63"/>
    <w:rsid w:val="00B931F2"/>
    <w:rsid w:val="00B93B9B"/>
    <w:rsid w:val="00B93DB9"/>
    <w:rsid w:val="00B940DF"/>
    <w:rsid w:val="00B942EA"/>
    <w:rsid w:val="00B94812"/>
    <w:rsid w:val="00B956BB"/>
    <w:rsid w:val="00B95AC0"/>
    <w:rsid w:val="00B95DD9"/>
    <w:rsid w:val="00B95F40"/>
    <w:rsid w:val="00B95F5B"/>
    <w:rsid w:val="00B965F6"/>
    <w:rsid w:val="00B96EB9"/>
    <w:rsid w:val="00B972EB"/>
    <w:rsid w:val="00B97B43"/>
    <w:rsid w:val="00BA02FD"/>
    <w:rsid w:val="00BA04F0"/>
    <w:rsid w:val="00BA0516"/>
    <w:rsid w:val="00BA0585"/>
    <w:rsid w:val="00BA0A51"/>
    <w:rsid w:val="00BA0B6E"/>
    <w:rsid w:val="00BA1583"/>
    <w:rsid w:val="00BA18AE"/>
    <w:rsid w:val="00BA18CF"/>
    <w:rsid w:val="00BA1A55"/>
    <w:rsid w:val="00BA1AEF"/>
    <w:rsid w:val="00BA1EE1"/>
    <w:rsid w:val="00BA28C4"/>
    <w:rsid w:val="00BA29E9"/>
    <w:rsid w:val="00BA344C"/>
    <w:rsid w:val="00BA3754"/>
    <w:rsid w:val="00BA3803"/>
    <w:rsid w:val="00BA3E47"/>
    <w:rsid w:val="00BA4128"/>
    <w:rsid w:val="00BA4ABE"/>
    <w:rsid w:val="00BA4B51"/>
    <w:rsid w:val="00BA503F"/>
    <w:rsid w:val="00BA5197"/>
    <w:rsid w:val="00BA5A09"/>
    <w:rsid w:val="00BA5D59"/>
    <w:rsid w:val="00BA616B"/>
    <w:rsid w:val="00BA6476"/>
    <w:rsid w:val="00BA6E65"/>
    <w:rsid w:val="00BA70A2"/>
    <w:rsid w:val="00BA7142"/>
    <w:rsid w:val="00BA7953"/>
    <w:rsid w:val="00BA7ED0"/>
    <w:rsid w:val="00BB0403"/>
    <w:rsid w:val="00BB11AC"/>
    <w:rsid w:val="00BB1545"/>
    <w:rsid w:val="00BB15DF"/>
    <w:rsid w:val="00BB1982"/>
    <w:rsid w:val="00BB1A9D"/>
    <w:rsid w:val="00BB1CA8"/>
    <w:rsid w:val="00BB1DD4"/>
    <w:rsid w:val="00BB2360"/>
    <w:rsid w:val="00BB237C"/>
    <w:rsid w:val="00BB26C5"/>
    <w:rsid w:val="00BB271C"/>
    <w:rsid w:val="00BB35A3"/>
    <w:rsid w:val="00BB3A51"/>
    <w:rsid w:val="00BB3BF8"/>
    <w:rsid w:val="00BB3EC7"/>
    <w:rsid w:val="00BB3ECE"/>
    <w:rsid w:val="00BB41A3"/>
    <w:rsid w:val="00BB46A0"/>
    <w:rsid w:val="00BB46B1"/>
    <w:rsid w:val="00BB4B6D"/>
    <w:rsid w:val="00BB4F35"/>
    <w:rsid w:val="00BB5239"/>
    <w:rsid w:val="00BB52A3"/>
    <w:rsid w:val="00BB535A"/>
    <w:rsid w:val="00BB5D77"/>
    <w:rsid w:val="00BB5FC5"/>
    <w:rsid w:val="00BB6106"/>
    <w:rsid w:val="00BB63FA"/>
    <w:rsid w:val="00BB693D"/>
    <w:rsid w:val="00BB7309"/>
    <w:rsid w:val="00BB74DD"/>
    <w:rsid w:val="00BB75BB"/>
    <w:rsid w:val="00BB7F8C"/>
    <w:rsid w:val="00BC0313"/>
    <w:rsid w:val="00BC0886"/>
    <w:rsid w:val="00BC08B4"/>
    <w:rsid w:val="00BC3016"/>
    <w:rsid w:val="00BC31F6"/>
    <w:rsid w:val="00BC32DC"/>
    <w:rsid w:val="00BC3342"/>
    <w:rsid w:val="00BC3353"/>
    <w:rsid w:val="00BC35B6"/>
    <w:rsid w:val="00BC3A5B"/>
    <w:rsid w:val="00BC3AB6"/>
    <w:rsid w:val="00BC44A2"/>
    <w:rsid w:val="00BC464A"/>
    <w:rsid w:val="00BC47EF"/>
    <w:rsid w:val="00BC4E1B"/>
    <w:rsid w:val="00BC5DF7"/>
    <w:rsid w:val="00BC6365"/>
    <w:rsid w:val="00BC64DA"/>
    <w:rsid w:val="00BC666E"/>
    <w:rsid w:val="00BC6C3B"/>
    <w:rsid w:val="00BC7E16"/>
    <w:rsid w:val="00BC7E7F"/>
    <w:rsid w:val="00BC7FE5"/>
    <w:rsid w:val="00BD0195"/>
    <w:rsid w:val="00BD0852"/>
    <w:rsid w:val="00BD109B"/>
    <w:rsid w:val="00BD10D5"/>
    <w:rsid w:val="00BD11AD"/>
    <w:rsid w:val="00BD125E"/>
    <w:rsid w:val="00BD14F1"/>
    <w:rsid w:val="00BD1A94"/>
    <w:rsid w:val="00BD1B51"/>
    <w:rsid w:val="00BD1B6D"/>
    <w:rsid w:val="00BD2508"/>
    <w:rsid w:val="00BD2C4B"/>
    <w:rsid w:val="00BD2E91"/>
    <w:rsid w:val="00BD3126"/>
    <w:rsid w:val="00BD34C4"/>
    <w:rsid w:val="00BD35A7"/>
    <w:rsid w:val="00BD3719"/>
    <w:rsid w:val="00BD3743"/>
    <w:rsid w:val="00BD3998"/>
    <w:rsid w:val="00BD3AE5"/>
    <w:rsid w:val="00BD4427"/>
    <w:rsid w:val="00BD4596"/>
    <w:rsid w:val="00BD470F"/>
    <w:rsid w:val="00BD48EC"/>
    <w:rsid w:val="00BD4A4F"/>
    <w:rsid w:val="00BD4AB9"/>
    <w:rsid w:val="00BD4B95"/>
    <w:rsid w:val="00BD4C8B"/>
    <w:rsid w:val="00BD4CFF"/>
    <w:rsid w:val="00BD577D"/>
    <w:rsid w:val="00BD5DF8"/>
    <w:rsid w:val="00BD62DF"/>
    <w:rsid w:val="00BD6A31"/>
    <w:rsid w:val="00BD77DA"/>
    <w:rsid w:val="00BE00CA"/>
    <w:rsid w:val="00BE00D0"/>
    <w:rsid w:val="00BE048B"/>
    <w:rsid w:val="00BE057E"/>
    <w:rsid w:val="00BE08F7"/>
    <w:rsid w:val="00BE0E55"/>
    <w:rsid w:val="00BE1405"/>
    <w:rsid w:val="00BE1428"/>
    <w:rsid w:val="00BE15B9"/>
    <w:rsid w:val="00BE2263"/>
    <w:rsid w:val="00BE22FC"/>
    <w:rsid w:val="00BE2592"/>
    <w:rsid w:val="00BE2739"/>
    <w:rsid w:val="00BE2968"/>
    <w:rsid w:val="00BE2CC5"/>
    <w:rsid w:val="00BE312D"/>
    <w:rsid w:val="00BE3185"/>
    <w:rsid w:val="00BE32F3"/>
    <w:rsid w:val="00BE3B41"/>
    <w:rsid w:val="00BE414B"/>
    <w:rsid w:val="00BE42D2"/>
    <w:rsid w:val="00BE47E8"/>
    <w:rsid w:val="00BE47F8"/>
    <w:rsid w:val="00BE4C16"/>
    <w:rsid w:val="00BE5091"/>
    <w:rsid w:val="00BE5876"/>
    <w:rsid w:val="00BE5905"/>
    <w:rsid w:val="00BE5DC4"/>
    <w:rsid w:val="00BE5F80"/>
    <w:rsid w:val="00BE60D7"/>
    <w:rsid w:val="00BE61EE"/>
    <w:rsid w:val="00BE61F2"/>
    <w:rsid w:val="00BE6220"/>
    <w:rsid w:val="00BE6334"/>
    <w:rsid w:val="00BE6800"/>
    <w:rsid w:val="00BE6FB0"/>
    <w:rsid w:val="00BE7628"/>
    <w:rsid w:val="00BE77B2"/>
    <w:rsid w:val="00BE7D6F"/>
    <w:rsid w:val="00BE7E9C"/>
    <w:rsid w:val="00BF09A8"/>
    <w:rsid w:val="00BF0E19"/>
    <w:rsid w:val="00BF0E98"/>
    <w:rsid w:val="00BF0F70"/>
    <w:rsid w:val="00BF109F"/>
    <w:rsid w:val="00BF11B2"/>
    <w:rsid w:val="00BF1251"/>
    <w:rsid w:val="00BF13B2"/>
    <w:rsid w:val="00BF1635"/>
    <w:rsid w:val="00BF1747"/>
    <w:rsid w:val="00BF1C20"/>
    <w:rsid w:val="00BF21A0"/>
    <w:rsid w:val="00BF27D7"/>
    <w:rsid w:val="00BF3574"/>
    <w:rsid w:val="00BF37D8"/>
    <w:rsid w:val="00BF452D"/>
    <w:rsid w:val="00BF4784"/>
    <w:rsid w:val="00BF4895"/>
    <w:rsid w:val="00BF4997"/>
    <w:rsid w:val="00BF5423"/>
    <w:rsid w:val="00BF5C56"/>
    <w:rsid w:val="00BF6116"/>
    <w:rsid w:val="00BF6516"/>
    <w:rsid w:val="00BF67BA"/>
    <w:rsid w:val="00BF6AB1"/>
    <w:rsid w:val="00BF6F3A"/>
    <w:rsid w:val="00BF6F46"/>
    <w:rsid w:val="00BF706B"/>
    <w:rsid w:val="00BF73C9"/>
    <w:rsid w:val="00BF75F1"/>
    <w:rsid w:val="00C007C0"/>
    <w:rsid w:val="00C0093C"/>
    <w:rsid w:val="00C009C1"/>
    <w:rsid w:val="00C00D6E"/>
    <w:rsid w:val="00C01B18"/>
    <w:rsid w:val="00C01B23"/>
    <w:rsid w:val="00C01BE3"/>
    <w:rsid w:val="00C01E17"/>
    <w:rsid w:val="00C01F17"/>
    <w:rsid w:val="00C0216C"/>
    <w:rsid w:val="00C02A91"/>
    <w:rsid w:val="00C033E5"/>
    <w:rsid w:val="00C03624"/>
    <w:rsid w:val="00C0364F"/>
    <w:rsid w:val="00C039EE"/>
    <w:rsid w:val="00C03B0E"/>
    <w:rsid w:val="00C04048"/>
    <w:rsid w:val="00C040BD"/>
    <w:rsid w:val="00C04112"/>
    <w:rsid w:val="00C04215"/>
    <w:rsid w:val="00C042EF"/>
    <w:rsid w:val="00C0433C"/>
    <w:rsid w:val="00C043FA"/>
    <w:rsid w:val="00C04794"/>
    <w:rsid w:val="00C0496E"/>
    <w:rsid w:val="00C04BA5"/>
    <w:rsid w:val="00C04D98"/>
    <w:rsid w:val="00C053FD"/>
    <w:rsid w:val="00C05844"/>
    <w:rsid w:val="00C06319"/>
    <w:rsid w:val="00C0695B"/>
    <w:rsid w:val="00C06B4C"/>
    <w:rsid w:val="00C06C95"/>
    <w:rsid w:val="00C07116"/>
    <w:rsid w:val="00C07805"/>
    <w:rsid w:val="00C07811"/>
    <w:rsid w:val="00C07CED"/>
    <w:rsid w:val="00C07FCB"/>
    <w:rsid w:val="00C10578"/>
    <w:rsid w:val="00C10A74"/>
    <w:rsid w:val="00C10B8D"/>
    <w:rsid w:val="00C10CD1"/>
    <w:rsid w:val="00C113E1"/>
    <w:rsid w:val="00C11938"/>
    <w:rsid w:val="00C11DF0"/>
    <w:rsid w:val="00C12478"/>
    <w:rsid w:val="00C12A87"/>
    <w:rsid w:val="00C12D9A"/>
    <w:rsid w:val="00C12DE3"/>
    <w:rsid w:val="00C13041"/>
    <w:rsid w:val="00C131E6"/>
    <w:rsid w:val="00C13233"/>
    <w:rsid w:val="00C135B4"/>
    <w:rsid w:val="00C135BC"/>
    <w:rsid w:val="00C14948"/>
    <w:rsid w:val="00C14C96"/>
    <w:rsid w:val="00C1520F"/>
    <w:rsid w:val="00C1586C"/>
    <w:rsid w:val="00C15C95"/>
    <w:rsid w:val="00C15EBF"/>
    <w:rsid w:val="00C15F2D"/>
    <w:rsid w:val="00C16781"/>
    <w:rsid w:val="00C16B68"/>
    <w:rsid w:val="00C16B71"/>
    <w:rsid w:val="00C16D4D"/>
    <w:rsid w:val="00C17943"/>
    <w:rsid w:val="00C17A08"/>
    <w:rsid w:val="00C17BCA"/>
    <w:rsid w:val="00C17F97"/>
    <w:rsid w:val="00C20122"/>
    <w:rsid w:val="00C2024D"/>
    <w:rsid w:val="00C20270"/>
    <w:rsid w:val="00C20391"/>
    <w:rsid w:val="00C2041E"/>
    <w:rsid w:val="00C20569"/>
    <w:rsid w:val="00C21059"/>
    <w:rsid w:val="00C218DA"/>
    <w:rsid w:val="00C21DFB"/>
    <w:rsid w:val="00C220E2"/>
    <w:rsid w:val="00C222A3"/>
    <w:rsid w:val="00C225E9"/>
    <w:rsid w:val="00C243C9"/>
    <w:rsid w:val="00C245F8"/>
    <w:rsid w:val="00C2558E"/>
    <w:rsid w:val="00C2596A"/>
    <w:rsid w:val="00C261D4"/>
    <w:rsid w:val="00C2677A"/>
    <w:rsid w:val="00C268BB"/>
    <w:rsid w:val="00C269FC"/>
    <w:rsid w:val="00C270B2"/>
    <w:rsid w:val="00C27134"/>
    <w:rsid w:val="00C27537"/>
    <w:rsid w:val="00C27A03"/>
    <w:rsid w:val="00C27C30"/>
    <w:rsid w:val="00C27DFC"/>
    <w:rsid w:val="00C27E37"/>
    <w:rsid w:val="00C301B6"/>
    <w:rsid w:val="00C30327"/>
    <w:rsid w:val="00C30909"/>
    <w:rsid w:val="00C30AA4"/>
    <w:rsid w:val="00C30B40"/>
    <w:rsid w:val="00C30C4A"/>
    <w:rsid w:val="00C312B8"/>
    <w:rsid w:val="00C317CB"/>
    <w:rsid w:val="00C323BC"/>
    <w:rsid w:val="00C32822"/>
    <w:rsid w:val="00C328FE"/>
    <w:rsid w:val="00C32941"/>
    <w:rsid w:val="00C32A2C"/>
    <w:rsid w:val="00C332EE"/>
    <w:rsid w:val="00C33507"/>
    <w:rsid w:val="00C339A9"/>
    <w:rsid w:val="00C33C35"/>
    <w:rsid w:val="00C33D59"/>
    <w:rsid w:val="00C34124"/>
    <w:rsid w:val="00C3425E"/>
    <w:rsid w:val="00C34B95"/>
    <w:rsid w:val="00C34DAD"/>
    <w:rsid w:val="00C34EE1"/>
    <w:rsid w:val="00C34FC2"/>
    <w:rsid w:val="00C35131"/>
    <w:rsid w:val="00C35589"/>
    <w:rsid w:val="00C35B97"/>
    <w:rsid w:val="00C361AB"/>
    <w:rsid w:val="00C3633A"/>
    <w:rsid w:val="00C36662"/>
    <w:rsid w:val="00C367EC"/>
    <w:rsid w:val="00C36A68"/>
    <w:rsid w:val="00C36B5B"/>
    <w:rsid w:val="00C36E83"/>
    <w:rsid w:val="00C37A2B"/>
    <w:rsid w:val="00C37D53"/>
    <w:rsid w:val="00C37F49"/>
    <w:rsid w:val="00C402B6"/>
    <w:rsid w:val="00C406C0"/>
    <w:rsid w:val="00C4081E"/>
    <w:rsid w:val="00C40B7C"/>
    <w:rsid w:val="00C40E8D"/>
    <w:rsid w:val="00C410D5"/>
    <w:rsid w:val="00C421A6"/>
    <w:rsid w:val="00C423D4"/>
    <w:rsid w:val="00C42704"/>
    <w:rsid w:val="00C4277A"/>
    <w:rsid w:val="00C42C27"/>
    <w:rsid w:val="00C430AE"/>
    <w:rsid w:val="00C4366A"/>
    <w:rsid w:val="00C4409D"/>
    <w:rsid w:val="00C440F9"/>
    <w:rsid w:val="00C44258"/>
    <w:rsid w:val="00C446AD"/>
    <w:rsid w:val="00C4474D"/>
    <w:rsid w:val="00C44940"/>
    <w:rsid w:val="00C44A0F"/>
    <w:rsid w:val="00C44E72"/>
    <w:rsid w:val="00C4512A"/>
    <w:rsid w:val="00C45303"/>
    <w:rsid w:val="00C455A5"/>
    <w:rsid w:val="00C45A06"/>
    <w:rsid w:val="00C45D0A"/>
    <w:rsid w:val="00C462F6"/>
    <w:rsid w:val="00C4647B"/>
    <w:rsid w:val="00C46D3A"/>
    <w:rsid w:val="00C47164"/>
    <w:rsid w:val="00C47BC4"/>
    <w:rsid w:val="00C47E5B"/>
    <w:rsid w:val="00C47EF1"/>
    <w:rsid w:val="00C5017E"/>
    <w:rsid w:val="00C50899"/>
    <w:rsid w:val="00C50A82"/>
    <w:rsid w:val="00C50A8A"/>
    <w:rsid w:val="00C50CBD"/>
    <w:rsid w:val="00C50FD6"/>
    <w:rsid w:val="00C51205"/>
    <w:rsid w:val="00C5134B"/>
    <w:rsid w:val="00C519D0"/>
    <w:rsid w:val="00C528D4"/>
    <w:rsid w:val="00C52C76"/>
    <w:rsid w:val="00C52CDD"/>
    <w:rsid w:val="00C52F46"/>
    <w:rsid w:val="00C537FC"/>
    <w:rsid w:val="00C53893"/>
    <w:rsid w:val="00C53979"/>
    <w:rsid w:val="00C53A12"/>
    <w:rsid w:val="00C5406A"/>
    <w:rsid w:val="00C543AC"/>
    <w:rsid w:val="00C544E0"/>
    <w:rsid w:val="00C5452E"/>
    <w:rsid w:val="00C54987"/>
    <w:rsid w:val="00C54BC5"/>
    <w:rsid w:val="00C54F1D"/>
    <w:rsid w:val="00C54FFC"/>
    <w:rsid w:val="00C55738"/>
    <w:rsid w:val="00C55ED9"/>
    <w:rsid w:val="00C570CD"/>
    <w:rsid w:val="00C57188"/>
    <w:rsid w:val="00C57636"/>
    <w:rsid w:val="00C57758"/>
    <w:rsid w:val="00C57A0B"/>
    <w:rsid w:val="00C57A84"/>
    <w:rsid w:val="00C57DFA"/>
    <w:rsid w:val="00C603FA"/>
    <w:rsid w:val="00C60971"/>
    <w:rsid w:val="00C60A72"/>
    <w:rsid w:val="00C6100C"/>
    <w:rsid w:val="00C6167F"/>
    <w:rsid w:val="00C617BE"/>
    <w:rsid w:val="00C61E4B"/>
    <w:rsid w:val="00C61F3E"/>
    <w:rsid w:val="00C621A3"/>
    <w:rsid w:val="00C622BE"/>
    <w:rsid w:val="00C62549"/>
    <w:rsid w:val="00C626F3"/>
    <w:rsid w:val="00C62782"/>
    <w:rsid w:val="00C6280E"/>
    <w:rsid w:val="00C62DEC"/>
    <w:rsid w:val="00C633E1"/>
    <w:rsid w:val="00C6351E"/>
    <w:rsid w:val="00C63E28"/>
    <w:rsid w:val="00C63F6E"/>
    <w:rsid w:val="00C64277"/>
    <w:rsid w:val="00C6466B"/>
    <w:rsid w:val="00C64BFF"/>
    <w:rsid w:val="00C6574F"/>
    <w:rsid w:val="00C66168"/>
    <w:rsid w:val="00C66455"/>
    <w:rsid w:val="00C67AFF"/>
    <w:rsid w:val="00C67CA3"/>
    <w:rsid w:val="00C67D6B"/>
    <w:rsid w:val="00C7008E"/>
    <w:rsid w:val="00C704E4"/>
    <w:rsid w:val="00C704E9"/>
    <w:rsid w:val="00C705C3"/>
    <w:rsid w:val="00C708C9"/>
    <w:rsid w:val="00C71112"/>
    <w:rsid w:val="00C71458"/>
    <w:rsid w:val="00C71A8C"/>
    <w:rsid w:val="00C71F4F"/>
    <w:rsid w:val="00C7208F"/>
    <w:rsid w:val="00C728FB"/>
    <w:rsid w:val="00C72E93"/>
    <w:rsid w:val="00C733B3"/>
    <w:rsid w:val="00C73880"/>
    <w:rsid w:val="00C73FE7"/>
    <w:rsid w:val="00C743D2"/>
    <w:rsid w:val="00C751BB"/>
    <w:rsid w:val="00C7547C"/>
    <w:rsid w:val="00C75842"/>
    <w:rsid w:val="00C759F7"/>
    <w:rsid w:val="00C75FC7"/>
    <w:rsid w:val="00C7608A"/>
    <w:rsid w:val="00C7617C"/>
    <w:rsid w:val="00C763A7"/>
    <w:rsid w:val="00C763C9"/>
    <w:rsid w:val="00C76A80"/>
    <w:rsid w:val="00C76C7F"/>
    <w:rsid w:val="00C76F45"/>
    <w:rsid w:val="00C7738E"/>
    <w:rsid w:val="00C773FD"/>
    <w:rsid w:val="00C777EB"/>
    <w:rsid w:val="00C80057"/>
    <w:rsid w:val="00C800BD"/>
    <w:rsid w:val="00C80777"/>
    <w:rsid w:val="00C80B02"/>
    <w:rsid w:val="00C81085"/>
    <w:rsid w:val="00C8187F"/>
    <w:rsid w:val="00C81ADD"/>
    <w:rsid w:val="00C82232"/>
    <w:rsid w:val="00C82661"/>
    <w:rsid w:val="00C82913"/>
    <w:rsid w:val="00C82DC0"/>
    <w:rsid w:val="00C839B9"/>
    <w:rsid w:val="00C83BF0"/>
    <w:rsid w:val="00C840AA"/>
    <w:rsid w:val="00C841E4"/>
    <w:rsid w:val="00C844A7"/>
    <w:rsid w:val="00C84599"/>
    <w:rsid w:val="00C84E58"/>
    <w:rsid w:val="00C84FAD"/>
    <w:rsid w:val="00C85AF3"/>
    <w:rsid w:val="00C85E76"/>
    <w:rsid w:val="00C85F20"/>
    <w:rsid w:val="00C86131"/>
    <w:rsid w:val="00C86821"/>
    <w:rsid w:val="00C8683C"/>
    <w:rsid w:val="00C868D3"/>
    <w:rsid w:val="00C86AD2"/>
    <w:rsid w:val="00C879D3"/>
    <w:rsid w:val="00C87AC7"/>
    <w:rsid w:val="00C90186"/>
    <w:rsid w:val="00C91181"/>
    <w:rsid w:val="00C91876"/>
    <w:rsid w:val="00C91B1C"/>
    <w:rsid w:val="00C92D55"/>
    <w:rsid w:val="00C92D90"/>
    <w:rsid w:val="00C92E54"/>
    <w:rsid w:val="00C930B4"/>
    <w:rsid w:val="00C93170"/>
    <w:rsid w:val="00C9327F"/>
    <w:rsid w:val="00C9394F"/>
    <w:rsid w:val="00C93DFA"/>
    <w:rsid w:val="00C93EB0"/>
    <w:rsid w:val="00C946B7"/>
    <w:rsid w:val="00C94B73"/>
    <w:rsid w:val="00C94D5F"/>
    <w:rsid w:val="00C9558D"/>
    <w:rsid w:val="00C9562D"/>
    <w:rsid w:val="00C95675"/>
    <w:rsid w:val="00C95963"/>
    <w:rsid w:val="00C959D2"/>
    <w:rsid w:val="00C9665F"/>
    <w:rsid w:val="00C96B8A"/>
    <w:rsid w:val="00C972B1"/>
    <w:rsid w:val="00C975F2"/>
    <w:rsid w:val="00C97765"/>
    <w:rsid w:val="00C979BF"/>
    <w:rsid w:val="00C97CCC"/>
    <w:rsid w:val="00C97E2C"/>
    <w:rsid w:val="00CA0197"/>
    <w:rsid w:val="00CA0708"/>
    <w:rsid w:val="00CA0F68"/>
    <w:rsid w:val="00CA0FEB"/>
    <w:rsid w:val="00CA10E7"/>
    <w:rsid w:val="00CA115C"/>
    <w:rsid w:val="00CA14A5"/>
    <w:rsid w:val="00CA19E8"/>
    <w:rsid w:val="00CA1EEC"/>
    <w:rsid w:val="00CA2980"/>
    <w:rsid w:val="00CA2ABA"/>
    <w:rsid w:val="00CA2CCE"/>
    <w:rsid w:val="00CA310F"/>
    <w:rsid w:val="00CA43FD"/>
    <w:rsid w:val="00CA4B45"/>
    <w:rsid w:val="00CA4C92"/>
    <w:rsid w:val="00CA4E7E"/>
    <w:rsid w:val="00CA5312"/>
    <w:rsid w:val="00CA53FB"/>
    <w:rsid w:val="00CA56BA"/>
    <w:rsid w:val="00CA5849"/>
    <w:rsid w:val="00CA63F9"/>
    <w:rsid w:val="00CA6DF8"/>
    <w:rsid w:val="00CA71B2"/>
    <w:rsid w:val="00CA7200"/>
    <w:rsid w:val="00CA7492"/>
    <w:rsid w:val="00CA7E05"/>
    <w:rsid w:val="00CA7EEA"/>
    <w:rsid w:val="00CA7EF8"/>
    <w:rsid w:val="00CB0065"/>
    <w:rsid w:val="00CB0292"/>
    <w:rsid w:val="00CB0DFA"/>
    <w:rsid w:val="00CB10DE"/>
    <w:rsid w:val="00CB1177"/>
    <w:rsid w:val="00CB15C2"/>
    <w:rsid w:val="00CB218B"/>
    <w:rsid w:val="00CB2814"/>
    <w:rsid w:val="00CB28EE"/>
    <w:rsid w:val="00CB2AC3"/>
    <w:rsid w:val="00CB2D42"/>
    <w:rsid w:val="00CB2F45"/>
    <w:rsid w:val="00CB3406"/>
    <w:rsid w:val="00CB3818"/>
    <w:rsid w:val="00CB3B54"/>
    <w:rsid w:val="00CB3C62"/>
    <w:rsid w:val="00CB4251"/>
    <w:rsid w:val="00CB42E1"/>
    <w:rsid w:val="00CB51BD"/>
    <w:rsid w:val="00CB51C0"/>
    <w:rsid w:val="00CB558B"/>
    <w:rsid w:val="00CB5752"/>
    <w:rsid w:val="00CB58C1"/>
    <w:rsid w:val="00CB5A07"/>
    <w:rsid w:val="00CB5A10"/>
    <w:rsid w:val="00CB5A31"/>
    <w:rsid w:val="00CB5B6F"/>
    <w:rsid w:val="00CB5F6D"/>
    <w:rsid w:val="00CB624A"/>
    <w:rsid w:val="00CB65C3"/>
    <w:rsid w:val="00CB65D7"/>
    <w:rsid w:val="00CB6A0C"/>
    <w:rsid w:val="00CB6EC8"/>
    <w:rsid w:val="00CB7243"/>
    <w:rsid w:val="00CB772F"/>
    <w:rsid w:val="00CB77BE"/>
    <w:rsid w:val="00CB7BFE"/>
    <w:rsid w:val="00CC0BD3"/>
    <w:rsid w:val="00CC0E5B"/>
    <w:rsid w:val="00CC1268"/>
    <w:rsid w:val="00CC184A"/>
    <w:rsid w:val="00CC1B11"/>
    <w:rsid w:val="00CC2079"/>
    <w:rsid w:val="00CC26E4"/>
    <w:rsid w:val="00CC2A3E"/>
    <w:rsid w:val="00CC2BDE"/>
    <w:rsid w:val="00CC2F28"/>
    <w:rsid w:val="00CC319B"/>
    <w:rsid w:val="00CC3DA4"/>
    <w:rsid w:val="00CC3F9A"/>
    <w:rsid w:val="00CC47C9"/>
    <w:rsid w:val="00CC489B"/>
    <w:rsid w:val="00CC4B44"/>
    <w:rsid w:val="00CC5066"/>
    <w:rsid w:val="00CC520D"/>
    <w:rsid w:val="00CC570E"/>
    <w:rsid w:val="00CC5962"/>
    <w:rsid w:val="00CC5BFB"/>
    <w:rsid w:val="00CC5CB7"/>
    <w:rsid w:val="00CC6831"/>
    <w:rsid w:val="00CC6CF5"/>
    <w:rsid w:val="00CC6E05"/>
    <w:rsid w:val="00CC714E"/>
    <w:rsid w:val="00CC75BE"/>
    <w:rsid w:val="00CC76DE"/>
    <w:rsid w:val="00CC77AC"/>
    <w:rsid w:val="00CD03BC"/>
    <w:rsid w:val="00CD12BE"/>
    <w:rsid w:val="00CD13A4"/>
    <w:rsid w:val="00CD13E7"/>
    <w:rsid w:val="00CD1432"/>
    <w:rsid w:val="00CD1471"/>
    <w:rsid w:val="00CD1788"/>
    <w:rsid w:val="00CD1A28"/>
    <w:rsid w:val="00CD1B10"/>
    <w:rsid w:val="00CD21EB"/>
    <w:rsid w:val="00CD2266"/>
    <w:rsid w:val="00CD285D"/>
    <w:rsid w:val="00CD2BCD"/>
    <w:rsid w:val="00CD2C7C"/>
    <w:rsid w:val="00CD36AB"/>
    <w:rsid w:val="00CD38D2"/>
    <w:rsid w:val="00CD3A4C"/>
    <w:rsid w:val="00CD3C38"/>
    <w:rsid w:val="00CD44A3"/>
    <w:rsid w:val="00CD488E"/>
    <w:rsid w:val="00CD4D8B"/>
    <w:rsid w:val="00CD4E3C"/>
    <w:rsid w:val="00CD4E91"/>
    <w:rsid w:val="00CD53C3"/>
    <w:rsid w:val="00CD59C3"/>
    <w:rsid w:val="00CD5AFC"/>
    <w:rsid w:val="00CD60BB"/>
    <w:rsid w:val="00CD6BB0"/>
    <w:rsid w:val="00CD6EDE"/>
    <w:rsid w:val="00CD7270"/>
    <w:rsid w:val="00CD78EB"/>
    <w:rsid w:val="00CD79A9"/>
    <w:rsid w:val="00CD79DA"/>
    <w:rsid w:val="00CE0072"/>
    <w:rsid w:val="00CE040E"/>
    <w:rsid w:val="00CE09E3"/>
    <w:rsid w:val="00CE0A05"/>
    <w:rsid w:val="00CE0A7E"/>
    <w:rsid w:val="00CE1004"/>
    <w:rsid w:val="00CE10E9"/>
    <w:rsid w:val="00CE113E"/>
    <w:rsid w:val="00CE1141"/>
    <w:rsid w:val="00CE1B41"/>
    <w:rsid w:val="00CE2910"/>
    <w:rsid w:val="00CE2E53"/>
    <w:rsid w:val="00CE2E5F"/>
    <w:rsid w:val="00CE2E8C"/>
    <w:rsid w:val="00CE42B6"/>
    <w:rsid w:val="00CE4548"/>
    <w:rsid w:val="00CE46FD"/>
    <w:rsid w:val="00CE4864"/>
    <w:rsid w:val="00CE5393"/>
    <w:rsid w:val="00CE53B2"/>
    <w:rsid w:val="00CE53F0"/>
    <w:rsid w:val="00CE5975"/>
    <w:rsid w:val="00CE5ACC"/>
    <w:rsid w:val="00CE5CCC"/>
    <w:rsid w:val="00CE5DC4"/>
    <w:rsid w:val="00CE6751"/>
    <w:rsid w:val="00CE6ADA"/>
    <w:rsid w:val="00CE6CF8"/>
    <w:rsid w:val="00CE7333"/>
    <w:rsid w:val="00CE79A0"/>
    <w:rsid w:val="00CF0A18"/>
    <w:rsid w:val="00CF170B"/>
    <w:rsid w:val="00CF18F6"/>
    <w:rsid w:val="00CF2910"/>
    <w:rsid w:val="00CF2B37"/>
    <w:rsid w:val="00CF2B58"/>
    <w:rsid w:val="00CF36BE"/>
    <w:rsid w:val="00CF3A65"/>
    <w:rsid w:val="00CF3B2A"/>
    <w:rsid w:val="00CF3B4A"/>
    <w:rsid w:val="00CF420B"/>
    <w:rsid w:val="00CF43D1"/>
    <w:rsid w:val="00CF4778"/>
    <w:rsid w:val="00CF47A4"/>
    <w:rsid w:val="00CF5307"/>
    <w:rsid w:val="00CF53D0"/>
    <w:rsid w:val="00CF5500"/>
    <w:rsid w:val="00CF5DC6"/>
    <w:rsid w:val="00CF6000"/>
    <w:rsid w:val="00CF63F6"/>
    <w:rsid w:val="00CF6B04"/>
    <w:rsid w:val="00CF70B2"/>
    <w:rsid w:val="00CF71A3"/>
    <w:rsid w:val="00CF758B"/>
    <w:rsid w:val="00CF7761"/>
    <w:rsid w:val="00CF7947"/>
    <w:rsid w:val="00CF7A5B"/>
    <w:rsid w:val="00D00362"/>
    <w:rsid w:val="00D003F3"/>
    <w:rsid w:val="00D00686"/>
    <w:rsid w:val="00D0090F"/>
    <w:rsid w:val="00D00982"/>
    <w:rsid w:val="00D00E3F"/>
    <w:rsid w:val="00D011B2"/>
    <w:rsid w:val="00D01278"/>
    <w:rsid w:val="00D01EC7"/>
    <w:rsid w:val="00D01FA4"/>
    <w:rsid w:val="00D020E4"/>
    <w:rsid w:val="00D02D90"/>
    <w:rsid w:val="00D03026"/>
    <w:rsid w:val="00D0364F"/>
    <w:rsid w:val="00D03A8A"/>
    <w:rsid w:val="00D03AB1"/>
    <w:rsid w:val="00D04136"/>
    <w:rsid w:val="00D042F0"/>
    <w:rsid w:val="00D045C5"/>
    <w:rsid w:val="00D04C52"/>
    <w:rsid w:val="00D04DA5"/>
    <w:rsid w:val="00D0522B"/>
    <w:rsid w:val="00D057F3"/>
    <w:rsid w:val="00D059AB"/>
    <w:rsid w:val="00D05CC2"/>
    <w:rsid w:val="00D05EBC"/>
    <w:rsid w:val="00D060F9"/>
    <w:rsid w:val="00D0613C"/>
    <w:rsid w:val="00D06348"/>
    <w:rsid w:val="00D06834"/>
    <w:rsid w:val="00D06F2C"/>
    <w:rsid w:val="00D0708B"/>
    <w:rsid w:val="00D077F4"/>
    <w:rsid w:val="00D07921"/>
    <w:rsid w:val="00D0793F"/>
    <w:rsid w:val="00D1005A"/>
    <w:rsid w:val="00D10E57"/>
    <w:rsid w:val="00D11096"/>
    <w:rsid w:val="00D1128B"/>
    <w:rsid w:val="00D11AEF"/>
    <w:rsid w:val="00D11B6D"/>
    <w:rsid w:val="00D12708"/>
    <w:rsid w:val="00D129CE"/>
    <w:rsid w:val="00D1355A"/>
    <w:rsid w:val="00D1361C"/>
    <w:rsid w:val="00D13665"/>
    <w:rsid w:val="00D13707"/>
    <w:rsid w:val="00D13A3C"/>
    <w:rsid w:val="00D13B0A"/>
    <w:rsid w:val="00D13C84"/>
    <w:rsid w:val="00D13CA5"/>
    <w:rsid w:val="00D13FE1"/>
    <w:rsid w:val="00D1421A"/>
    <w:rsid w:val="00D1423C"/>
    <w:rsid w:val="00D14632"/>
    <w:rsid w:val="00D147CB"/>
    <w:rsid w:val="00D14E42"/>
    <w:rsid w:val="00D159F2"/>
    <w:rsid w:val="00D15E9C"/>
    <w:rsid w:val="00D16225"/>
    <w:rsid w:val="00D16453"/>
    <w:rsid w:val="00D16821"/>
    <w:rsid w:val="00D16AE3"/>
    <w:rsid w:val="00D207C4"/>
    <w:rsid w:val="00D20FB5"/>
    <w:rsid w:val="00D22054"/>
    <w:rsid w:val="00D22105"/>
    <w:rsid w:val="00D221C9"/>
    <w:rsid w:val="00D22621"/>
    <w:rsid w:val="00D2283B"/>
    <w:rsid w:val="00D2290C"/>
    <w:rsid w:val="00D22C40"/>
    <w:rsid w:val="00D22E5E"/>
    <w:rsid w:val="00D22F17"/>
    <w:rsid w:val="00D2321D"/>
    <w:rsid w:val="00D23242"/>
    <w:rsid w:val="00D242EC"/>
    <w:rsid w:val="00D24B2E"/>
    <w:rsid w:val="00D24B8B"/>
    <w:rsid w:val="00D24C3A"/>
    <w:rsid w:val="00D25299"/>
    <w:rsid w:val="00D25377"/>
    <w:rsid w:val="00D253A1"/>
    <w:rsid w:val="00D25644"/>
    <w:rsid w:val="00D25B93"/>
    <w:rsid w:val="00D25BBF"/>
    <w:rsid w:val="00D2609A"/>
    <w:rsid w:val="00D260A5"/>
    <w:rsid w:val="00D26526"/>
    <w:rsid w:val="00D2680F"/>
    <w:rsid w:val="00D2694F"/>
    <w:rsid w:val="00D26B5A"/>
    <w:rsid w:val="00D26DFF"/>
    <w:rsid w:val="00D274E4"/>
    <w:rsid w:val="00D27633"/>
    <w:rsid w:val="00D27F9A"/>
    <w:rsid w:val="00D302C3"/>
    <w:rsid w:val="00D306F5"/>
    <w:rsid w:val="00D308ED"/>
    <w:rsid w:val="00D309BA"/>
    <w:rsid w:val="00D30B51"/>
    <w:rsid w:val="00D30CFE"/>
    <w:rsid w:val="00D31029"/>
    <w:rsid w:val="00D31245"/>
    <w:rsid w:val="00D31908"/>
    <w:rsid w:val="00D31BC2"/>
    <w:rsid w:val="00D32467"/>
    <w:rsid w:val="00D3255A"/>
    <w:rsid w:val="00D32DED"/>
    <w:rsid w:val="00D32FBC"/>
    <w:rsid w:val="00D33079"/>
    <w:rsid w:val="00D33234"/>
    <w:rsid w:val="00D338C4"/>
    <w:rsid w:val="00D33C74"/>
    <w:rsid w:val="00D33FE2"/>
    <w:rsid w:val="00D341A8"/>
    <w:rsid w:val="00D34332"/>
    <w:rsid w:val="00D346C6"/>
    <w:rsid w:val="00D3474A"/>
    <w:rsid w:val="00D348C5"/>
    <w:rsid w:val="00D349DA"/>
    <w:rsid w:val="00D350BB"/>
    <w:rsid w:val="00D354A9"/>
    <w:rsid w:val="00D355FC"/>
    <w:rsid w:val="00D35860"/>
    <w:rsid w:val="00D35C49"/>
    <w:rsid w:val="00D35DDC"/>
    <w:rsid w:val="00D36812"/>
    <w:rsid w:val="00D36964"/>
    <w:rsid w:val="00D36A91"/>
    <w:rsid w:val="00D36D27"/>
    <w:rsid w:val="00D36D86"/>
    <w:rsid w:val="00D37658"/>
    <w:rsid w:val="00D3775F"/>
    <w:rsid w:val="00D37F28"/>
    <w:rsid w:val="00D400E3"/>
    <w:rsid w:val="00D4059B"/>
    <w:rsid w:val="00D405F1"/>
    <w:rsid w:val="00D40AF4"/>
    <w:rsid w:val="00D40D69"/>
    <w:rsid w:val="00D413DF"/>
    <w:rsid w:val="00D41477"/>
    <w:rsid w:val="00D41D46"/>
    <w:rsid w:val="00D41D54"/>
    <w:rsid w:val="00D4262C"/>
    <w:rsid w:val="00D426ED"/>
    <w:rsid w:val="00D428AA"/>
    <w:rsid w:val="00D42B17"/>
    <w:rsid w:val="00D42CC5"/>
    <w:rsid w:val="00D43149"/>
    <w:rsid w:val="00D4314F"/>
    <w:rsid w:val="00D43186"/>
    <w:rsid w:val="00D433BF"/>
    <w:rsid w:val="00D43C95"/>
    <w:rsid w:val="00D43FCD"/>
    <w:rsid w:val="00D43FF6"/>
    <w:rsid w:val="00D44ACD"/>
    <w:rsid w:val="00D45FE6"/>
    <w:rsid w:val="00D46547"/>
    <w:rsid w:val="00D4658E"/>
    <w:rsid w:val="00D46B79"/>
    <w:rsid w:val="00D46C2C"/>
    <w:rsid w:val="00D46C7E"/>
    <w:rsid w:val="00D46FF1"/>
    <w:rsid w:val="00D47136"/>
    <w:rsid w:val="00D47453"/>
    <w:rsid w:val="00D47FF2"/>
    <w:rsid w:val="00D50536"/>
    <w:rsid w:val="00D505E1"/>
    <w:rsid w:val="00D50667"/>
    <w:rsid w:val="00D50A34"/>
    <w:rsid w:val="00D50E40"/>
    <w:rsid w:val="00D51107"/>
    <w:rsid w:val="00D51B97"/>
    <w:rsid w:val="00D51F60"/>
    <w:rsid w:val="00D52187"/>
    <w:rsid w:val="00D5279D"/>
    <w:rsid w:val="00D527D8"/>
    <w:rsid w:val="00D53164"/>
    <w:rsid w:val="00D539A2"/>
    <w:rsid w:val="00D539F8"/>
    <w:rsid w:val="00D53D9A"/>
    <w:rsid w:val="00D53EFA"/>
    <w:rsid w:val="00D53F6B"/>
    <w:rsid w:val="00D541E5"/>
    <w:rsid w:val="00D548BF"/>
    <w:rsid w:val="00D54CEA"/>
    <w:rsid w:val="00D54D68"/>
    <w:rsid w:val="00D54DA9"/>
    <w:rsid w:val="00D554C2"/>
    <w:rsid w:val="00D554F0"/>
    <w:rsid w:val="00D5556A"/>
    <w:rsid w:val="00D563DA"/>
    <w:rsid w:val="00D564B0"/>
    <w:rsid w:val="00D56814"/>
    <w:rsid w:val="00D568C4"/>
    <w:rsid w:val="00D56B15"/>
    <w:rsid w:val="00D574E6"/>
    <w:rsid w:val="00D5774B"/>
    <w:rsid w:val="00D5782B"/>
    <w:rsid w:val="00D5798B"/>
    <w:rsid w:val="00D61014"/>
    <w:rsid w:val="00D618EE"/>
    <w:rsid w:val="00D61E20"/>
    <w:rsid w:val="00D627BB"/>
    <w:rsid w:val="00D62E49"/>
    <w:rsid w:val="00D62F79"/>
    <w:rsid w:val="00D632B2"/>
    <w:rsid w:val="00D63E80"/>
    <w:rsid w:val="00D6402F"/>
    <w:rsid w:val="00D6484F"/>
    <w:rsid w:val="00D650C0"/>
    <w:rsid w:val="00D652A2"/>
    <w:rsid w:val="00D65496"/>
    <w:rsid w:val="00D65B73"/>
    <w:rsid w:val="00D66462"/>
    <w:rsid w:val="00D664E8"/>
    <w:rsid w:val="00D66536"/>
    <w:rsid w:val="00D66F6D"/>
    <w:rsid w:val="00D67640"/>
    <w:rsid w:val="00D6795C"/>
    <w:rsid w:val="00D67DFC"/>
    <w:rsid w:val="00D67EF2"/>
    <w:rsid w:val="00D700CF"/>
    <w:rsid w:val="00D70A3A"/>
    <w:rsid w:val="00D71CF8"/>
    <w:rsid w:val="00D72336"/>
    <w:rsid w:val="00D72644"/>
    <w:rsid w:val="00D7265D"/>
    <w:rsid w:val="00D72BDF"/>
    <w:rsid w:val="00D7302D"/>
    <w:rsid w:val="00D7347C"/>
    <w:rsid w:val="00D738F3"/>
    <w:rsid w:val="00D74BFB"/>
    <w:rsid w:val="00D74DE8"/>
    <w:rsid w:val="00D74ED1"/>
    <w:rsid w:val="00D74F96"/>
    <w:rsid w:val="00D7504A"/>
    <w:rsid w:val="00D755DD"/>
    <w:rsid w:val="00D77BFE"/>
    <w:rsid w:val="00D77F07"/>
    <w:rsid w:val="00D8091C"/>
    <w:rsid w:val="00D80A1A"/>
    <w:rsid w:val="00D80EB4"/>
    <w:rsid w:val="00D8141A"/>
    <w:rsid w:val="00D814A1"/>
    <w:rsid w:val="00D816DA"/>
    <w:rsid w:val="00D81774"/>
    <w:rsid w:val="00D819D7"/>
    <w:rsid w:val="00D81B8B"/>
    <w:rsid w:val="00D82420"/>
    <w:rsid w:val="00D82678"/>
    <w:rsid w:val="00D82A95"/>
    <w:rsid w:val="00D82B56"/>
    <w:rsid w:val="00D82BED"/>
    <w:rsid w:val="00D837D0"/>
    <w:rsid w:val="00D83A2A"/>
    <w:rsid w:val="00D83B2B"/>
    <w:rsid w:val="00D83C16"/>
    <w:rsid w:val="00D83DE7"/>
    <w:rsid w:val="00D83E6D"/>
    <w:rsid w:val="00D846C9"/>
    <w:rsid w:val="00D8567B"/>
    <w:rsid w:val="00D860C1"/>
    <w:rsid w:val="00D86338"/>
    <w:rsid w:val="00D863F4"/>
    <w:rsid w:val="00D86933"/>
    <w:rsid w:val="00D86FCD"/>
    <w:rsid w:val="00D875D8"/>
    <w:rsid w:val="00D903C0"/>
    <w:rsid w:val="00D90DE4"/>
    <w:rsid w:val="00D90F41"/>
    <w:rsid w:val="00D913F3"/>
    <w:rsid w:val="00D914D3"/>
    <w:rsid w:val="00D916D6"/>
    <w:rsid w:val="00D91C49"/>
    <w:rsid w:val="00D91EDB"/>
    <w:rsid w:val="00D9244C"/>
    <w:rsid w:val="00D924FF"/>
    <w:rsid w:val="00D92840"/>
    <w:rsid w:val="00D92C6A"/>
    <w:rsid w:val="00D93169"/>
    <w:rsid w:val="00D9335A"/>
    <w:rsid w:val="00D934DD"/>
    <w:rsid w:val="00D93527"/>
    <w:rsid w:val="00D936A7"/>
    <w:rsid w:val="00D93A99"/>
    <w:rsid w:val="00D93B66"/>
    <w:rsid w:val="00D93D3F"/>
    <w:rsid w:val="00D946E0"/>
    <w:rsid w:val="00D94771"/>
    <w:rsid w:val="00D94A7C"/>
    <w:rsid w:val="00D94F3C"/>
    <w:rsid w:val="00D94F5C"/>
    <w:rsid w:val="00D95596"/>
    <w:rsid w:val="00D95896"/>
    <w:rsid w:val="00D95A38"/>
    <w:rsid w:val="00D9630D"/>
    <w:rsid w:val="00D9637F"/>
    <w:rsid w:val="00D96494"/>
    <w:rsid w:val="00D96633"/>
    <w:rsid w:val="00D96677"/>
    <w:rsid w:val="00D96D8F"/>
    <w:rsid w:val="00D9757E"/>
    <w:rsid w:val="00DA0077"/>
    <w:rsid w:val="00DA0229"/>
    <w:rsid w:val="00DA09FF"/>
    <w:rsid w:val="00DA0CC0"/>
    <w:rsid w:val="00DA1026"/>
    <w:rsid w:val="00DA10C4"/>
    <w:rsid w:val="00DA179C"/>
    <w:rsid w:val="00DA1963"/>
    <w:rsid w:val="00DA1BF4"/>
    <w:rsid w:val="00DA2105"/>
    <w:rsid w:val="00DA284B"/>
    <w:rsid w:val="00DA2C67"/>
    <w:rsid w:val="00DA332E"/>
    <w:rsid w:val="00DA344D"/>
    <w:rsid w:val="00DA3901"/>
    <w:rsid w:val="00DA3BEB"/>
    <w:rsid w:val="00DA3EA5"/>
    <w:rsid w:val="00DA3F6A"/>
    <w:rsid w:val="00DA4156"/>
    <w:rsid w:val="00DA430D"/>
    <w:rsid w:val="00DA4336"/>
    <w:rsid w:val="00DA4A02"/>
    <w:rsid w:val="00DA4CD6"/>
    <w:rsid w:val="00DA559F"/>
    <w:rsid w:val="00DA5DE1"/>
    <w:rsid w:val="00DA660A"/>
    <w:rsid w:val="00DA67C1"/>
    <w:rsid w:val="00DA7844"/>
    <w:rsid w:val="00DA784B"/>
    <w:rsid w:val="00DA7DAF"/>
    <w:rsid w:val="00DB034B"/>
    <w:rsid w:val="00DB0ED8"/>
    <w:rsid w:val="00DB12C4"/>
    <w:rsid w:val="00DB1542"/>
    <w:rsid w:val="00DB1E73"/>
    <w:rsid w:val="00DB20E1"/>
    <w:rsid w:val="00DB20F7"/>
    <w:rsid w:val="00DB2375"/>
    <w:rsid w:val="00DB23B7"/>
    <w:rsid w:val="00DB23D2"/>
    <w:rsid w:val="00DB24C1"/>
    <w:rsid w:val="00DB2659"/>
    <w:rsid w:val="00DB2792"/>
    <w:rsid w:val="00DB2983"/>
    <w:rsid w:val="00DB2B58"/>
    <w:rsid w:val="00DB2BF8"/>
    <w:rsid w:val="00DB3962"/>
    <w:rsid w:val="00DB3D56"/>
    <w:rsid w:val="00DB4380"/>
    <w:rsid w:val="00DB4B40"/>
    <w:rsid w:val="00DB4D5E"/>
    <w:rsid w:val="00DB55C1"/>
    <w:rsid w:val="00DB5C04"/>
    <w:rsid w:val="00DB61FE"/>
    <w:rsid w:val="00DB6548"/>
    <w:rsid w:val="00DB65DC"/>
    <w:rsid w:val="00DB65E7"/>
    <w:rsid w:val="00DB661A"/>
    <w:rsid w:val="00DB6B67"/>
    <w:rsid w:val="00DB6F7A"/>
    <w:rsid w:val="00DB6FA1"/>
    <w:rsid w:val="00DB73B2"/>
    <w:rsid w:val="00DB759C"/>
    <w:rsid w:val="00DB7AD8"/>
    <w:rsid w:val="00DB7E53"/>
    <w:rsid w:val="00DB7FDA"/>
    <w:rsid w:val="00DC0315"/>
    <w:rsid w:val="00DC1257"/>
    <w:rsid w:val="00DC1917"/>
    <w:rsid w:val="00DC1A80"/>
    <w:rsid w:val="00DC1CBE"/>
    <w:rsid w:val="00DC2160"/>
    <w:rsid w:val="00DC26D1"/>
    <w:rsid w:val="00DC29F1"/>
    <w:rsid w:val="00DC2C25"/>
    <w:rsid w:val="00DC2C8E"/>
    <w:rsid w:val="00DC3055"/>
    <w:rsid w:val="00DC35B3"/>
    <w:rsid w:val="00DC3DC0"/>
    <w:rsid w:val="00DC3DF9"/>
    <w:rsid w:val="00DC3F59"/>
    <w:rsid w:val="00DC435E"/>
    <w:rsid w:val="00DC4372"/>
    <w:rsid w:val="00DC438A"/>
    <w:rsid w:val="00DC4429"/>
    <w:rsid w:val="00DC447E"/>
    <w:rsid w:val="00DC49AF"/>
    <w:rsid w:val="00DC4B91"/>
    <w:rsid w:val="00DC53D6"/>
    <w:rsid w:val="00DC571D"/>
    <w:rsid w:val="00DC5804"/>
    <w:rsid w:val="00DC5B2B"/>
    <w:rsid w:val="00DC5B6F"/>
    <w:rsid w:val="00DC5E6F"/>
    <w:rsid w:val="00DC66A0"/>
    <w:rsid w:val="00DC7243"/>
    <w:rsid w:val="00DC7276"/>
    <w:rsid w:val="00DC74B8"/>
    <w:rsid w:val="00DC777A"/>
    <w:rsid w:val="00DC7C1D"/>
    <w:rsid w:val="00DC7D8A"/>
    <w:rsid w:val="00DC7EF4"/>
    <w:rsid w:val="00DC7FCB"/>
    <w:rsid w:val="00DD0828"/>
    <w:rsid w:val="00DD0D13"/>
    <w:rsid w:val="00DD1084"/>
    <w:rsid w:val="00DD10B0"/>
    <w:rsid w:val="00DD17D5"/>
    <w:rsid w:val="00DD1E10"/>
    <w:rsid w:val="00DD205A"/>
    <w:rsid w:val="00DD20EB"/>
    <w:rsid w:val="00DD2120"/>
    <w:rsid w:val="00DD24EF"/>
    <w:rsid w:val="00DD2AE5"/>
    <w:rsid w:val="00DD2F6E"/>
    <w:rsid w:val="00DD318D"/>
    <w:rsid w:val="00DD3722"/>
    <w:rsid w:val="00DD38DD"/>
    <w:rsid w:val="00DD3D1F"/>
    <w:rsid w:val="00DD3ECD"/>
    <w:rsid w:val="00DD41BE"/>
    <w:rsid w:val="00DD457E"/>
    <w:rsid w:val="00DD46E7"/>
    <w:rsid w:val="00DD4A0C"/>
    <w:rsid w:val="00DD4AE6"/>
    <w:rsid w:val="00DD5F76"/>
    <w:rsid w:val="00DD6786"/>
    <w:rsid w:val="00DD6A4F"/>
    <w:rsid w:val="00DD6C97"/>
    <w:rsid w:val="00DD7033"/>
    <w:rsid w:val="00DD7A6A"/>
    <w:rsid w:val="00DD7F75"/>
    <w:rsid w:val="00DE0813"/>
    <w:rsid w:val="00DE0A3A"/>
    <w:rsid w:val="00DE0B42"/>
    <w:rsid w:val="00DE0E3B"/>
    <w:rsid w:val="00DE1654"/>
    <w:rsid w:val="00DE1706"/>
    <w:rsid w:val="00DE23E3"/>
    <w:rsid w:val="00DE2573"/>
    <w:rsid w:val="00DE2AE0"/>
    <w:rsid w:val="00DE3261"/>
    <w:rsid w:val="00DE3535"/>
    <w:rsid w:val="00DE396C"/>
    <w:rsid w:val="00DE3995"/>
    <w:rsid w:val="00DE3C61"/>
    <w:rsid w:val="00DE3E1B"/>
    <w:rsid w:val="00DE3F0A"/>
    <w:rsid w:val="00DE484D"/>
    <w:rsid w:val="00DE508B"/>
    <w:rsid w:val="00DE52FE"/>
    <w:rsid w:val="00DE55C5"/>
    <w:rsid w:val="00DE5743"/>
    <w:rsid w:val="00DE608F"/>
    <w:rsid w:val="00DE6752"/>
    <w:rsid w:val="00DE6782"/>
    <w:rsid w:val="00DE6A3D"/>
    <w:rsid w:val="00DE6E27"/>
    <w:rsid w:val="00DE7240"/>
    <w:rsid w:val="00DE77BF"/>
    <w:rsid w:val="00DE783D"/>
    <w:rsid w:val="00DE7A64"/>
    <w:rsid w:val="00DE7BEB"/>
    <w:rsid w:val="00DF0261"/>
    <w:rsid w:val="00DF06F5"/>
    <w:rsid w:val="00DF0921"/>
    <w:rsid w:val="00DF189E"/>
    <w:rsid w:val="00DF1A67"/>
    <w:rsid w:val="00DF2019"/>
    <w:rsid w:val="00DF20FE"/>
    <w:rsid w:val="00DF28DE"/>
    <w:rsid w:val="00DF2E12"/>
    <w:rsid w:val="00DF2EC9"/>
    <w:rsid w:val="00DF332A"/>
    <w:rsid w:val="00DF358A"/>
    <w:rsid w:val="00DF3F00"/>
    <w:rsid w:val="00DF423A"/>
    <w:rsid w:val="00DF44F5"/>
    <w:rsid w:val="00DF4937"/>
    <w:rsid w:val="00DF4AA4"/>
    <w:rsid w:val="00DF4C25"/>
    <w:rsid w:val="00DF4E16"/>
    <w:rsid w:val="00DF5027"/>
    <w:rsid w:val="00DF514A"/>
    <w:rsid w:val="00DF51F8"/>
    <w:rsid w:val="00DF577A"/>
    <w:rsid w:val="00DF5E82"/>
    <w:rsid w:val="00DF6294"/>
    <w:rsid w:val="00DF62EA"/>
    <w:rsid w:val="00DF62F0"/>
    <w:rsid w:val="00DF6380"/>
    <w:rsid w:val="00DF6690"/>
    <w:rsid w:val="00DF6804"/>
    <w:rsid w:val="00DF7035"/>
    <w:rsid w:val="00DF7900"/>
    <w:rsid w:val="00DF7AC7"/>
    <w:rsid w:val="00E009C4"/>
    <w:rsid w:val="00E00BB8"/>
    <w:rsid w:val="00E01425"/>
    <w:rsid w:val="00E01AE7"/>
    <w:rsid w:val="00E02500"/>
    <w:rsid w:val="00E02678"/>
    <w:rsid w:val="00E02CAD"/>
    <w:rsid w:val="00E02E2A"/>
    <w:rsid w:val="00E030C4"/>
    <w:rsid w:val="00E0358D"/>
    <w:rsid w:val="00E03593"/>
    <w:rsid w:val="00E0370B"/>
    <w:rsid w:val="00E03EE5"/>
    <w:rsid w:val="00E040ED"/>
    <w:rsid w:val="00E04323"/>
    <w:rsid w:val="00E0493B"/>
    <w:rsid w:val="00E05288"/>
    <w:rsid w:val="00E05397"/>
    <w:rsid w:val="00E05920"/>
    <w:rsid w:val="00E0651E"/>
    <w:rsid w:val="00E067D4"/>
    <w:rsid w:val="00E06BDD"/>
    <w:rsid w:val="00E06FD4"/>
    <w:rsid w:val="00E070A2"/>
    <w:rsid w:val="00E073FE"/>
    <w:rsid w:val="00E102A4"/>
    <w:rsid w:val="00E10584"/>
    <w:rsid w:val="00E1089C"/>
    <w:rsid w:val="00E108ED"/>
    <w:rsid w:val="00E10946"/>
    <w:rsid w:val="00E10BC3"/>
    <w:rsid w:val="00E11852"/>
    <w:rsid w:val="00E11C81"/>
    <w:rsid w:val="00E11E99"/>
    <w:rsid w:val="00E1267B"/>
    <w:rsid w:val="00E12B5B"/>
    <w:rsid w:val="00E12CD6"/>
    <w:rsid w:val="00E1384B"/>
    <w:rsid w:val="00E13B72"/>
    <w:rsid w:val="00E14020"/>
    <w:rsid w:val="00E14075"/>
    <w:rsid w:val="00E147E8"/>
    <w:rsid w:val="00E1519E"/>
    <w:rsid w:val="00E15234"/>
    <w:rsid w:val="00E15602"/>
    <w:rsid w:val="00E156B9"/>
    <w:rsid w:val="00E1601F"/>
    <w:rsid w:val="00E16074"/>
    <w:rsid w:val="00E16395"/>
    <w:rsid w:val="00E164C0"/>
    <w:rsid w:val="00E16846"/>
    <w:rsid w:val="00E16CA1"/>
    <w:rsid w:val="00E16D0B"/>
    <w:rsid w:val="00E16E16"/>
    <w:rsid w:val="00E16F3E"/>
    <w:rsid w:val="00E1722E"/>
    <w:rsid w:val="00E17862"/>
    <w:rsid w:val="00E17F78"/>
    <w:rsid w:val="00E17FD9"/>
    <w:rsid w:val="00E2022D"/>
    <w:rsid w:val="00E2032D"/>
    <w:rsid w:val="00E209F1"/>
    <w:rsid w:val="00E20B4D"/>
    <w:rsid w:val="00E20F16"/>
    <w:rsid w:val="00E2111F"/>
    <w:rsid w:val="00E21651"/>
    <w:rsid w:val="00E21BD9"/>
    <w:rsid w:val="00E21E9D"/>
    <w:rsid w:val="00E221D6"/>
    <w:rsid w:val="00E227E6"/>
    <w:rsid w:val="00E22BFC"/>
    <w:rsid w:val="00E23052"/>
    <w:rsid w:val="00E23359"/>
    <w:rsid w:val="00E233EB"/>
    <w:rsid w:val="00E236BD"/>
    <w:rsid w:val="00E23888"/>
    <w:rsid w:val="00E23B1B"/>
    <w:rsid w:val="00E23BAC"/>
    <w:rsid w:val="00E2405B"/>
    <w:rsid w:val="00E24204"/>
    <w:rsid w:val="00E24A5B"/>
    <w:rsid w:val="00E24DE4"/>
    <w:rsid w:val="00E25331"/>
    <w:rsid w:val="00E2576B"/>
    <w:rsid w:val="00E2580B"/>
    <w:rsid w:val="00E25CC1"/>
    <w:rsid w:val="00E25F65"/>
    <w:rsid w:val="00E2617D"/>
    <w:rsid w:val="00E262AC"/>
    <w:rsid w:val="00E2656A"/>
    <w:rsid w:val="00E26953"/>
    <w:rsid w:val="00E26C90"/>
    <w:rsid w:val="00E26F5B"/>
    <w:rsid w:val="00E27728"/>
    <w:rsid w:val="00E279F1"/>
    <w:rsid w:val="00E30491"/>
    <w:rsid w:val="00E30B54"/>
    <w:rsid w:val="00E30FAC"/>
    <w:rsid w:val="00E31BFF"/>
    <w:rsid w:val="00E3203E"/>
    <w:rsid w:val="00E32439"/>
    <w:rsid w:val="00E325BE"/>
    <w:rsid w:val="00E329DA"/>
    <w:rsid w:val="00E32F14"/>
    <w:rsid w:val="00E333D2"/>
    <w:rsid w:val="00E33B9C"/>
    <w:rsid w:val="00E34005"/>
    <w:rsid w:val="00E3418E"/>
    <w:rsid w:val="00E341B0"/>
    <w:rsid w:val="00E34218"/>
    <w:rsid w:val="00E34237"/>
    <w:rsid w:val="00E34771"/>
    <w:rsid w:val="00E35231"/>
    <w:rsid w:val="00E352CD"/>
    <w:rsid w:val="00E35511"/>
    <w:rsid w:val="00E3551F"/>
    <w:rsid w:val="00E355F4"/>
    <w:rsid w:val="00E357C1"/>
    <w:rsid w:val="00E357CD"/>
    <w:rsid w:val="00E35CD2"/>
    <w:rsid w:val="00E367CF"/>
    <w:rsid w:val="00E36F62"/>
    <w:rsid w:val="00E40449"/>
    <w:rsid w:val="00E404D7"/>
    <w:rsid w:val="00E40880"/>
    <w:rsid w:val="00E409DA"/>
    <w:rsid w:val="00E40A5C"/>
    <w:rsid w:val="00E40DB0"/>
    <w:rsid w:val="00E4106A"/>
    <w:rsid w:val="00E4120D"/>
    <w:rsid w:val="00E412D0"/>
    <w:rsid w:val="00E41380"/>
    <w:rsid w:val="00E415F9"/>
    <w:rsid w:val="00E41BE6"/>
    <w:rsid w:val="00E420A7"/>
    <w:rsid w:val="00E425E0"/>
    <w:rsid w:val="00E42B35"/>
    <w:rsid w:val="00E42B8D"/>
    <w:rsid w:val="00E42F38"/>
    <w:rsid w:val="00E42FEE"/>
    <w:rsid w:val="00E4321E"/>
    <w:rsid w:val="00E437D5"/>
    <w:rsid w:val="00E43819"/>
    <w:rsid w:val="00E44254"/>
    <w:rsid w:val="00E446D7"/>
    <w:rsid w:val="00E44C3F"/>
    <w:rsid w:val="00E44CCE"/>
    <w:rsid w:val="00E44D40"/>
    <w:rsid w:val="00E44FA5"/>
    <w:rsid w:val="00E450DB"/>
    <w:rsid w:val="00E455BF"/>
    <w:rsid w:val="00E455CA"/>
    <w:rsid w:val="00E45639"/>
    <w:rsid w:val="00E456E1"/>
    <w:rsid w:val="00E45738"/>
    <w:rsid w:val="00E45B40"/>
    <w:rsid w:val="00E46492"/>
    <w:rsid w:val="00E46729"/>
    <w:rsid w:val="00E46739"/>
    <w:rsid w:val="00E46F7B"/>
    <w:rsid w:val="00E4707C"/>
    <w:rsid w:val="00E473E5"/>
    <w:rsid w:val="00E476CB"/>
    <w:rsid w:val="00E4791D"/>
    <w:rsid w:val="00E47A56"/>
    <w:rsid w:val="00E47AD9"/>
    <w:rsid w:val="00E47E61"/>
    <w:rsid w:val="00E50190"/>
    <w:rsid w:val="00E50B55"/>
    <w:rsid w:val="00E50CEE"/>
    <w:rsid w:val="00E51295"/>
    <w:rsid w:val="00E51A08"/>
    <w:rsid w:val="00E51A40"/>
    <w:rsid w:val="00E51ABE"/>
    <w:rsid w:val="00E51AEA"/>
    <w:rsid w:val="00E51FF1"/>
    <w:rsid w:val="00E5206F"/>
    <w:rsid w:val="00E52167"/>
    <w:rsid w:val="00E52184"/>
    <w:rsid w:val="00E52BE1"/>
    <w:rsid w:val="00E52D9F"/>
    <w:rsid w:val="00E52FED"/>
    <w:rsid w:val="00E5347E"/>
    <w:rsid w:val="00E53A37"/>
    <w:rsid w:val="00E53EF3"/>
    <w:rsid w:val="00E54A0D"/>
    <w:rsid w:val="00E54A46"/>
    <w:rsid w:val="00E54C7A"/>
    <w:rsid w:val="00E54D24"/>
    <w:rsid w:val="00E55D21"/>
    <w:rsid w:val="00E55E57"/>
    <w:rsid w:val="00E56255"/>
    <w:rsid w:val="00E56322"/>
    <w:rsid w:val="00E56386"/>
    <w:rsid w:val="00E56432"/>
    <w:rsid w:val="00E56662"/>
    <w:rsid w:val="00E571D1"/>
    <w:rsid w:val="00E572AB"/>
    <w:rsid w:val="00E5735E"/>
    <w:rsid w:val="00E579F0"/>
    <w:rsid w:val="00E57B2F"/>
    <w:rsid w:val="00E57D32"/>
    <w:rsid w:val="00E57EBF"/>
    <w:rsid w:val="00E57F53"/>
    <w:rsid w:val="00E60058"/>
    <w:rsid w:val="00E60367"/>
    <w:rsid w:val="00E60772"/>
    <w:rsid w:val="00E60982"/>
    <w:rsid w:val="00E619F8"/>
    <w:rsid w:val="00E61B27"/>
    <w:rsid w:val="00E61C2F"/>
    <w:rsid w:val="00E62186"/>
    <w:rsid w:val="00E6236C"/>
    <w:rsid w:val="00E62B4F"/>
    <w:rsid w:val="00E62BF3"/>
    <w:rsid w:val="00E62C62"/>
    <w:rsid w:val="00E62CD2"/>
    <w:rsid w:val="00E62D2D"/>
    <w:rsid w:val="00E62D5C"/>
    <w:rsid w:val="00E62F14"/>
    <w:rsid w:val="00E63043"/>
    <w:rsid w:val="00E63407"/>
    <w:rsid w:val="00E63B5F"/>
    <w:rsid w:val="00E63E73"/>
    <w:rsid w:val="00E63EE6"/>
    <w:rsid w:val="00E64304"/>
    <w:rsid w:val="00E64331"/>
    <w:rsid w:val="00E64671"/>
    <w:rsid w:val="00E64A04"/>
    <w:rsid w:val="00E64F23"/>
    <w:rsid w:val="00E650D7"/>
    <w:rsid w:val="00E654C1"/>
    <w:rsid w:val="00E654D4"/>
    <w:rsid w:val="00E65D97"/>
    <w:rsid w:val="00E65F20"/>
    <w:rsid w:val="00E669C6"/>
    <w:rsid w:val="00E66E9C"/>
    <w:rsid w:val="00E670A2"/>
    <w:rsid w:val="00E6787F"/>
    <w:rsid w:val="00E70E5F"/>
    <w:rsid w:val="00E716D7"/>
    <w:rsid w:val="00E716E3"/>
    <w:rsid w:val="00E71995"/>
    <w:rsid w:val="00E71FDC"/>
    <w:rsid w:val="00E72245"/>
    <w:rsid w:val="00E726FE"/>
    <w:rsid w:val="00E72A5A"/>
    <w:rsid w:val="00E72D25"/>
    <w:rsid w:val="00E730D3"/>
    <w:rsid w:val="00E732CA"/>
    <w:rsid w:val="00E73354"/>
    <w:rsid w:val="00E7350D"/>
    <w:rsid w:val="00E73735"/>
    <w:rsid w:val="00E73F5E"/>
    <w:rsid w:val="00E73FA7"/>
    <w:rsid w:val="00E74021"/>
    <w:rsid w:val="00E74E82"/>
    <w:rsid w:val="00E74FEC"/>
    <w:rsid w:val="00E75B49"/>
    <w:rsid w:val="00E75DA7"/>
    <w:rsid w:val="00E76239"/>
    <w:rsid w:val="00E77091"/>
    <w:rsid w:val="00E7714E"/>
    <w:rsid w:val="00E771C5"/>
    <w:rsid w:val="00E77EE5"/>
    <w:rsid w:val="00E80160"/>
    <w:rsid w:val="00E8066D"/>
    <w:rsid w:val="00E80A65"/>
    <w:rsid w:val="00E80DF6"/>
    <w:rsid w:val="00E811C7"/>
    <w:rsid w:val="00E81440"/>
    <w:rsid w:val="00E819E8"/>
    <w:rsid w:val="00E81E21"/>
    <w:rsid w:val="00E8204E"/>
    <w:rsid w:val="00E8210F"/>
    <w:rsid w:val="00E82708"/>
    <w:rsid w:val="00E82AF6"/>
    <w:rsid w:val="00E82B82"/>
    <w:rsid w:val="00E82DCD"/>
    <w:rsid w:val="00E839ED"/>
    <w:rsid w:val="00E83BB7"/>
    <w:rsid w:val="00E83D9D"/>
    <w:rsid w:val="00E84220"/>
    <w:rsid w:val="00E84417"/>
    <w:rsid w:val="00E84829"/>
    <w:rsid w:val="00E84B95"/>
    <w:rsid w:val="00E8506F"/>
    <w:rsid w:val="00E850C6"/>
    <w:rsid w:val="00E85E18"/>
    <w:rsid w:val="00E85F7E"/>
    <w:rsid w:val="00E85F8E"/>
    <w:rsid w:val="00E864C2"/>
    <w:rsid w:val="00E868E6"/>
    <w:rsid w:val="00E877F2"/>
    <w:rsid w:val="00E8799E"/>
    <w:rsid w:val="00E87FAD"/>
    <w:rsid w:val="00E87FD8"/>
    <w:rsid w:val="00E9001F"/>
    <w:rsid w:val="00E906FB"/>
    <w:rsid w:val="00E90A0B"/>
    <w:rsid w:val="00E90D10"/>
    <w:rsid w:val="00E91106"/>
    <w:rsid w:val="00E9135E"/>
    <w:rsid w:val="00E91825"/>
    <w:rsid w:val="00E91835"/>
    <w:rsid w:val="00E91ADB"/>
    <w:rsid w:val="00E923B0"/>
    <w:rsid w:val="00E9242D"/>
    <w:rsid w:val="00E9256B"/>
    <w:rsid w:val="00E92EE5"/>
    <w:rsid w:val="00E933FB"/>
    <w:rsid w:val="00E9469D"/>
    <w:rsid w:val="00E9500B"/>
    <w:rsid w:val="00E968A5"/>
    <w:rsid w:val="00E97112"/>
    <w:rsid w:val="00E97194"/>
    <w:rsid w:val="00E97309"/>
    <w:rsid w:val="00E978DD"/>
    <w:rsid w:val="00E97E6F"/>
    <w:rsid w:val="00EA0532"/>
    <w:rsid w:val="00EA0BBF"/>
    <w:rsid w:val="00EA0CB3"/>
    <w:rsid w:val="00EA1041"/>
    <w:rsid w:val="00EA1788"/>
    <w:rsid w:val="00EA1A92"/>
    <w:rsid w:val="00EA261A"/>
    <w:rsid w:val="00EA2FCC"/>
    <w:rsid w:val="00EA308C"/>
    <w:rsid w:val="00EA30E0"/>
    <w:rsid w:val="00EA318D"/>
    <w:rsid w:val="00EA36CA"/>
    <w:rsid w:val="00EA37EB"/>
    <w:rsid w:val="00EA3987"/>
    <w:rsid w:val="00EA39E4"/>
    <w:rsid w:val="00EA3AF8"/>
    <w:rsid w:val="00EA3B9E"/>
    <w:rsid w:val="00EA3D87"/>
    <w:rsid w:val="00EA3FC6"/>
    <w:rsid w:val="00EA40E8"/>
    <w:rsid w:val="00EA427E"/>
    <w:rsid w:val="00EA4497"/>
    <w:rsid w:val="00EA57D5"/>
    <w:rsid w:val="00EA592A"/>
    <w:rsid w:val="00EA5B5E"/>
    <w:rsid w:val="00EA64D9"/>
    <w:rsid w:val="00EA6F31"/>
    <w:rsid w:val="00EA7165"/>
    <w:rsid w:val="00EA76BD"/>
    <w:rsid w:val="00EB0557"/>
    <w:rsid w:val="00EB0EBE"/>
    <w:rsid w:val="00EB15F0"/>
    <w:rsid w:val="00EB16DE"/>
    <w:rsid w:val="00EB17F0"/>
    <w:rsid w:val="00EB1992"/>
    <w:rsid w:val="00EB1C0E"/>
    <w:rsid w:val="00EB2360"/>
    <w:rsid w:val="00EB26D4"/>
    <w:rsid w:val="00EB3919"/>
    <w:rsid w:val="00EB3FF4"/>
    <w:rsid w:val="00EB48CE"/>
    <w:rsid w:val="00EB4A2E"/>
    <w:rsid w:val="00EB4ABB"/>
    <w:rsid w:val="00EB4C07"/>
    <w:rsid w:val="00EB51F3"/>
    <w:rsid w:val="00EB5255"/>
    <w:rsid w:val="00EB585A"/>
    <w:rsid w:val="00EB5C47"/>
    <w:rsid w:val="00EB5E22"/>
    <w:rsid w:val="00EB667D"/>
    <w:rsid w:val="00EB6B0D"/>
    <w:rsid w:val="00EB6CC0"/>
    <w:rsid w:val="00EB7EB0"/>
    <w:rsid w:val="00EB7F06"/>
    <w:rsid w:val="00EC0932"/>
    <w:rsid w:val="00EC0941"/>
    <w:rsid w:val="00EC14F0"/>
    <w:rsid w:val="00EC1859"/>
    <w:rsid w:val="00EC23CA"/>
    <w:rsid w:val="00EC2C38"/>
    <w:rsid w:val="00EC30F7"/>
    <w:rsid w:val="00EC3F47"/>
    <w:rsid w:val="00EC3F88"/>
    <w:rsid w:val="00EC4053"/>
    <w:rsid w:val="00EC4150"/>
    <w:rsid w:val="00EC4F1E"/>
    <w:rsid w:val="00EC52EA"/>
    <w:rsid w:val="00EC54BC"/>
    <w:rsid w:val="00EC5C80"/>
    <w:rsid w:val="00EC603D"/>
    <w:rsid w:val="00EC6413"/>
    <w:rsid w:val="00EC6F79"/>
    <w:rsid w:val="00EC6FE5"/>
    <w:rsid w:val="00EC70C3"/>
    <w:rsid w:val="00EC7504"/>
    <w:rsid w:val="00EC764B"/>
    <w:rsid w:val="00EC778E"/>
    <w:rsid w:val="00ED0639"/>
    <w:rsid w:val="00ED0A69"/>
    <w:rsid w:val="00ED0D77"/>
    <w:rsid w:val="00ED0E8B"/>
    <w:rsid w:val="00ED22C6"/>
    <w:rsid w:val="00ED23FA"/>
    <w:rsid w:val="00ED265F"/>
    <w:rsid w:val="00ED2751"/>
    <w:rsid w:val="00ED2AE3"/>
    <w:rsid w:val="00ED2C36"/>
    <w:rsid w:val="00ED2F11"/>
    <w:rsid w:val="00ED33AB"/>
    <w:rsid w:val="00ED3C02"/>
    <w:rsid w:val="00ED43F6"/>
    <w:rsid w:val="00ED458E"/>
    <w:rsid w:val="00ED471E"/>
    <w:rsid w:val="00ED5F16"/>
    <w:rsid w:val="00ED68C3"/>
    <w:rsid w:val="00ED7127"/>
    <w:rsid w:val="00ED712C"/>
    <w:rsid w:val="00ED762F"/>
    <w:rsid w:val="00ED7CDB"/>
    <w:rsid w:val="00ED7F0B"/>
    <w:rsid w:val="00EE029C"/>
    <w:rsid w:val="00EE1507"/>
    <w:rsid w:val="00EE1F10"/>
    <w:rsid w:val="00EE3934"/>
    <w:rsid w:val="00EE3954"/>
    <w:rsid w:val="00EE3F60"/>
    <w:rsid w:val="00EE3F80"/>
    <w:rsid w:val="00EE4002"/>
    <w:rsid w:val="00EE428B"/>
    <w:rsid w:val="00EE4410"/>
    <w:rsid w:val="00EE538A"/>
    <w:rsid w:val="00EE53EF"/>
    <w:rsid w:val="00EE55B5"/>
    <w:rsid w:val="00EE5A63"/>
    <w:rsid w:val="00EE5D35"/>
    <w:rsid w:val="00EE5E43"/>
    <w:rsid w:val="00EE6152"/>
    <w:rsid w:val="00EE6252"/>
    <w:rsid w:val="00EE678F"/>
    <w:rsid w:val="00EE6AC0"/>
    <w:rsid w:val="00EE726B"/>
    <w:rsid w:val="00EE73BE"/>
    <w:rsid w:val="00EE7C1F"/>
    <w:rsid w:val="00EE7D17"/>
    <w:rsid w:val="00EF0987"/>
    <w:rsid w:val="00EF136A"/>
    <w:rsid w:val="00EF161D"/>
    <w:rsid w:val="00EF1CC5"/>
    <w:rsid w:val="00EF1D6D"/>
    <w:rsid w:val="00EF27CF"/>
    <w:rsid w:val="00EF2A7A"/>
    <w:rsid w:val="00EF2A80"/>
    <w:rsid w:val="00EF2ED1"/>
    <w:rsid w:val="00EF3074"/>
    <w:rsid w:val="00EF326B"/>
    <w:rsid w:val="00EF3995"/>
    <w:rsid w:val="00EF39C2"/>
    <w:rsid w:val="00EF3BD3"/>
    <w:rsid w:val="00EF40CA"/>
    <w:rsid w:val="00EF4601"/>
    <w:rsid w:val="00EF4755"/>
    <w:rsid w:val="00EF4768"/>
    <w:rsid w:val="00EF4A5F"/>
    <w:rsid w:val="00EF4FDA"/>
    <w:rsid w:val="00EF57F7"/>
    <w:rsid w:val="00EF5868"/>
    <w:rsid w:val="00EF5B50"/>
    <w:rsid w:val="00EF5C68"/>
    <w:rsid w:val="00EF5E39"/>
    <w:rsid w:val="00EF5F4B"/>
    <w:rsid w:val="00EF6458"/>
    <w:rsid w:val="00EF6904"/>
    <w:rsid w:val="00EF6BEA"/>
    <w:rsid w:val="00EF6E1A"/>
    <w:rsid w:val="00EF7135"/>
    <w:rsid w:val="00EF7950"/>
    <w:rsid w:val="00F007E2"/>
    <w:rsid w:val="00F00A46"/>
    <w:rsid w:val="00F00ADD"/>
    <w:rsid w:val="00F00EEE"/>
    <w:rsid w:val="00F01256"/>
    <w:rsid w:val="00F01309"/>
    <w:rsid w:val="00F01A11"/>
    <w:rsid w:val="00F01CC8"/>
    <w:rsid w:val="00F01D26"/>
    <w:rsid w:val="00F02545"/>
    <w:rsid w:val="00F027DB"/>
    <w:rsid w:val="00F03129"/>
    <w:rsid w:val="00F03214"/>
    <w:rsid w:val="00F043D4"/>
    <w:rsid w:val="00F044E9"/>
    <w:rsid w:val="00F04640"/>
    <w:rsid w:val="00F04E6D"/>
    <w:rsid w:val="00F05132"/>
    <w:rsid w:val="00F05477"/>
    <w:rsid w:val="00F054D5"/>
    <w:rsid w:val="00F0567A"/>
    <w:rsid w:val="00F056A3"/>
    <w:rsid w:val="00F05742"/>
    <w:rsid w:val="00F05A55"/>
    <w:rsid w:val="00F05CEC"/>
    <w:rsid w:val="00F0643E"/>
    <w:rsid w:val="00F06608"/>
    <w:rsid w:val="00F06856"/>
    <w:rsid w:val="00F06C39"/>
    <w:rsid w:val="00F06DDB"/>
    <w:rsid w:val="00F06E88"/>
    <w:rsid w:val="00F0743B"/>
    <w:rsid w:val="00F07897"/>
    <w:rsid w:val="00F100B7"/>
    <w:rsid w:val="00F104E4"/>
    <w:rsid w:val="00F10535"/>
    <w:rsid w:val="00F10CE4"/>
    <w:rsid w:val="00F11ABA"/>
    <w:rsid w:val="00F11B89"/>
    <w:rsid w:val="00F11C2D"/>
    <w:rsid w:val="00F11E8D"/>
    <w:rsid w:val="00F12313"/>
    <w:rsid w:val="00F126ED"/>
    <w:rsid w:val="00F12AEF"/>
    <w:rsid w:val="00F13008"/>
    <w:rsid w:val="00F13BD2"/>
    <w:rsid w:val="00F13ECA"/>
    <w:rsid w:val="00F149F1"/>
    <w:rsid w:val="00F14A7A"/>
    <w:rsid w:val="00F14CF5"/>
    <w:rsid w:val="00F158D4"/>
    <w:rsid w:val="00F167C8"/>
    <w:rsid w:val="00F1680D"/>
    <w:rsid w:val="00F16961"/>
    <w:rsid w:val="00F169B5"/>
    <w:rsid w:val="00F169ED"/>
    <w:rsid w:val="00F16C67"/>
    <w:rsid w:val="00F16EF8"/>
    <w:rsid w:val="00F17507"/>
    <w:rsid w:val="00F17E4B"/>
    <w:rsid w:val="00F2033E"/>
    <w:rsid w:val="00F2088D"/>
    <w:rsid w:val="00F20F55"/>
    <w:rsid w:val="00F214AD"/>
    <w:rsid w:val="00F21557"/>
    <w:rsid w:val="00F21573"/>
    <w:rsid w:val="00F21731"/>
    <w:rsid w:val="00F21AB5"/>
    <w:rsid w:val="00F224CC"/>
    <w:rsid w:val="00F225FA"/>
    <w:rsid w:val="00F226E4"/>
    <w:rsid w:val="00F228F4"/>
    <w:rsid w:val="00F22985"/>
    <w:rsid w:val="00F22BFB"/>
    <w:rsid w:val="00F22DDE"/>
    <w:rsid w:val="00F23371"/>
    <w:rsid w:val="00F23A99"/>
    <w:rsid w:val="00F24CF9"/>
    <w:rsid w:val="00F25047"/>
    <w:rsid w:val="00F2536E"/>
    <w:rsid w:val="00F255C6"/>
    <w:rsid w:val="00F257FB"/>
    <w:rsid w:val="00F262EB"/>
    <w:rsid w:val="00F26450"/>
    <w:rsid w:val="00F26465"/>
    <w:rsid w:val="00F26871"/>
    <w:rsid w:val="00F26A4C"/>
    <w:rsid w:val="00F26BE9"/>
    <w:rsid w:val="00F26C6C"/>
    <w:rsid w:val="00F26F8F"/>
    <w:rsid w:val="00F2709B"/>
    <w:rsid w:val="00F27441"/>
    <w:rsid w:val="00F27CBA"/>
    <w:rsid w:val="00F27CD8"/>
    <w:rsid w:val="00F27FCF"/>
    <w:rsid w:val="00F308E0"/>
    <w:rsid w:val="00F309D3"/>
    <w:rsid w:val="00F309F2"/>
    <w:rsid w:val="00F30B5A"/>
    <w:rsid w:val="00F30BF3"/>
    <w:rsid w:val="00F30C88"/>
    <w:rsid w:val="00F30E9A"/>
    <w:rsid w:val="00F311AD"/>
    <w:rsid w:val="00F311F0"/>
    <w:rsid w:val="00F313BD"/>
    <w:rsid w:val="00F31660"/>
    <w:rsid w:val="00F3166A"/>
    <w:rsid w:val="00F31DA3"/>
    <w:rsid w:val="00F32123"/>
    <w:rsid w:val="00F3218D"/>
    <w:rsid w:val="00F330DA"/>
    <w:rsid w:val="00F331A6"/>
    <w:rsid w:val="00F331CE"/>
    <w:rsid w:val="00F3383E"/>
    <w:rsid w:val="00F33EBF"/>
    <w:rsid w:val="00F33F8E"/>
    <w:rsid w:val="00F3402A"/>
    <w:rsid w:val="00F34352"/>
    <w:rsid w:val="00F347DE"/>
    <w:rsid w:val="00F34A7C"/>
    <w:rsid w:val="00F34C47"/>
    <w:rsid w:val="00F34EA3"/>
    <w:rsid w:val="00F34FA6"/>
    <w:rsid w:val="00F35479"/>
    <w:rsid w:val="00F35B8C"/>
    <w:rsid w:val="00F35EDF"/>
    <w:rsid w:val="00F362AD"/>
    <w:rsid w:val="00F378EF"/>
    <w:rsid w:val="00F37CE0"/>
    <w:rsid w:val="00F4181F"/>
    <w:rsid w:val="00F41A73"/>
    <w:rsid w:val="00F41C15"/>
    <w:rsid w:val="00F41D19"/>
    <w:rsid w:val="00F41FBF"/>
    <w:rsid w:val="00F422C6"/>
    <w:rsid w:val="00F426D2"/>
    <w:rsid w:val="00F42CD0"/>
    <w:rsid w:val="00F4394B"/>
    <w:rsid w:val="00F4399E"/>
    <w:rsid w:val="00F43EC3"/>
    <w:rsid w:val="00F44B32"/>
    <w:rsid w:val="00F44D9E"/>
    <w:rsid w:val="00F44F67"/>
    <w:rsid w:val="00F45404"/>
    <w:rsid w:val="00F456B8"/>
    <w:rsid w:val="00F457AB"/>
    <w:rsid w:val="00F4618F"/>
    <w:rsid w:val="00F463D9"/>
    <w:rsid w:val="00F465A7"/>
    <w:rsid w:val="00F466A7"/>
    <w:rsid w:val="00F46746"/>
    <w:rsid w:val="00F467DD"/>
    <w:rsid w:val="00F46852"/>
    <w:rsid w:val="00F46AD6"/>
    <w:rsid w:val="00F46F24"/>
    <w:rsid w:val="00F474B7"/>
    <w:rsid w:val="00F47600"/>
    <w:rsid w:val="00F47C22"/>
    <w:rsid w:val="00F47FBA"/>
    <w:rsid w:val="00F50241"/>
    <w:rsid w:val="00F50303"/>
    <w:rsid w:val="00F50382"/>
    <w:rsid w:val="00F503DE"/>
    <w:rsid w:val="00F506DA"/>
    <w:rsid w:val="00F50B7C"/>
    <w:rsid w:val="00F50D6D"/>
    <w:rsid w:val="00F50FF8"/>
    <w:rsid w:val="00F5174F"/>
    <w:rsid w:val="00F51895"/>
    <w:rsid w:val="00F51AE8"/>
    <w:rsid w:val="00F51CA7"/>
    <w:rsid w:val="00F52865"/>
    <w:rsid w:val="00F52903"/>
    <w:rsid w:val="00F52B87"/>
    <w:rsid w:val="00F52C17"/>
    <w:rsid w:val="00F52C4B"/>
    <w:rsid w:val="00F52F39"/>
    <w:rsid w:val="00F531DE"/>
    <w:rsid w:val="00F53B23"/>
    <w:rsid w:val="00F53D3F"/>
    <w:rsid w:val="00F54080"/>
    <w:rsid w:val="00F54250"/>
    <w:rsid w:val="00F54344"/>
    <w:rsid w:val="00F544B4"/>
    <w:rsid w:val="00F544DA"/>
    <w:rsid w:val="00F54556"/>
    <w:rsid w:val="00F54C5B"/>
    <w:rsid w:val="00F550E6"/>
    <w:rsid w:val="00F553F2"/>
    <w:rsid w:val="00F55498"/>
    <w:rsid w:val="00F55518"/>
    <w:rsid w:val="00F55569"/>
    <w:rsid w:val="00F566A7"/>
    <w:rsid w:val="00F56BA7"/>
    <w:rsid w:val="00F571D1"/>
    <w:rsid w:val="00F578AA"/>
    <w:rsid w:val="00F57CDC"/>
    <w:rsid w:val="00F57F36"/>
    <w:rsid w:val="00F6048D"/>
    <w:rsid w:val="00F60C72"/>
    <w:rsid w:val="00F61386"/>
    <w:rsid w:val="00F61448"/>
    <w:rsid w:val="00F619AF"/>
    <w:rsid w:val="00F61E05"/>
    <w:rsid w:val="00F625BE"/>
    <w:rsid w:val="00F63CB6"/>
    <w:rsid w:val="00F6402A"/>
    <w:rsid w:val="00F647F1"/>
    <w:rsid w:val="00F64B11"/>
    <w:rsid w:val="00F64F96"/>
    <w:rsid w:val="00F64FE6"/>
    <w:rsid w:val="00F654F7"/>
    <w:rsid w:val="00F65AD8"/>
    <w:rsid w:val="00F65D63"/>
    <w:rsid w:val="00F65E1B"/>
    <w:rsid w:val="00F65E4E"/>
    <w:rsid w:val="00F65FCA"/>
    <w:rsid w:val="00F66256"/>
    <w:rsid w:val="00F669D5"/>
    <w:rsid w:val="00F66F31"/>
    <w:rsid w:val="00F672D9"/>
    <w:rsid w:val="00F70541"/>
    <w:rsid w:val="00F705B3"/>
    <w:rsid w:val="00F706F2"/>
    <w:rsid w:val="00F70866"/>
    <w:rsid w:val="00F708D6"/>
    <w:rsid w:val="00F70AFD"/>
    <w:rsid w:val="00F71169"/>
    <w:rsid w:val="00F714EF"/>
    <w:rsid w:val="00F7186A"/>
    <w:rsid w:val="00F71DFC"/>
    <w:rsid w:val="00F722B1"/>
    <w:rsid w:val="00F72417"/>
    <w:rsid w:val="00F72421"/>
    <w:rsid w:val="00F72937"/>
    <w:rsid w:val="00F72952"/>
    <w:rsid w:val="00F72AAC"/>
    <w:rsid w:val="00F72D49"/>
    <w:rsid w:val="00F736E2"/>
    <w:rsid w:val="00F73856"/>
    <w:rsid w:val="00F73D7D"/>
    <w:rsid w:val="00F73EEC"/>
    <w:rsid w:val="00F7417E"/>
    <w:rsid w:val="00F74345"/>
    <w:rsid w:val="00F744E7"/>
    <w:rsid w:val="00F74E63"/>
    <w:rsid w:val="00F74F63"/>
    <w:rsid w:val="00F74FCB"/>
    <w:rsid w:val="00F7660D"/>
    <w:rsid w:val="00F76723"/>
    <w:rsid w:val="00F76805"/>
    <w:rsid w:val="00F768F4"/>
    <w:rsid w:val="00F76D11"/>
    <w:rsid w:val="00F773F8"/>
    <w:rsid w:val="00F77681"/>
    <w:rsid w:val="00F77A2B"/>
    <w:rsid w:val="00F77BBD"/>
    <w:rsid w:val="00F800D7"/>
    <w:rsid w:val="00F80346"/>
    <w:rsid w:val="00F8098D"/>
    <w:rsid w:val="00F809F3"/>
    <w:rsid w:val="00F80A0A"/>
    <w:rsid w:val="00F80C9C"/>
    <w:rsid w:val="00F8111D"/>
    <w:rsid w:val="00F814C7"/>
    <w:rsid w:val="00F816B7"/>
    <w:rsid w:val="00F817C2"/>
    <w:rsid w:val="00F81839"/>
    <w:rsid w:val="00F819CB"/>
    <w:rsid w:val="00F82362"/>
    <w:rsid w:val="00F82B19"/>
    <w:rsid w:val="00F83154"/>
    <w:rsid w:val="00F8316A"/>
    <w:rsid w:val="00F833C2"/>
    <w:rsid w:val="00F83914"/>
    <w:rsid w:val="00F83DAA"/>
    <w:rsid w:val="00F84176"/>
    <w:rsid w:val="00F8489B"/>
    <w:rsid w:val="00F848AB"/>
    <w:rsid w:val="00F84E90"/>
    <w:rsid w:val="00F85164"/>
    <w:rsid w:val="00F851DF"/>
    <w:rsid w:val="00F851E7"/>
    <w:rsid w:val="00F8526D"/>
    <w:rsid w:val="00F853CF"/>
    <w:rsid w:val="00F85477"/>
    <w:rsid w:val="00F8547E"/>
    <w:rsid w:val="00F8550A"/>
    <w:rsid w:val="00F85823"/>
    <w:rsid w:val="00F8583E"/>
    <w:rsid w:val="00F858A7"/>
    <w:rsid w:val="00F85BFA"/>
    <w:rsid w:val="00F862F3"/>
    <w:rsid w:val="00F863C4"/>
    <w:rsid w:val="00F86754"/>
    <w:rsid w:val="00F86915"/>
    <w:rsid w:val="00F86C82"/>
    <w:rsid w:val="00F86D63"/>
    <w:rsid w:val="00F874C8"/>
    <w:rsid w:val="00F87DDD"/>
    <w:rsid w:val="00F87F60"/>
    <w:rsid w:val="00F9013E"/>
    <w:rsid w:val="00F90335"/>
    <w:rsid w:val="00F90469"/>
    <w:rsid w:val="00F9093C"/>
    <w:rsid w:val="00F90B24"/>
    <w:rsid w:val="00F90B95"/>
    <w:rsid w:val="00F91A60"/>
    <w:rsid w:val="00F91B08"/>
    <w:rsid w:val="00F91E38"/>
    <w:rsid w:val="00F91EC6"/>
    <w:rsid w:val="00F9212D"/>
    <w:rsid w:val="00F922C6"/>
    <w:rsid w:val="00F92C14"/>
    <w:rsid w:val="00F92D59"/>
    <w:rsid w:val="00F92F8D"/>
    <w:rsid w:val="00F93193"/>
    <w:rsid w:val="00F936A2"/>
    <w:rsid w:val="00F93BFF"/>
    <w:rsid w:val="00F9427A"/>
    <w:rsid w:val="00F94419"/>
    <w:rsid w:val="00F94A19"/>
    <w:rsid w:val="00F94AD5"/>
    <w:rsid w:val="00F94ED4"/>
    <w:rsid w:val="00F9557C"/>
    <w:rsid w:val="00F95819"/>
    <w:rsid w:val="00F95D62"/>
    <w:rsid w:val="00F95FDC"/>
    <w:rsid w:val="00F9620D"/>
    <w:rsid w:val="00F965DA"/>
    <w:rsid w:val="00F968F7"/>
    <w:rsid w:val="00F96F51"/>
    <w:rsid w:val="00F9715A"/>
    <w:rsid w:val="00F97208"/>
    <w:rsid w:val="00F97330"/>
    <w:rsid w:val="00F9739F"/>
    <w:rsid w:val="00F97CBC"/>
    <w:rsid w:val="00F97CDE"/>
    <w:rsid w:val="00FA00A3"/>
    <w:rsid w:val="00FA040F"/>
    <w:rsid w:val="00FA0561"/>
    <w:rsid w:val="00FA0E9F"/>
    <w:rsid w:val="00FA1F00"/>
    <w:rsid w:val="00FA270F"/>
    <w:rsid w:val="00FA287F"/>
    <w:rsid w:val="00FA2897"/>
    <w:rsid w:val="00FA294F"/>
    <w:rsid w:val="00FA2B54"/>
    <w:rsid w:val="00FA301A"/>
    <w:rsid w:val="00FA316D"/>
    <w:rsid w:val="00FA3408"/>
    <w:rsid w:val="00FA3422"/>
    <w:rsid w:val="00FA3BD3"/>
    <w:rsid w:val="00FA3C51"/>
    <w:rsid w:val="00FA3C8E"/>
    <w:rsid w:val="00FA3ED5"/>
    <w:rsid w:val="00FA3EEC"/>
    <w:rsid w:val="00FA406A"/>
    <w:rsid w:val="00FA42FC"/>
    <w:rsid w:val="00FA4331"/>
    <w:rsid w:val="00FA4552"/>
    <w:rsid w:val="00FA4A31"/>
    <w:rsid w:val="00FA4CFD"/>
    <w:rsid w:val="00FA5711"/>
    <w:rsid w:val="00FA57FA"/>
    <w:rsid w:val="00FA5A03"/>
    <w:rsid w:val="00FA5A57"/>
    <w:rsid w:val="00FA5CF9"/>
    <w:rsid w:val="00FA60D6"/>
    <w:rsid w:val="00FA6894"/>
    <w:rsid w:val="00FA6928"/>
    <w:rsid w:val="00FA6A6D"/>
    <w:rsid w:val="00FA6EF9"/>
    <w:rsid w:val="00FB0406"/>
    <w:rsid w:val="00FB07BE"/>
    <w:rsid w:val="00FB0CEB"/>
    <w:rsid w:val="00FB0FCC"/>
    <w:rsid w:val="00FB11BE"/>
    <w:rsid w:val="00FB1FF1"/>
    <w:rsid w:val="00FB2AB4"/>
    <w:rsid w:val="00FB30C6"/>
    <w:rsid w:val="00FB4124"/>
    <w:rsid w:val="00FB4A89"/>
    <w:rsid w:val="00FB503A"/>
    <w:rsid w:val="00FB516C"/>
    <w:rsid w:val="00FB5D18"/>
    <w:rsid w:val="00FB5D51"/>
    <w:rsid w:val="00FB5DC1"/>
    <w:rsid w:val="00FB62F5"/>
    <w:rsid w:val="00FB69DD"/>
    <w:rsid w:val="00FB6BC5"/>
    <w:rsid w:val="00FB6C63"/>
    <w:rsid w:val="00FB7471"/>
    <w:rsid w:val="00FB75EE"/>
    <w:rsid w:val="00FB7759"/>
    <w:rsid w:val="00FB79C7"/>
    <w:rsid w:val="00FB7BA1"/>
    <w:rsid w:val="00FB7E23"/>
    <w:rsid w:val="00FB7E97"/>
    <w:rsid w:val="00FB7F84"/>
    <w:rsid w:val="00FC05DB"/>
    <w:rsid w:val="00FC0DBD"/>
    <w:rsid w:val="00FC0E37"/>
    <w:rsid w:val="00FC17A2"/>
    <w:rsid w:val="00FC17A4"/>
    <w:rsid w:val="00FC1ACC"/>
    <w:rsid w:val="00FC1E9F"/>
    <w:rsid w:val="00FC2902"/>
    <w:rsid w:val="00FC2BCA"/>
    <w:rsid w:val="00FC2CF1"/>
    <w:rsid w:val="00FC2CF9"/>
    <w:rsid w:val="00FC3328"/>
    <w:rsid w:val="00FC3591"/>
    <w:rsid w:val="00FC3687"/>
    <w:rsid w:val="00FC36B4"/>
    <w:rsid w:val="00FC3A79"/>
    <w:rsid w:val="00FC3FD0"/>
    <w:rsid w:val="00FC404C"/>
    <w:rsid w:val="00FC4508"/>
    <w:rsid w:val="00FC45F2"/>
    <w:rsid w:val="00FC4610"/>
    <w:rsid w:val="00FC4BCE"/>
    <w:rsid w:val="00FC4DEA"/>
    <w:rsid w:val="00FC4E10"/>
    <w:rsid w:val="00FC509B"/>
    <w:rsid w:val="00FC51D5"/>
    <w:rsid w:val="00FC5208"/>
    <w:rsid w:val="00FC5311"/>
    <w:rsid w:val="00FC5377"/>
    <w:rsid w:val="00FC55C0"/>
    <w:rsid w:val="00FC5D69"/>
    <w:rsid w:val="00FC624A"/>
    <w:rsid w:val="00FC6FD8"/>
    <w:rsid w:val="00FC6FD9"/>
    <w:rsid w:val="00FC7706"/>
    <w:rsid w:val="00FC7929"/>
    <w:rsid w:val="00FC794B"/>
    <w:rsid w:val="00FC7D07"/>
    <w:rsid w:val="00FD0236"/>
    <w:rsid w:val="00FD04EE"/>
    <w:rsid w:val="00FD0584"/>
    <w:rsid w:val="00FD06F3"/>
    <w:rsid w:val="00FD08CC"/>
    <w:rsid w:val="00FD0CFA"/>
    <w:rsid w:val="00FD112C"/>
    <w:rsid w:val="00FD14BC"/>
    <w:rsid w:val="00FD1518"/>
    <w:rsid w:val="00FD18F4"/>
    <w:rsid w:val="00FD1964"/>
    <w:rsid w:val="00FD213A"/>
    <w:rsid w:val="00FD2480"/>
    <w:rsid w:val="00FD258F"/>
    <w:rsid w:val="00FD25AE"/>
    <w:rsid w:val="00FD2673"/>
    <w:rsid w:val="00FD28AF"/>
    <w:rsid w:val="00FD2C87"/>
    <w:rsid w:val="00FD2E4D"/>
    <w:rsid w:val="00FD3045"/>
    <w:rsid w:val="00FD32BF"/>
    <w:rsid w:val="00FD3619"/>
    <w:rsid w:val="00FD378C"/>
    <w:rsid w:val="00FD3A9E"/>
    <w:rsid w:val="00FD4037"/>
    <w:rsid w:val="00FD447A"/>
    <w:rsid w:val="00FD45BD"/>
    <w:rsid w:val="00FD4AD8"/>
    <w:rsid w:val="00FD4CE5"/>
    <w:rsid w:val="00FD4F64"/>
    <w:rsid w:val="00FD5173"/>
    <w:rsid w:val="00FD544C"/>
    <w:rsid w:val="00FD54DB"/>
    <w:rsid w:val="00FD5752"/>
    <w:rsid w:val="00FD607D"/>
    <w:rsid w:val="00FD619F"/>
    <w:rsid w:val="00FD66EC"/>
    <w:rsid w:val="00FD6E94"/>
    <w:rsid w:val="00FD6F54"/>
    <w:rsid w:val="00FD71AA"/>
    <w:rsid w:val="00FD736E"/>
    <w:rsid w:val="00FD765F"/>
    <w:rsid w:val="00FD7931"/>
    <w:rsid w:val="00FD7E01"/>
    <w:rsid w:val="00FE0024"/>
    <w:rsid w:val="00FE01C2"/>
    <w:rsid w:val="00FE03C3"/>
    <w:rsid w:val="00FE0495"/>
    <w:rsid w:val="00FE0A4D"/>
    <w:rsid w:val="00FE0BE4"/>
    <w:rsid w:val="00FE101B"/>
    <w:rsid w:val="00FE1712"/>
    <w:rsid w:val="00FE23ED"/>
    <w:rsid w:val="00FE280C"/>
    <w:rsid w:val="00FE3573"/>
    <w:rsid w:val="00FE35F3"/>
    <w:rsid w:val="00FE37A3"/>
    <w:rsid w:val="00FE3C27"/>
    <w:rsid w:val="00FE3D90"/>
    <w:rsid w:val="00FE3EE2"/>
    <w:rsid w:val="00FE4037"/>
    <w:rsid w:val="00FE4728"/>
    <w:rsid w:val="00FE4BEB"/>
    <w:rsid w:val="00FE4F88"/>
    <w:rsid w:val="00FE5014"/>
    <w:rsid w:val="00FE5017"/>
    <w:rsid w:val="00FE52E6"/>
    <w:rsid w:val="00FE537A"/>
    <w:rsid w:val="00FE55C5"/>
    <w:rsid w:val="00FE5802"/>
    <w:rsid w:val="00FE5914"/>
    <w:rsid w:val="00FE5E02"/>
    <w:rsid w:val="00FE648C"/>
    <w:rsid w:val="00FE667C"/>
    <w:rsid w:val="00FE6683"/>
    <w:rsid w:val="00FE6AC1"/>
    <w:rsid w:val="00FE6CB1"/>
    <w:rsid w:val="00FE6EC1"/>
    <w:rsid w:val="00FE739E"/>
    <w:rsid w:val="00FE7566"/>
    <w:rsid w:val="00FE7804"/>
    <w:rsid w:val="00FE7E29"/>
    <w:rsid w:val="00FF01B9"/>
    <w:rsid w:val="00FF02D2"/>
    <w:rsid w:val="00FF0C09"/>
    <w:rsid w:val="00FF1484"/>
    <w:rsid w:val="00FF1D15"/>
    <w:rsid w:val="00FF1FEB"/>
    <w:rsid w:val="00FF2889"/>
    <w:rsid w:val="00FF29F0"/>
    <w:rsid w:val="00FF2B10"/>
    <w:rsid w:val="00FF2D3A"/>
    <w:rsid w:val="00FF33FE"/>
    <w:rsid w:val="00FF4752"/>
    <w:rsid w:val="00FF4753"/>
    <w:rsid w:val="00FF488C"/>
    <w:rsid w:val="00FF49E0"/>
    <w:rsid w:val="00FF5043"/>
    <w:rsid w:val="00FF53A4"/>
    <w:rsid w:val="00FF563D"/>
    <w:rsid w:val="00FF56BA"/>
    <w:rsid w:val="00FF5DBE"/>
    <w:rsid w:val="00FF6078"/>
    <w:rsid w:val="00FF620A"/>
    <w:rsid w:val="00FF62D6"/>
    <w:rsid w:val="00FF6562"/>
    <w:rsid w:val="00FF707C"/>
    <w:rsid w:val="00FF7314"/>
    <w:rsid w:val="00FF7636"/>
    <w:rsid w:val="00FF78CE"/>
    <w:rsid w:val="010312EC"/>
    <w:rsid w:val="010333FC"/>
    <w:rsid w:val="01042CD0"/>
    <w:rsid w:val="01057174"/>
    <w:rsid w:val="01062EEC"/>
    <w:rsid w:val="01066A48"/>
    <w:rsid w:val="010A29DC"/>
    <w:rsid w:val="010A6538"/>
    <w:rsid w:val="010B405F"/>
    <w:rsid w:val="010D6029"/>
    <w:rsid w:val="010D7DD7"/>
    <w:rsid w:val="010F1DA1"/>
    <w:rsid w:val="010F3B4F"/>
    <w:rsid w:val="010F7FF3"/>
    <w:rsid w:val="01105031"/>
    <w:rsid w:val="0112363F"/>
    <w:rsid w:val="01145609"/>
    <w:rsid w:val="011473B7"/>
    <w:rsid w:val="01154EDD"/>
    <w:rsid w:val="01160EA3"/>
    <w:rsid w:val="0116312F"/>
    <w:rsid w:val="011949CD"/>
    <w:rsid w:val="011B0745"/>
    <w:rsid w:val="011B6997"/>
    <w:rsid w:val="011C44BE"/>
    <w:rsid w:val="011E3D92"/>
    <w:rsid w:val="011F7A33"/>
    <w:rsid w:val="01201F55"/>
    <w:rsid w:val="01205D5C"/>
    <w:rsid w:val="01211AD4"/>
    <w:rsid w:val="01255DC7"/>
    <w:rsid w:val="01260E98"/>
    <w:rsid w:val="012670EA"/>
    <w:rsid w:val="012706E7"/>
    <w:rsid w:val="01281B77"/>
    <w:rsid w:val="012860CD"/>
    <w:rsid w:val="01290F7E"/>
    <w:rsid w:val="01303AC5"/>
    <w:rsid w:val="01311D17"/>
    <w:rsid w:val="0131436A"/>
    <w:rsid w:val="013206CC"/>
    <w:rsid w:val="013435B5"/>
    <w:rsid w:val="01344CDB"/>
    <w:rsid w:val="01347A59"/>
    <w:rsid w:val="013637D1"/>
    <w:rsid w:val="0136732D"/>
    <w:rsid w:val="013730A5"/>
    <w:rsid w:val="01390BCC"/>
    <w:rsid w:val="01395070"/>
    <w:rsid w:val="013B0DE8"/>
    <w:rsid w:val="013B2B96"/>
    <w:rsid w:val="014063FE"/>
    <w:rsid w:val="01423F24"/>
    <w:rsid w:val="01437C9C"/>
    <w:rsid w:val="014527E0"/>
    <w:rsid w:val="014642C0"/>
    <w:rsid w:val="0147153B"/>
    <w:rsid w:val="01483505"/>
    <w:rsid w:val="01487061"/>
    <w:rsid w:val="014C4DA3"/>
    <w:rsid w:val="014D0B1B"/>
    <w:rsid w:val="014D28C9"/>
    <w:rsid w:val="014D4677"/>
    <w:rsid w:val="014F03EF"/>
    <w:rsid w:val="01514013"/>
    <w:rsid w:val="01521C8D"/>
    <w:rsid w:val="01536131"/>
    <w:rsid w:val="01540E45"/>
    <w:rsid w:val="015435F7"/>
    <w:rsid w:val="015522D5"/>
    <w:rsid w:val="0156177E"/>
    <w:rsid w:val="01565C22"/>
    <w:rsid w:val="015A5953"/>
    <w:rsid w:val="015B6D94"/>
    <w:rsid w:val="015C48BA"/>
    <w:rsid w:val="015D1E09"/>
    <w:rsid w:val="015D1EF7"/>
    <w:rsid w:val="015E6F9B"/>
    <w:rsid w:val="015F4817"/>
    <w:rsid w:val="01610122"/>
    <w:rsid w:val="016140C6"/>
    <w:rsid w:val="016320EC"/>
    <w:rsid w:val="01633E9B"/>
    <w:rsid w:val="01655E65"/>
    <w:rsid w:val="01657C13"/>
    <w:rsid w:val="016B44FB"/>
    <w:rsid w:val="016B7754"/>
    <w:rsid w:val="016C71F3"/>
    <w:rsid w:val="016F0A91"/>
    <w:rsid w:val="0170036D"/>
    <w:rsid w:val="01714809"/>
    <w:rsid w:val="017165B7"/>
    <w:rsid w:val="0176160E"/>
    <w:rsid w:val="017716F4"/>
    <w:rsid w:val="01791910"/>
    <w:rsid w:val="017B11E4"/>
    <w:rsid w:val="017B2F92"/>
    <w:rsid w:val="017D31AE"/>
    <w:rsid w:val="017E0CD4"/>
    <w:rsid w:val="01802C9E"/>
    <w:rsid w:val="018207C5"/>
    <w:rsid w:val="01822782"/>
    <w:rsid w:val="01830099"/>
    <w:rsid w:val="01833C12"/>
    <w:rsid w:val="018856AF"/>
    <w:rsid w:val="01891B53"/>
    <w:rsid w:val="018A58CB"/>
    <w:rsid w:val="018B23A4"/>
    <w:rsid w:val="018C1643"/>
    <w:rsid w:val="018C33F1"/>
    <w:rsid w:val="018F2EE2"/>
    <w:rsid w:val="018F4C90"/>
    <w:rsid w:val="01910A08"/>
    <w:rsid w:val="0192652E"/>
    <w:rsid w:val="019404F8"/>
    <w:rsid w:val="01944054"/>
    <w:rsid w:val="01962088"/>
    <w:rsid w:val="01967DCC"/>
    <w:rsid w:val="01977DA8"/>
    <w:rsid w:val="01987FE8"/>
    <w:rsid w:val="01995B0E"/>
    <w:rsid w:val="019B1886"/>
    <w:rsid w:val="019E1F5B"/>
    <w:rsid w:val="019F1377"/>
    <w:rsid w:val="01A00C4B"/>
    <w:rsid w:val="01A06E9D"/>
    <w:rsid w:val="01A108DC"/>
    <w:rsid w:val="01A52705"/>
    <w:rsid w:val="01A544B3"/>
    <w:rsid w:val="01A56261"/>
    <w:rsid w:val="01A61B7D"/>
    <w:rsid w:val="01A85D51"/>
    <w:rsid w:val="01A8609A"/>
    <w:rsid w:val="01A87AFF"/>
    <w:rsid w:val="01A93FA3"/>
    <w:rsid w:val="01AB5C4D"/>
    <w:rsid w:val="01AC475F"/>
    <w:rsid w:val="01AC5842"/>
    <w:rsid w:val="01AD5116"/>
    <w:rsid w:val="01AE15BA"/>
    <w:rsid w:val="01AF70E0"/>
    <w:rsid w:val="01B110AA"/>
    <w:rsid w:val="01B3097E"/>
    <w:rsid w:val="01B446F6"/>
    <w:rsid w:val="01B6221C"/>
    <w:rsid w:val="01B80436"/>
    <w:rsid w:val="01B85F94"/>
    <w:rsid w:val="01B91D0C"/>
    <w:rsid w:val="01B97F5E"/>
    <w:rsid w:val="01BB3CD7"/>
    <w:rsid w:val="01BB7833"/>
    <w:rsid w:val="01BD35AB"/>
    <w:rsid w:val="01BD7A4F"/>
    <w:rsid w:val="01BF37C7"/>
    <w:rsid w:val="01C04E49"/>
    <w:rsid w:val="01C20BC1"/>
    <w:rsid w:val="01C34939"/>
    <w:rsid w:val="01C40DDD"/>
    <w:rsid w:val="01C42B8B"/>
    <w:rsid w:val="01C56903"/>
    <w:rsid w:val="01C810B9"/>
    <w:rsid w:val="01C901A1"/>
    <w:rsid w:val="01CA3F1A"/>
    <w:rsid w:val="01CC1A40"/>
    <w:rsid w:val="01CC5EE4"/>
    <w:rsid w:val="01CC7C92"/>
    <w:rsid w:val="01CE78F9"/>
    <w:rsid w:val="01CF7782"/>
    <w:rsid w:val="01D134FA"/>
    <w:rsid w:val="01D136A9"/>
    <w:rsid w:val="01D152A8"/>
    <w:rsid w:val="01D31020"/>
    <w:rsid w:val="01D32DCE"/>
    <w:rsid w:val="01D3338E"/>
    <w:rsid w:val="01D35FC9"/>
    <w:rsid w:val="01D408F4"/>
    <w:rsid w:val="01D46B46"/>
    <w:rsid w:val="01D628BE"/>
    <w:rsid w:val="01D73C3D"/>
    <w:rsid w:val="01D77F38"/>
    <w:rsid w:val="01D803E5"/>
    <w:rsid w:val="01D84888"/>
    <w:rsid w:val="01D86637"/>
    <w:rsid w:val="01DA06FA"/>
    <w:rsid w:val="01DA23AF"/>
    <w:rsid w:val="01DB6127"/>
    <w:rsid w:val="01DB7ED5"/>
    <w:rsid w:val="01DC28F9"/>
    <w:rsid w:val="01E054EB"/>
    <w:rsid w:val="01E07299"/>
    <w:rsid w:val="01E23011"/>
    <w:rsid w:val="01E66FA5"/>
    <w:rsid w:val="01E7687A"/>
    <w:rsid w:val="01E90844"/>
    <w:rsid w:val="01EA5991"/>
    <w:rsid w:val="01EB45BC"/>
    <w:rsid w:val="01EC5C3E"/>
    <w:rsid w:val="01ED1741"/>
    <w:rsid w:val="01EE03CE"/>
    <w:rsid w:val="01EE2BD1"/>
    <w:rsid w:val="01EF3980"/>
    <w:rsid w:val="01EF572E"/>
    <w:rsid w:val="01F000C2"/>
    <w:rsid w:val="01F01BD2"/>
    <w:rsid w:val="01F114A6"/>
    <w:rsid w:val="01F176F8"/>
    <w:rsid w:val="01F81CE0"/>
    <w:rsid w:val="01F82835"/>
    <w:rsid w:val="01FD379F"/>
    <w:rsid w:val="01FD609D"/>
    <w:rsid w:val="01FD7E4B"/>
    <w:rsid w:val="01FF0067"/>
    <w:rsid w:val="01FF1E15"/>
    <w:rsid w:val="01FF3BC3"/>
    <w:rsid w:val="020016E9"/>
    <w:rsid w:val="0200793B"/>
    <w:rsid w:val="020411DA"/>
    <w:rsid w:val="0204742C"/>
    <w:rsid w:val="020A1730"/>
    <w:rsid w:val="020C0D2B"/>
    <w:rsid w:val="020C4532"/>
    <w:rsid w:val="020C62E0"/>
    <w:rsid w:val="020E2058"/>
    <w:rsid w:val="020F4ADB"/>
    <w:rsid w:val="020F7FE1"/>
    <w:rsid w:val="02117D9A"/>
    <w:rsid w:val="0213766F"/>
    <w:rsid w:val="021533E7"/>
    <w:rsid w:val="02155410"/>
    <w:rsid w:val="02160F0D"/>
    <w:rsid w:val="0216715F"/>
    <w:rsid w:val="0219075E"/>
    <w:rsid w:val="021A27AB"/>
    <w:rsid w:val="021B6523"/>
    <w:rsid w:val="021C0820"/>
    <w:rsid w:val="021F6013"/>
    <w:rsid w:val="02201D8C"/>
    <w:rsid w:val="02223D56"/>
    <w:rsid w:val="02224692"/>
    <w:rsid w:val="02225B04"/>
    <w:rsid w:val="022278B2"/>
    <w:rsid w:val="0224187C"/>
    <w:rsid w:val="022573A2"/>
    <w:rsid w:val="0227136C"/>
    <w:rsid w:val="0227311A"/>
    <w:rsid w:val="022950E4"/>
    <w:rsid w:val="02296E92"/>
    <w:rsid w:val="022A6335"/>
    <w:rsid w:val="022B2C0A"/>
    <w:rsid w:val="022C0315"/>
    <w:rsid w:val="022C0730"/>
    <w:rsid w:val="022C24DE"/>
    <w:rsid w:val="022E2C35"/>
    <w:rsid w:val="022E6257"/>
    <w:rsid w:val="02300221"/>
    <w:rsid w:val="02301FCF"/>
    <w:rsid w:val="02313F99"/>
    <w:rsid w:val="023169E5"/>
    <w:rsid w:val="02336BD4"/>
    <w:rsid w:val="0236335D"/>
    <w:rsid w:val="02385327"/>
    <w:rsid w:val="023870D5"/>
    <w:rsid w:val="02395177"/>
    <w:rsid w:val="023B0973"/>
    <w:rsid w:val="023C4E17"/>
    <w:rsid w:val="023D293E"/>
    <w:rsid w:val="023D46EC"/>
    <w:rsid w:val="023E0FE9"/>
    <w:rsid w:val="024141DC"/>
    <w:rsid w:val="02421D02"/>
    <w:rsid w:val="024302FF"/>
    <w:rsid w:val="02443CCC"/>
    <w:rsid w:val="02445A7A"/>
    <w:rsid w:val="024617F2"/>
    <w:rsid w:val="02493090"/>
    <w:rsid w:val="024A0BB7"/>
    <w:rsid w:val="024B6E08"/>
    <w:rsid w:val="024C492F"/>
    <w:rsid w:val="024E06A7"/>
    <w:rsid w:val="02500B6C"/>
    <w:rsid w:val="02501354"/>
    <w:rsid w:val="02502671"/>
    <w:rsid w:val="02504803"/>
    <w:rsid w:val="02536647"/>
    <w:rsid w:val="02555ED9"/>
    <w:rsid w:val="02557C87"/>
    <w:rsid w:val="025657AD"/>
    <w:rsid w:val="025714DE"/>
    <w:rsid w:val="02571C51"/>
    <w:rsid w:val="02581525"/>
    <w:rsid w:val="02595BF1"/>
    <w:rsid w:val="025A34EF"/>
    <w:rsid w:val="025A529E"/>
    <w:rsid w:val="025A704C"/>
    <w:rsid w:val="025C1016"/>
    <w:rsid w:val="025D6B3C"/>
    <w:rsid w:val="025F0B06"/>
    <w:rsid w:val="025F28B4"/>
    <w:rsid w:val="025F4662"/>
    <w:rsid w:val="02604634"/>
    <w:rsid w:val="026223A4"/>
    <w:rsid w:val="026558D4"/>
    <w:rsid w:val="02663C42"/>
    <w:rsid w:val="02691984"/>
    <w:rsid w:val="02693733"/>
    <w:rsid w:val="026954E1"/>
    <w:rsid w:val="026956E5"/>
    <w:rsid w:val="02697903"/>
    <w:rsid w:val="026B74AB"/>
    <w:rsid w:val="026D3223"/>
    <w:rsid w:val="026D4066"/>
    <w:rsid w:val="026F1557"/>
    <w:rsid w:val="0270061D"/>
    <w:rsid w:val="0270686F"/>
    <w:rsid w:val="0273010D"/>
    <w:rsid w:val="0273635F"/>
    <w:rsid w:val="0274748E"/>
    <w:rsid w:val="02750329"/>
    <w:rsid w:val="027520D7"/>
    <w:rsid w:val="02753C88"/>
    <w:rsid w:val="02753E85"/>
    <w:rsid w:val="02772988"/>
    <w:rsid w:val="02781BC8"/>
    <w:rsid w:val="027A149C"/>
    <w:rsid w:val="027A76EE"/>
    <w:rsid w:val="027C0F8A"/>
    <w:rsid w:val="027C5214"/>
    <w:rsid w:val="027D0F8C"/>
    <w:rsid w:val="027F4D04"/>
    <w:rsid w:val="02812247"/>
    <w:rsid w:val="0281282A"/>
    <w:rsid w:val="02815105"/>
    <w:rsid w:val="02816CCE"/>
    <w:rsid w:val="028247F4"/>
    <w:rsid w:val="028265A2"/>
    <w:rsid w:val="0284231A"/>
    <w:rsid w:val="028440C8"/>
    <w:rsid w:val="02866093"/>
    <w:rsid w:val="02867E41"/>
    <w:rsid w:val="02873BB9"/>
    <w:rsid w:val="028910D2"/>
    <w:rsid w:val="028A615F"/>
    <w:rsid w:val="028B36A9"/>
    <w:rsid w:val="028C11CF"/>
    <w:rsid w:val="028D5673"/>
    <w:rsid w:val="028D7421"/>
    <w:rsid w:val="02941DE2"/>
    <w:rsid w:val="0297204E"/>
    <w:rsid w:val="029A1B3E"/>
    <w:rsid w:val="029C3B08"/>
    <w:rsid w:val="029C58B6"/>
    <w:rsid w:val="029C7664"/>
    <w:rsid w:val="029E1DBA"/>
    <w:rsid w:val="029F0F02"/>
    <w:rsid w:val="029F7154"/>
    <w:rsid w:val="02A12ECC"/>
    <w:rsid w:val="02A14C7A"/>
    <w:rsid w:val="02A227A1"/>
    <w:rsid w:val="02A35876"/>
    <w:rsid w:val="02A429BD"/>
    <w:rsid w:val="02A46519"/>
    <w:rsid w:val="02A46D06"/>
    <w:rsid w:val="02A604E3"/>
    <w:rsid w:val="02A62291"/>
    <w:rsid w:val="02A824AD"/>
    <w:rsid w:val="02A97FD3"/>
    <w:rsid w:val="02AB5AF9"/>
    <w:rsid w:val="02AB6BD9"/>
    <w:rsid w:val="02AC6928"/>
    <w:rsid w:val="02AE1145"/>
    <w:rsid w:val="02AE7397"/>
    <w:rsid w:val="02B01361"/>
    <w:rsid w:val="02B0310F"/>
    <w:rsid w:val="02B32C00"/>
    <w:rsid w:val="02B349AE"/>
    <w:rsid w:val="02B40E52"/>
    <w:rsid w:val="02B50726"/>
    <w:rsid w:val="02B7624C"/>
    <w:rsid w:val="02B81FC4"/>
    <w:rsid w:val="02B96468"/>
    <w:rsid w:val="02BC3862"/>
    <w:rsid w:val="02BC7D06"/>
    <w:rsid w:val="02BD75DA"/>
    <w:rsid w:val="02BF3353"/>
    <w:rsid w:val="02C1356F"/>
    <w:rsid w:val="02C24BF1"/>
    <w:rsid w:val="02C32E43"/>
    <w:rsid w:val="02C60B85"/>
    <w:rsid w:val="02C6101B"/>
    <w:rsid w:val="02C62933"/>
    <w:rsid w:val="02C866AB"/>
    <w:rsid w:val="02C92423"/>
    <w:rsid w:val="02C941D1"/>
    <w:rsid w:val="02CB7F49"/>
    <w:rsid w:val="02D0730E"/>
    <w:rsid w:val="02D45050"/>
    <w:rsid w:val="02D768EE"/>
    <w:rsid w:val="02DA1F3A"/>
    <w:rsid w:val="02DA63DE"/>
    <w:rsid w:val="02DB6CD0"/>
    <w:rsid w:val="02DC5CB3"/>
    <w:rsid w:val="02DE2926"/>
    <w:rsid w:val="02E1151B"/>
    <w:rsid w:val="02E1776D"/>
    <w:rsid w:val="02E334E5"/>
    <w:rsid w:val="02E35293"/>
    <w:rsid w:val="02E4100B"/>
    <w:rsid w:val="02E44199"/>
    <w:rsid w:val="02E55629"/>
    <w:rsid w:val="02E80AFB"/>
    <w:rsid w:val="02E828A9"/>
    <w:rsid w:val="02E84225"/>
    <w:rsid w:val="02E9000B"/>
    <w:rsid w:val="02EB239A"/>
    <w:rsid w:val="02EB4148"/>
    <w:rsid w:val="02ED4364"/>
    <w:rsid w:val="02ED6112"/>
    <w:rsid w:val="02ED698C"/>
    <w:rsid w:val="02EE59E6"/>
    <w:rsid w:val="02F0175E"/>
    <w:rsid w:val="02F1679D"/>
    <w:rsid w:val="02F2197A"/>
    <w:rsid w:val="02F23728"/>
    <w:rsid w:val="02F254D6"/>
    <w:rsid w:val="02F565AE"/>
    <w:rsid w:val="02F70D3E"/>
    <w:rsid w:val="02F76F90"/>
    <w:rsid w:val="02F96569"/>
    <w:rsid w:val="02FC38B0"/>
    <w:rsid w:val="02FC45A7"/>
    <w:rsid w:val="02FC6355"/>
    <w:rsid w:val="02FD6481"/>
    <w:rsid w:val="03015719"/>
    <w:rsid w:val="030222F3"/>
    <w:rsid w:val="03060F81"/>
    <w:rsid w:val="03083594"/>
    <w:rsid w:val="030D0562"/>
    <w:rsid w:val="030D2310"/>
    <w:rsid w:val="030E5CC5"/>
    <w:rsid w:val="030F6088"/>
    <w:rsid w:val="03101E00"/>
    <w:rsid w:val="03125B78"/>
    <w:rsid w:val="031306A7"/>
    <w:rsid w:val="031536A2"/>
    <w:rsid w:val="031713E0"/>
    <w:rsid w:val="0317318F"/>
    <w:rsid w:val="03174F3D"/>
    <w:rsid w:val="03196F07"/>
    <w:rsid w:val="031B02C9"/>
    <w:rsid w:val="031C2E9A"/>
    <w:rsid w:val="031E276F"/>
    <w:rsid w:val="031E451D"/>
    <w:rsid w:val="031E62CB"/>
    <w:rsid w:val="03215DBB"/>
    <w:rsid w:val="03217B69"/>
    <w:rsid w:val="03253AFD"/>
    <w:rsid w:val="03261624"/>
    <w:rsid w:val="0329380E"/>
    <w:rsid w:val="032A4C70"/>
    <w:rsid w:val="032C124E"/>
    <w:rsid w:val="032D29B2"/>
    <w:rsid w:val="032D650E"/>
    <w:rsid w:val="032E52AF"/>
    <w:rsid w:val="032E7E80"/>
    <w:rsid w:val="03304250"/>
    <w:rsid w:val="03305FFE"/>
    <w:rsid w:val="033124A2"/>
    <w:rsid w:val="03323B24"/>
    <w:rsid w:val="03327FC8"/>
    <w:rsid w:val="03353615"/>
    <w:rsid w:val="0337738D"/>
    <w:rsid w:val="033C626F"/>
    <w:rsid w:val="033E4BBF"/>
    <w:rsid w:val="033F6241"/>
    <w:rsid w:val="03400B54"/>
    <w:rsid w:val="03404493"/>
    <w:rsid w:val="0341645D"/>
    <w:rsid w:val="03425F66"/>
    <w:rsid w:val="034321D6"/>
    <w:rsid w:val="03433F84"/>
    <w:rsid w:val="03477597"/>
    <w:rsid w:val="034877EC"/>
    <w:rsid w:val="034D4E02"/>
    <w:rsid w:val="034F46D6"/>
    <w:rsid w:val="0350044F"/>
    <w:rsid w:val="035166A0"/>
    <w:rsid w:val="03525F75"/>
    <w:rsid w:val="03546FCA"/>
    <w:rsid w:val="03547F3F"/>
    <w:rsid w:val="03555A65"/>
    <w:rsid w:val="035A42CC"/>
    <w:rsid w:val="035B12CD"/>
    <w:rsid w:val="035B751F"/>
    <w:rsid w:val="035C4902"/>
    <w:rsid w:val="03604B36"/>
    <w:rsid w:val="03606F33"/>
    <w:rsid w:val="036115CE"/>
    <w:rsid w:val="0361265C"/>
    <w:rsid w:val="036156A8"/>
    <w:rsid w:val="03620118"/>
    <w:rsid w:val="036363D4"/>
    <w:rsid w:val="0363688D"/>
    <w:rsid w:val="03667C72"/>
    <w:rsid w:val="03675EC4"/>
    <w:rsid w:val="036839EA"/>
    <w:rsid w:val="036A1510"/>
    <w:rsid w:val="036A3DC1"/>
    <w:rsid w:val="036A7762"/>
    <w:rsid w:val="036D1000"/>
    <w:rsid w:val="036D2DAF"/>
    <w:rsid w:val="036D4B44"/>
    <w:rsid w:val="0370464D"/>
    <w:rsid w:val="0371289F"/>
    <w:rsid w:val="03716D43"/>
    <w:rsid w:val="037216EB"/>
    <w:rsid w:val="03724869"/>
    <w:rsid w:val="03726617"/>
    <w:rsid w:val="0374413D"/>
    <w:rsid w:val="03744E73"/>
    <w:rsid w:val="03767EB5"/>
    <w:rsid w:val="037759DB"/>
    <w:rsid w:val="037979A5"/>
    <w:rsid w:val="037B2175"/>
    <w:rsid w:val="037B54CB"/>
    <w:rsid w:val="037B7842"/>
    <w:rsid w:val="037C61D6"/>
    <w:rsid w:val="037C7496"/>
    <w:rsid w:val="037E4FBC"/>
    <w:rsid w:val="03802AE2"/>
    <w:rsid w:val="03805FE7"/>
    <w:rsid w:val="038325D2"/>
    <w:rsid w:val="03836A76"/>
    <w:rsid w:val="0384671D"/>
    <w:rsid w:val="038509C9"/>
    <w:rsid w:val="03867D4B"/>
    <w:rsid w:val="03870314"/>
    <w:rsid w:val="038720C2"/>
    <w:rsid w:val="03885E3A"/>
    <w:rsid w:val="03887BE8"/>
    <w:rsid w:val="0389614A"/>
    <w:rsid w:val="038B270C"/>
    <w:rsid w:val="038D16A3"/>
    <w:rsid w:val="03906A9D"/>
    <w:rsid w:val="03912F41"/>
    <w:rsid w:val="03920A67"/>
    <w:rsid w:val="039667A9"/>
    <w:rsid w:val="0397607D"/>
    <w:rsid w:val="039842CF"/>
    <w:rsid w:val="039859AF"/>
    <w:rsid w:val="03991DF6"/>
    <w:rsid w:val="039B3DC0"/>
    <w:rsid w:val="039B791C"/>
    <w:rsid w:val="039C3694"/>
    <w:rsid w:val="039E740C"/>
    <w:rsid w:val="03A10CAA"/>
    <w:rsid w:val="03A32AC2"/>
    <w:rsid w:val="03A32C74"/>
    <w:rsid w:val="03A5079A"/>
    <w:rsid w:val="03A52548"/>
    <w:rsid w:val="03A569EC"/>
    <w:rsid w:val="03AA5DB1"/>
    <w:rsid w:val="03AA7B5F"/>
    <w:rsid w:val="03AC3B74"/>
    <w:rsid w:val="03AC7D7B"/>
    <w:rsid w:val="03AD58A1"/>
    <w:rsid w:val="03AD764F"/>
    <w:rsid w:val="03AE7BD5"/>
    <w:rsid w:val="03AF1619"/>
    <w:rsid w:val="03B16556"/>
    <w:rsid w:val="03B629A7"/>
    <w:rsid w:val="03B658EE"/>
    <w:rsid w:val="03B7227C"/>
    <w:rsid w:val="03B94246"/>
    <w:rsid w:val="03BB1D6C"/>
    <w:rsid w:val="03BD3D36"/>
    <w:rsid w:val="03BE360A"/>
    <w:rsid w:val="03BE76CA"/>
    <w:rsid w:val="03C07382"/>
    <w:rsid w:val="03C2134C"/>
    <w:rsid w:val="03C230FA"/>
    <w:rsid w:val="03C70711"/>
    <w:rsid w:val="03C74BB5"/>
    <w:rsid w:val="03C76963"/>
    <w:rsid w:val="03C8334D"/>
    <w:rsid w:val="03C86237"/>
    <w:rsid w:val="03C9092D"/>
    <w:rsid w:val="03C926DB"/>
    <w:rsid w:val="03CE5F43"/>
    <w:rsid w:val="03CF5817"/>
    <w:rsid w:val="03CF75C5"/>
    <w:rsid w:val="03D2588F"/>
    <w:rsid w:val="03D348AC"/>
    <w:rsid w:val="03D35307"/>
    <w:rsid w:val="03D60954"/>
    <w:rsid w:val="03D64210"/>
    <w:rsid w:val="03D746CC"/>
    <w:rsid w:val="03DA4021"/>
    <w:rsid w:val="03DB0660"/>
    <w:rsid w:val="03DB41BC"/>
    <w:rsid w:val="03DC0F8A"/>
    <w:rsid w:val="03DD1CE2"/>
    <w:rsid w:val="03DD6186"/>
    <w:rsid w:val="03DD7F34"/>
    <w:rsid w:val="03DE5A5A"/>
    <w:rsid w:val="03E05C76"/>
    <w:rsid w:val="03E07A24"/>
    <w:rsid w:val="03E07E92"/>
    <w:rsid w:val="03E33071"/>
    <w:rsid w:val="03E65977"/>
    <w:rsid w:val="03E72B61"/>
    <w:rsid w:val="03E80687"/>
    <w:rsid w:val="03E94B2B"/>
    <w:rsid w:val="03EA7B21"/>
    <w:rsid w:val="03EB4FA5"/>
    <w:rsid w:val="03EC461B"/>
    <w:rsid w:val="03ED17C1"/>
    <w:rsid w:val="03EE0393"/>
    <w:rsid w:val="03EE2141"/>
    <w:rsid w:val="03F31506"/>
    <w:rsid w:val="03F434D0"/>
    <w:rsid w:val="03F51722"/>
    <w:rsid w:val="03F62DA4"/>
    <w:rsid w:val="03F67248"/>
    <w:rsid w:val="03F84D6E"/>
    <w:rsid w:val="03FA61DB"/>
    <w:rsid w:val="03FC5F2A"/>
    <w:rsid w:val="03FD05D6"/>
    <w:rsid w:val="03FE7EAB"/>
    <w:rsid w:val="03FF434E"/>
    <w:rsid w:val="04001E75"/>
    <w:rsid w:val="040060BC"/>
    <w:rsid w:val="04021749"/>
    <w:rsid w:val="04051239"/>
    <w:rsid w:val="040556DD"/>
    <w:rsid w:val="04071455"/>
    <w:rsid w:val="040807DF"/>
    <w:rsid w:val="04082AD7"/>
    <w:rsid w:val="04090D29"/>
    <w:rsid w:val="040A4AA1"/>
    <w:rsid w:val="040A684F"/>
    <w:rsid w:val="040D00EE"/>
    <w:rsid w:val="040E147E"/>
    <w:rsid w:val="040E27E3"/>
    <w:rsid w:val="040E6340"/>
    <w:rsid w:val="040F20B8"/>
    <w:rsid w:val="04105830"/>
    <w:rsid w:val="0411355C"/>
    <w:rsid w:val="04131BA8"/>
    <w:rsid w:val="04137DFA"/>
    <w:rsid w:val="041476CE"/>
    <w:rsid w:val="041651F4"/>
    <w:rsid w:val="041F679F"/>
    <w:rsid w:val="04206073"/>
    <w:rsid w:val="04207E21"/>
    <w:rsid w:val="04207EF6"/>
    <w:rsid w:val="04212517"/>
    <w:rsid w:val="04233CA6"/>
    <w:rsid w:val="04245B63"/>
    <w:rsid w:val="04247911"/>
    <w:rsid w:val="042518DB"/>
    <w:rsid w:val="04293179"/>
    <w:rsid w:val="042A39AE"/>
    <w:rsid w:val="042C4A18"/>
    <w:rsid w:val="042E0790"/>
    <w:rsid w:val="042E69E2"/>
    <w:rsid w:val="0430275A"/>
    <w:rsid w:val="04333FF8"/>
    <w:rsid w:val="04357D70"/>
    <w:rsid w:val="04363AE8"/>
    <w:rsid w:val="04365896"/>
    <w:rsid w:val="043A7135"/>
    <w:rsid w:val="043D54AA"/>
    <w:rsid w:val="043D6C25"/>
    <w:rsid w:val="043F474B"/>
    <w:rsid w:val="04410970"/>
    <w:rsid w:val="04431B4F"/>
    <w:rsid w:val="04446205"/>
    <w:rsid w:val="04473DB7"/>
    <w:rsid w:val="044B45F3"/>
    <w:rsid w:val="044B7594"/>
    <w:rsid w:val="044C0CB4"/>
    <w:rsid w:val="044C50BA"/>
    <w:rsid w:val="044C6E68"/>
    <w:rsid w:val="044E0E32"/>
    <w:rsid w:val="04504404"/>
    <w:rsid w:val="04506958"/>
    <w:rsid w:val="04536448"/>
    <w:rsid w:val="04575F38"/>
    <w:rsid w:val="0458580D"/>
    <w:rsid w:val="04585AFE"/>
    <w:rsid w:val="045B70AB"/>
    <w:rsid w:val="045C29A7"/>
    <w:rsid w:val="045D1075"/>
    <w:rsid w:val="045F1328"/>
    <w:rsid w:val="045F303F"/>
    <w:rsid w:val="045F4DED"/>
    <w:rsid w:val="045F6B9B"/>
    <w:rsid w:val="046248DD"/>
    <w:rsid w:val="0462668B"/>
    <w:rsid w:val="04640655"/>
    <w:rsid w:val="04642403"/>
    <w:rsid w:val="04651CD8"/>
    <w:rsid w:val="0465519A"/>
    <w:rsid w:val="04657F2A"/>
    <w:rsid w:val="046643CE"/>
    <w:rsid w:val="0466617C"/>
    <w:rsid w:val="04673CA2"/>
    <w:rsid w:val="04695C6C"/>
    <w:rsid w:val="04697A1A"/>
    <w:rsid w:val="046C3066"/>
    <w:rsid w:val="046E624C"/>
    <w:rsid w:val="04722D72"/>
    <w:rsid w:val="047343F5"/>
    <w:rsid w:val="047A1C27"/>
    <w:rsid w:val="047A5783"/>
    <w:rsid w:val="0482288A"/>
    <w:rsid w:val="04854128"/>
    <w:rsid w:val="0486237A"/>
    <w:rsid w:val="048644D3"/>
    <w:rsid w:val="04877EA0"/>
    <w:rsid w:val="04894595"/>
    <w:rsid w:val="048B1CA3"/>
    <w:rsid w:val="048C3708"/>
    <w:rsid w:val="048D195A"/>
    <w:rsid w:val="048D43A6"/>
    <w:rsid w:val="048E7480"/>
    <w:rsid w:val="0490144A"/>
    <w:rsid w:val="04910D1F"/>
    <w:rsid w:val="04912D27"/>
    <w:rsid w:val="049251C3"/>
    <w:rsid w:val="04926F71"/>
    <w:rsid w:val="04932CE9"/>
    <w:rsid w:val="04934A97"/>
    <w:rsid w:val="04961346"/>
    <w:rsid w:val="049743AD"/>
    <w:rsid w:val="04974587"/>
    <w:rsid w:val="04983E5B"/>
    <w:rsid w:val="049A4077"/>
    <w:rsid w:val="049C5C0D"/>
    <w:rsid w:val="049D76C3"/>
    <w:rsid w:val="049F168E"/>
    <w:rsid w:val="049F343C"/>
    <w:rsid w:val="04A0281C"/>
    <w:rsid w:val="04A10F62"/>
    <w:rsid w:val="04A15406"/>
    <w:rsid w:val="04A24CDA"/>
    <w:rsid w:val="04A3117E"/>
    <w:rsid w:val="04A40A52"/>
    <w:rsid w:val="04A66578"/>
    <w:rsid w:val="04A70542"/>
    <w:rsid w:val="04A86794"/>
    <w:rsid w:val="04A9250C"/>
    <w:rsid w:val="04AB1DE0"/>
    <w:rsid w:val="04AC5B58"/>
    <w:rsid w:val="04AE18D1"/>
    <w:rsid w:val="04AE367F"/>
    <w:rsid w:val="04AE4E20"/>
    <w:rsid w:val="04B137A1"/>
    <w:rsid w:val="04B2316F"/>
    <w:rsid w:val="04B54A0D"/>
    <w:rsid w:val="04B62533"/>
    <w:rsid w:val="04B70785"/>
    <w:rsid w:val="04B91F33"/>
    <w:rsid w:val="04BA0275"/>
    <w:rsid w:val="04BA64C7"/>
    <w:rsid w:val="04BB33F2"/>
    <w:rsid w:val="04BC3FEE"/>
    <w:rsid w:val="04BD1B14"/>
    <w:rsid w:val="04BD38C2"/>
    <w:rsid w:val="04BF2D5A"/>
    <w:rsid w:val="04C3537C"/>
    <w:rsid w:val="04C66C1A"/>
    <w:rsid w:val="04C72DF6"/>
    <w:rsid w:val="04CA1777"/>
    <w:rsid w:val="04CB2C07"/>
    <w:rsid w:val="04CB4231"/>
    <w:rsid w:val="04CD7FA9"/>
    <w:rsid w:val="04CE1F73"/>
    <w:rsid w:val="04CE3D21"/>
    <w:rsid w:val="04D05CEB"/>
    <w:rsid w:val="04D255BF"/>
    <w:rsid w:val="04D31337"/>
    <w:rsid w:val="04D330E5"/>
    <w:rsid w:val="04D356AB"/>
    <w:rsid w:val="04D56E5D"/>
    <w:rsid w:val="04D83D7B"/>
    <w:rsid w:val="04D9520B"/>
    <w:rsid w:val="04DA0918"/>
    <w:rsid w:val="04DC4690"/>
    <w:rsid w:val="04DD3F64"/>
    <w:rsid w:val="04E13A54"/>
    <w:rsid w:val="04E15802"/>
    <w:rsid w:val="04E30E8E"/>
    <w:rsid w:val="04E377CC"/>
    <w:rsid w:val="04E452F2"/>
    <w:rsid w:val="04E84DE3"/>
    <w:rsid w:val="04E86B91"/>
    <w:rsid w:val="04EB6681"/>
    <w:rsid w:val="04ED23F9"/>
    <w:rsid w:val="04EE6171"/>
    <w:rsid w:val="04EF43C3"/>
    <w:rsid w:val="04F03492"/>
    <w:rsid w:val="04F33787"/>
    <w:rsid w:val="04F35535"/>
    <w:rsid w:val="04F55751"/>
    <w:rsid w:val="04FD71D7"/>
    <w:rsid w:val="04FF212C"/>
    <w:rsid w:val="04FF3EDA"/>
    <w:rsid w:val="05002F87"/>
    <w:rsid w:val="05047743"/>
    <w:rsid w:val="05065269"/>
    <w:rsid w:val="05080FE1"/>
    <w:rsid w:val="05085485"/>
    <w:rsid w:val="05087233"/>
    <w:rsid w:val="05094D59"/>
    <w:rsid w:val="050B009A"/>
    <w:rsid w:val="050B287F"/>
    <w:rsid w:val="050E236F"/>
    <w:rsid w:val="050F05C1"/>
    <w:rsid w:val="05104339"/>
    <w:rsid w:val="051060E7"/>
    <w:rsid w:val="05121E5F"/>
    <w:rsid w:val="05126ADD"/>
    <w:rsid w:val="05151950"/>
    <w:rsid w:val="051536FE"/>
    <w:rsid w:val="051554AC"/>
    <w:rsid w:val="05157BA2"/>
    <w:rsid w:val="05166BE7"/>
    <w:rsid w:val="05171224"/>
    <w:rsid w:val="05177D7E"/>
    <w:rsid w:val="05191440"/>
    <w:rsid w:val="051C101F"/>
    <w:rsid w:val="051F632A"/>
    <w:rsid w:val="052027CE"/>
    <w:rsid w:val="052102F4"/>
    <w:rsid w:val="05236321"/>
    <w:rsid w:val="05237BC9"/>
    <w:rsid w:val="05241B93"/>
    <w:rsid w:val="05257DE5"/>
    <w:rsid w:val="05263B5D"/>
    <w:rsid w:val="0526590B"/>
    <w:rsid w:val="05281683"/>
    <w:rsid w:val="05283431"/>
    <w:rsid w:val="052851DF"/>
    <w:rsid w:val="052878D5"/>
    <w:rsid w:val="052A53FB"/>
    <w:rsid w:val="052A61F4"/>
    <w:rsid w:val="052B2F21"/>
    <w:rsid w:val="052D0A47"/>
    <w:rsid w:val="052E47BF"/>
    <w:rsid w:val="052F2A11"/>
    <w:rsid w:val="053022E6"/>
    <w:rsid w:val="0532605E"/>
    <w:rsid w:val="05332EFA"/>
    <w:rsid w:val="05353DA0"/>
    <w:rsid w:val="053578FC"/>
    <w:rsid w:val="053718C6"/>
    <w:rsid w:val="05373674"/>
    <w:rsid w:val="05375C27"/>
    <w:rsid w:val="053A3164"/>
    <w:rsid w:val="053E2C54"/>
    <w:rsid w:val="053E4A03"/>
    <w:rsid w:val="053F077B"/>
    <w:rsid w:val="053F69CD"/>
    <w:rsid w:val="05412745"/>
    <w:rsid w:val="054364BD"/>
    <w:rsid w:val="05445D91"/>
    <w:rsid w:val="05465FAD"/>
    <w:rsid w:val="05483AD3"/>
    <w:rsid w:val="0549003C"/>
    <w:rsid w:val="054A57DE"/>
    <w:rsid w:val="054A784B"/>
    <w:rsid w:val="054B5371"/>
    <w:rsid w:val="054D10EA"/>
    <w:rsid w:val="0550686D"/>
    <w:rsid w:val="0551139F"/>
    <w:rsid w:val="055406CA"/>
    <w:rsid w:val="055408A9"/>
    <w:rsid w:val="05557F9E"/>
    <w:rsid w:val="05573D16"/>
    <w:rsid w:val="05595CE0"/>
    <w:rsid w:val="055A55B4"/>
    <w:rsid w:val="055A7363"/>
    <w:rsid w:val="055C757F"/>
    <w:rsid w:val="056106F1"/>
    <w:rsid w:val="05614B95"/>
    <w:rsid w:val="056401E1"/>
    <w:rsid w:val="05654685"/>
    <w:rsid w:val="056621AB"/>
    <w:rsid w:val="05681A7F"/>
    <w:rsid w:val="05697625"/>
    <w:rsid w:val="056B1570"/>
    <w:rsid w:val="056B2B32"/>
    <w:rsid w:val="056C5A14"/>
    <w:rsid w:val="056D353A"/>
    <w:rsid w:val="056D52E8"/>
    <w:rsid w:val="056D7436"/>
    <w:rsid w:val="056F1060"/>
    <w:rsid w:val="05704DD8"/>
    <w:rsid w:val="05706B86"/>
    <w:rsid w:val="05720B50"/>
    <w:rsid w:val="057228FE"/>
    <w:rsid w:val="057379AC"/>
    <w:rsid w:val="05740424"/>
    <w:rsid w:val="05746676"/>
    <w:rsid w:val="05747309"/>
    <w:rsid w:val="05776166"/>
    <w:rsid w:val="05791EDF"/>
    <w:rsid w:val="057B7A05"/>
    <w:rsid w:val="057C19CF"/>
    <w:rsid w:val="057C552B"/>
    <w:rsid w:val="057E03BB"/>
    <w:rsid w:val="057E5747"/>
    <w:rsid w:val="057F441C"/>
    <w:rsid w:val="0580501B"/>
    <w:rsid w:val="05810D93"/>
    <w:rsid w:val="05832D9D"/>
    <w:rsid w:val="05834B0B"/>
    <w:rsid w:val="05850883"/>
    <w:rsid w:val="05852631"/>
    <w:rsid w:val="058663AA"/>
    <w:rsid w:val="058A5E9A"/>
    <w:rsid w:val="058B39C0"/>
    <w:rsid w:val="058B4100"/>
    <w:rsid w:val="058D14E6"/>
    <w:rsid w:val="058D41B1"/>
    <w:rsid w:val="058D7738"/>
    <w:rsid w:val="058F1702"/>
    <w:rsid w:val="05900FD6"/>
    <w:rsid w:val="05916831"/>
    <w:rsid w:val="05917228"/>
    <w:rsid w:val="05922FA0"/>
    <w:rsid w:val="05937928"/>
    <w:rsid w:val="05943D22"/>
    <w:rsid w:val="05946D18"/>
    <w:rsid w:val="0596483F"/>
    <w:rsid w:val="0599432F"/>
    <w:rsid w:val="0599568D"/>
    <w:rsid w:val="05997E8B"/>
    <w:rsid w:val="059B3145"/>
    <w:rsid w:val="059D3E1F"/>
    <w:rsid w:val="059F0E35"/>
    <w:rsid w:val="059F22C5"/>
    <w:rsid w:val="05A14F91"/>
    <w:rsid w:val="05A174BF"/>
    <w:rsid w:val="05A30D0A"/>
    <w:rsid w:val="05A351AD"/>
    <w:rsid w:val="05A56137"/>
    <w:rsid w:val="05A607FA"/>
    <w:rsid w:val="05A60D08"/>
    <w:rsid w:val="05A76A4C"/>
    <w:rsid w:val="05A827C4"/>
    <w:rsid w:val="05AB4C16"/>
    <w:rsid w:val="05AB5E10"/>
    <w:rsid w:val="05AD1B88"/>
    <w:rsid w:val="05B13426"/>
    <w:rsid w:val="05B146DA"/>
    <w:rsid w:val="05B178CA"/>
    <w:rsid w:val="05B253F0"/>
    <w:rsid w:val="05B272AB"/>
    <w:rsid w:val="05B41169"/>
    <w:rsid w:val="05B44CC5"/>
    <w:rsid w:val="05B5305B"/>
    <w:rsid w:val="05B64EE1"/>
    <w:rsid w:val="05B66C8F"/>
    <w:rsid w:val="05B72A07"/>
    <w:rsid w:val="05B747B5"/>
    <w:rsid w:val="05B9052D"/>
    <w:rsid w:val="05BB24F7"/>
    <w:rsid w:val="05BB6053"/>
    <w:rsid w:val="05BE1FE7"/>
    <w:rsid w:val="05BE3D95"/>
    <w:rsid w:val="05BE584E"/>
    <w:rsid w:val="05C018BB"/>
    <w:rsid w:val="05C23886"/>
    <w:rsid w:val="05C30230"/>
    <w:rsid w:val="05C3315A"/>
    <w:rsid w:val="05C51A35"/>
    <w:rsid w:val="05C56ED2"/>
    <w:rsid w:val="05C72C4A"/>
    <w:rsid w:val="05C814D1"/>
    <w:rsid w:val="05C84C14"/>
    <w:rsid w:val="05CA098C"/>
    <w:rsid w:val="05CA49EC"/>
    <w:rsid w:val="05CC0260"/>
    <w:rsid w:val="05CC12E2"/>
    <w:rsid w:val="05D13AC9"/>
    <w:rsid w:val="05D215EF"/>
    <w:rsid w:val="05D435B9"/>
    <w:rsid w:val="05D45367"/>
    <w:rsid w:val="05D67331"/>
    <w:rsid w:val="05DB04A3"/>
    <w:rsid w:val="05DD246D"/>
    <w:rsid w:val="05E01F5E"/>
    <w:rsid w:val="05E24C49"/>
    <w:rsid w:val="05E355AA"/>
    <w:rsid w:val="05E51322"/>
    <w:rsid w:val="05E72FCC"/>
    <w:rsid w:val="05E76E48"/>
    <w:rsid w:val="05E80ABB"/>
    <w:rsid w:val="05E82026"/>
    <w:rsid w:val="05EA06E6"/>
    <w:rsid w:val="05EC0902"/>
    <w:rsid w:val="05EC26B0"/>
    <w:rsid w:val="05ED01D7"/>
    <w:rsid w:val="05ED6429"/>
    <w:rsid w:val="05EE467B"/>
    <w:rsid w:val="05EE492D"/>
    <w:rsid w:val="05EF21A1"/>
    <w:rsid w:val="05EF3F4F"/>
    <w:rsid w:val="05F61781"/>
    <w:rsid w:val="05F652DD"/>
    <w:rsid w:val="05F72E03"/>
    <w:rsid w:val="05F83EAE"/>
    <w:rsid w:val="05F872A7"/>
    <w:rsid w:val="05FA5A1B"/>
    <w:rsid w:val="05FB0B46"/>
    <w:rsid w:val="05FB28F4"/>
    <w:rsid w:val="05FB6D97"/>
    <w:rsid w:val="05FD2B10"/>
    <w:rsid w:val="05FE23E4"/>
    <w:rsid w:val="06020126"/>
    <w:rsid w:val="060317A8"/>
    <w:rsid w:val="060519C4"/>
    <w:rsid w:val="06071298"/>
    <w:rsid w:val="060A0D89"/>
    <w:rsid w:val="060A6FDB"/>
    <w:rsid w:val="060C4B01"/>
    <w:rsid w:val="060F2843"/>
    <w:rsid w:val="060F45F1"/>
    <w:rsid w:val="06103627"/>
    <w:rsid w:val="061050F6"/>
    <w:rsid w:val="061340E1"/>
    <w:rsid w:val="06163D40"/>
    <w:rsid w:val="0616772D"/>
    <w:rsid w:val="061816F7"/>
    <w:rsid w:val="061834A6"/>
    <w:rsid w:val="061924BA"/>
    <w:rsid w:val="06197802"/>
    <w:rsid w:val="061B11E8"/>
    <w:rsid w:val="061B2F96"/>
    <w:rsid w:val="061C626A"/>
    <w:rsid w:val="061D6D0E"/>
    <w:rsid w:val="061E65E2"/>
    <w:rsid w:val="061F2A86"/>
    <w:rsid w:val="061F2F40"/>
    <w:rsid w:val="062005AC"/>
    <w:rsid w:val="0620235A"/>
    <w:rsid w:val="06224324"/>
    <w:rsid w:val="062260D2"/>
    <w:rsid w:val="06231E4A"/>
    <w:rsid w:val="0624009C"/>
    <w:rsid w:val="06293905"/>
    <w:rsid w:val="062956B3"/>
    <w:rsid w:val="062A147E"/>
    <w:rsid w:val="062A31D9"/>
    <w:rsid w:val="062C120A"/>
    <w:rsid w:val="062C51A3"/>
    <w:rsid w:val="062E0F1B"/>
    <w:rsid w:val="062E4A77"/>
    <w:rsid w:val="062F07EF"/>
    <w:rsid w:val="06310741"/>
    <w:rsid w:val="06314567"/>
    <w:rsid w:val="06320490"/>
    <w:rsid w:val="06321BD1"/>
    <w:rsid w:val="06336531"/>
    <w:rsid w:val="06361B7E"/>
    <w:rsid w:val="0636392C"/>
    <w:rsid w:val="06367DD0"/>
    <w:rsid w:val="06383B48"/>
    <w:rsid w:val="063858F6"/>
    <w:rsid w:val="0639341C"/>
    <w:rsid w:val="063D115E"/>
    <w:rsid w:val="063D2F0C"/>
    <w:rsid w:val="063D4CBA"/>
    <w:rsid w:val="063E0A32"/>
    <w:rsid w:val="063E7D85"/>
    <w:rsid w:val="063F41D5"/>
    <w:rsid w:val="063F6C84"/>
    <w:rsid w:val="06420522"/>
    <w:rsid w:val="064222D0"/>
    <w:rsid w:val="064424ED"/>
    <w:rsid w:val="06471FDD"/>
    <w:rsid w:val="064918B1"/>
    <w:rsid w:val="064E336B"/>
    <w:rsid w:val="064E7C69"/>
    <w:rsid w:val="064F49ED"/>
    <w:rsid w:val="06500E91"/>
    <w:rsid w:val="06514C09"/>
    <w:rsid w:val="06530982"/>
    <w:rsid w:val="06530F0A"/>
    <w:rsid w:val="0653264B"/>
    <w:rsid w:val="065564A8"/>
    <w:rsid w:val="06587D46"/>
    <w:rsid w:val="065A1D10"/>
    <w:rsid w:val="065B15E4"/>
    <w:rsid w:val="065B5A88"/>
    <w:rsid w:val="065F10D4"/>
    <w:rsid w:val="06606BFB"/>
    <w:rsid w:val="066466EB"/>
    <w:rsid w:val="06652463"/>
    <w:rsid w:val="0667442D"/>
    <w:rsid w:val="066761DB"/>
    <w:rsid w:val="06691F53"/>
    <w:rsid w:val="06695AAF"/>
    <w:rsid w:val="06712BB6"/>
    <w:rsid w:val="0673017A"/>
    <w:rsid w:val="0673692E"/>
    <w:rsid w:val="06740B7E"/>
    <w:rsid w:val="06770305"/>
    <w:rsid w:val="06775734"/>
    <w:rsid w:val="067A0428"/>
    <w:rsid w:val="067A7CBC"/>
    <w:rsid w:val="067B3A34"/>
    <w:rsid w:val="067C0116"/>
    <w:rsid w:val="0680104B"/>
    <w:rsid w:val="068154EF"/>
    <w:rsid w:val="06824DC3"/>
    <w:rsid w:val="06852909"/>
    <w:rsid w:val="06862B05"/>
    <w:rsid w:val="0686696A"/>
    <w:rsid w:val="068943A3"/>
    <w:rsid w:val="068C79F0"/>
    <w:rsid w:val="068E19BA"/>
    <w:rsid w:val="068E3768"/>
    <w:rsid w:val="069025ED"/>
    <w:rsid w:val="06907A1C"/>
    <w:rsid w:val="069114AA"/>
    <w:rsid w:val="069118E4"/>
    <w:rsid w:val="06913258"/>
    <w:rsid w:val="06930D7E"/>
    <w:rsid w:val="06941EB0"/>
    <w:rsid w:val="069468A4"/>
    <w:rsid w:val="069552CB"/>
    <w:rsid w:val="0696086E"/>
    <w:rsid w:val="0696261C"/>
    <w:rsid w:val="06966A2B"/>
    <w:rsid w:val="069A369F"/>
    <w:rsid w:val="069A3EBB"/>
    <w:rsid w:val="069D1BFD"/>
    <w:rsid w:val="06A0349B"/>
    <w:rsid w:val="06A05249"/>
    <w:rsid w:val="06A116ED"/>
    <w:rsid w:val="06A232C1"/>
    <w:rsid w:val="06A25465"/>
    <w:rsid w:val="06A42F8B"/>
    <w:rsid w:val="06A44D39"/>
    <w:rsid w:val="06A50AB1"/>
    <w:rsid w:val="06A53383"/>
    <w:rsid w:val="06A61C42"/>
    <w:rsid w:val="06A71A45"/>
    <w:rsid w:val="06A72A7B"/>
    <w:rsid w:val="06A7799A"/>
    <w:rsid w:val="06A80874"/>
    <w:rsid w:val="06A92350"/>
    <w:rsid w:val="06A967F3"/>
    <w:rsid w:val="06AB256C"/>
    <w:rsid w:val="06AB4624"/>
    <w:rsid w:val="06AD62E4"/>
    <w:rsid w:val="06AE5BB8"/>
    <w:rsid w:val="06AE7966"/>
    <w:rsid w:val="06B01930"/>
    <w:rsid w:val="06B036DE"/>
    <w:rsid w:val="06B07B82"/>
    <w:rsid w:val="06B11926"/>
    <w:rsid w:val="06B17456"/>
    <w:rsid w:val="06B238FA"/>
    <w:rsid w:val="06B31420"/>
    <w:rsid w:val="06B331CE"/>
    <w:rsid w:val="06B37672"/>
    <w:rsid w:val="06B62CBE"/>
    <w:rsid w:val="06B64A6C"/>
    <w:rsid w:val="06B70F10"/>
    <w:rsid w:val="06B72BC7"/>
    <w:rsid w:val="06B83B39"/>
    <w:rsid w:val="06BA455D"/>
    <w:rsid w:val="06BA630B"/>
    <w:rsid w:val="06BB2083"/>
    <w:rsid w:val="06BC02D5"/>
    <w:rsid w:val="06BF685A"/>
    <w:rsid w:val="06BF7DC5"/>
    <w:rsid w:val="06C02DB1"/>
    <w:rsid w:val="06C07699"/>
    <w:rsid w:val="06C21663"/>
    <w:rsid w:val="06C54CB0"/>
    <w:rsid w:val="06C62F02"/>
    <w:rsid w:val="06C63DFD"/>
    <w:rsid w:val="06C673A5"/>
    <w:rsid w:val="06C74ECC"/>
    <w:rsid w:val="06C90C44"/>
    <w:rsid w:val="06C947A0"/>
    <w:rsid w:val="06CA3C9B"/>
    <w:rsid w:val="06CB24CD"/>
    <w:rsid w:val="06CB676A"/>
    <w:rsid w:val="06CE0008"/>
    <w:rsid w:val="06CE1DB6"/>
    <w:rsid w:val="06D03D80"/>
    <w:rsid w:val="06D373CC"/>
    <w:rsid w:val="06D575E9"/>
    <w:rsid w:val="06D721B0"/>
    <w:rsid w:val="06D80E87"/>
    <w:rsid w:val="06D82C35"/>
    <w:rsid w:val="06D84275"/>
    <w:rsid w:val="06D870D9"/>
    <w:rsid w:val="06D976A1"/>
    <w:rsid w:val="06DA075B"/>
    <w:rsid w:val="06DA4BFF"/>
    <w:rsid w:val="06DA69AD"/>
    <w:rsid w:val="06DB44D3"/>
    <w:rsid w:val="06DC0977"/>
    <w:rsid w:val="06DC3451"/>
    <w:rsid w:val="06DD024B"/>
    <w:rsid w:val="06DF0467"/>
    <w:rsid w:val="06E03262"/>
    <w:rsid w:val="06E11AE9"/>
    <w:rsid w:val="06E25862"/>
    <w:rsid w:val="06E34979"/>
    <w:rsid w:val="06E415DA"/>
    <w:rsid w:val="06E4782C"/>
    <w:rsid w:val="06E635A4"/>
    <w:rsid w:val="06E67100"/>
    <w:rsid w:val="06E710CA"/>
    <w:rsid w:val="06E72E78"/>
    <w:rsid w:val="06EB0BBA"/>
    <w:rsid w:val="06EB2968"/>
    <w:rsid w:val="06EC66E0"/>
    <w:rsid w:val="06EE2458"/>
    <w:rsid w:val="06F04422"/>
    <w:rsid w:val="06F15AA5"/>
    <w:rsid w:val="06F16DB8"/>
    <w:rsid w:val="06F316D8"/>
    <w:rsid w:val="06F51A39"/>
    <w:rsid w:val="06F7130D"/>
    <w:rsid w:val="06F72074"/>
    <w:rsid w:val="06F757B1"/>
    <w:rsid w:val="06F832D7"/>
    <w:rsid w:val="06F85085"/>
    <w:rsid w:val="06FA011B"/>
    <w:rsid w:val="06FA2BAB"/>
    <w:rsid w:val="06FC46C7"/>
    <w:rsid w:val="06FC4B75"/>
    <w:rsid w:val="06FD269B"/>
    <w:rsid w:val="0701218C"/>
    <w:rsid w:val="0702516C"/>
    <w:rsid w:val="070457D8"/>
    <w:rsid w:val="07066E6E"/>
    <w:rsid w:val="0708351A"/>
    <w:rsid w:val="070954E4"/>
    <w:rsid w:val="07097292"/>
    <w:rsid w:val="070B4DB8"/>
    <w:rsid w:val="070D0B30"/>
    <w:rsid w:val="070D6D82"/>
    <w:rsid w:val="070E2AFA"/>
    <w:rsid w:val="07100621"/>
    <w:rsid w:val="07106873"/>
    <w:rsid w:val="07131EBF"/>
    <w:rsid w:val="07140111"/>
    <w:rsid w:val="07155C37"/>
    <w:rsid w:val="07170AD3"/>
    <w:rsid w:val="0717375D"/>
    <w:rsid w:val="07181283"/>
    <w:rsid w:val="07194B34"/>
    <w:rsid w:val="07195727"/>
    <w:rsid w:val="071A4FFB"/>
    <w:rsid w:val="071C5217"/>
    <w:rsid w:val="071E0F8F"/>
    <w:rsid w:val="071F6AB6"/>
    <w:rsid w:val="07201E36"/>
    <w:rsid w:val="072145DC"/>
    <w:rsid w:val="07222102"/>
    <w:rsid w:val="072318EF"/>
    <w:rsid w:val="07241C47"/>
    <w:rsid w:val="072440CC"/>
    <w:rsid w:val="07245E7A"/>
    <w:rsid w:val="07247C28"/>
    <w:rsid w:val="072639A0"/>
    <w:rsid w:val="0728596A"/>
    <w:rsid w:val="07287718"/>
    <w:rsid w:val="07293490"/>
    <w:rsid w:val="07293586"/>
    <w:rsid w:val="07295285"/>
    <w:rsid w:val="072D4D2F"/>
    <w:rsid w:val="072E0AA7"/>
    <w:rsid w:val="072E6CF9"/>
    <w:rsid w:val="072F4F4B"/>
    <w:rsid w:val="07302A71"/>
    <w:rsid w:val="073065CD"/>
    <w:rsid w:val="07320597"/>
    <w:rsid w:val="07322345"/>
    <w:rsid w:val="073267E9"/>
    <w:rsid w:val="073562D9"/>
    <w:rsid w:val="07375BAD"/>
    <w:rsid w:val="073A38EF"/>
    <w:rsid w:val="073A744C"/>
    <w:rsid w:val="073D135E"/>
    <w:rsid w:val="073D27EE"/>
    <w:rsid w:val="073E518E"/>
    <w:rsid w:val="073F0F06"/>
    <w:rsid w:val="0742420A"/>
    <w:rsid w:val="074309F6"/>
    <w:rsid w:val="074402CA"/>
    <w:rsid w:val="07455049"/>
    <w:rsid w:val="07456CFC"/>
    <w:rsid w:val="074958E1"/>
    <w:rsid w:val="074A3B33"/>
    <w:rsid w:val="074A53D1"/>
    <w:rsid w:val="074B1659"/>
    <w:rsid w:val="074D22E3"/>
    <w:rsid w:val="074E4EB4"/>
    <w:rsid w:val="07500A1D"/>
    <w:rsid w:val="0750220B"/>
    <w:rsid w:val="07506C6F"/>
    <w:rsid w:val="07510C64"/>
    <w:rsid w:val="075229E7"/>
    <w:rsid w:val="0753050D"/>
    <w:rsid w:val="075622C6"/>
    <w:rsid w:val="0757624F"/>
    <w:rsid w:val="07577FFE"/>
    <w:rsid w:val="07591FC7"/>
    <w:rsid w:val="075A189C"/>
    <w:rsid w:val="075C5614"/>
    <w:rsid w:val="075C714F"/>
    <w:rsid w:val="075C73C2"/>
    <w:rsid w:val="075D1DD8"/>
    <w:rsid w:val="075E313A"/>
    <w:rsid w:val="075E3268"/>
    <w:rsid w:val="075E75DE"/>
    <w:rsid w:val="075F5104"/>
    <w:rsid w:val="076170CE"/>
    <w:rsid w:val="07632E46"/>
    <w:rsid w:val="07636392"/>
    <w:rsid w:val="076369A2"/>
    <w:rsid w:val="076444C8"/>
    <w:rsid w:val="0765096C"/>
    <w:rsid w:val="076619FA"/>
    <w:rsid w:val="07666493"/>
    <w:rsid w:val="0768220B"/>
    <w:rsid w:val="07686EEB"/>
    <w:rsid w:val="076B1CFB"/>
    <w:rsid w:val="076B5857"/>
    <w:rsid w:val="076D5A73"/>
    <w:rsid w:val="076D6CFC"/>
    <w:rsid w:val="076E0B82"/>
    <w:rsid w:val="076F3599"/>
    <w:rsid w:val="076F5347"/>
    <w:rsid w:val="07707311"/>
    <w:rsid w:val="07723089"/>
    <w:rsid w:val="07724E37"/>
    <w:rsid w:val="07726BE5"/>
    <w:rsid w:val="0774295E"/>
    <w:rsid w:val="07743210"/>
    <w:rsid w:val="0775691E"/>
    <w:rsid w:val="07770C56"/>
    <w:rsid w:val="0777297F"/>
    <w:rsid w:val="077741FC"/>
    <w:rsid w:val="077A1F3E"/>
    <w:rsid w:val="077B0190"/>
    <w:rsid w:val="077C4159"/>
    <w:rsid w:val="077C5CB6"/>
    <w:rsid w:val="077E37DC"/>
    <w:rsid w:val="077E558A"/>
    <w:rsid w:val="0781151E"/>
    <w:rsid w:val="078132CC"/>
    <w:rsid w:val="07830DF3"/>
    <w:rsid w:val="07846919"/>
    <w:rsid w:val="07852DBD"/>
    <w:rsid w:val="07854B6B"/>
    <w:rsid w:val="07857B54"/>
    <w:rsid w:val="07866B35"/>
    <w:rsid w:val="0788465B"/>
    <w:rsid w:val="07886409"/>
    <w:rsid w:val="07893F2F"/>
    <w:rsid w:val="078A2181"/>
    <w:rsid w:val="078B2285"/>
    <w:rsid w:val="078B414B"/>
    <w:rsid w:val="078B5EF9"/>
    <w:rsid w:val="078C3715"/>
    <w:rsid w:val="078D7EC3"/>
    <w:rsid w:val="078E2033"/>
    <w:rsid w:val="078F7797"/>
    <w:rsid w:val="0790350F"/>
    <w:rsid w:val="07904C67"/>
    <w:rsid w:val="079052BE"/>
    <w:rsid w:val="07921036"/>
    <w:rsid w:val="07943000"/>
    <w:rsid w:val="07944DAE"/>
    <w:rsid w:val="079528D4"/>
    <w:rsid w:val="07972AF0"/>
    <w:rsid w:val="0797664C"/>
    <w:rsid w:val="079923C4"/>
    <w:rsid w:val="07996868"/>
    <w:rsid w:val="079B25E0"/>
    <w:rsid w:val="079C3C62"/>
    <w:rsid w:val="079C5DDB"/>
    <w:rsid w:val="079D7363"/>
    <w:rsid w:val="079E5B2A"/>
    <w:rsid w:val="079E5C2C"/>
    <w:rsid w:val="079E79DA"/>
    <w:rsid w:val="07A144AB"/>
    <w:rsid w:val="07A150C8"/>
    <w:rsid w:val="07A15BEC"/>
    <w:rsid w:val="07A174CB"/>
    <w:rsid w:val="07A56FBB"/>
    <w:rsid w:val="07A64AE1"/>
    <w:rsid w:val="07A9040B"/>
    <w:rsid w:val="07AA0212"/>
    <w:rsid w:val="07AA2823"/>
    <w:rsid w:val="07AA6C9E"/>
    <w:rsid w:val="07AD2313"/>
    <w:rsid w:val="07AD40C1"/>
    <w:rsid w:val="07AE01F0"/>
    <w:rsid w:val="07AF7E3A"/>
    <w:rsid w:val="07B05960"/>
    <w:rsid w:val="07B13BB2"/>
    <w:rsid w:val="07B23FB7"/>
    <w:rsid w:val="07B25430"/>
    <w:rsid w:val="07B40FAC"/>
    <w:rsid w:val="07B45450"/>
    <w:rsid w:val="07B53DB1"/>
    <w:rsid w:val="07B62F76"/>
    <w:rsid w:val="07B74F40"/>
    <w:rsid w:val="07B832B0"/>
    <w:rsid w:val="07B90CB8"/>
    <w:rsid w:val="07BA233A"/>
    <w:rsid w:val="07BB058C"/>
    <w:rsid w:val="07BC4304"/>
    <w:rsid w:val="07BE007D"/>
    <w:rsid w:val="07BE1E2B"/>
    <w:rsid w:val="07C02047"/>
    <w:rsid w:val="07C03DF5"/>
    <w:rsid w:val="07C05BA3"/>
    <w:rsid w:val="07C35693"/>
    <w:rsid w:val="07C733D5"/>
    <w:rsid w:val="07C80EFB"/>
    <w:rsid w:val="07C82CA9"/>
    <w:rsid w:val="07C83968"/>
    <w:rsid w:val="07C84A57"/>
    <w:rsid w:val="07CA4C73"/>
    <w:rsid w:val="07CB4548"/>
    <w:rsid w:val="07CD206E"/>
    <w:rsid w:val="07CD6512"/>
    <w:rsid w:val="07D01F26"/>
    <w:rsid w:val="07D16002"/>
    <w:rsid w:val="07D258D6"/>
    <w:rsid w:val="07D63618"/>
    <w:rsid w:val="07D638B4"/>
    <w:rsid w:val="07D704B9"/>
    <w:rsid w:val="07D71DC7"/>
    <w:rsid w:val="07D773FC"/>
    <w:rsid w:val="07D7794E"/>
    <w:rsid w:val="07D931AC"/>
    <w:rsid w:val="07D9342B"/>
    <w:rsid w:val="07D948ED"/>
    <w:rsid w:val="07DC0503"/>
    <w:rsid w:val="07DE24CD"/>
    <w:rsid w:val="07E01BEF"/>
    <w:rsid w:val="07E21FBD"/>
    <w:rsid w:val="07E86EA8"/>
    <w:rsid w:val="07EA2C20"/>
    <w:rsid w:val="07EC2E3C"/>
    <w:rsid w:val="07EC6998"/>
    <w:rsid w:val="07EF0236"/>
    <w:rsid w:val="07F25F78"/>
    <w:rsid w:val="07F61F5B"/>
    <w:rsid w:val="07F7533D"/>
    <w:rsid w:val="07F81306"/>
    <w:rsid w:val="07F817E1"/>
    <w:rsid w:val="07F86735"/>
    <w:rsid w:val="07F96223"/>
    <w:rsid w:val="07FB4E2D"/>
    <w:rsid w:val="07FB6BDB"/>
    <w:rsid w:val="07FC0BA5"/>
    <w:rsid w:val="07FC387D"/>
    <w:rsid w:val="07FC6546"/>
    <w:rsid w:val="07FE5178"/>
    <w:rsid w:val="0802440D"/>
    <w:rsid w:val="08030185"/>
    <w:rsid w:val="08033CE1"/>
    <w:rsid w:val="08057A5A"/>
    <w:rsid w:val="08065580"/>
    <w:rsid w:val="080812F8"/>
    <w:rsid w:val="0808754A"/>
    <w:rsid w:val="080A1514"/>
    <w:rsid w:val="080A32C2"/>
    <w:rsid w:val="080C703A"/>
    <w:rsid w:val="080D4B60"/>
    <w:rsid w:val="080F08D8"/>
    <w:rsid w:val="080F6B2A"/>
    <w:rsid w:val="08104776"/>
    <w:rsid w:val="08114650"/>
    <w:rsid w:val="08122176"/>
    <w:rsid w:val="081303C8"/>
    <w:rsid w:val="08144141"/>
    <w:rsid w:val="08145EEF"/>
    <w:rsid w:val="08147C9D"/>
    <w:rsid w:val="0817314E"/>
    <w:rsid w:val="0817778D"/>
    <w:rsid w:val="08191757"/>
    <w:rsid w:val="081C4DA3"/>
    <w:rsid w:val="081E0B1B"/>
    <w:rsid w:val="0822060B"/>
    <w:rsid w:val="08230990"/>
    <w:rsid w:val="08232E32"/>
    <w:rsid w:val="08242F8C"/>
    <w:rsid w:val="08250383"/>
    <w:rsid w:val="08251EAA"/>
    <w:rsid w:val="0825634E"/>
    <w:rsid w:val="08272C43"/>
    <w:rsid w:val="08273E74"/>
    <w:rsid w:val="08297BEC"/>
    <w:rsid w:val="082A74C0"/>
    <w:rsid w:val="082B4195"/>
    <w:rsid w:val="082C3238"/>
    <w:rsid w:val="082D0D5E"/>
    <w:rsid w:val="082D6FB0"/>
    <w:rsid w:val="082F2D28"/>
    <w:rsid w:val="08302865"/>
    <w:rsid w:val="0831084F"/>
    <w:rsid w:val="08316AA1"/>
    <w:rsid w:val="083420ED"/>
    <w:rsid w:val="08346591"/>
    <w:rsid w:val="08362309"/>
    <w:rsid w:val="083640B7"/>
    <w:rsid w:val="08365E65"/>
    <w:rsid w:val="0838088B"/>
    <w:rsid w:val="08381BDD"/>
    <w:rsid w:val="08386081"/>
    <w:rsid w:val="08387E2F"/>
    <w:rsid w:val="08393BA7"/>
    <w:rsid w:val="08395955"/>
    <w:rsid w:val="083C511A"/>
    <w:rsid w:val="083D65AA"/>
    <w:rsid w:val="083E11BD"/>
    <w:rsid w:val="083E2F6B"/>
    <w:rsid w:val="08400A92"/>
    <w:rsid w:val="084037EA"/>
    <w:rsid w:val="08444A26"/>
    <w:rsid w:val="08471E20"/>
    <w:rsid w:val="084A1910"/>
    <w:rsid w:val="084B203D"/>
    <w:rsid w:val="084B746C"/>
    <w:rsid w:val="084C5688"/>
    <w:rsid w:val="084C7436"/>
    <w:rsid w:val="084D31AF"/>
    <w:rsid w:val="084F5179"/>
    <w:rsid w:val="084F6F27"/>
    <w:rsid w:val="08512C9F"/>
    <w:rsid w:val="08514A4D"/>
    <w:rsid w:val="08517143"/>
    <w:rsid w:val="08534C69"/>
    <w:rsid w:val="08536A17"/>
    <w:rsid w:val="0854278F"/>
    <w:rsid w:val="085602B5"/>
    <w:rsid w:val="0858402D"/>
    <w:rsid w:val="085A69CC"/>
    <w:rsid w:val="085D7896"/>
    <w:rsid w:val="085E53BC"/>
    <w:rsid w:val="085F360E"/>
    <w:rsid w:val="08602EE2"/>
    <w:rsid w:val="08624EAC"/>
    <w:rsid w:val="08640C24"/>
    <w:rsid w:val="0865674A"/>
    <w:rsid w:val="0869448C"/>
    <w:rsid w:val="0869623A"/>
    <w:rsid w:val="086C5D2B"/>
    <w:rsid w:val="08717EBB"/>
    <w:rsid w:val="087370B9"/>
    <w:rsid w:val="08737DB9"/>
    <w:rsid w:val="0874277D"/>
    <w:rsid w:val="0874698D"/>
    <w:rsid w:val="08747B08"/>
    <w:rsid w:val="087526D9"/>
    <w:rsid w:val="08766BA9"/>
    <w:rsid w:val="0878022B"/>
    <w:rsid w:val="087921F6"/>
    <w:rsid w:val="08793FA4"/>
    <w:rsid w:val="087A0447"/>
    <w:rsid w:val="087F0F2D"/>
    <w:rsid w:val="087F780C"/>
    <w:rsid w:val="088210AA"/>
    <w:rsid w:val="0882554E"/>
    <w:rsid w:val="08852948"/>
    <w:rsid w:val="08874912"/>
    <w:rsid w:val="0889068B"/>
    <w:rsid w:val="088A4403"/>
    <w:rsid w:val="088A61B1"/>
    <w:rsid w:val="088A7F5F"/>
    <w:rsid w:val="088E3EF3"/>
    <w:rsid w:val="088F37C7"/>
    <w:rsid w:val="089253E9"/>
    <w:rsid w:val="08935065"/>
    <w:rsid w:val="08935C62"/>
    <w:rsid w:val="08966904"/>
    <w:rsid w:val="0898267C"/>
    <w:rsid w:val="089963F4"/>
    <w:rsid w:val="089B03BE"/>
    <w:rsid w:val="089B6610"/>
    <w:rsid w:val="089C6D14"/>
    <w:rsid w:val="089D5EE4"/>
    <w:rsid w:val="089E3A0A"/>
    <w:rsid w:val="089F1C5C"/>
    <w:rsid w:val="089F7EAE"/>
    <w:rsid w:val="08A059D4"/>
    <w:rsid w:val="08A2799E"/>
    <w:rsid w:val="08A47272"/>
    <w:rsid w:val="08A70B11"/>
    <w:rsid w:val="08A74FB5"/>
    <w:rsid w:val="08AA0601"/>
    <w:rsid w:val="08AA23AF"/>
    <w:rsid w:val="08AB66CA"/>
    <w:rsid w:val="08AB6853"/>
    <w:rsid w:val="08AC25CB"/>
    <w:rsid w:val="08AC4379"/>
    <w:rsid w:val="08AE00F1"/>
    <w:rsid w:val="08AE0A94"/>
    <w:rsid w:val="08AF5C17"/>
    <w:rsid w:val="08B03E69"/>
    <w:rsid w:val="08B33959"/>
    <w:rsid w:val="08B374B6"/>
    <w:rsid w:val="08B5322E"/>
    <w:rsid w:val="08BA4CE8"/>
    <w:rsid w:val="08BA6A96"/>
    <w:rsid w:val="08BB636A"/>
    <w:rsid w:val="08BD0334"/>
    <w:rsid w:val="08C571E9"/>
    <w:rsid w:val="08C711B3"/>
    <w:rsid w:val="08C94F2B"/>
    <w:rsid w:val="08C96CD9"/>
    <w:rsid w:val="08CA0902"/>
    <w:rsid w:val="08CA34D3"/>
    <w:rsid w:val="08CA47FF"/>
    <w:rsid w:val="08CC67C9"/>
    <w:rsid w:val="08CE42EF"/>
    <w:rsid w:val="08D107D5"/>
    <w:rsid w:val="08D330F5"/>
    <w:rsid w:val="08D37B58"/>
    <w:rsid w:val="08D51B22"/>
    <w:rsid w:val="08D538D0"/>
    <w:rsid w:val="08D833C0"/>
    <w:rsid w:val="08D94110"/>
    <w:rsid w:val="08D95826"/>
    <w:rsid w:val="08DA7138"/>
    <w:rsid w:val="08DB07BA"/>
    <w:rsid w:val="08DB2D17"/>
    <w:rsid w:val="08DB6A0C"/>
    <w:rsid w:val="08DC174E"/>
    <w:rsid w:val="08DC4C5E"/>
    <w:rsid w:val="08DF474E"/>
    <w:rsid w:val="08E104C7"/>
    <w:rsid w:val="08E21B49"/>
    <w:rsid w:val="08E42645"/>
    <w:rsid w:val="08E753B1"/>
    <w:rsid w:val="08E75EC9"/>
    <w:rsid w:val="08E81855"/>
    <w:rsid w:val="08EA7EEC"/>
    <w:rsid w:val="08EB05C3"/>
    <w:rsid w:val="08EC0C19"/>
    <w:rsid w:val="08EC3C9C"/>
    <w:rsid w:val="08EC53DD"/>
    <w:rsid w:val="08ED6E6B"/>
    <w:rsid w:val="08EE6740"/>
    <w:rsid w:val="08EF118D"/>
    <w:rsid w:val="08EF3D5E"/>
    <w:rsid w:val="08F024B8"/>
    <w:rsid w:val="08F0261D"/>
    <w:rsid w:val="08F24482"/>
    <w:rsid w:val="08F301FA"/>
    <w:rsid w:val="08F31FA8"/>
    <w:rsid w:val="08F55D20"/>
    <w:rsid w:val="08F61060"/>
    <w:rsid w:val="08F63846"/>
    <w:rsid w:val="08F71A98"/>
    <w:rsid w:val="08F85810"/>
    <w:rsid w:val="08FA3336"/>
    <w:rsid w:val="08FA6E92"/>
    <w:rsid w:val="08FC258F"/>
    <w:rsid w:val="08FD062C"/>
    <w:rsid w:val="08FD4BD5"/>
    <w:rsid w:val="08FE5D23"/>
    <w:rsid w:val="08FF6B9F"/>
    <w:rsid w:val="09012917"/>
    <w:rsid w:val="090146C5"/>
    <w:rsid w:val="09016173"/>
    <w:rsid w:val="0902043D"/>
    <w:rsid w:val="09023F99"/>
    <w:rsid w:val="090555CD"/>
    <w:rsid w:val="09067F2D"/>
    <w:rsid w:val="09095327"/>
    <w:rsid w:val="090B10A0"/>
    <w:rsid w:val="090B4829"/>
    <w:rsid w:val="090B5543"/>
    <w:rsid w:val="090C4E18"/>
    <w:rsid w:val="090D306A"/>
    <w:rsid w:val="090E293E"/>
    <w:rsid w:val="09114527"/>
    <w:rsid w:val="091259B7"/>
    <w:rsid w:val="09167A44"/>
    <w:rsid w:val="09170399"/>
    <w:rsid w:val="09181A0E"/>
    <w:rsid w:val="091A5787"/>
    <w:rsid w:val="091C14FF"/>
    <w:rsid w:val="091C32AD"/>
    <w:rsid w:val="091D0DD3"/>
    <w:rsid w:val="092217DD"/>
    <w:rsid w:val="09242161"/>
    <w:rsid w:val="09265ED9"/>
    <w:rsid w:val="09267C87"/>
    <w:rsid w:val="09271C52"/>
    <w:rsid w:val="09273A00"/>
    <w:rsid w:val="09297778"/>
    <w:rsid w:val="092B7994"/>
    <w:rsid w:val="092F2631"/>
    <w:rsid w:val="09300B06"/>
    <w:rsid w:val="09320D22"/>
    <w:rsid w:val="09322AD0"/>
    <w:rsid w:val="0932487E"/>
    <w:rsid w:val="09336848"/>
    <w:rsid w:val="093525C0"/>
    <w:rsid w:val="093700E7"/>
    <w:rsid w:val="09371E95"/>
    <w:rsid w:val="09385C0D"/>
    <w:rsid w:val="093920B1"/>
    <w:rsid w:val="093A1985"/>
    <w:rsid w:val="093A7294"/>
    <w:rsid w:val="093C56FD"/>
    <w:rsid w:val="093C74AB"/>
    <w:rsid w:val="093D1475"/>
    <w:rsid w:val="093F0D49"/>
    <w:rsid w:val="093F343F"/>
    <w:rsid w:val="09412D13"/>
    <w:rsid w:val="09451F87"/>
    <w:rsid w:val="0946657C"/>
    <w:rsid w:val="094822F4"/>
    <w:rsid w:val="09491BC8"/>
    <w:rsid w:val="09494F50"/>
    <w:rsid w:val="0949606C"/>
    <w:rsid w:val="094B46B8"/>
    <w:rsid w:val="094B5940"/>
    <w:rsid w:val="094C3466"/>
    <w:rsid w:val="094E5430"/>
    <w:rsid w:val="094E71DE"/>
    <w:rsid w:val="095011A8"/>
    <w:rsid w:val="09532A47"/>
    <w:rsid w:val="0955056D"/>
    <w:rsid w:val="095827AC"/>
    <w:rsid w:val="09586CBC"/>
    <w:rsid w:val="095C5D9F"/>
    <w:rsid w:val="095C7B4D"/>
    <w:rsid w:val="095D169E"/>
    <w:rsid w:val="095F13EB"/>
    <w:rsid w:val="095F763D"/>
    <w:rsid w:val="09615163"/>
    <w:rsid w:val="09644C54"/>
    <w:rsid w:val="09652EA6"/>
    <w:rsid w:val="09657E30"/>
    <w:rsid w:val="096864F2"/>
    <w:rsid w:val="096B1B3E"/>
    <w:rsid w:val="096D3B08"/>
    <w:rsid w:val="096E162E"/>
    <w:rsid w:val="096F5AD2"/>
    <w:rsid w:val="097053A7"/>
    <w:rsid w:val="0972111F"/>
    <w:rsid w:val="09722ECD"/>
    <w:rsid w:val="09756E61"/>
    <w:rsid w:val="09776735"/>
    <w:rsid w:val="0978425B"/>
    <w:rsid w:val="097862A6"/>
    <w:rsid w:val="097A3797"/>
    <w:rsid w:val="097A7FD3"/>
    <w:rsid w:val="097C1F9D"/>
    <w:rsid w:val="097E2E91"/>
    <w:rsid w:val="097E3F67"/>
    <w:rsid w:val="09810AA5"/>
    <w:rsid w:val="09811362"/>
    <w:rsid w:val="0983157E"/>
    <w:rsid w:val="0983332C"/>
    <w:rsid w:val="09840E52"/>
    <w:rsid w:val="09842C00"/>
    <w:rsid w:val="098470A4"/>
    <w:rsid w:val="09866978"/>
    <w:rsid w:val="09880942"/>
    <w:rsid w:val="0989441D"/>
    <w:rsid w:val="098A5E26"/>
    <w:rsid w:val="098B0432"/>
    <w:rsid w:val="098B1B4B"/>
    <w:rsid w:val="098B21E0"/>
    <w:rsid w:val="098D41AA"/>
    <w:rsid w:val="098D5F59"/>
    <w:rsid w:val="098D708E"/>
    <w:rsid w:val="09905A49"/>
    <w:rsid w:val="0992356F"/>
    <w:rsid w:val="0992531D"/>
    <w:rsid w:val="09931095"/>
    <w:rsid w:val="09960F41"/>
    <w:rsid w:val="09970B85"/>
    <w:rsid w:val="099948FD"/>
    <w:rsid w:val="099B68C7"/>
    <w:rsid w:val="099C263F"/>
    <w:rsid w:val="099E1F14"/>
    <w:rsid w:val="099F5C8C"/>
    <w:rsid w:val="09A11A04"/>
    <w:rsid w:val="09A17C56"/>
    <w:rsid w:val="09A3752A"/>
    <w:rsid w:val="09A432A2"/>
    <w:rsid w:val="09A45050"/>
    <w:rsid w:val="09A80FE4"/>
    <w:rsid w:val="09A83C44"/>
    <w:rsid w:val="09AB4631"/>
    <w:rsid w:val="09AC184D"/>
    <w:rsid w:val="09AD03A9"/>
    <w:rsid w:val="09AD65FB"/>
    <w:rsid w:val="09AE35E0"/>
    <w:rsid w:val="09AF4121"/>
    <w:rsid w:val="09B07E99"/>
    <w:rsid w:val="09B259BF"/>
    <w:rsid w:val="09B30D57"/>
    <w:rsid w:val="09B42E8B"/>
    <w:rsid w:val="09B434E5"/>
    <w:rsid w:val="09B54DB8"/>
    <w:rsid w:val="09B5725D"/>
    <w:rsid w:val="09B71227"/>
    <w:rsid w:val="09B72FD5"/>
    <w:rsid w:val="09B80B68"/>
    <w:rsid w:val="09B82DDB"/>
    <w:rsid w:val="09B90AFC"/>
    <w:rsid w:val="09B94F9F"/>
    <w:rsid w:val="09BC6592"/>
    <w:rsid w:val="09BE6112"/>
    <w:rsid w:val="09C000DC"/>
    <w:rsid w:val="09C33728"/>
    <w:rsid w:val="09C474A0"/>
    <w:rsid w:val="09C63218"/>
    <w:rsid w:val="09C65D3C"/>
    <w:rsid w:val="09C676BC"/>
    <w:rsid w:val="09C83435"/>
    <w:rsid w:val="09C86F91"/>
    <w:rsid w:val="09CB082F"/>
    <w:rsid w:val="09CB6A81"/>
    <w:rsid w:val="09CC046D"/>
    <w:rsid w:val="09CD44CE"/>
    <w:rsid w:val="09CF031F"/>
    <w:rsid w:val="09D1170E"/>
    <w:rsid w:val="09D242DF"/>
    <w:rsid w:val="09D45935"/>
    <w:rsid w:val="09D65B51"/>
    <w:rsid w:val="09D70151"/>
    <w:rsid w:val="09D92F4C"/>
    <w:rsid w:val="09DA6CC4"/>
    <w:rsid w:val="09DB182A"/>
    <w:rsid w:val="09DB3168"/>
    <w:rsid w:val="09DB79A7"/>
    <w:rsid w:val="09DC2A3C"/>
    <w:rsid w:val="09DC47EA"/>
    <w:rsid w:val="09DE0562"/>
    <w:rsid w:val="09DE2882"/>
    <w:rsid w:val="09DE4A06"/>
    <w:rsid w:val="09E10052"/>
    <w:rsid w:val="09E162A4"/>
    <w:rsid w:val="09E57B43"/>
    <w:rsid w:val="09E71B0D"/>
    <w:rsid w:val="09E85885"/>
    <w:rsid w:val="09E87633"/>
    <w:rsid w:val="09EA1539"/>
    <w:rsid w:val="09EA33AB"/>
    <w:rsid w:val="09EA5159"/>
    <w:rsid w:val="09EA6F07"/>
    <w:rsid w:val="09EB2C7F"/>
    <w:rsid w:val="09ED4C49"/>
    <w:rsid w:val="09ED69F7"/>
    <w:rsid w:val="09F14739"/>
    <w:rsid w:val="09F2225F"/>
    <w:rsid w:val="09F4422A"/>
    <w:rsid w:val="09F74B6A"/>
    <w:rsid w:val="09F77876"/>
    <w:rsid w:val="09F91840"/>
    <w:rsid w:val="09FB1114"/>
    <w:rsid w:val="09FB55B8"/>
    <w:rsid w:val="09FC4E8C"/>
    <w:rsid w:val="09FE29B2"/>
    <w:rsid w:val="09FE6E56"/>
    <w:rsid w:val="0A002BCE"/>
    <w:rsid w:val="0A00672A"/>
    <w:rsid w:val="0A0124A3"/>
    <w:rsid w:val="0A0501E5"/>
    <w:rsid w:val="0A061A8E"/>
    <w:rsid w:val="0A07465F"/>
    <w:rsid w:val="0A0855DF"/>
    <w:rsid w:val="0A09367D"/>
    <w:rsid w:val="0A0A57FB"/>
    <w:rsid w:val="0A0A75A9"/>
    <w:rsid w:val="0A0D0E47"/>
    <w:rsid w:val="0A0D7099"/>
    <w:rsid w:val="0A0E2DF1"/>
    <w:rsid w:val="0A0F696E"/>
    <w:rsid w:val="0A1026E6"/>
    <w:rsid w:val="0A122902"/>
    <w:rsid w:val="0A1246B0"/>
    <w:rsid w:val="0A140428"/>
    <w:rsid w:val="0A1421D6"/>
    <w:rsid w:val="0A157CFC"/>
    <w:rsid w:val="0A172A13"/>
    <w:rsid w:val="0A173A74"/>
    <w:rsid w:val="0A195A3E"/>
    <w:rsid w:val="0A1977EC"/>
    <w:rsid w:val="0A1B2824"/>
    <w:rsid w:val="0A1B3564"/>
    <w:rsid w:val="0A1B3F65"/>
    <w:rsid w:val="0A1B5312"/>
    <w:rsid w:val="0A1E3055"/>
    <w:rsid w:val="0A1E4E03"/>
    <w:rsid w:val="0A1E592A"/>
    <w:rsid w:val="0A200B7B"/>
    <w:rsid w:val="0A20501F"/>
    <w:rsid w:val="0A2166A1"/>
    <w:rsid w:val="0A2226F7"/>
    <w:rsid w:val="0A222B45"/>
    <w:rsid w:val="0A232419"/>
    <w:rsid w:val="0A2368BD"/>
    <w:rsid w:val="0A252635"/>
    <w:rsid w:val="0A256191"/>
    <w:rsid w:val="0A261F09"/>
    <w:rsid w:val="0A263993"/>
    <w:rsid w:val="0A2763AD"/>
    <w:rsid w:val="0A283998"/>
    <w:rsid w:val="0A285C81"/>
    <w:rsid w:val="0A287A2F"/>
    <w:rsid w:val="0A2A7C4B"/>
    <w:rsid w:val="0A2C5771"/>
    <w:rsid w:val="0A2C751F"/>
    <w:rsid w:val="0A2D3298"/>
    <w:rsid w:val="0A2D3AC2"/>
    <w:rsid w:val="0A2D5B84"/>
    <w:rsid w:val="0A312D88"/>
    <w:rsid w:val="0A326B00"/>
    <w:rsid w:val="0A330AAB"/>
    <w:rsid w:val="0A344431"/>
    <w:rsid w:val="0A3463D4"/>
    <w:rsid w:val="0A3516D8"/>
    <w:rsid w:val="0A360B6D"/>
    <w:rsid w:val="0A36214C"/>
    <w:rsid w:val="0A374116"/>
    <w:rsid w:val="0A382368"/>
    <w:rsid w:val="0A384F66"/>
    <w:rsid w:val="0A39491D"/>
    <w:rsid w:val="0A397E8E"/>
    <w:rsid w:val="0A3B59B5"/>
    <w:rsid w:val="0A3C6088"/>
    <w:rsid w:val="0A3D797F"/>
    <w:rsid w:val="0A3E36F7"/>
    <w:rsid w:val="0A3E54A5"/>
    <w:rsid w:val="0A40746F"/>
    <w:rsid w:val="0A432ABB"/>
    <w:rsid w:val="0A4505E1"/>
    <w:rsid w:val="0A486323"/>
    <w:rsid w:val="0A4872CD"/>
    <w:rsid w:val="0A4958A2"/>
    <w:rsid w:val="0A4A0473"/>
    <w:rsid w:val="0A4A3E4A"/>
    <w:rsid w:val="0A4C1970"/>
    <w:rsid w:val="0A4C7BC2"/>
    <w:rsid w:val="0A4F76B2"/>
    <w:rsid w:val="0A51342A"/>
    <w:rsid w:val="0A5226CD"/>
    <w:rsid w:val="0A522CFE"/>
    <w:rsid w:val="0A570314"/>
    <w:rsid w:val="0A595E3B"/>
    <w:rsid w:val="0A5B7E05"/>
    <w:rsid w:val="0A5C592B"/>
    <w:rsid w:val="0A5E2711"/>
    <w:rsid w:val="0A60366D"/>
    <w:rsid w:val="0A60541B"/>
    <w:rsid w:val="0A622F41"/>
    <w:rsid w:val="0A6273E5"/>
    <w:rsid w:val="0A64315D"/>
    <w:rsid w:val="0A6453D3"/>
    <w:rsid w:val="0A650C83"/>
    <w:rsid w:val="0A656ED5"/>
    <w:rsid w:val="0A6749FB"/>
    <w:rsid w:val="0A67799B"/>
    <w:rsid w:val="0A682522"/>
    <w:rsid w:val="0A6842D0"/>
    <w:rsid w:val="0A6A374B"/>
    <w:rsid w:val="0A6C0264"/>
    <w:rsid w:val="0A6C2012"/>
    <w:rsid w:val="0A6E4C9D"/>
    <w:rsid w:val="0A6F1B02"/>
    <w:rsid w:val="0A7315F2"/>
    <w:rsid w:val="0A73514E"/>
    <w:rsid w:val="0A73569C"/>
    <w:rsid w:val="0A735F3E"/>
    <w:rsid w:val="0A747118"/>
    <w:rsid w:val="0A777490"/>
    <w:rsid w:val="0A7809B7"/>
    <w:rsid w:val="0A791DB0"/>
    <w:rsid w:val="0A79472F"/>
    <w:rsid w:val="0A7964DD"/>
    <w:rsid w:val="0A7D4792"/>
    <w:rsid w:val="0A7D5FCD"/>
    <w:rsid w:val="0A821835"/>
    <w:rsid w:val="0A8245A3"/>
    <w:rsid w:val="0A845004"/>
    <w:rsid w:val="0A8530D4"/>
    <w:rsid w:val="0A856C30"/>
    <w:rsid w:val="0A870BFA"/>
    <w:rsid w:val="0A876E4C"/>
    <w:rsid w:val="0A894972"/>
    <w:rsid w:val="0A8A2498"/>
    <w:rsid w:val="0A8A693C"/>
    <w:rsid w:val="0A8C4462"/>
    <w:rsid w:val="0A8C7FBE"/>
    <w:rsid w:val="0A8D4287"/>
    <w:rsid w:val="0A8E1F88"/>
    <w:rsid w:val="0A8E2B46"/>
    <w:rsid w:val="0A917CCA"/>
    <w:rsid w:val="0A92134D"/>
    <w:rsid w:val="0A93759F"/>
    <w:rsid w:val="0A943317"/>
    <w:rsid w:val="0A9652E1"/>
    <w:rsid w:val="0A99092D"/>
    <w:rsid w:val="0A997C59"/>
    <w:rsid w:val="0A9D041D"/>
    <w:rsid w:val="0A9D11AB"/>
    <w:rsid w:val="0A9E5F43"/>
    <w:rsid w:val="0AA01CBB"/>
    <w:rsid w:val="0AA3355A"/>
    <w:rsid w:val="0AA417AC"/>
    <w:rsid w:val="0AA479FE"/>
    <w:rsid w:val="0AA7129C"/>
    <w:rsid w:val="0AA74DF8"/>
    <w:rsid w:val="0AA755DF"/>
    <w:rsid w:val="0AA90B70"/>
    <w:rsid w:val="0AA95014"/>
    <w:rsid w:val="0AAB0D8C"/>
    <w:rsid w:val="0AAC68B2"/>
    <w:rsid w:val="0AAE2130"/>
    <w:rsid w:val="0AAE6186"/>
    <w:rsid w:val="0AAF1EFF"/>
    <w:rsid w:val="0AAF4A50"/>
    <w:rsid w:val="0AB13EC9"/>
    <w:rsid w:val="0AB15C77"/>
    <w:rsid w:val="0AB17A25"/>
    <w:rsid w:val="0AB319EF"/>
    <w:rsid w:val="0AB35D19"/>
    <w:rsid w:val="0AB45767"/>
    <w:rsid w:val="0AB539B9"/>
    <w:rsid w:val="0AB61672"/>
    <w:rsid w:val="0AB7162C"/>
    <w:rsid w:val="0AB87005"/>
    <w:rsid w:val="0ABA1B63"/>
    <w:rsid w:val="0ABB08A3"/>
    <w:rsid w:val="0ABB4D47"/>
    <w:rsid w:val="0ABD461B"/>
    <w:rsid w:val="0ABE2142"/>
    <w:rsid w:val="0AC105A6"/>
    <w:rsid w:val="0AC21C32"/>
    <w:rsid w:val="0AC260D6"/>
    <w:rsid w:val="0AC41E4E"/>
    <w:rsid w:val="0AC44356"/>
    <w:rsid w:val="0AC51722"/>
    <w:rsid w:val="0AC534D0"/>
    <w:rsid w:val="0AC92FC0"/>
    <w:rsid w:val="0ACA0AE6"/>
    <w:rsid w:val="0ACB4F8A"/>
    <w:rsid w:val="0ACC2AB1"/>
    <w:rsid w:val="0ACC3F78"/>
    <w:rsid w:val="0ACE6829"/>
    <w:rsid w:val="0ACF434F"/>
    <w:rsid w:val="0AD007F3"/>
    <w:rsid w:val="0AD32091"/>
    <w:rsid w:val="0AD67BFB"/>
    <w:rsid w:val="0AD83203"/>
    <w:rsid w:val="0ADB0F46"/>
    <w:rsid w:val="0ADD6A6C"/>
    <w:rsid w:val="0ADF0F5E"/>
    <w:rsid w:val="0AE0030A"/>
    <w:rsid w:val="0AE023EE"/>
    <w:rsid w:val="0AE147AE"/>
    <w:rsid w:val="0AE17F1C"/>
    <w:rsid w:val="0AE222D4"/>
    <w:rsid w:val="0AE32A84"/>
    <w:rsid w:val="0AE47DFA"/>
    <w:rsid w:val="0AE53B72"/>
    <w:rsid w:val="0AE918B4"/>
    <w:rsid w:val="0AE95411"/>
    <w:rsid w:val="0AEC4F01"/>
    <w:rsid w:val="0AEC6CAF"/>
    <w:rsid w:val="0AEC7E09"/>
    <w:rsid w:val="0AEE2A27"/>
    <w:rsid w:val="0AEF6FE4"/>
    <w:rsid w:val="0AF04AB4"/>
    <w:rsid w:val="0AF12517"/>
    <w:rsid w:val="0AF142C5"/>
    <w:rsid w:val="0AF14803"/>
    <w:rsid w:val="0AF30864"/>
    <w:rsid w:val="0AF344E1"/>
    <w:rsid w:val="0AF3628F"/>
    <w:rsid w:val="0AF65D7F"/>
    <w:rsid w:val="0AF671E5"/>
    <w:rsid w:val="0AF67B2D"/>
    <w:rsid w:val="0AF838A6"/>
    <w:rsid w:val="0AFA13CC"/>
    <w:rsid w:val="0AFF4C34"/>
    <w:rsid w:val="0B0009AC"/>
    <w:rsid w:val="0B00275A"/>
    <w:rsid w:val="0B022976"/>
    <w:rsid w:val="0B043FF8"/>
    <w:rsid w:val="0B064214"/>
    <w:rsid w:val="0B073AE9"/>
    <w:rsid w:val="0B093D05"/>
    <w:rsid w:val="0B095168"/>
    <w:rsid w:val="0B0A565B"/>
    <w:rsid w:val="0B0A6AEB"/>
    <w:rsid w:val="0B0C10FF"/>
    <w:rsid w:val="0B0C55A3"/>
    <w:rsid w:val="0B0C7351"/>
    <w:rsid w:val="0B0E003D"/>
    <w:rsid w:val="0B0E5232"/>
    <w:rsid w:val="0B0E546C"/>
    <w:rsid w:val="0B106E41"/>
    <w:rsid w:val="0B114967"/>
    <w:rsid w:val="0B120D44"/>
    <w:rsid w:val="0B1306DF"/>
    <w:rsid w:val="0B154457"/>
    <w:rsid w:val="0B156206"/>
    <w:rsid w:val="0B15667A"/>
    <w:rsid w:val="0B161F7E"/>
    <w:rsid w:val="0B1810EF"/>
    <w:rsid w:val="0B185CF6"/>
    <w:rsid w:val="0B187AA4"/>
    <w:rsid w:val="0B19257F"/>
    <w:rsid w:val="0B1A381C"/>
    <w:rsid w:val="0B1A65E0"/>
    <w:rsid w:val="0B1A7CC0"/>
    <w:rsid w:val="0B1B7594"/>
    <w:rsid w:val="0B1C0F00"/>
    <w:rsid w:val="0B1D50BA"/>
    <w:rsid w:val="0B1F63F1"/>
    <w:rsid w:val="0B1F7084"/>
    <w:rsid w:val="0B232DB1"/>
    <w:rsid w:val="0B260413"/>
    <w:rsid w:val="0B27418B"/>
    <w:rsid w:val="0B293A5F"/>
    <w:rsid w:val="0B2A143C"/>
    <w:rsid w:val="0B2B3C7B"/>
    <w:rsid w:val="0B2B7565"/>
    <w:rsid w:val="0B2B77D7"/>
    <w:rsid w:val="0B2E5519"/>
    <w:rsid w:val="0B2E5CAE"/>
    <w:rsid w:val="0B301291"/>
    <w:rsid w:val="0B30303F"/>
    <w:rsid w:val="0B304DED"/>
    <w:rsid w:val="0B310B66"/>
    <w:rsid w:val="0B316DB7"/>
    <w:rsid w:val="0B330D82"/>
    <w:rsid w:val="0B347497"/>
    <w:rsid w:val="0B350656"/>
    <w:rsid w:val="0B3643CE"/>
    <w:rsid w:val="0B36617C"/>
    <w:rsid w:val="0B372620"/>
    <w:rsid w:val="0B381EF4"/>
    <w:rsid w:val="0B3A3EBE"/>
    <w:rsid w:val="0B3A5C6C"/>
    <w:rsid w:val="0B3C19E4"/>
    <w:rsid w:val="0B3D39AE"/>
    <w:rsid w:val="0B3E48F6"/>
    <w:rsid w:val="0B3F7726"/>
    <w:rsid w:val="0B422D73"/>
    <w:rsid w:val="0B424B21"/>
    <w:rsid w:val="0B470389"/>
    <w:rsid w:val="0B472A2B"/>
    <w:rsid w:val="0B4765DB"/>
    <w:rsid w:val="0B486A8C"/>
    <w:rsid w:val="0B4B60CB"/>
    <w:rsid w:val="0B5036E2"/>
    <w:rsid w:val="0B507DEF"/>
    <w:rsid w:val="0B5331D2"/>
    <w:rsid w:val="0B534F80"/>
    <w:rsid w:val="0B53783F"/>
    <w:rsid w:val="0B550CF8"/>
    <w:rsid w:val="0B552AA6"/>
    <w:rsid w:val="0B553F45"/>
    <w:rsid w:val="0B554854"/>
    <w:rsid w:val="0B5605CC"/>
    <w:rsid w:val="0B582596"/>
    <w:rsid w:val="0B5A00BC"/>
    <w:rsid w:val="0B5A4560"/>
    <w:rsid w:val="0B5C5BE2"/>
    <w:rsid w:val="0B5D7822"/>
    <w:rsid w:val="0B5F56D3"/>
    <w:rsid w:val="0B6131F9"/>
    <w:rsid w:val="0B61769D"/>
    <w:rsid w:val="0B6251C3"/>
    <w:rsid w:val="0B626F71"/>
    <w:rsid w:val="0B633694"/>
    <w:rsid w:val="0B64718D"/>
    <w:rsid w:val="0B664CB3"/>
    <w:rsid w:val="0B674587"/>
    <w:rsid w:val="0B6B051B"/>
    <w:rsid w:val="0B6B22C9"/>
    <w:rsid w:val="0B6D6042"/>
    <w:rsid w:val="0B6D7317"/>
    <w:rsid w:val="0B70168E"/>
    <w:rsid w:val="0B7078E0"/>
    <w:rsid w:val="0B710869"/>
    <w:rsid w:val="0B7218AA"/>
    <w:rsid w:val="0B7373D0"/>
    <w:rsid w:val="0B792C38"/>
    <w:rsid w:val="0B7A048B"/>
    <w:rsid w:val="0B7A075E"/>
    <w:rsid w:val="0B7A250D"/>
    <w:rsid w:val="0B7A42BB"/>
    <w:rsid w:val="0B7C44D7"/>
    <w:rsid w:val="0B7C597C"/>
    <w:rsid w:val="0B7D6E0C"/>
    <w:rsid w:val="0B7E024F"/>
    <w:rsid w:val="0B7F172C"/>
    <w:rsid w:val="0B7F3FC7"/>
    <w:rsid w:val="0B814FFF"/>
    <w:rsid w:val="0B835865"/>
    <w:rsid w:val="0B835EE6"/>
    <w:rsid w:val="0B84338B"/>
    <w:rsid w:val="0B860EB1"/>
    <w:rsid w:val="0B865355"/>
    <w:rsid w:val="0B8769D7"/>
    <w:rsid w:val="0B882E7B"/>
    <w:rsid w:val="0B884C29"/>
    <w:rsid w:val="0B8A7F80"/>
    <w:rsid w:val="0B8B28A0"/>
    <w:rsid w:val="0B8B296C"/>
    <w:rsid w:val="0B8B64C8"/>
    <w:rsid w:val="0B8D10DD"/>
    <w:rsid w:val="0B8E5FB8"/>
    <w:rsid w:val="0B907F82"/>
    <w:rsid w:val="0B941820"/>
    <w:rsid w:val="0B971310"/>
    <w:rsid w:val="0B974E6D"/>
    <w:rsid w:val="0B980BE5"/>
    <w:rsid w:val="0B996E37"/>
    <w:rsid w:val="0B9A2BAF"/>
    <w:rsid w:val="0B9D61FB"/>
    <w:rsid w:val="0B9E269F"/>
    <w:rsid w:val="0B9E444D"/>
    <w:rsid w:val="0B9F3D21"/>
    <w:rsid w:val="0B9F6417"/>
    <w:rsid w:val="0BA04D77"/>
    <w:rsid w:val="0BA25F56"/>
    <w:rsid w:val="0BA37CB5"/>
    <w:rsid w:val="0BA53A2D"/>
    <w:rsid w:val="0BA61553"/>
    <w:rsid w:val="0BA94BA0"/>
    <w:rsid w:val="0BA965B8"/>
    <w:rsid w:val="0BAB0918"/>
    <w:rsid w:val="0BAB6B6A"/>
    <w:rsid w:val="0BAE0408"/>
    <w:rsid w:val="0BAE21B6"/>
    <w:rsid w:val="0BB023D2"/>
    <w:rsid w:val="0BB05F2E"/>
    <w:rsid w:val="0BB3061C"/>
    <w:rsid w:val="0BB7550F"/>
    <w:rsid w:val="0BB93035"/>
    <w:rsid w:val="0BB934DB"/>
    <w:rsid w:val="0BBA0B5B"/>
    <w:rsid w:val="0BBA6DAD"/>
    <w:rsid w:val="0BBC0D77"/>
    <w:rsid w:val="0BBC48D3"/>
    <w:rsid w:val="0BBD5949"/>
    <w:rsid w:val="0BBE064B"/>
    <w:rsid w:val="0BBE4AEF"/>
    <w:rsid w:val="0BC25540"/>
    <w:rsid w:val="0BC35C62"/>
    <w:rsid w:val="0BC55E7E"/>
    <w:rsid w:val="0BC67500"/>
    <w:rsid w:val="0BC814CA"/>
    <w:rsid w:val="0BC83278"/>
    <w:rsid w:val="0BCA3494"/>
    <w:rsid w:val="0BCB2D68"/>
    <w:rsid w:val="0BCB4B16"/>
    <w:rsid w:val="0BCB720C"/>
    <w:rsid w:val="0BCD088E"/>
    <w:rsid w:val="0BCE4606"/>
    <w:rsid w:val="0BCF2858"/>
    <w:rsid w:val="0BD240F7"/>
    <w:rsid w:val="0BD27BF6"/>
    <w:rsid w:val="0BD31C1D"/>
    <w:rsid w:val="0BD7170D"/>
    <w:rsid w:val="0BD936D7"/>
    <w:rsid w:val="0BDA11FD"/>
    <w:rsid w:val="0BDA2FAB"/>
    <w:rsid w:val="0BE107DE"/>
    <w:rsid w:val="0BE36304"/>
    <w:rsid w:val="0BE43E2A"/>
    <w:rsid w:val="0BE45BD8"/>
    <w:rsid w:val="0BE502CE"/>
    <w:rsid w:val="0BE67BA2"/>
    <w:rsid w:val="0BE75DCB"/>
    <w:rsid w:val="0BE856C8"/>
    <w:rsid w:val="0BEA58E4"/>
    <w:rsid w:val="0BEB474C"/>
    <w:rsid w:val="0BEB51B8"/>
    <w:rsid w:val="0BED0F30"/>
    <w:rsid w:val="0BED15C5"/>
    <w:rsid w:val="0BEF2EFA"/>
    <w:rsid w:val="0BEF4CA9"/>
    <w:rsid w:val="0BF027CF"/>
    <w:rsid w:val="0BF22EDE"/>
    <w:rsid w:val="0BF24799"/>
    <w:rsid w:val="0BF26547"/>
    <w:rsid w:val="0BF3436E"/>
    <w:rsid w:val="0BF57DE5"/>
    <w:rsid w:val="0BF64289"/>
    <w:rsid w:val="0BF70001"/>
    <w:rsid w:val="0BF73B5D"/>
    <w:rsid w:val="0BF978D5"/>
    <w:rsid w:val="0BFA53FB"/>
    <w:rsid w:val="0BFC1173"/>
    <w:rsid w:val="0BFC73C5"/>
    <w:rsid w:val="0BFE313E"/>
    <w:rsid w:val="0BFF2A12"/>
    <w:rsid w:val="0C006EB6"/>
    <w:rsid w:val="0C012C2E"/>
    <w:rsid w:val="0C016972"/>
    <w:rsid w:val="0C0355A4"/>
    <w:rsid w:val="0C0369A6"/>
    <w:rsid w:val="0C061FF2"/>
    <w:rsid w:val="0C063DA0"/>
    <w:rsid w:val="0C083FBC"/>
    <w:rsid w:val="0C085D6A"/>
    <w:rsid w:val="0C0A1165"/>
    <w:rsid w:val="0C0A3890"/>
    <w:rsid w:val="0C0B13B7"/>
    <w:rsid w:val="0C0D15D3"/>
    <w:rsid w:val="0C0D3381"/>
    <w:rsid w:val="0C0D512F"/>
    <w:rsid w:val="0C0F2D95"/>
    <w:rsid w:val="0C104C1F"/>
    <w:rsid w:val="0C104FD7"/>
    <w:rsid w:val="0C1110C3"/>
    <w:rsid w:val="0C120997"/>
    <w:rsid w:val="0C122745"/>
    <w:rsid w:val="0C123672"/>
    <w:rsid w:val="0C126BE9"/>
    <w:rsid w:val="0C14470F"/>
    <w:rsid w:val="0C152235"/>
    <w:rsid w:val="0C1666D9"/>
    <w:rsid w:val="0C175FAD"/>
    <w:rsid w:val="0C17774F"/>
    <w:rsid w:val="0C1B3CF0"/>
    <w:rsid w:val="0C1B5A9E"/>
    <w:rsid w:val="0C1E0271"/>
    <w:rsid w:val="0C1E5E16"/>
    <w:rsid w:val="0C1E733C"/>
    <w:rsid w:val="0C1F0973"/>
    <w:rsid w:val="0C2030B4"/>
    <w:rsid w:val="0C230DF6"/>
    <w:rsid w:val="0C232BA4"/>
    <w:rsid w:val="0C261DCE"/>
    <w:rsid w:val="0C272694"/>
    <w:rsid w:val="0C27325E"/>
    <w:rsid w:val="0C2801BA"/>
    <w:rsid w:val="0C291C81"/>
    <w:rsid w:val="0C2A2BD9"/>
    <w:rsid w:val="0C2B1A59"/>
    <w:rsid w:val="0C2D57D1"/>
    <w:rsid w:val="0C2F32F7"/>
    <w:rsid w:val="0C2F779B"/>
    <w:rsid w:val="0C3045C1"/>
    <w:rsid w:val="0C3152C1"/>
    <w:rsid w:val="0C322DE7"/>
    <w:rsid w:val="0C324B95"/>
    <w:rsid w:val="0C336948"/>
    <w:rsid w:val="0C344DB1"/>
    <w:rsid w:val="0C346B5F"/>
    <w:rsid w:val="0C360B29"/>
    <w:rsid w:val="0C3721AC"/>
    <w:rsid w:val="0C395F24"/>
    <w:rsid w:val="0C3B1C9C"/>
    <w:rsid w:val="0C3B3C7D"/>
    <w:rsid w:val="0C3C3C66"/>
    <w:rsid w:val="0C3D1EB8"/>
    <w:rsid w:val="0C4274CE"/>
    <w:rsid w:val="0C427E66"/>
    <w:rsid w:val="0C436DA2"/>
    <w:rsid w:val="0C441B50"/>
    <w:rsid w:val="0C450D6C"/>
    <w:rsid w:val="0C4548C9"/>
    <w:rsid w:val="0C455357"/>
    <w:rsid w:val="0C48260B"/>
    <w:rsid w:val="0C483CD8"/>
    <w:rsid w:val="0C4B5C57"/>
    <w:rsid w:val="0C4F3640"/>
    <w:rsid w:val="0C4F3999"/>
    <w:rsid w:val="0C50326D"/>
    <w:rsid w:val="0C525237"/>
    <w:rsid w:val="0C540FAF"/>
    <w:rsid w:val="0C547201"/>
    <w:rsid w:val="0C566AD6"/>
    <w:rsid w:val="0C590374"/>
    <w:rsid w:val="0C5965C6"/>
    <w:rsid w:val="0C5B0590"/>
    <w:rsid w:val="0C5C7E64"/>
    <w:rsid w:val="0C601702"/>
    <w:rsid w:val="0C605BA6"/>
    <w:rsid w:val="0C607954"/>
    <w:rsid w:val="0C62210C"/>
    <w:rsid w:val="0C654F6B"/>
    <w:rsid w:val="0C656D19"/>
    <w:rsid w:val="0C664690"/>
    <w:rsid w:val="0C6805B7"/>
    <w:rsid w:val="0C692CAD"/>
    <w:rsid w:val="0C6A2581"/>
    <w:rsid w:val="0C6C00A7"/>
    <w:rsid w:val="0C6C454B"/>
    <w:rsid w:val="0C6F1945"/>
    <w:rsid w:val="0C711B61"/>
    <w:rsid w:val="0C727688"/>
    <w:rsid w:val="0C743400"/>
    <w:rsid w:val="0C7451AE"/>
    <w:rsid w:val="0C760F26"/>
    <w:rsid w:val="0C762CD4"/>
    <w:rsid w:val="0C776A4C"/>
    <w:rsid w:val="0C796C68"/>
    <w:rsid w:val="0C7B02EA"/>
    <w:rsid w:val="0C7B29E0"/>
    <w:rsid w:val="0C7D1487"/>
    <w:rsid w:val="0C7D22B4"/>
    <w:rsid w:val="0C801DA5"/>
    <w:rsid w:val="0C811298"/>
    <w:rsid w:val="0C831895"/>
    <w:rsid w:val="0C833643"/>
    <w:rsid w:val="0C8353F1"/>
    <w:rsid w:val="0C851169"/>
    <w:rsid w:val="0C8573BB"/>
    <w:rsid w:val="0C864E4F"/>
    <w:rsid w:val="0C871385"/>
    <w:rsid w:val="0C874EE1"/>
    <w:rsid w:val="0C880C59"/>
    <w:rsid w:val="0C8A2C23"/>
    <w:rsid w:val="0C8A49D1"/>
    <w:rsid w:val="0C8A677F"/>
    <w:rsid w:val="0C8C0749"/>
    <w:rsid w:val="0C8C0B1C"/>
    <w:rsid w:val="0C8D626F"/>
    <w:rsid w:val="0C910D8D"/>
    <w:rsid w:val="0C91395E"/>
    <w:rsid w:val="0C9141AC"/>
    <w:rsid w:val="0C915D60"/>
    <w:rsid w:val="0C917B0E"/>
    <w:rsid w:val="0C923886"/>
    <w:rsid w:val="0C924DEE"/>
    <w:rsid w:val="0C9413AC"/>
    <w:rsid w:val="0C943AA2"/>
    <w:rsid w:val="0C945850"/>
    <w:rsid w:val="0C9475FE"/>
    <w:rsid w:val="0C970E9C"/>
    <w:rsid w:val="0C9A3091"/>
    <w:rsid w:val="0C9B6BDE"/>
    <w:rsid w:val="0CA02447"/>
    <w:rsid w:val="0CA21D1B"/>
    <w:rsid w:val="0CA5180B"/>
    <w:rsid w:val="0CA61B23"/>
    <w:rsid w:val="0CA63264"/>
    <w:rsid w:val="0CA77331"/>
    <w:rsid w:val="0CA904A4"/>
    <w:rsid w:val="0CAB2DC4"/>
    <w:rsid w:val="0CAB2EAE"/>
    <w:rsid w:val="0CAC2B9A"/>
    <w:rsid w:val="0CAC4948"/>
    <w:rsid w:val="0CAE02B5"/>
    <w:rsid w:val="0CAF1744"/>
    <w:rsid w:val="0CAF268A"/>
    <w:rsid w:val="0CB101B0"/>
    <w:rsid w:val="0CB16402"/>
    <w:rsid w:val="0CB455B6"/>
    <w:rsid w:val="0CB669D4"/>
    <w:rsid w:val="0CB67574"/>
    <w:rsid w:val="0CBA3508"/>
    <w:rsid w:val="0CBD6B55"/>
    <w:rsid w:val="0CBE467B"/>
    <w:rsid w:val="0CBF5CFF"/>
    <w:rsid w:val="0CC021A1"/>
    <w:rsid w:val="0CC25F19"/>
    <w:rsid w:val="0CC270AD"/>
    <w:rsid w:val="0CC339A0"/>
    <w:rsid w:val="0CC55A09"/>
    <w:rsid w:val="0CC63D57"/>
    <w:rsid w:val="0CCA0F1D"/>
    <w:rsid w:val="0CCA1272"/>
    <w:rsid w:val="0CCA3020"/>
    <w:rsid w:val="0CCE2B10"/>
    <w:rsid w:val="0CCF0636"/>
    <w:rsid w:val="0CD12600"/>
    <w:rsid w:val="0CD143AE"/>
    <w:rsid w:val="0CD21ED4"/>
    <w:rsid w:val="0CD30126"/>
    <w:rsid w:val="0CD65E68"/>
    <w:rsid w:val="0CD819E3"/>
    <w:rsid w:val="0CD81BE1"/>
    <w:rsid w:val="0CD8398F"/>
    <w:rsid w:val="0CDA7707"/>
    <w:rsid w:val="0CDB1EA2"/>
    <w:rsid w:val="0CDD71F7"/>
    <w:rsid w:val="0CE15D14"/>
    <w:rsid w:val="0CE2480D"/>
    <w:rsid w:val="0CE265BB"/>
    <w:rsid w:val="0CE40585"/>
    <w:rsid w:val="0CE42333"/>
    <w:rsid w:val="0CE52F54"/>
    <w:rsid w:val="0CE57811"/>
    <w:rsid w:val="0CE73BD2"/>
    <w:rsid w:val="0CE916F8"/>
    <w:rsid w:val="0CE95B9C"/>
    <w:rsid w:val="0CEA0507"/>
    <w:rsid w:val="0CEC2E27"/>
    <w:rsid w:val="0CEE6D0E"/>
    <w:rsid w:val="0CF06F2A"/>
    <w:rsid w:val="0CF12CA2"/>
    <w:rsid w:val="0CF32576"/>
    <w:rsid w:val="0CF462EF"/>
    <w:rsid w:val="0CF54541"/>
    <w:rsid w:val="0CF602B9"/>
    <w:rsid w:val="0CF62067"/>
    <w:rsid w:val="0CF63E15"/>
    <w:rsid w:val="0CF84031"/>
    <w:rsid w:val="0CF85DDF"/>
    <w:rsid w:val="0CF956B3"/>
    <w:rsid w:val="0CFA0EA4"/>
    <w:rsid w:val="0CFA1B57"/>
    <w:rsid w:val="0CFB142B"/>
    <w:rsid w:val="0CFB58CF"/>
    <w:rsid w:val="0CFB7D4B"/>
    <w:rsid w:val="0CFD1647"/>
    <w:rsid w:val="0CFD33F5"/>
    <w:rsid w:val="0CFD3ACC"/>
    <w:rsid w:val="0CFE7E0D"/>
    <w:rsid w:val="0CFF0F1B"/>
    <w:rsid w:val="0CFF53BF"/>
    <w:rsid w:val="0D006A41"/>
    <w:rsid w:val="0D0359D7"/>
    <w:rsid w:val="0D0429D6"/>
    <w:rsid w:val="0D044784"/>
    <w:rsid w:val="0D046532"/>
    <w:rsid w:val="0D0504FC"/>
    <w:rsid w:val="0D0522AA"/>
    <w:rsid w:val="0D054FD4"/>
    <w:rsid w:val="0D067678"/>
    <w:rsid w:val="0D077DD0"/>
    <w:rsid w:val="0D083A90"/>
    <w:rsid w:val="0D097FEC"/>
    <w:rsid w:val="0D0B5B12"/>
    <w:rsid w:val="0D0C188A"/>
    <w:rsid w:val="0D0C3638"/>
    <w:rsid w:val="0D0E115E"/>
    <w:rsid w:val="0D10137A"/>
    <w:rsid w:val="0D136775"/>
    <w:rsid w:val="0D162709"/>
    <w:rsid w:val="0D1644B7"/>
    <w:rsid w:val="0D166265"/>
    <w:rsid w:val="0D186481"/>
    <w:rsid w:val="0D1A3FA7"/>
    <w:rsid w:val="0D1A5D55"/>
    <w:rsid w:val="0D1D3A97"/>
    <w:rsid w:val="0D1F511A"/>
    <w:rsid w:val="0D1F524B"/>
    <w:rsid w:val="0D200E92"/>
    <w:rsid w:val="0D2070E4"/>
    <w:rsid w:val="0D215336"/>
    <w:rsid w:val="0D224C0A"/>
    <w:rsid w:val="0D246BD4"/>
    <w:rsid w:val="0D26294C"/>
    <w:rsid w:val="0D272220"/>
    <w:rsid w:val="0D2766C4"/>
    <w:rsid w:val="0D286D68"/>
    <w:rsid w:val="0D295F98"/>
    <w:rsid w:val="0D2B61B4"/>
    <w:rsid w:val="0D2C5A88"/>
    <w:rsid w:val="0D2E1801"/>
    <w:rsid w:val="0D2E7A52"/>
    <w:rsid w:val="0D305579"/>
    <w:rsid w:val="0D31155B"/>
    <w:rsid w:val="0D335069"/>
    <w:rsid w:val="0D347EDC"/>
    <w:rsid w:val="0D35493D"/>
    <w:rsid w:val="0D3606B5"/>
    <w:rsid w:val="0D366907"/>
    <w:rsid w:val="0D38142E"/>
    <w:rsid w:val="0D38442D"/>
    <w:rsid w:val="0D3A1F53"/>
    <w:rsid w:val="0D3A3D4E"/>
    <w:rsid w:val="0D3A63F7"/>
    <w:rsid w:val="0D3B3F1D"/>
    <w:rsid w:val="0D3D1A44"/>
    <w:rsid w:val="0D3D5EE8"/>
    <w:rsid w:val="0D3D7C96"/>
    <w:rsid w:val="0D3E26CF"/>
    <w:rsid w:val="0D4032E2"/>
    <w:rsid w:val="0D405013"/>
    <w:rsid w:val="0D4066D2"/>
    <w:rsid w:val="0D407BC0"/>
    <w:rsid w:val="0D411534"/>
    <w:rsid w:val="0D417786"/>
    <w:rsid w:val="0D4234FE"/>
    <w:rsid w:val="0D4252AC"/>
    <w:rsid w:val="0D42705A"/>
    <w:rsid w:val="0D441024"/>
    <w:rsid w:val="0D4508F8"/>
    <w:rsid w:val="0D470B14"/>
    <w:rsid w:val="0D4728C2"/>
    <w:rsid w:val="0D4B4161"/>
    <w:rsid w:val="0D4C1C87"/>
    <w:rsid w:val="0D4C612B"/>
    <w:rsid w:val="0D4D2EB6"/>
    <w:rsid w:val="0D4E1EA3"/>
    <w:rsid w:val="0D4E21C4"/>
    <w:rsid w:val="0D4F3654"/>
    <w:rsid w:val="0D5079C9"/>
    <w:rsid w:val="0D51729D"/>
    <w:rsid w:val="0D531267"/>
    <w:rsid w:val="0D550956"/>
    <w:rsid w:val="0D570D57"/>
    <w:rsid w:val="0D5749B7"/>
    <w:rsid w:val="0D597E94"/>
    <w:rsid w:val="0D5B011C"/>
    <w:rsid w:val="0D5C45C0"/>
    <w:rsid w:val="0D5D49D6"/>
    <w:rsid w:val="0D600EFE"/>
    <w:rsid w:val="0D605732"/>
    <w:rsid w:val="0D613984"/>
    <w:rsid w:val="0D620389"/>
    <w:rsid w:val="0D621C7D"/>
    <w:rsid w:val="0D63594E"/>
    <w:rsid w:val="0D643474"/>
    <w:rsid w:val="0D6443EA"/>
    <w:rsid w:val="0D660F9A"/>
    <w:rsid w:val="0D674D12"/>
    <w:rsid w:val="0D676AC1"/>
    <w:rsid w:val="0D690A8B"/>
    <w:rsid w:val="0D6945E7"/>
    <w:rsid w:val="0D696CDD"/>
    <w:rsid w:val="0D6B65B1"/>
    <w:rsid w:val="0D6C400C"/>
    <w:rsid w:val="0D6C40D7"/>
    <w:rsid w:val="0D6D6BDD"/>
    <w:rsid w:val="0D6E7E4F"/>
    <w:rsid w:val="0D701E19"/>
    <w:rsid w:val="0D70298D"/>
    <w:rsid w:val="0D705975"/>
    <w:rsid w:val="0D7116ED"/>
    <w:rsid w:val="0D71793F"/>
    <w:rsid w:val="0D722AE9"/>
    <w:rsid w:val="0D724825"/>
    <w:rsid w:val="0D72790C"/>
    <w:rsid w:val="0D731909"/>
    <w:rsid w:val="0D745B50"/>
    <w:rsid w:val="0D7731A8"/>
    <w:rsid w:val="0D774F56"/>
    <w:rsid w:val="0D780CCE"/>
    <w:rsid w:val="0D782393"/>
    <w:rsid w:val="0D786F20"/>
    <w:rsid w:val="0D7A4A46"/>
    <w:rsid w:val="0D7A5F77"/>
    <w:rsid w:val="0D7A6610"/>
    <w:rsid w:val="0D7A67F4"/>
    <w:rsid w:val="0D7C3B01"/>
    <w:rsid w:val="0D7C6A10"/>
    <w:rsid w:val="0D7D62E4"/>
    <w:rsid w:val="0D7F02AE"/>
    <w:rsid w:val="0D814026"/>
    <w:rsid w:val="0D8256A8"/>
    <w:rsid w:val="0D8323B8"/>
    <w:rsid w:val="0D841421"/>
    <w:rsid w:val="0D870F11"/>
    <w:rsid w:val="0D8853B5"/>
    <w:rsid w:val="0D892EDB"/>
    <w:rsid w:val="0D896A37"/>
    <w:rsid w:val="0D8B0A01"/>
    <w:rsid w:val="0D8B2358"/>
    <w:rsid w:val="0D8D29CB"/>
    <w:rsid w:val="0D906017"/>
    <w:rsid w:val="0D913B3D"/>
    <w:rsid w:val="0D921D8F"/>
    <w:rsid w:val="0D933D59"/>
    <w:rsid w:val="0D95362E"/>
    <w:rsid w:val="0D9553DC"/>
    <w:rsid w:val="0D961154"/>
    <w:rsid w:val="0D9773A6"/>
    <w:rsid w:val="0D99476A"/>
    <w:rsid w:val="0D9A0C44"/>
    <w:rsid w:val="0D9C676A"/>
    <w:rsid w:val="0D9D24E2"/>
    <w:rsid w:val="0D9E05DC"/>
    <w:rsid w:val="0DA03BE0"/>
    <w:rsid w:val="0DA0661C"/>
    <w:rsid w:val="0DA16476"/>
    <w:rsid w:val="0DA25D4B"/>
    <w:rsid w:val="0DA43871"/>
    <w:rsid w:val="0DA544C9"/>
    <w:rsid w:val="0DA63A8D"/>
    <w:rsid w:val="0DA858AD"/>
    <w:rsid w:val="0DA87805"/>
    <w:rsid w:val="0DA90E87"/>
    <w:rsid w:val="0DA9532B"/>
    <w:rsid w:val="0DA970D9"/>
    <w:rsid w:val="0DAB2E51"/>
    <w:rsid w:val="0DAC149F"/>
    <w:rsid w:val="0DAC2BE0"/>
    <w:rsid w:val="0DAD4070"/>
    <w:rsid w:val="0DAD6BC9"/>
    <w:rsid w:val="0DB07E20"/>
    <w:rsid w:val="0DB26A52"/>
    <w:rsid w:val="0DB31D06"/>
    <w:rsid w:val="0DB53C92"/>
    <w:rsid w:val="0DB55A7E"/>
    <w:rsid w:val="0DB717F6"/>
    <w:rsid w:val="0DB77A48"/>
    <w:rsid w:val="0DBA12E6"/>
    <w:rsid w:val="0DBA3AA3"/>
    <w:rsid w:val="0DBA7538"/>
    <w:rsid w:val="0DBC0BBA"/>
    <w:rsid w:val="0DBD4932"/>
    <w:rsid w:val="0DBF06AB"/>
    <w:rsid w:val="0DBF68FD"/>
    <w:rsid w:val="0DC36296"/>
    <w:rsid w:val="0DC363ED"/>
    <w:rsid w:val="0DC42165"/>
    <w:rsid w:val="0DC45CC1"/>
    <w:rsid w:val="0DC61A39"/>
    <w:rsid w:val="0DC67C8B"/>
    <w:rsid w:val="0DC803A9"/>
    <w:rsid w:val="0DC932D7"/>
    <w:rsid w:val="0DCB52A1"/>
    <w:rsid w:val="0DCE08EE"/>
    <w:rsid w:val="0DD26630"/>
    <w:rsid w:val="0DD405FA"/>
    <w:rsid w:val="0DD51C7C"/>
    <w:rsid w:val="0DD71E98"/>
    <w:rsid w:val="0DD759F4"/>
    <w:rsid w:val="0DD8176C"/>
    <w:rsid w:val="0DD95C10"/>
    <w:rsid w:val="0DD979BE"/>
    <w:rsid w:val="0DDA1988"/>
    <w:rsid w:val="0DDB70EE"/>
    <w:rsid w:val="0DDC125D"/>
    <w:rsid w:val="0DDC74AE"/>
    <w:rsid w:val="0DE10621"/>
    <w:rsid w:val="0DE3413F"/>
    <w:rsid w:val="0DE46363"/>
    <w:rsid w:val="0DE545B5"/>
    <w:rsid w:val="0DE85E53"/>
    <w:rsid w:val="0DEA1BCB"/>
    <w:rsid w:val="0DEB14A0"/>
    <w:rsid w:val="0DED16BC"/>
    <w:rsid w:val="0DED346A"/>
    <w:rsid w:val="0DF1591A"/>
    <w:rsid w:val="0DF465A6"/>
    <w:rsid w:val="0DF47285"/>
    <w:rsid w:val="0DF540CC"/>
    <w:rsid w:val="0DF77E44"/>
    <w:rsid w:val="0DFB4F97"/>
    <w:rsid w:val="0DFE11D3"/>
    <w:rsid w:val="0DFE5677"/>
    <w:rsid w:val="0E0013EF"/>
    <w:rsid w:val="0E010CC3"/>
    <w:rsid w:val="0E050C1A"/>
    <w:rsid w:val="0E06277D"/>
    <w:rsid w:val="0E0662D9"/>
    <w:rsid w:val="0E0802A4"/>
    <w:rsid w:val="0E0849CA"/>
    <w:rsid w:val="0E0A401C"/>
    <w:rsid w:val="0E0B7D94"/>
    <w:rsid w:val="0E0D1416"/>
    <w:rsid w:val="0E0D58BA"/>
    <w:rsid w:val="0E0E518E"/>
    <w:rsid w:val="0E100F06"/>
    <w:rsid w:val="0E121122"/>
    <w:rsid w:val="0E122ED0"/>
    <w:rsid w:val="0E124C7E"/>
    <w:rsid w:val="0E1327A4"/>
    <w:rsid w:val="0E1349D6"/>
    <w:rsid w:val="0E1409F6"/>
    <w:rsid w:val="0E15651D"/>
    <w:rsid w:val="0E161C1D"/>
    <w:rsid w:val="0E176739"/>
    <w:rsid w:val="0E1924B1"/>
    <w:rsid w:val="0E19425F"/>
    <w:rsid w:val="0E1C3D4F"/>
    <w:rsid w:val="0E1E3623"/>
    <w:rsid w:val="0E1F0A4D"/>
    <w:rsid w:val="0E1F739B"/>
    <w:rsid w:val="0E213113"/>
    <w:rsid w:val="0E230C39"/>
    <w:rsid w:val="0E252C04"/>
    <w:rsid w:val="0E26072A"/>
    <w:rsid w:val="0E2624D8"/>
    <w:rsid w:val="0E2844A2"/>
    <w:rsid w:val="0E286250"/>
    <w:rsid w:val="0E2A1FC8"/>
    <w:rsid w:val="0E2B5D40"/>
    <w:rsid w:val="0E2C21E4"/>
    <w:rsid w:val="0E2D3866"/>
    <w:rsid w:val="0E2F5830"/>
    <w:rsid w:val="0E2F75DE"/>
    <w:rsid w:val="0E3270CE"/>
    <w:rsid w:val="0E327C36"/>
    <w:rsid w:val="0E344BF5"/>
    <w:rsid w:val="0E35096D"/>
    <w:rsid w:val="0E364E11"/>
    <w:rsid w:val="0E3746E5"/>
    <w:rsid w:val="0E3A0F99"/>
    <w:rsid w:val="0E3A41D5"/>
    <w:rsid w:val="0E3B2427"/>
    <w:rsid w:val="0E3C1CFB"/>
    <w:rsid w:val="0E3C7F4D"/>
    <w:rsid w:val="0E3F0DAA"/>
    <w:rsid w:val="0E3F3599"/>
    <w:rsid w:val="0E407A3D"/>
    <w:rsid w:val="0E43308A"/>
    <w:rsid w:val="0E440BB0"/>
    <w:rsid w:val="0E455054"/>
    <w:rsid w:val="0E462B7A"/>
    <w:rsid w:val="0E464928"/>
    <w:rsid w:val="0E473DE8"/>
    <w:rsid w:val="0E4868F2"/>
    <w:rsid w:val="0E4A266A"/>
    <w:rsid w:val="0E4A4418"/>
    <w:rsid w:val="0E4B23A3"/>
    <w:rsid w:val="0E4D215A"/>
    <w:rsid w:val="0E4F5ED2"/>
    <w:rsid w:val="0E5057A7"/>
    <w:rsid w:val="0E511C4A"/>
    <w:rsid w:val="0E5232CD"/>
    <w:rsid w:val="0E527771"/>
    <w:rsid w:val="0E56100F"/>
    <w:rsid w:val="0E572FD9"/>
    <w:rsid w:val="0E576B35"/>
    <w:rsid w:val="0E58308F"/>
    <w:rsid w:val="0E592DE1"/>
    <w:rsid w:val="0E59465B"/>
    <w:rsid w:val="0E5B4877"/>
    <w:rsid w:val="0E5C05EF"/>
    <w:rsid w:val="0E5C239D"/>
    <w:rsid w:val="0E5C414B"/>
    <w:rsid w:val="0E5E4367"/>
    <w:rsid w:val="0E5F2ADD"/>
    <w:rsid w:val="0E60067B"/>
    <w:rsid w:val="0E6179B4"/>
    <w:rsid w:val="0E63197E"/>
    <w:rsid w:val="0E651252"/>
    <w:rsid w:val="0E653000"/>
    <w:rsid w:val="0E664FCA"/>
    <w:rsid w:val="0E67321C"/>
    <w:rsid w:val="0E680D42"/>
    <w:rsid w:val="0E686F94"/>
    <w:rsid w:val="0E6A6868"/>
    <w:rsid w:val="0E6D6359"/>
    <w:rsid w:val="0E715E49"/>
    <w:rsid w:val="0E72396F"/>
    <w:rsid w:val="0E72571D"/>
    <w:rsid w:val="0E73034D"/>
    <w:rsid w:val="0E733BA4"/>
    <w:rsid w:val="0E741495"/>
    <w:rsid w:val="0E745939"/>
    <w:rsid w:val="0E7771D7"/>
    <w:rsid w:val="0E794CFD"/>
    <w:rsid w:val="0E796AAB"/>
    <w:rsid w:val="0E7B6CC7"/>
    <w:rsid w:val="0E7C47EE"/>
    <w:rsid w:val="0E7D1D19"/>
    <w:rsid w:val="0E7D21DC"/>
    <w:rsid w:val="0E7D7E97"/>
    <w:rsid w:val="0E80608C"/>
    <w:rsid w:val="0E820056"/>
    <w:rsid w:val="0E835B7C"/>
    <w:rsid w:val="0E8518F4"/>
    <w:rsid w:val="0E87741A"/>
    <w:rsid w:val="0E8872EF"/>
    <w:rsid w:val="0E8A0CB9"/>
    <w:rsid w:val="0E8A515C"/>
    <w:rsid w:val="0E8A6F0A"/>
    <w:rsid w:val="0E8C4A31"/>
    <w:rsid w:val="0E8F2773"/>
    <w:rsid w:val="0E8F472D"/>
    <w:rsid w:val="0E8F62CF"/>
    <w:rsid w:val="0E912047"/>
    <w:rsid w:val="0E9222DE"/>
    <w:rsid w:val="0E925DBF"/>
    <w:rsid w:val="0E927B6D"/>
    <w:rsid w:val="0E9438E5"/>
    <w:rsid w:val="0E975183"/>
    <w:rsid w:val="0E981627"/>
    <w:rsid w:val="0E98642C"/>
    <w:rsid w:val="0E990EFC"/>
    <w:rsid w:val="0E9C279A"/>
    <w:rsid w:val="0E9D4E90"/>
    <w:rsid w:val="0E9E3FF1"/>
    <w:rsid w:val="0E9E6512"/>
    <w:rsid w:val="0E9F1ECF"/>
    <w:rsid w:val="0EA16002"/>
    <w:rsid w:val="0EA24254"/>
    <w:rsid w:val="0EAC50D3"/>
    <w:rsid w:val="0EAD12BB"/>
    <w:rsid w:val="0EAD49A7"/>
    <w:rsid w:val="0EAF071F"/>
    <w:rsid w:val="0EAF24CD"/>
    <w:rsid w:val="0EAF6971"/>
    <w:rsid w:val="0EB0506B"/>
    <w:rsid w:val="0EB36461"/>
    <w:rsid w:val="0EBD108E"/>
    <w:rsid w:val="0EBE6BB4"/>
    <w:rsid w:val="0EC35F79"/>
    <w:rsid w:val="0EC56195"/>
    <w:rsid w:val="0EC73CBB"/>
    <w:rsid w:val="0EC75A69"/>
    <w:rsid w:val="0EC8358F"/>
    <w:rsid w:val="0EC87A33"/>
    <w:rsid w:val="0EC95C85"/>
    <w:rsid w:val="0EC964EC"/>
    <w:rsid w:val="0ECE329B"/>
    <w:rsid w:val="0ECE5049"/>
    <w:rsid w:val="0ECE6830"/>
    <w:rsid w:val="0ED308B1"/>
    <w:rsid w:val="0ED40186"/>
    <w:rsid w:val="0ED4462A"/>
    <w:rsid w:val="0ED463D8"/>
    <w:rsid w:val="0ED62150"/>
    <w:rsid w:val="0ED65CAC"/>
    <w:rsid w:val="0ED91C40"/>
    <w:rsid w:val="0ED92450"/>
    <w:rsid w:val="0ED939EE"/>
    <w:rsid w:val="0EDB1514"/>
    <w:rsid w:val="0EDB32C2"/>
    <w:rsid w:val="0EDC2BF8"/>
    <w:rsid w:val="0EDC703A"/>
    <w:rsid w:val="0EDD528C"/>
    <w:rsid w:val="0EE04D7C"/>
    <w:rsid w:val="0EE06B2A"/>
    <w:rsid w:val="0EE27EFA"/>
    <w:rsid w:val="0EE3138A"/>
    <w:rsid w:val="0EE43F5B"/>
    <w:rsid w:val="0EE62DD0"/>
    <w:rsid w:val="0EE8119B"/>
    <w:rsid w:val="0EE82641"/>
    <w:rsid w:val="0EE83C31"/>
    <w:rsid w:val="0EE859DF"/>
    <w:rsid w:val="0EEA5BFB"/>
    <w:rsid w:val="0EEC54CF"/>
    <w:rsid w:val="0EEF106E"/>
    <w:rsid w:val="0EF34AB0"/>
    <w:rsid w:val="0EF645A0"/>
    <w:rsid w:val="0EF95E3E"/>
    <w:rsid w:val="0EF97BEC"/>
    <w:rsid w:val="0EFB3964"/>
    <w:rsid w:val="0EFC0AA1"/>
    <w:rsid w:val="0EFD76DC"/>
    <w:rsid w:val="0EFE5203"/>
    <w:rsid w:val="0F000F7B"/>
    <w:rsid w:val="0F001FF3"/>
    <w:rsid w:val="0F024913"/>
    <w:rsid w:val="0F040A6B"/>
    <w:rsid w:val="0F041E04"/>
    <w:rsid w:val="0F072309"/>
    <w:rsid w:val="0F0767AD"/>
    <w:rsid w:val="0F087E2F"/>
    <w:rsid w:val="0F096081"/>
    <w:rsid w:val="0F0A004B"/>
    <w:rsid w:val="0F0A54E4"/>
    <w:rsid w:val="0F0C3DC3"/>
    <w:rsid w:val="0F0C5B71"/>
    <w:rsid w:val="0F0C791F"/>
    <w:rsid w:val="0F0F5662"/>
    <w:rsid w:val="0F0F6660"/>
    <w:rsid w:val="0F1113DA"/>
    <w:rsid w:val="0F130469"/>
    <w:rsid w:val="0F130CAE"/>
    <w:rsid w:val="0F136F00"/>
    <w:rsid w:val="0F13775A"/>
    <w:rsid w:val="0F1467D4"/>
    <w:rsid w:val="0F152C78"/>
    <w:rsid w:val="0F157046"/>
    <w:rsid w:val="0F16079E"/>
    <w:rsid w:val="0F16254C"/>
    <w:rsid w:val="0F164219"/>
    <w:rsid w:val="0F1669F0"/>
    <w:rsid w:val="0F180340"/>
    <w:rsid w:val="0F184516"/>
    <w:rsid w:val="0F1B6BFB"/>
    <w:rsid w:val="0F1D151B"/>
    <w:rsid w:val="0F1D1B2D"/>
    <w:rsid w:val="0F1D7D7F"/>
    <w:rsid w:val="0F1E557C"/>
    <w:rsid w:val="0F1E7653"/>
    <w:rsid w:val="0F205179"/>
    <w:rsid w:val="0F20786F"/>
    <w:rsid w:val="0F225395"/>
    <w:rsid w:val="0F25287E"/>
    <w:rsid w:val="0F264E85"/>
    <w:rsid w:val="0F26713F"/>
    <w:rsid w:val="0F274759"/>
    <w:rsid w:val="0F286A98"/>
    <w:rsid w:val="0F2904D1"/>
    <w:rsid w:val="0F29227F"/>
    <w:rsid w:val="0F2B66F0"/>
    <w:rsid w:val="0F2C1D70"/>
    <w:rsid w:val="0F2C643F"/>
    <w:rsid w:val="0F3155D8"/>
    <w:rsid w:val="0F3330FE"/>
    <w:rsid w:val="0F346E76"/>
    <w:rsid w:val="0F380715"/>
    <w:rsid w:val="0F3B0205"/>
    <w:rsid w:val="0F3B1FB3"/>
    <w:rsid w:val="0F3C7675"/>
    <w:rsid w:val="0F3D0A31"/>
    <w:rsid w:val="0F3F1AA3"/>
    <w:rsid w:val="0F3F5F47"/>
    <w:rsid w:val="0F40581B"/>
    <w:rsid w:val="0F4075C9"/>
    <w:rsid w:val="0F410916"/>
    <w:rsid w:val="0F4277E5"/>
    <w:rsid w:val="0F44355D"/>
    <w:rsid w:val="0F44530B"/>
    <w:rsid w:val="0F4470B9"/>
    <w:rsid w:val="0F452E31"/>
    <w:rsid w:val="0F474DFC"/>
    <w:rsid w:val="0F476BAA"/>
    <w:rsid w:val="0F4946D0"/>
    <w:rsid w:val="0F4C5F6E"/>
    <w:rsid w:val="0F4E618A"/>
    <w:rsid w:val="0F4E7F38"/>
    <w:rsid w:val="0F4F43AA"/>
    <w:rsid w:val="0F50583A"/>
    <w:rsid w:val="0F5117D6"/>
    <w:rsid w:val="0F515C7A"/>
    <w:rsid w:val="0F546D8C"/>
    <w:rsid w:val="0F55021C"/>
    <w:rsid w:val="0F5512C6"/>
    <w:rsid w:val="0F557518"/>
    <w:rsid w:val="0F580DB7"/>
    <w:rsid w:val="0F587009"/>
    <w:rsid w:val="0F59002D"/>
    <w:rsid w:val="0F5B4403"/>
    <w:rsid w:val="0F5C08A7"/>
    <w:rsid w:val="0F5C3DDD"/>
    <w:rsid w:val="0F5D017B"/>
    <w:rsid w:val="0F5D461F"/>
    <w:rsid w:val="0F5F2145"/>
    <w:rsid w:val="0F5F45FE"/>
    <w:rsid w:val="0F5F5CA1"/>
    <w:rsid w:val="0F601A19"/>
    <w:rsid w:val="0F621C35"/>
    <w:rsid w:val="0F6239E3"/>
    <w:rsid w:val="0F625791"/>
    <w:rsid w:val="0F645140"/>
    <w:rsid w:val="0F6459AD"/>
    <w:rsid w:val="0F646881"/>
    <w:rsid w:val="0F64775C"/>
    <w:rsid w:val="0F670FFA"/>
    <w:rsid w:val="0F67724C"/>
    <w:rsid w:val="0F696B20"/>
    <w:rsid w:val="0F6A2898"/>
    <w:rsid w:val="0F6C03BE"/>
    <w:rsid w:val="0F6C4862"/>
    <w:rsid w:val="0F6C6610"/>
    <w:rsid w:val="0F6C692B"/>
    <w:rsid w:val="0F711E78"/>
    <w:rsid w:val="0F713C26"/>
    <w:rsid w:val="0F73174D"/>
    <w:rsid w:val="0F753717"/>
    <w:rsid w:val="0F7554C5"/>
    <w:rsid w:val="0F763231"/>
    <w:rsid w:val="0F7756E1"/>
    <w:rsid w:val="0F783207"/>
    <w:rsid w:val="0F7A0AA7"/>
    <w:rsid w:val="0F7A2ADB"/>
    <w:rsid w:val="0F7B4AA5"/>
    <w:rsid w:val="0F7C33C7"/>
    <w:rsid w:val="0F7D4857"/>
    <w:rsid w:val="0F7D6A6F"/>
    <w:rsid w:val="0F827BE2"/>
    <w:rsid w:val="0F8342EF"/>
    <w:rsid w:val="0F841B59"/>
    <w:rsid w:val="0F84395A"/>
    <w:rsid w:val="0F865924"/>
    <w:rsid w:val="0F87169C"/>
    <w:rsid w:val="0F871C1B"/>
    <w:rsid w:val="0F8B2F3A"/>
    <w:rsid w:val="0F8E6586"/>
    <w:rsid w:val="0F8E7511"/>
    <w:rsid w:val="0F91415D"/>
    <w:rsid w:val="0F955B67"/>
    <w:rsid w:val="0F96368D"/>
    <w:rsid w:val="0F971788"/>
    <w:rsid w:val="0F9718DF"/>
    <w:rsid w:val="0F987405"/>
    <w:rsid w:val="0F9A112B"/>
    <w:rsid w:val="0F9A6950"/>
    <w:rsid w:val="0F9B0CA3"/>
    <w:rsid w:val="0F9D4A1B"/>
    <w:rsid w:val="0FA07BF0"/>
    <w:rsid w:val="0FA22032"/>
    <w:rsid w:val="0FA26822"/>
    <w:rsid w:val="0FA364D6"/>
    <w:rsid w:val="0FA43FFC"/>
    <w:rsid w:val="0FA968E1"/>
    <w:rsid w:val="0FAB0EE6"/>
    <w:rsid w:val="0FAB538A"/>
    <w:rsid w:val="0FAC2EB1"/>
    <w:rsid w:val="0FAD05B9"/>
    <w:rsid w:val="0FAD1102"/>
    <w:rsid w:val="0FAE4E7B"/>
    <w:rsid w:val="0FAF76E5"/>
    <w:rsid w:val="0FB00BF3"/>
    <w:rsid w:val="0FB0474F"/>
    <w:rsid w:val="0FB104C7"/>
    <w:rsid w:val="0FB35FED"/>
    <w:rsid w:val="0FB6788B"/>
    <w:rsid w:val="0FB71F81"/>
    <w:rsid w:val="0FB73D2F"/>
    <w:rsid w:val="0FB75ADD"/>
    <w:rsid w:val="0FBA381F"/>
    <w:rsid w:val="0FBA55CD"/>
    <w:rsid w:val="0FBA5F39"/>
    <w:rsid w:val="0FBA737B"/>
    <w:rsid w:val="0FBB73C9"/>
    <w:rsid w:val="0FBF0E36"/>
    <w:rsid w:val="0FBF2BE4"/>
    <w:rsid w:val="0FC30926"/>
    <w:rsid w:val="0FC4644C"/>
    <w:rsid w:val="0FC71A98"/>
    <w:rsid w:val="0FC93A62"/>
    <w:rsid w:val="0FC95811"/>
    <w:rsid w:val="0FCB77DB"/>
    <w:rsid w:val="0FCD17DE"/>
    <w:rsid w:val="0FCD3553"/>
    <w:rsid w:val="0FCD5301"/>
    <w:rsid w:val="0FCD587A"/>
    <w:rsid w:val="0FCE2C6E"/>
    <w:rsid w:val="0FCE72CB"/>
    <w:rsid w:val="0FCF40FE"/>
    <w:rsid w:val="0FD348E1"/>
    <w:rsid w:val="0FD416B1"/>
    <w:rsid w:val="0FD45C91"/>
    <w:rsid w:val="0FD541B5"/>
    <w:rsid w:val="0FD7617F"/>
    <w:rsid w:val="0FD83CA6"/>
    <w:rsid w:val="0FDA17CC"/>
    <w:rsid w:val="0FDA7A1E"/>
    <w:rsid w:val="0FDC12D3"/>
    <w:rsid w:val="0FDC6702"/>
    <w:rsid w:val="0FDD12D3"/>
    <w:rsid w:val="0FDF5034"/>
    <w:rsid w:val="0FE10DAC"/>
    <w:rsid w:val="0FE4089C"/>
    <w:rsid w:val="0FE74F56"/>
    <w:rsid w:val="0FE8213B"/>
    <w:rsid w:val="0FE95EB3"/>
    <w:rsid w:val="0FE97C61"/>
    <w:rsid w:val="0FEB1C2B"/>
    <w:rsid w:val="0FEB39D9"/>
    <w:rsid w:val="0FEC7938"/>
    <w:rsid w:val="0FEE5277"/>
    <w:rsid w:val="0FEF4B78"/>
    <w:rsid w:val="0FF00FEF"/>
    <w:rsid w:val="0FF06128"/>
    <w:rsid w:val="0FF07241"/>
    <w:rsid w:val="0FF3288D"/>
    <w:rsid w:val="0FF54858"/>
    <w:rsid w:val="0FF705D0"/>
    <w:rsid w:val="0FF71645"/>
    <w:rsid w:val="0FF7237E"/>
    <w:rsid w:val="0FF7412C"/>
    <w:rsid w:val="0FFC1742"/>
    <w:rsid w:val="0FFC5BE6"/>
    <w:rsid w:val="0FFD717C"/>
    <w:rsid w:val="0FFF7484"/>
    <w:rsid w:val="10005AFD"/>
    <w:rsid w:val="10014FAA"/>
    <w:rsid w:val="10023D56"/>
    <w:rsid w:val="10060813"/>
    <w:rsid w:val="100625C1"/>
    <w:rsid w:val="1006318D"/>
    <w:rsid w:val="10066A65"/>
    <w:rsid w:val="10086339"/>
    <w:rsid w:val="10090303"/>
    <w:rsid w:val="100D1BA1"/>
    <w:rsid w:val="100E76C7"/>
    <w:rsid w:val="101051ED"/>
    <w:rsid w:val="10125E6F"/>
    <w:rsid w:val="10134CDE"/>
    <w:rsid w:val="10142F30"/>
    <w:rsid w:val="10150A56"/>
    <w:rsid w:val="10156CA8"/>
    <w:rsid w:val="10190546"/>
    <w:rsid w:val="10195214"/>
    <w:rsid w:val="101A62D4"/>
    <w:rsid w:val="101C3B92"/>
    <w:rsid w:val="101E3DAE"/>
    <w:rsid w:val="101E5B5C"/>
    <w:rsid w:val="1021564D"/>
    <w:rsid w:val="102313C5"/>
    <w:rsid w:val="10244EF8"/>
    <w:rsid w:val="10246EEB"/>
    <w:rsid w:val="1025513D"/>
    <w:rsid w:val="10260EB5"/>
    <w:rsid w:val="10265826"/>
    <w:rsid w:val="10280789"/>
    <w:rsid w:val="10282537"/>
    <w:rsid w:val="102A2753"/>
    <w:rsid w:val="102B0279"/>
    <w:rsid w:val="102B2027"/>
    <w:rsid w:val="102F1E22"/>
    <w:rsid w:val="10301A7D"/>
    <w:rsid w:val="10303AE2"/>
    <w:rsid w:val="1034712E"/>
    <w:rsid w:val="10352EA6"/>
    <w:rsid w:val="103709CC"/>
    <w:rsid w:val="10381C2D"/>
    <w:rsid w:val="10390BE8"/>
    <w:rsid w:val="103C2486"/>
    <w:rsid w:val="103E61FE"/>
    <w:rsid w:val="103F1B00"/>
    <w:rsid w:val="1045758D"/>
    <w:rsid w:val="10463305"/>
    <w:rsid w:val="10466E61"/>
    <w:rsid w:val="10482BD9"/>
    <w:rsid w:val="104A4BA3"/>
    <w:rsid w:val="104B26C9"/>
    <w:rsid w:val="104D01F0"/>
    <w:rsid w:val="104F21BA"/>
    <w:rsid w:val="10521CAA"/>
    <w:rsid w:val="105253A5"/>
    <w:rsid w:val="10525806"/>
    <w:rsid w:val="105477D0"/>
    <w:rsid w:val="105552F6"/>
    <w:rsid w:val="105570A4"/>
    <w:rsid w:val="10563548"/>
    <w:rsid w:val="10593038"/>
    <w:rsid w:val="10593DE8"/>
    <w:rsid w:val="10594DE6"/>
    <w:rsid w:val="105A290D"/>
    <w:rsid w:val="105B0B5E"/>
    <w:rsid w:val="105D213F"/>
    <w:rsid w:val="10615A49"/>
    <w:rsid w:val="10635C65"/>
    <w:rsid w:val="10645EE2"/>
    <w:rsid w:val="1065378B"/>
    <w:rsid w:val="10667503"/>
    <w:rsid w:val="1068327B"/>
    <w:rsid w:val="106A2B50"/>
    <w:rsid w:val="106B4ABC"/>
    <w:rsid w:val="106D2640"/>
    <w:rsid w:val="106D2F64"/>
    <w:rsid w:val="106E6506"/>
    <w:rsid w:val="106F460A"/>
    <w:rsid w:val="10710382"/>
    <w:rsid w:val="10741C20"/>
    <w:rsid w:val="107439CE"/>
    <w:rsid w:val="1074577C"/>
    <w:rsid w:val="10753310"/>
    <w:rsid w:val="10765998"/>
    <w:rsid w:val="10771710"/>
    <w:rsid w:val="10790FE5"/>
    <w:rsid w:val="107A6B0B"/>
    <w:rsid w:val="107C2883"/>
    <w:rsid w:val="107C6D27"/>
    <w:rsid w:val="108005C5"/>
    <w:rsid w:val="1081433D"/>
    <w:rsid w:val="108160EB"/>
    <w:rsid w:val="10835914"/>
    <w:rsid w:val="108453D1"/>
    <w:rsid w:val="10857989"/>
    <w:rsid w:val="108A31F2"/>
    <w:rsid w:val="108A4FA0"/>
    <w:rsid w:val="108B0D18"/>
    <w:rsid w:val="108C6F6A"/>
    <w:rsid w:val="108D4A90"/>
    <w:rsid w:val="108D683E"/>
    <w:rsid w:val="108D7E56"/>
    <w:rsid w:val="108F25B6"/>
    <w:rsid w:val="10920980"/>
    <w:rsid w:val="10923E54"/>
    <w:rsid w:val="10945E1E"/>
    <w:rsid w:val="10953945"/>
    <w:rsid w:val="10963D8A"/>
    <w:rsid w:val="10973B61"/>
    <w:rsid w:val="10991687"/>
    <w:rsid w:val="109951E3"/>
    <w:rsid w:val="109B53FF"/>
    <w:rsid w:val="109B71AD"/>
    <w:rsid w:val="109E0A4B"/>
    <w:rsid w:val="10A02A15"/>
    <w:rsid w:val="10A047C3"/>
    <w:rsid w:val="10A1053B"/>
    <w:rsid w:val="10A122E9"/>
    <w:rsid w:val="10A2678D"/>
    <w:rsid w:val="10A32505"/>
    <w:rsid w:val="10A337BD"/>
    <w:rsid w:val="10A342B4"/>
    <w:rsid w:val="10A51DDA"/>
    <w:rsid w:val="10A5627E"/>
    <w:rsid w:val="10A65B52"/>
    <w:rsid w:val="10A73DA4"/>
    <w:rsid w:val="10A87B1C"/>
    <w:rsid w:val="10AD0C8E"/>
    <w:rsid w:val="10AD5132"/>
    <w:rsid w:val="10AD6EE0"/>
    <w:rsid w:val="10AF1D60"/>
    <w:rsid w:val="10B04931"/>
    <w:rsid w:val="10B10992"/>
    <w:rsid w:val="10B22749"/>
    <w:rsid w:val="10B4026F"/>
    <w:rsid w:val="10B4286D"/>
    <w:rsid w:val="10B62239"/>
    <w:rsid w:val="10B63710"/>
    <w:rsid w:val="10B65D95"/>
    <w:rsid w:val="10B71B0D"/>
    <w:rsid w:val="10B77D5F"/>
    <w:rsid w:val="10B85FB1"/>
    <w:rsid w:val="10B93AD7"/>
    <w:rsid w:val="10B95885"/>
    <w:rsid w:val="10B97633"/>
    <w:rsid w:val="10BB15FD"/>
    <w:rsid w:val="10BC2ED4"/>
    <w:rsid w:val="10BE10ED"/>
    <w:rsid w:val="10BE2E9B"/>
    <w:rsid w:val="10C04E65"/>
    <w:rsid w:val="10C304B2"/>
    <w:rsid w:val="10C5247C"/>
    <w:rsid w:val="10C5422A"/>
    <w:rsid w:val="10C72BB8"/>
    <w:rsid w:val="10C761F4"/>
    <w:rsid w:val="10C83D1A"/>
    <w:rsid w:val="10C85AC8"/>
    <w:rsid w:val="10CA5CE4"/>
    <w:rsid w:val="10CC55B8"/>
    <w:rsid w:val="10CF32FA"/>
    <w:rsid w:val="10CF50A9"/>
    <w:rsid w:val="10D0497D"/>
    <w:rsid w:val="10D12BCF"/>
    <w:rsid w:val="10D27CCB"/>
    <w:rsid w:val="10D34B99"/>
    <w:rsid w:val="10D426BF"/>
    <w:rsid w:val="10D64689"/>
    <w:rsid w:val="10D726AD"/>
    <w:rsid w:val="10D80401"/>
    <w:rsid w:val="10D91A83"/>
    <w:rsid w:val="10D95F27"/>
    <w:rsid w:val="10DA645D"/>
    <w:rsid w:val="10E30B54"/>
    <w:rsid w:val="10E32902"/>
    <w:rsid w:val="10E50428"/>
    <w:rsid w:val="10E5667A"/>
    <w:rsid w:val="10E66141"/>
    <w:rsid w:val="10E70644"/>
    <w:rsid w:val="10E723F2"/>
    <w:rsid w:val="10E84E7D"/>
    <w:rsid w:val="10E8616A"/>
    <w:rsid w:val="10EA0134"/>
    <w:rsid w:val="10EA3C90"/>
    <w:rsid w:val="10EA5A3E"/>
    <w:rsid w:val="10EC7A09"/>
    <w:rsid w:val="10ED3781"/>
    <w:rsid w:val="10EE19D3"/>
    <w:rsid w:val="10EE74A4"/>
    <w:rsid w:val="10EF12A7"/>
    <w:rsid w:val="10EF74F9"/>
    <w:rsid w:val="10F10820"/>
    <w:rsid w:val="10F16DCD"/>
    <w:rsid w:val="10F36FE9"/>
    <w:rsid w:val="10F62635"/>
    <w:rsid w:val="10F7015B"/>
    <w:rsid w:val="10F845FF"/>
    <w:rsid w:val="10F90377"/>
    <w:rsid w:val="10F92125"/>
    <w:rsid w:val="10F945B7"/>
    <w:rsid w:val="10FB40F0"/>
    <w:rsid w:val="10FC5772"/>
    <w:rsid w:val="10FD1C16"/>
    <w:rsid w:val="10FD43C8"/>
    <w:rsid w:val="10FD7E68"/>
    <w:rsid w:val="10FE598E"/>
    <w:rsid w:val="10FE773C"/>
    <w:rsid w:val="110034B4"/>
    <w:rsid w:val="11032FA4"/>
    <w:rsid w:val="11052B5A"/>
    <w:rsid w:val="11072A94"/>
    <w:rsid w:val="110805BA"/>
    <w:rsid w:val="110A60E1"/>
    <w:rsid w:val="110C00AB"/>
    <w:rsid w:val="110D3EBD"/>
    <w:rsid w:val="110D797F"/>
    <w:rsid w:val="1111746F"/>
    <w:rsid w:val="11131439"/>
    <w:rsid w:val="111451B1"/>
    <w:rsid w:val="11146F5F"/>
    <w:rsid w:val="11160F29"/>
    <w:rsid w:val="11163ADF"/>
    <w:rsid w:val="11166833"/>
    <w:rsid w:val="111807FE"/>
    <w:rsid w:val="1118788E"/>
    <w:rsid w:val="111B209C"/>
    <w:rsid w:val="111C2F7A"/>
    <w:rsid w:val="111D4066"/>
    <w:rsid w:val="111D5E14"/>
    <w:rsid w:val="111D7BC2"/>
    <w:rsid w:val="111E4D72"/>
    <w:rsid w:val="1122342A"/>
    <w:rsid w:val="1122563D"/>
    <w:rsid w:val="11286567"/>
    <w:rsid w:val="1131366D"/>
    <w:rsid w:val="11317B11"/>
    <w:rsid w:val="113373E5"/>
    <w:rsid w:val="1134315E"/>
    <w:rsid w:val="11372E17"/>
    <w:rsid w:val="1137382E"/>
    <w:rsid w:val="11376D5D"/>
    <w:rsid w:val="11382C4E"/>
    <w:rsid w:val="1138564F"/>
    <w:rsid w:val="113900C0"/>
    <w:rsid w:val="113B273E"/>
    <w:rsid w:val="113D2012"/>
    <w:rsid w:val="113D6C89"/>
    <w:rsid w:val="113E0119"/>
    <w:rsid w:val="113E3FDC"/>
    <w:rsid w:val="113F3E83"/>
    <w:rsid w:val="11405FA6"/>
    <w:rsid w:val="11406D4B"/>
    <w:rsid w:val="11407D54"/>
    <w:rsid w:val="11421D1E"/>
    <w:rsid w:val="11423ACC"/>
    <w:rsid w:val="1142587A"/>
    <w:rsid w:val="1144541B"/>
    <w:rsid w:val="11446B5C"/>
    <w:rsid w:val="1145536B"/>
    <w:rsid w:val="11457119"/>
    <w:rsid w:val="11472E91"/>
    <w:rsid w:val="114809B7"/>
    <w:rsid w:val="11484C65"/>
    <w:rsid w:val="114C04A7"/>
    <w:rsid w:val="114D677E"/>
    <w:rsid w:val="114E06C3"/>
    <w:rsid w:val="114F1D45"/>
    <w:rsid w:val="114F7F97"/>
    <w:rsid w:val="11502A5D"/>
    <w:rsid w:val="115050FF"/>
    <w:rsid w:val="11513D10"/>
    <w:rsid w:val="1154735C"/>
    <w:rsid w:val="11551A52"/>
    <w:rsid w:val="11553800"/>
    <w:rsid w:val="115630D4"/>
    <w:rsid w:val="11586462"/>
    <w:rsid w:val="11586E4C"/>
    <w:rsid w:val="115A0E16"/>
    <w:rsid w:val="115B4B8E"/>
    <w:rsid w:val="115B693C"/>
    <w:rsid w:val="115D26B4"/>
    <w:rsid w:val="115D4462"/>
    <w:rsid w:val="115F642C"/>
    <w:rsid w:val="116003F7"/>
    <w:rsid w:val="116021A5"/>
    <w:rsid w:val="11627CCB"/>
    <w:rsid w:val="11643A43"/>
    <w:rsid w:val="116457F1"/>
    <w:rsid w:val="11651569"/>
    <w:rsid w:val="116577BB"/>
    <w:rsid w:val="11665A0D"/>
    <w:rsid w:val="11665CA1"/>
    <w:rsid w:val="11691059"/>
    <w:rsid w:val="116972AB"/>
    <w:rsid w:val="116A6B7F"/>
    <w:rsid w:val="116B3023"/>
    <w:rsid w:val="116C0B49"/>
    <w:rsid w:val="116D4627"/>
    <w:rsid w:val="116E041E"/>
    <w:rsid w:val="116F4196"/>
    <w:rsid w:val="117143B2"/>
    <w:rsid w:val="11733C86"/>
    <w:rsid w:val="117479FE"/>
    <w:rsid w:val="117702AA"/>
    <w:rsid w:val="1178129C"/>
    <w:rsid w:val="117A5014"/>
    <w:rsid w:val="117B2B3A"/>
    <w:rsid w:val="117F262B"/>
    <w:rsid w:val="117F6ACF"/>
    <w:rsid w:val="1182211B"/>
    <w:rsid w:val="11823EC9"/>
    <w:rsid w:val="11826AFE"/>
    <w:rsid w:val="11832236"/>
    <w:rsid w:val="11847C41"/>
    <w:rsid w:val="118511BA"/>
    <w:rsid w:val="118539B9"/>
    <w:rsid w:val="1185547F"/>
    <w:rsid w:val="118916FB"/>
    <w:rsid w:val="118A0FD0"/>
    <w:rsid w:val="118C1040"/>
    <w:rsid w:val="118C4D48"/>
    <w:rsid w:val="11902A8A"/>
    <w:rsid w:val="11934328"/>
    <w:rsid w:val="11965BC6"/>
    <w:rsid w:val="11967974"/>
    <w:rsid w:val="11980F64"/>
    <w:rsid w:val="119836EC"/>
    <w:rsid w:val="11987B90"/>
    <w:rsid w:val="119A3908"/>
    <w:rsid w:val="119B76A5"/>
    <w:rsid w:val="119C142F"/>
    <w:rsid w:val="119C3706"/>
    <w:rsid w:val="119D51A7"/>
    <w:rsid w:val="119D6F55"/>
    <w:rsid w:val="119F0F1F"/>
    <w:rsid w:val="119F2CCD"/>
    <w:rsid w:val="119F4A7B"/>
    <w:rsid w:val="11A007F3"/>
    <w:rsid w:val="11A16A45"/>
    <w:rsid w:val="11A227BD"/>
    <w:rsid w:val="11A249A7"/>
    <w:rsid w:val="11A320A1"/>
    <w:rsid w:val="11A622AD"/>
    <w:rsid w:val="11A71B81"/>
    <w:rsid w:val="11A93B4C"/>
    <w:rsid w:val="11AA45C9"/>
    <w:rsid w:val="11AC0F46"/>
    <w:rsid w:val="11AC53EA"/>
    <w:rsid w:val="11AC7198"/>
    <w:rsid w:val="11AD363C"/>
    <w:rsid w:val="11B00A36"/>
    <w:rsid w:val="11B3592C"/>
    <w:rsid w:val="11B51EA7"/>
    <w:rsid w:val="11B524F0"/>
    <w:rsid w:val="11B5604C"/>
    <w:rsid w:val="11B56CA5"/>
    <w:rsid w:val="11B65419"/>
    <w:rsid w:val="11B86BCD"/>
    <w:rsid w:val="11BB73DB"/>
    <w:rsid w:val="11BF6ECB"/>
    <w:rsid w:val="11C37538"/>
    <w:rsid w:val="11C40985"/>
    <w:rsid w:val="11C6025A"/>
    <w:rsid w:val="11C646FD"/>
    <w:rsid w:val="11C75D80"/>
    <w:rsid w:val="11C77E03"/>
    <w:rsid w:val="11C81293"/>
    <w:rsid w:val="11C91AF8"/>
    <w:rsid w:val="11C95F9C"/>
    <w:rsid w:val="11CB3AC2"/>
    <w:rsid w:val="11CC783A"/>
    <w:rsid w:val="11CE2534"/>
    <w:rsid w:val="11D13A86"/>
    <w:rsid w:val="11D22345"/>
    <w:rsid w:val="11D30BC8"/>
    <w:rsid w:val="11D32976"/>
    <w:rsid w:val="11D706B9"/>
    <w:rsid w:val="11D72467"/>
    <w:rsid w:val="11D7737B"/>
    <w:rsid w:val="11D80D88"/>
    <w:rsid w:val="11D84431"/>
    <w:rsid w:val="11D92218"/>
    <w:rsid w:val="11DC5CCF"/>
    <w:rsid w:val="11DC7A7D"/>
    <w:rsid w:val="11DD1A47"/>
    <w:rsid w:val="11DF30C9"/>
    <w:rsid w:val="11E06E41"/>
    <w:rsid w:val="11E132E5"/>
    <w:rsid w:val="11E42DD6"/>
    <w:rsid w:val="11E63359"/>
    <w:rsid w:val="11E701D0"/>
    <w:rsid w:val="11E76422"/>
    <w:rsid w:val="11E905CC"/>
    <w:rsid w:val="11EA3BD2"/>
    <w:rsid w:val="11EB4164"/>
    <w:rsid w:val="11ED1C8A"/>
    <w:rsid w:val="11ED6F4D"/>
    <w:rsid w:val="11EE77B0"/>
    <w:rsid w:val="11F0177A"/>
    <w:rsid w:val="11F03528"/>
    <w:rsid w:val="11F052D6"/>
    <w:rsid w:val="11F33019"/>
    <w:rsid w:val="11F76665"/>
    <w:rsid w:val="11F8062F"/>
    <w:rsid w:val="11F823DD"/>
    <w:rsid w:val="11F954F0"/>
    <w:rsid w:val="11FA43A7"/>
    <w:rsid w:val="11FA7F03"/>
    <w:rsid w:val="11FD5C45"/>
    <w:rsid w:val="1202325C"/>
    <w:rsid w:val="12042B30"/>
    <w:rsid w:val="120627E3"/>
    <w:rsid w:val="12062B4E"/>
    <w:rsid w:val="120668A8"/>
    <w:rsid w:val="12067AF4"/>
    <w:rsid w:val="12075296"/>
    <w:rsid w:val="120B3C17"/>
    <w:rsid w:val="120B3EBE"/>
    <w:rsid w:val="120E1C01"/>
    <w:rsid w:val="120F683F"/>
    <w:rsid w:val="12114A0E"/>
    <w:rsid w:val="1212349F"/>
    <w:rsid w:val="12135469"/>
    <w:rsid w:val="121420F8"/>
    <w:rsid w:val="12154D3D"/>
    <w:rsid w:val="12170AB5"/>
    <w:rsid w:val="12174F59"/>
    <w:rsid w:val="12177DCA"/>
    <w:rsid w:val="1218482D"/>
    <w:rsid w:val="12192A7F"/>
    <w:rsid w:val="121A2353"/>
    <w:rsid w:val="121C256F"/>
    <w:rsid w:val="121C60CC"/>
    <w:rsid w:val="121D48EB"/>
    <w:rsid w:val="121F796A"/>
    <w:rsid w:val="122136E2"/>
    <w:rsid w:val="122447BE"/>
    <w:rsid w:val="12255C4E"/>
    <w:rsid w:val="12266F4A"/>
    <w:rsid w:val="12274A70"/>
    <w:rsid w:val="12280F14"/>
    <w:rsid w:val="122819FE"/>
    <w:rsid w:val="122907E8"/>
    <w:rsid w:val="12296A3A"/>
    <w:rsid w:val="122D02D9"/>
    <w:rsid w:val="122D43E0"/>
    <w:rsid w:val="122E5DFF"/>
    <w:rsid w:val="12301B77"/>
    <w:rsid w:val="12333415"/>
    <w:rsid w:val="123478B9"/>
    <w:rsid w:val="12353631"/>
    <w:rsid w:val="123553DF"/>
    <w:rsid w:val="12366BD3"/>
    <w:rsid w:val="12372F05"/>
    <w:rsid w:val="12374CB3"/>
    <w:rsid w:val="12380A2C"/>
    <w:rsid w:val="123A3203"/>
    <w:rsid w:val="123E4294"/>
    <w:rsid w:val="12407C85"/>
    <w:rsid w:val="12425176"/>
    <w:rsid w:val="124311D7"/>
    <w:rsid w:val="1246139A"/>
    <w:rsid w:val="12463148"/>
    <w:rsid w:val="124675EC"/>
    <w:rsid w:val="12485112"/>
    <w:rsid w:val="12490E8B"/>
    <w:rsid w:val="12492C39"/>
    <w:rsid w:val="124B075F"/>
    <w:rsid w:val="124C0A48"/>
    <w:rsid w:val="124D2729"/>
    <w:rsid w:val="124F0EBB"/>
    <w:rsid w:val="124F46F3"/>
    <w:rsid w:val="124F62EA"/>
    <w:rsid w:val="12505D75"/>
    <w:rsid w:val="12527D3F"/>
    <w:rsid w:val="12535865"/>
    <w:rsid w:val="12543AB7"/>
    <w:rsid w:val="125515DD"/>
    <w:rsid w:val="12555A81"/>
    <w:rsid w:val="1255782F"/>
    <w:rsid w:val="12575356"/>
    <w:rsid w:val="125910CE"/>
    <w:rsid w:val="12597320"/>
    <w:rsid w:val="125A4E46"/>
    <w:rsid w:val="125A5FCE"/>
    <w:rsid w:val="125A6BF4"/>
    <w:rsid w:val="125B0C02"/>
    <w:rsid w:val="125C296C"/>
    <w:rsid w:val="125C471A"/>
    <w:rsid w:val="125D0492"/>
    <w:rsid w:val="125E66E4"/>
    <w:rsid w:val="125F245C"/>
    <w:rsid w:val="125F420A"/>
    <w:rsid w:val="12614426"/>
    <w:rsid w:val="12617F82"/>
    <w:rsid w:val="12624760"/>
    <w:rsid w:val="12631F4C"/>
    <w:rsid w:val="12661A3D"/>
    <w:rsid w:val="12681311"/>
    <w:rsid w:val="126857B5"/>
    <w:rsid w:val="12695089"/>
    <w:rsid w:val="12696E37"/>
    <w:rsid w:val="126A32DB"/>
    <w:rsid w:val="126A38E2"/>
    <w:rsid w:val="126E269F"/>
    <w:rsid w:val="126F08F1"/>
    <w:rsid w:val="126F4B46"/>
    <w:rsid w:val="12704669"/>
    <w:rsid w:val="12706417"/>
    <w:rsid w:val="12723F3D"/>
    <w:rsid w:val="12747CB6"/>
    <w:rsid w:val="12751C80"/>
    <w:rsid w:val="127754F6"/>
    <w:rsid w:val="127777A6"/>
    <w:rsid w:val="12791770"/>
    <w:rsid w:val="1279351E"/>
    <w:rsid w:val="127952CC"/>
    <w:rsid w:val="127A1044"/>
    <w:rsid w:val="127A3E77"/>
    <w:rsid w:val="127C6797"/>
    <w:rsid w:val="127E27F8"/>
    <w:rsid w:val="127F48AC"/>
    <w:rsid w:val="12810624"/>
    <w:rsid w:val="12822609"/>
    <w:rsid w:val="1283439D"/>
    <w:rsid w:val="1283614B"/>
    <w:rsid w:val="12851EC3"/>
    <w:rsid w:val="12865C3B"/>
    <w:rsid w:val="128679E9"/>
    <w:rsid w:val="128738AA"/>
    <w:rsid w:val="1288550F"/>
    <w:rsid w:val="128924DC"/>
    <w:rsid w:val="128B14A3"/>
    <w:rsid w:val="128B4FFF"/>
    <w:rsid w:val="128B71FD"/>
    <w:rsid w:val="128D521B"/>
    <w:rsid w:val="128E0BAC"/>
    <w:rsid w:val="12900868"/>
    <w:rsid w:val="12910C6D"/>
    <w:rsid w:val="129324E1"/>
    <w:rsid w:val="12942106"/>
    <w:rsid w:val="129856E4"/>
    <w:rsid w:val="12993BC0"/>
    <w:rsid w:val="1299771C"/>
    <w:rsid w:val="129B7938"/>
    <w:rsid w:val="129E2F84"/>
    <w:rsid w:val="129E4708"/>
    <w:rsid w:val="12A12A75"/>
    <w:rsid w:val="12A32349"/>
    <w:rsid w:val="12A36397"/>
    <w:rsid w:val="12A44512"/>
    <w:rsid w:val="12A460C1"/>
    <w:rsid w:val="12A52565"/>
    <w:rsid w:val="12A55D81"/>
    <w:rsid w:val="12A6008B"/>
    <w:rsid w:val="12A762DD"/>
    <w:rsid w:val="12A83E03"/>
    <w:rsid w:val="12A85BB1"/>
    <w:rsid w:val="12AA1929"/>
    <w:rsid w:val="12AA36D7"/>
    <w:rsid w:val="12AD31C8"/>
    <w:rsid w:val="12AD766B"/>
    <w:rsid w:val="12AF0CEE"/>
    <w:rsid w:val="12AF6F40"/>
    <w:rsid w:val="12B02CB8"/>
    <w:rsid w:val="12B26A30"/>
    <w:rsid w:val="12B427A8"/>
    <w:rsid w:val="12B72298"/>
    <w:rsid w:val="12B96010"/>
    <w:rsid w:val="12BB58E4"/>
    <w:rsid w:val="12BC165D"/>
    <w:rsid w:val="12BC340B"/>
    <w:rsid w:val="12BC78AF"/>
    <w:rsid w:val="12BE3627"/>
    <w:rsid w:val="12C0739F"/>
    <w:rsid w:val="12C30C3D"/>
    <w:rsid w:val="12C624DB"/>
    <w:rsid w:val="12C64289"/>
    <w:rsid w:val="12C66037"/>
    <w:rsid w:val="12C7072D"/>
    <w:rsid w:val="12C81DAF"/>
    <w:rsid w:val="12CA3D79"/>
    <w:rsid w:val="12CB18A0"/>
    <w:rsid w:val="12CC7AF2"/>
    <w:rsid w:val="12CD69DD"/>
    <w:rsid w:val="12D1335A"/>
    <w:rsid w:val="12D22C2E"/>
    <w:rsid w:val="12D469A6"/>
    <w:rsid w:val="12D544CC"/>
    <w:rsid w:val="12D60970"/>
    <w:rsid w:val="12D70244"/>
    <w:rsid w:val="12D9220E"/>
    <w:rsid w:val="12D93FBD"/>
    <w:rsid w:val="12DC585B"/>
    <w:rsid w:val="12DD1CFF"/>
    <w:rsid w:val="12DE7825"/>
    <w:rsid w:val="12E25944"/>
    <w:rsid w:val="12E27315"/>
    <w:rsid w:val="12E34E3B"/>
    <w:rsid w:val="12E36BE9"/>
    <w:rsid w:val="12E419A5"/>
    <w:rsid w:val="12E45511"/>
    <w:rsid w:val="12E666D9"/>
    <w:rsid w:val="12E82452"/>
    <w:rsid w:val="12EA4DBC"/>
    <w:rsid w:val="12EA61CA"/>
    <w:rsid w:val="12EA7F78"/>
    <w:rsid w:val="12EB3CF0"/>
    <w:rsid w:val="12EB6CA7"/>
    <w:rsid w:val="12EC0194"/>
    <w:rsid w:val="12ED5CBA"/>
    <w:rsid w:val="12EF37E0"/>
    <w:rsid w:val="12F157AA"/>
    <w:rsid w:val="12F2507E"/>
    <w:rsid w:val="12F26E2C"/>
    <w:rsid w:val="12F62DC0"/>
    <w:rsid w:val="12F812AB"/>
    <w:rsid w:val="12FA679C"/>
    <w:rsid w:val="12FB2185"/>
    <w:rsid w:val="12FB3F33"/>
    <w:rsid w:val="12FE1C75"/>
    <w:rsid w:val="12FE511D"/>
    <w:rsid w:val="13001549"/>
    <w:rsid w:val="130152C1"/>
    <w:rsid w:val="13031039"/>
    <w:rsid w:val="130354DD"/>
    <w:rsid w:val="1303728B"/>
    <w:rsid w:val="1304784E"/>
    <w:rsid w:val="13051255"/>
    <w:rsid w:val="1305241F"/>
    <w:rsid w:val="13054DB2"/>
    <w:rsid w:val="130628D8"/>
    <w:rsid w:val="13076D7C"/>
    <w:rsid w:val="13082AF4"/>
    <w:rsid w:val="130848A2"/>
    <w:rsid w:val="130A061A"/>
    <w:rsid w:val="130A23C8"/>
    <w:rsid w:val="130A686C"/>
    <w:rsid w:val="130B4B50"/>
    <w:rsid w:val="130B585F"/>
    <w:rsid w:val="130B7721"/>
    <w:rsid w:val="130B7EEE"/>
    <w:rsid w:val="130C0BB1"/>
    <w:rsid w:val="13113756"/>
    <w:rsid w:val="13196AAF"/>
    <w:rsid w:val="131B2827"/>
    <w:rsid w:val="131C5AD5"/>
    <w:rsid w:val="131E5E73"/>
    <w:rsid w:val="131E7C21"/>
    <w:rsid w:val="13225964"/>
    <w:rsid w:val="1324560D"/>
    <w:rsid w:val="1324792E"/>
    <w:rsid w:val="132536A6"/>
    <w:rsid w:val="13257202"/>
    <w:rsid w:val="13274D28"/>
    <w:rsid w:val="13286CF2"/>
    <w:rsid w:val="132A0CBC"/>
    <w:rsid w:val="132A2A6A"/>
    <w:rsid w:val="132C0590"/>
    <w:rsid w:val="132D60B6"/>
    <w:rsid w:val="132F1E2E"/>
    <w:rsid w:val="132F3F4B"/>
    <w:rsid w:val="132F7B36"/>
    <w:rsid w:val="13315BA7"/>
    <w:rsid w:val="1332191F"/>
    <w:rsid w:val="13345697"/>
    <w:rsid w:val="1336140F"/>
    <w:rsid w:val="133631BD"/>
    <w:rsid w:val="13367661"/>
    <w:rsid w:val="13373B6D"/>
    <w:rsid w:val="13382A5C"/>
    <w:rsid w:val="13386F35"/>
    <w:rsid w:val="13390EFF"/>
    <w:rsid w:val="133B6A25"/>
    <w:rsid w:val="133D09EF"/>
    <w:rsid w:val="133E0E6F"/>
    <w:rsid w:val="133E2592"/>
    <w:rsid w:val="1340228E"/>
    <w:rsid w:val="1340403C"/>
    <w:rsid w:val="13421B62"/>
    <w:rsid w:val="13427DB4"/>
    <w:rsid w:val="134358DA"/>
    <w:rsid w:val="13444CE1"/>
    <w:rsid w:val="13451652"/>
    <w:rsid w:val="134578A4"/>
    <w:rsid w:val="1347361C"/>
    <w:rsid w:val="13487C0D"/>
    <w:rsid w:val="134A0A16"/>
    <w:rsid w:val="134A310C"/>
    <w:rsid w:val="134E6759"/>
    <w:rsid w:val="134F427F"/>
    <w:rsid w:val="13511DA5"/>
    <w:rsid w:val="1351449B"/>
    <w:rsid w:val="13517FF7"/>
    <w:rsid w:val="13525B1D"/>
    <w:rsid w:val="13545D39"/>
    <w:rsid w:val="13547AE7"/>
    <w:rsid w:val="135670F6"/>
    <w:rsid w:val="13581385"/>
    <w:rsid w:val="135875D7"/>
    <w:rsid w:val="13595A77"/>
    <w:rsid w:val="13596EAB"/>
    <w:rsid w:val="135A334F"/>
    <w:rsid w:val="135C2F68"/>
    <w:rsid w:val="135D2E40"/>
    <w:rsid w:val="135D4BEE"/>
    <w:rsid w:val="135D699C"/>
    <w:rsid w:val="135D6FC9"/>
    <w:rsid w:val="13622204"/>
    <w:rsid w:val="13637D2A"/>
    <w:rsid w:val="13645F7C"/>
    <w:rsid w:val="1365032C"/>
    <w:rsid w:val="13655850"/>
    <w:rsid w:val="1367781A"/>
    <w:rsid w:val="13685340"/>
    <w:rsid w:val="13693592"/>
    <w:rsid w:val="13696CAD"/>
    <w:rsid w:val="136A10B9"/>
    <w:rsid w:val="136E2957"/>
    <w:rsid w:val="136E509A"/>
    <w:rsid w:val="136F3B22"/>
    <w:rsid w:val="136F4921"/>
    <w:rsid w:val="136F66CF"/>
    <w:rsid w:val="13702B73"/>
    <w:rsid w:val="137141F5"/>
    <w:rsid w:val="13750189"/>
    <w:rsid w:val="137612B1"/>
    <w:rsid w:val="13761768"/>
    <w:rsid w:val="1376180B"/>
    <w:rsid w:val="13767A5D"/>
    <w:rsid w:val="137B1518"/>
    <w:rsid w:val="137B32C6"/>
    <w:rsid w:val="137B3E5E"/>
    <w:rsid w:val="137D5290"/>
    <w:rsid w:val="137F4B64"/>
    <w:rsid w:val="13806B2E"/>
    <w:rsid w:val="138228A6"/>
    <w:rsid w:val="138403CC"/>
    <w:rsid w:val="13853604"/>
    <w:rsid w:val="13854D45"/>
    <w:rsid w:val="13873A19"/>
    <w:rsid w:val="13877EBC"/>
    <w:rsid w:val="13893C35"/>
    <w:rsid w:val="13897791"/>
    <w:rsid w:val="138C7281"/>
    <w:rsid w:val="138E2FF9"/>
    <w:rsid w:val="138E5DF7"/>
    <w:rsid w:val="13906D71"/>
    <w:rsid w:val="13914897"/>
    <w:rsid w:val="13951726"/>
    <w:rsid w:val="139539BD"/>
    <w:rsid w:val="13954387"/>
    <w:rsid w:val="13960100"/>
    <w:rsid w:val="13961EAE"/>
    <w:rsid w:val="13964589"/>
    <w:rsid w:val="13983E78"/>
    <w:rsid w:val="139D323C"/>
    <w:rsid w:val="139D4FEA"/>
    <w:rsid w:val="139F04BD"/>
    <w:rsid w:val="139F6FB4"/>
    <w:rsid w:val="13A04ADA"/>
    <w:rsid w:val="13A24CF6"/>
    <w:rsid w:val="13A26AA4"/>
    <w:rsid w:val="13A4281C"/>
    <w:rsid w:val="13A445CA"/>
    <w:rsid w:val="13A740BB"/>
    <w:rsid w:val="13A8156F"/>
    <w:rsid w:val="13A929FF"/>
    <w:rsid w:val="13A9462C"/>
    <w:rsid w:val="13AA5959"/>
    <w:rsid w:val="13AC16D1"/>
    <w:rsid w:val="13AE71F7"/>
    <w:rsid w:val="13AF2F6F"/>
    <w:rsid w:val="13B10A95"/>
    <w:rsid w:val="13B14F39"/>
    <w:rsid w:val="13B25D6A"/>
    <w:rsid w:val="13B3480E"/>
    <w:rsid w:val="13B50586"/>
    <w:rsid w:val="13B567D8"/>
    <w:rsid w:val="13B660AC"/>
    <w:rsid w:val="13B81E24"/>
    <w:rsid w:val="13B924F4"/>
    <w:rsid w:val="13BA06E0"/>
    <w:rsid w:val="13BA5B9C"/>
    <w:rsid w:val="13BB1914"/>
    <w:rsid w:val="13BB36C2"/>
    <w:rsid w:val="13BD38DE"/>
    <w:rsid w:val="13BF1404"/>
    <w:rsid w:val="13C24A51"/>
    <w:rsid w:val="13C34C6E"/>
    <w:rsid w:val="13C44C6D"/>
    <w:rsid w:val="13C46A1B"/>
    <w:rsid w:val="13C47607"/>
    <w:rsid w:val="13C609E5"/>
    <w:rsid w:val="13C62793"/>
    <w:rsid w:val="13C7475D"/>
    <w:rsid w:val="13C83C09"/>
    <w:rsid w:val="13C92844"/>
    <w:rsid w:val="13C94031"/>
    <w:rsid w:val="13CB5FFB"/>
    <w:rsid w:val="13CB7DA9"/>
    <w:rsid w:val="13CC58CF"/>
    <w:rsid w:val="13CE1647"/>
    <w:rsid w:val="13CE328A"/>
    <w:rsid w:val="13CE7899"/>
    <w:rsid w:val="13D072EB"/>
    <w:rsid w:val="13D11138"/>
    <w:rsid w:val="13D27069"/>
    <w:rsid w:val="13D34EB0"/>
    <w:rsid w:val="13D35C6C"/>
    <w:rsid w:val="13D36C5E"/>
    <w:rsid w:val="13D6674E"/>
    <w:rsid w:val="13D749A0"/>
    <w:rsid w:val="13D84274"/>
    <w:rsid w:val="13DA623E"/>
    <w:rsid w:val="13DD7ADC"/>
    <w:rsid w:val="13DF1AA7"/>
    <w:rsid w:val="13E0569F"/>
    <w:rsid w:val="13E1581F"/>
    <w:rsid w:val="13E175CD"/>
    <w:rsid w:val="13E22B90"/>
    <w:rsid w:val="13E34020"/>
    <w:rsid w:val="13E470BD"/>
    <w:rsid w:val="13E744B7"/>
    <w:rsid w:val="13E9022F"/>
    <w:rsid w:val="13E946D3"/>
    <w:rsid w:val="13EB044B"/>
    <w:rsid w:val="13EB3FA7"/>
    <w:rsid w:val="13EC7D20"/>
    <w:rsid w:val="13EE5846"/>
    <w:rsid w:val="13EF0A3E"/>
    <w:rsid w:val="13F07810"/>
    <w:rsid w:val="13F15336"/>
    <w:rsid w:val="13F310AE"/>
    <w:rsid w:val="13F35552"/>
    <w:rsid w:val="13F421D8"/>
    <w:rsid w:val="13F53078"/>
    <w:rsid w:val="13F54E26"/>
    <w:rsid w:val="13F60B9E"/>
    <w:rsid w:val="13F6294C"/>
    <w:rsid w:val="13F82B68"/>
    <w:rsid w:val="13F866C4"/>
    <w:rsid w:val="13FB08AE"/>
    <w:rsid w:val="13FC61B5"/>
    <w:rsid w:val="13FD3CDB"/>
    <w:rsid w:val="13FF7A53"/>
    <w:rsid w:val="14025795"/>
    <w:rsid w:val="140275A9"/>
    <w:rsid w:val="14060DE1"/>
    <w:rsid w:val="14065285"/>
    <w:rsid w:val="14067033"/>
    <w:rsid w:val="14074B59"/>
    <w:rsid w:val="140908D1"/>
    <w:rsid w:val="140B464A"/>
    <w:rsid w:val="14115C0D"/>
    <w:rsid w:val="14117786"/>
    <w:rsid w:val="14131750"/>
    <w:rsid w:val="141379A2"/>
    <w:rsid w:val="141554C8"/>
    <w:rsid w:val="141679D3"/>
    <w:rsid w:val="14184FB8"/>
    <w:rsid w:val="14196F70"/>
    <w:rsid w:val="141A0400"/>
    <w:rsid w:val="141A2ADF"/>
    <w:rsid w:val="141A663B"/>
    <w:rsid w:val="141B480E"/>
    <w:rsid w:val="141D16F7"/>
    <w:rsid w:val="141D41B0"/>
    <w:rsid w:val="141E22E5"/>
    <w:rsid w:val="141F00F5"/>
    <w:rsid w:val="14213E6D"/>
    <w:rsid w:val="14215C1B"/>
    <w:rsid w:val="14231606"/>
    <w:rsid w:val="1424395D"/>
    <w:rsid w:val="14244083"/>
    <w:rsid w:val="142669A3"/>
    <w:rsid w:val="14280D4F"/>
    <w:rsid w:val="14290F74"/>
    <w:rsid w:val="14292D22"/>
    <w:rsid w:val="142B4CEC"/>
    <w:rsid w:val="142C10D4"/>
    <w:rsid w:val="142D2812"/>
    <w:rsid w:val="142E7D06"/>
    <w:rsid w:val="14333BA0"/>
    <w:rsid w:val="143363D6"/>
    <w:rsid w:val="14357918"/>
    <w:rsid w:val="14363F8E"/>
    <w:rsid w:val="14396509"/>
    <w:rsid w:val="14397409"/>
    <w:rsid w:val="143A4F2F"/>
    <w:rsid w:val="143C2A55"/>
    <w:rsid w:val="143F0797"/>
    <w:rsid w:val="143F60A1"/>
    <w:rsid w:val="14411E19"/>
    <w:rsid w:val="144135AB"/>
    <w:rsid w:val="144162BD"/>
    <w:rsid w:val="14423DE3"/>
    <w:rsid w:val="14432035"/>
    <w:rsid w:val="14441F2C"/>
    <w:rsid w:val="14445DAD"/>
    <w:rsid w:val="144533BC"/>
    <w:rsid w:val="14461E69"/>
    <w:rsid w:val="144638D4"/>
    <w:rsid w:val="14465682"/>
    <w:rsid w:val="14470D88"/>
    <w:rsid w:val="144813FA"/>
    <w:rsid w:val="14495172"/>
    <w:rsid w:val="144B2C98"/>
    <w:rsid w:val="144B713C"/>
    <w:rsid w:val="144C4E21"/>
    <w:rsid w:val="145002AE"/>
    <w:rsid w:val="14506500"/>
    <w:rsid w:val="145204CA"/>
    <w:rsid w:val="14522278"/>
    <w:rsid w:val="14531B4D"/>
    <w:rsid w:val="14535FF1"/>
    <w:rsid w:val="14576F12"/>
    <w:rsid w:val="145853B5"/>
    <w:rsid w:val="14587163"/>
    <w:rsid w:val="14592CC2"/>
    <w:rsid w:val="14593607"/>
    <w:rsid w:val="145A112D"/>
    <w:rsid w:val="145A737F"/>
    <w:rsid w:val="145C30F7"/>
    <w:rsid w:val="145C6C53"/>
    <w:rsid w:val="145D29CB"/>
    <w:rsid w:val="145E0C1D"/>
    <w:rsid w:val="145F4995"/>
    <w:rsid w:val="1461070D"/>
    <w:rsid w:val="14643D5A"/>
    <w:rsid w:val="14681A9C"/>
    <w:rsid w:val="1468384A"/>
    <w:rsid w:val="14691370"/>
    <w:rsid w:val="14697BE6"/>
    <w:rsid w:val="146D2C0E"/>
    <w:rsid w:val="146E4BD8"/>
    <w:rsid w:val="1470445D"/>
    <w:rsid w:val="14706BA3"/>
    <w:rsid w:val="147223D9"/>
    <w:rsid w:val="147246C9"/>
    <w:rsid w:val="14724FAA"/>
    <w:rsid w:val="14733F9D"/>
    <w:rsid w:val="147343AE"/>
    <w:rsid w:val="14755F67"/>
    <w:rsid w:val="1476392B"/>
    <w:rsid w:val="14771CDF"/>
    <w:rsid w:val="14773A8D"/>
    <w:rsid w:val="147815B3"/>
    <w:rsid w:val="147A32C8"/>
    <w:rsid w:val="147A532B"/>
    <w:rsid w:val="147C72F5"/>
    <w:rsid w:val="147D6BCA"/>
    <w:rsid w:val="147E12BF"/>
    <w:rsid w:val="147F2942"/>
    <w:rsid w:val="14812B5E"/>
    <w:rsid w:val="14832432"/>
    <w:rsid w:val="148443FC"/>
    <w:rsid w:val="14847F58"/>
    <w:rsid w:val="14860174"/>
    <w:rsid w:val="14863468"/>
    <w:rsid w:val="14885C9A"/>
    <w:rsid w:val="14887A48"/>
    <w:rsid w:val="148937C0"/>
    <w:rsid w:val="148F527B"/>
    <w:rsid w:val="14900FF3"/>
    <w:rsid w:val="14902DA1"/>
    <w:rsid w:val="14904B4F"/>
    <w:rsid w:val="14923C62"/>
    <w:rsid w:val="14926B19"/>
    <w:rsid w:val="149311DD"/>
    <w:rsid w:val="149503B7"/>
    <w:rsid w:val="14956609"/>
    <w:rsid w:val="14972C64"/>
    <w:rsid w:val="14983A03"/>
    <w:rsid w:val="149A59CD"/>
    <w:rsid w:val="149B20AF"/>
    <w:rsid w:val="149C7998"/>
    <w:rsid w:val="149E1A09"/>
    <w:rsid w:val="14A01236"/>
    <w:rsid w:val="14A10B0A"/>
    <w:rsid w:val="14A16D5C"/>
    <w:rsid w:val="14A405FA"/>
    <w:rsid w:val="14A53E9C"/>
    <w:rsid w:val="14A800EA"/>
    <w:rsid w:val="14A8633C"/>
    <w:rsid w:val="14A979BF"/>
    <w:rsid w:val="14AB1989"/>
    <w:rsid w:val="14AB3737"/>
    <w:rsid w:val="14AD3953"/>
    <w:rsid w:val="14AD4E8A"/>
    <w:rsid w:val="14AD5701"/>
    <w:rsid w:val="14AE1D2C"/>
    <w:rsid w:val="14AF1479"/>
    <w:rsid w:val="14B00773"/>
    <w:rsid w:val="14B051F1"/>
    <w:rsid w:val="14B108A9"/>
    <w:rsid w:val="14B16888"/>
    <w:rsid w:val="14B20F69"/>
    <w:rsid w:val="14B22D17"/>
    <w:rsid w:val="14B24AC5"/>
    <w:rsid w:val="14B30CFC"/>
    <w:rsid w:val="14B44CE1"/>
    <w:rsid w:val="14B46A8F"/>
    <w:rsid w:val="14BA1BCC"/>
    <w:rsid w:val="14BB6070"/>
    <w:rsid w:val="14BC1DE8"/>
    <w:rsid w:val="14BC5944"/>
    <w:rsid w:val="14BC76F2"/>
    <w:rsid w:val="14BE16BC"/>
    <w:rsid w:val="14C173FE"/>
    <w:rsid w:val="14C30A80"/>
    <w:rsid w:val="14C33176"/>
    <w:rsid w:val="14C36CD2"/>
    <w:rsid w:val="14C50C9C"/>
    <w:rsid w:val="14C60571"/>
    <w:rsid w:val="14C64A14"/>
    <w:rsid w:val="14C73A06"/>
    <w:rsid w:val="14C8078D"/>
    <w:rsid w:val="14C8253B"/>
    <w:rsid w:val="14C916A1"/>
    <w:rsid w:val="14CA5545"/>
    <w:rsid w:val="14CF6D94"/>
    <w:rsid w:val="14D0319D"/>
    <w:rsid w:val="14D0690E"/>
    <w:rsid w:val="14D07641"/>
    <w:rsid w:val="14D273DE"/>
    <w:rsid w:val="14D40AC3"/>
    <w:rsid w:val="14D40EDF"/>
    <w:rsid w:val="14D7277E"/>
    <w:rsid w:val="14D7452C"/>
    <w:rsid w:val="14D902A4"/>
    <w:rsid w:val="14D964F6"/>
    <w:rsid w:val="14DC5FE6"/>
    <w:rsid w:val="14DC7D94"/>
    <w:rsid w:val="14DD2C3C"/>
    <w:rsid w:val="14DE53F9"/>
    <w:rsid w:val="14DE58BA"/>
    <w:rsid w:val="14DF145A"/>
    <w:rsid w:val="14DF1632"/>
    <w:rsid w:val="14E1184E"/>
    <w:rsid w:val="14E46C49"/>
    <w:rsid w:val="14E530ED"/>
    <w:rsid w:val="14E53B8B"/>
    <w:rsid w:val="14E804E7"/>
    <w:rsid w:val="14E82BDD"/>
    <w:rsid w:val="14EA425F"/>
    <w:rsid w:val="14EB18BB"/>
    <w:rsid w:val="14EB6229"/>
    <w:rsid w:val="14ED3D4F"/>
    <w:rsid w:val="14ED7BAB"/>
    <w:rsid w:val="14EF5D19"/>
    <w:rsid w:val="14F055ED"/>
    <w:rsid w:val="14F275B8"/>
    <w:rsid w:val="14F43330"/>
    <w:rsid w:val="14F450DE"/>
    <w:rsid w:val="14F50E56"/>
    <w:rsid w:val="14F7697C"/>
    <w:rsid w:val="14F90946"/>
    <w:rsid w:val="14FA3491"/>
    <w:rsid w:val="14FA6062"/>
    <w:rsid w:val="14FC0436"/>
    <w:rsid w:val="14FE7D0A"/>
    <w:rsid w:val="150177FB"/>
    <w:rsid w:val="15023C9F"/>
    <w:rsid w:val="150317C5"/>
    <w:rsid w:val="15033573"/>
    <w:rsid w:val="1505553D"/>
    <w:rsid w:val="15063063"/>
    <w:rsid w:val="15064605"/>
    <w:rsid w:val="150A2B53"/>
    <w:rsid w:val="150B6FE7"/>
    <w:rsid w:val="150D44D8"/>
    <w:rsid w:val="150E2D97"/>
    <w:rsid w:val="150E73C2"/>
    <w:rsid w:val="150F6DF8"/>
    <w:rsid w:val="15114EF1"/>
    <w:rsid w:val="15115C90"/>
    <w:rsid w:val="151237B6"/>
    <w:rsid w:val="15127C5A"/>
    <w:rsid w:val="151632A6"/>
    <w:rsid w:val="15175270"/>
    <w:rsid w:val="15192A7B"/>
    <w:rsid w:val="15192D96"/>
    <w:rsid w:val="151B539B"/>
    <w:rsid w:val="151C4634"/>
    <w:rsid w:val="151E215B"/>
    <w:rsid w:val="151E288C"/>
    <w:rsid w:val="151E545D"/>
    <w:rsid w:val="15202377"/>
    <w:rsid w:val="15204125"/>
    <w:rsid w:val="15227E9D"/>
    <w:rsid w:val="152359C3"/>
    <w:rsid w:val="15267261"/>
    <w:rsid w:val="15273705"/>
    <w:rsid w:val="152A4FA3"/>
    <w:rsid w:val="152A6D51"/>
    <w:rsid w:val="152B0972"/>
    <w:rsid w:val="152B4E90"/>
    <w:rsid w:val="152C2AC9"/>
    <w:rsid w:val="152D05F0"/>
    <w:rsid w:val="152D239E"/>
    <w:rsid w:val="152D6842"/>
    <w:rsid w:val="153100E0"/>
    <w:rsid w:val="15311E8E"/>
    <w:rsid w:val="15323E58"/>
    <w:rsid w:val="15325C06"/>
    <w:rsid w:val="1534372C"/>
    <w:rsid w:val="15347BD0"/>
    <w:rsid w:val="15363948"/>
    <w:rsid w:val="153674A4"/>
    <w:rsid w:val="1537321C"/>
    <w:rsid w:val="153876C0"/>
    <w:rsid w:val="153B2D0D"/>
    <w:rsid w:val="153B4ABB"/>
    <w:rsid w:val="153D4CD7"/>
    <w:rsid w:val="153D72A5"/>
    <w:rsid w:val="15400323"/>
    <w:rsid w:val="154020D1"/>
    <w:rsid w:val="15415E49"/>
    <w:rsid w:val="154222ED"/>
    <w:rsid w:val="1542409B"/>
    <w:rsid w:val="15437E13"/>
    <w:rsid w:val="15453B8B"/>
    <w:rsid w:val="15455A37"/>
    <w:rsid w:val="15485AF9"/>
    <w:rsid w:val="154871D8"/>
    <w:rsid w:val="154B2D39"/>
    <w:rsid w:val="15520056"/>
    <w:rsid w:val="15542020"/>
    <w:rsid w:val="15543DCE"/>
    <w:rsid w:val="15565D98"/>
    <w:rsid w:val="155B33AF"/>
    <w:rsid w:val="155B515D"/>
    <w:rsid w:val="155D5602"/>
    <w:rsid w:val="155E2E9F"/>
    <w:rsid w:val="155E69FB"/>
    <w:rsid w:val="156009C5"/>
    <w:rsid w:val="1560263F"/>
    <w:rsid w:val="15632263"/>
    <w:rsid w:val="15655021"/>
    <w:rsid w:val="15671D54"/>
    <w:rsid w:val="15672512"/>
    <w:rsid w:val="15673B02"/>
    <w:rsid w:val="156A35F2"/>
    <w:rsid w:val="156A53A0"/>
    <w:rsid w:val="156C2EC6"/>
    <w:rsid w:val="156F0C08"/>
    <w:rsid w:val="156F1840"/>
    <w:rsid w:val="156F29B6"/>
    <w:rsid w:val="15714980"/>
    <w:rsid w:val="15747AE8"/>
    <w:rsid w:val="157601E9"/>
    <w:rsid w:val="157955E3"/>
    <w:rsid w:val="157A5DB7"/>
    <w:rsid w:val="157B3C84"/>
    <w:rsid w:val="157B57FF"/>
    <w:rsid w:val="157D1577"/>
    <w:rsid w:val="157D50D3"/>
    <w:rsid w:val="157F52EF"/>
    <w:rsid w:val="15802E15"/>
    <w:rsid w:val="15826B8D"/>
    <w:rsid w:val="158741A4"/>
    <w:rsid w:val="15883A78"/>
    <w:rsid w:val="158C17BA"/>
    <w:rsid w:val="158D108E"/>
    <w:rsid w:val="158D1A80"/>
    <w:rsid w:val="158F4E06"/>
    <w:rsid w:val="15910B7E"/>
    <w:rsid w:val="15916DD0"/>
    <w:rsid w:val="159266A5"/>
    <w:rsid w:val="15926C0E"/>
    <w:rsid w:val="1594241D"/>
    <w:rsid w:val="15947D20"/>
    <w:rsid w:val="15956850"/>
    <w:rsid w:val="15973CBB"/>
    <w:rsid w:val="1598133F"/>
    <w:rsid w:val="15981F0D"/>
    <w:rsid w:val="15995C85"/>
    <w:rsid w:val="15997A33"/>
    <w:rsid w:val="159A3ED7"/>
    <w:rsid w:val="159A6830"/>
    <w:rsid w:val="159B19FD"/>
    <w:rsid w:val="159B37AB"/>
    <w:rsid w:val="159B7C4F"/>
    <w:rsid w:val="159C2891"/>
    <w:rsid w:val="159D39C7"/>
    <w:rsid w:val="159D3D21"/>
    <w:rsid w:val="159E329B"/>
    <w:rsid w:val="159F14ED"/>
    <w:rsid w:val="15A00DC2"/>
    <w:rsid w:val="15A026A2"/>
    <w:rsid w:val="15A22D8C"/>
    <w:rsid w:val="15A46B04"/>
    <w:rsid w:val="15A500FB"/>
    <w:rsid w:val="15A524B3"/>
    <w:rsid w:val="15A5287C"/>
    <w:rsid w:val="15A5462A"/>
    <w:rsid w:val="15A72150"/>
    <w:rsid w:val="15AA1C40"/>
    <w:rsid w:val="15AA7E92"/>
    <w:rsid w:val="15AB4BE4"/>
    <w:rsid w:val="15AB77B5"/>
    <w:rsid w:val="15AD20D5"/>
    <w:rsid w:val="15AD3816"/>
    <w:rsid w:val="15AE1060"/>
    <w:rsid w:val="15AE1730"/>
    <w:rsid w:val="15AE34DE"/>
    <w:rsid w:val="15AE7982"/>
    <w:rsid w:val="15B036FB"/>
    <w:rsid w:val="15B42ABF"/>
    <w:rsid w:val="15B605E5"/>
    <w:rsid w:val="15B61CF7"/>
    <w:rsid w:val="15B825AF"/>
    <w:rsid w:val="15B8435D"/>
    <w:rsid w:val="15B900D5"/>
    <w:rsid w:val="15BA5E1A"/>
    <w:rsid w:val="15BB3E4D"/>
    <w:rsid w:val="15BD15E3"/>
    <w:rsid w:val="15BF56EC"/>
    <w:rsid w:val="15C0054B"/>
    <w:rsid w:val="15C03212"/>
    <w:rsid w:val="15C0597A"/>
    <w:rsid w:val="15C251DC"/>
    <w:rsid w:val="15C26F8A"/>
    <w:rsid w:val="15C42D02"/>
    <w:rsid w:val="15C5035C"/>
    <w:rsid w:val="15C50828"/>
    <w:rsid w:val="15C60FEF"/>
    <w:rsid w:val="15C70A44"/>
    <w:rsid w:val="15C727F2"/>
    <w:rsid w:val="15C90318"/>
    <w:rsid w:val="15CA5E3E"/>
    <w:rsid w:val="15CB2D95"/>
    <w:rsid w:val="15CC605B"/>
    <w:rsid w:val="15CD16BF"/>
    <w:rsid w:val="15CD20F8"/>
    <w:rsid w:val="15CE3B81"/>
    <w:rsid w:val="15CF16A7"/>
    <w:rsid w:val="15D05B4B"/>
    <w:rsid w:val="15D13671"/>
    <w:rsid w:val="15D1541F"/>
    <w:rsid w:val="15D31197"/>
    <w:rsid w:val="15D32F45"/>
    <w:rsid w:val="15D350B0"/>
    <w:rsid w:val="15D373E9"/>
    <w:rsid w:val="15D53161"/>
    <w:rsid w:val="15D62A35"/>
    <w:rsid w:val="15D66ED9"/>
    <w:rsid w:val="15D8055B"/>
    <w:rsid w:val="15D849FF"/>
    <w:rsid w:val="15D867AD"/>
    <w:rsid w:val="15D942D4"/>
    <w:rsid w:val="15DA10F2"/>
    <w:rsid w:val="15DB004C"/>
    <w:rsid w:val="15DE18EA"/>
    <w:rsid w:val="15E10FC5"/>
    <w:rsid w:val="15E163F4"/>
    <w:rsid w:val="15E2587E"/>
    <w:rsid w:val="15E74C42"/>
    <w:rsid w:val="15EA028F"/>
    <w:rsid w:val="15EC04AB"/>
    <w:rsid w:val="15EC4007"/>
    <w:rsid w:val="15EC60D8"/>
    <w:rsid w:val="15EE4223"/>
    <w:rsid w:val="15F2192A"/>
    <w:rsid w:val="15F5110D"/>
    <w:rsid w:val="15F555B1"/>
    <w:rsid w:val="15FB06EE"/>
    <w:rsid w:val="15FC2FFC"/>
    <w:rsid w:val="16013F56"/>
    <w:rsid w:val="16021A7C"/>
    <w:rsid w:val="1602382A"/>
    <w:rsid w:val="1604435F"/>
    <w:rsid w:val="1606156C"/>
    <w:rsid w:val="16065524"/>
    <w:rsid w:val="1607010F"/>
    <w:rsid w:val="160752E5"/>
    <w:rsid w:val="16087E1D"/>
    <w:rsid w:val="1609105D"/>
    <w:rsid w:val="16092E0B"/>
    <w:rsid w:val="16096967"/>
    <w:rsid w:val="160B0931"/>
    <w:rsid w:val="160C28FB"/>
    <w:rsid w:val="160C46A9"/>
    <w:rsid w:val="160E21CF"/>
    <w:rsid w:val="160E6673"/>
    <w:rsid w:val="160F4043"/>
    <w:rsid w:val="1610480C"/>
    <w:rsid w:val="16113A6D"/>
    <w:rsid w:val="161377E5"/>
    <w:rsid w:val="1615355E"/>
    <w:rsid w:val="161672D6"/>
    <w:rsid w:val="161812A0"/>
    <w:rsid w:val="161A5018"/>
    <w:rsid w:val="161A6DC6"/>
    <w:rsid w:val="161C4B21"/>
    <w:rsid w:val="161D0664"/>
    <w:rsid w:val="161D68B6"/>
    <w:rsid w:val="161E06C7"/>
    <w:rsid w:val="16210154"/>
    <w:rsid w:val="162163A6"/>
    <w:rsid w:val="16223ECC"/>
    <w:rsid w:val="16225C7A"/>
    <w:rsid w:val="16264111"/>
    <w:rsid w:val="162714E3"/>
    <w:rsid w:val="16273291"/>
    <w:rsid w:val="16287735"/>
    <w:rsid w:val="16290DB7"/>
    <w:rsid w:val="16297009"/>
    <w:rsid w:val="162A27D6"/>
    <w:rsid w:val="162B2D81"/>
    <w:rsid w:val="162B750A"/>
    <w:rsid w:val="162C08A7"/>
    <w:rsid w:val="162C6AF9"/>
    <w:rsid w:val="162D49FB"/>
    <w:rsid w:val="162D4D4B"/>
    <w:rsid w:val="162E2871"/>
    <w:rsid w:val="162E461F"/>
    <w:rsid w:val="16301EEC"/>
    <w:rsid w:val="16302145"/>
    <w:rsid w:val="16351E52"/>
    <w:rsid w:val="1635775C"/>
    <w:rsid w:val="163634D4"/>
    <w:rsid w:val="1638549E"/>
    <w:rsid w:val="1638724C"/>
    <w:rsid w:val="163B0AEA"/>
    <w:rsid w:val="163D44F0"/>
    <w:rsid w:val="163D4862"/>
    <w:rsid w:val="164107F7"/>
    <w:rsid w:val="164200CB"/>
    <w:rsid w:val="16421E79"/>
    <w:rsid w:val="16431774"/>
    <w:rsid w:val="16442095"/>
    <w:rsid w:val="16445BF1"/>
    <w:rsid w:val="16461969"/>
    <w:rsid w:val="16465E0D"/>
    <w:rsid w:val="16491459"/>
    <w:rsid w:val="164A3F23"/>
    <w:rsid w:val="164B51D1"/>
    <w:rsid w:val="164E6A70"/>
    <w:rsid w:val="165027E8"/>
    <w:rsid w:val="16504596"/>
    <w:rsid w:val="16513DF6"/>
    <w:rsid w:val="16516D77"/>
    <w:rsid w:val="16551BAC"/>
    <w:rsid w:val="16556050"/>
    <w:rsid w:val="16573B76"/>
    <w:rsid w:val="165810F8"/>
    <w:rsid w:val="1658169C"/>
    <w:rsid w:val="16581B56"/>
    <w:rsid w:val="165878EE"/>
    <w:rsid w:val="165C118C"/>
    <w:rsid w:val="165C73DE"/>
    <w:rsid w:val="165D4F05"/>
    <w:rsid w:val="165E3157"/>
    <w:rsid w:val="166149F5"/>
    <w:rsid w:val="1663076D"/>
    <w:rsid w:val="16660A85"/>
    <w:rsid w:val="16663DB9"/>
    <w:rsid w:val="16677B31"/>
    <w:rsid w:val="166B13D0"/>
    <w:rsid w:val="166D15EC"/>
    <w:rsid w:val="166D339A"/>
    <w:rsid w:val="166E0EC0"/>
    <w:rsid w:val="166E7112"/>
    <w:rsid w:val="16702E8A"/>
    <w:rsid w:val="16712331"/>
    <w:rsid w:val="16726C02"/>
    <w:rsid w:val="167364D6"/>
    <w:rsid w:val="1675224E"/>
    <w:rsid w:val="16773C1C"/>
    <w:rsid w:val="16774218"/>
    <w:rsid w:val="16777D74"/>
    <w:rsid w:val="16781D3E"/>
    <w:rsid w:val="16790431"/>
    <w:rsid w:val="167C04F3"/>
    <w:rsid w:val="167C182F"/>
    <w:rsid w:val="167C538B"/>
    <w:rsid w:val="167C5922"/>
    <w:rsid w:val="167D1103"/>
    <w:rsid w:val="167F30CD"/>
    <w:rsid w:val="16826719"/>
    <w:rsid w:val="16846935"/>
    <w:rsid w:val="168626AD"/>
    <w:rsid w:val="16864176"/>
    <w:rsid w:val="16866209"/>
    <w:rsid w:val="16873D30"/>
    <w:rsid w:val="1688155A"/>
    <w:rsid w:val="16881F81"/>
    <w:rsid w:val="16886A96"/>
    <w:rsid w:val="16893F4C"/>
    <w:rsid w:val="168B1A72"/>
    <w:rsid w:val="168B3820"/>
    <w:rsid w:val="168B7CC4"/>
    <w:rsid w:val="168C1346"/>
    <w:rsid w:val="168D57EA"/>
    <w:rsid w:val="168D68A7"/>
    <w:rsid w:val="168E1562"/>
    <w:rsid w:val="169052DA"/>
    <w:rsid w:val="16907088"/>
    <w:rsid w:val="16921052"/>
    <w:rsid w:val="16922E00"/>
    <w:rsid w:val="16946B78"/>
    <w:rsid w:val="16950964"/>
    <w:rsid w:val="1695469E"/>
    <w:rsid w:val="1698658B"/>
    <w:rsid w:val="169A7F07"/>
    <w:rsid w:val="169B23C4"/>
    <w:rsid w:val="169C37CB"/>
    <w:rsid w:val="169C4F0C"/>
    <w:rsid w:val="169C5A2D"/>
    <w:rsid w:val="169C77DB"/>
    <w:rsid w:val="169D3553"/>
    <w:rsid w:val="169E17A5"/>
    <w:rsid w:val="169E79F7"/>
    <w:rsid w:val="169F1079"/>
    <w:rsid w:val="169F72CB"/>
    <w:rsid w:val="16A11295"/>
    <w:rsid w:val="16A13043"/>
    <w:rsid w:val="16A14DF1"/>
    <w:rsid w:val="16A3500D"/>
    <w:rsid w:val="16A35612"/>
    <w:rsid w:val="16A448E1"/>
    <w:rsid w:val="16A8493F"/>
    <w:rsid w:val="16AB3EC2"/>
    <w:rsid w:val="16AF07A6"/>
    <w:rsid w:val="16AF39B2"/>
    <w:rsid w:val="16AF430F"/>
    <w:rsid w:val="16B03286"/>
    <w:rsid w:val="16B0772A"/>
    <w:rsid w:val="16B32D77"/>
    <w:rsid w:val="16B70AB9"/>
    <w:rsid w:val="16B8213B"/>
    <w:rsid w:val="16B97005"/>
    <w:rsid w:val="16BA2357"/>
    <w:rsid w:val="16BC5986"/>
    <w:rsid w:val="16BC60CF"/>
    <w:rsid w:val="16BE1E47"/>
    <w:rsid w:val="16BF171B"/>
    <w:rsid w:val="16BF796D"/>
    <w:rsid w:val="16C15493"/>
    <w:rsid w:val="16C15797"/>
    <w:rsid w:val="16C3120C"/>
    <w:rsid w:val="16C86822"/>
    <w:rsid w:val="16CA07EC"/>
    <w:rsid w:val="16CB00C0"/>
    <w:rsid w:val="16CB4564"/>
    <w:rsid w:val="16CB6312"/>
    <w:rsid w:val="16CB66F0"/>
    <w:rsid w:val="16CD208A"/>
    <w:rsid w:val="16CD3E38"/>
    <w:rsid w:val="16CE195E"/>
    <w:rsid w:val="16D3266C"/>
    <w:rsid w:val="16D36F75"/>
    <w:rsid w:val="16D50F3F"/>
    <w:rsid w:val="16D52CED"/>
    <w:rsid w:val="16D57191"/>
    <w:rsid w:val="16D74CB7"/>
    <w:rsid w:val="16D83A1E"/>
    <w:rsid w:val="16D9191F"/>
    <w:rsid w:val="16D927DD"/>
    <w:rsid w:val="16DE6045"/>
    <w:rsid w:val="16DF0D20"/>
    <w:rsid w:val="16DF3B6C"/>
    <w:rsid w:val="16DF75DF"/>
    <w:rsid w:val="16E07342"/>
    <w:rsid w:val="16E13640"/>
    <w:rsid w:val="16E15B36"/>
    <w:rsid w:val="16E178E4"/>
    <w:rsid w:val="16E42F30"/>
    <w:rsid w:val="16E66CA8"/>
    <w:rsid w:val="16E75D71"/>
    <w:rsid w:val="16E80C72"/>
    <w:rsid w:val="16E8251E"/>
    <w:rsid w:val="16E96798"/>
    <w:rsid w:val="16EA2C3C"/>
    <w:rsid w:val="16EA49EA"/>
    <w:rsid w:val="16EB0762"/>
    <w:rsid w:val="16EB2510"/>
    <w:rsid w:val="16ED44DA"/>
    <w:rsid w:val="16EF2001"/>
    <w:rsid w:val="16F119F4"/>
    <w:rsid w:val="16F21AF1"/>
    <w:rsid w:val="16F2564D"/>
    <w:rsid w:val="16F52F46"/>
    <w:rsid w:val="16F615E1"/>
    <w:rsid w:val="16F72C63"/>
    <w:rsid w:val="16F818C7"/>
    <w:rsid w:val="16F86CF6"/>
    <w:rsid w:val="16FB6BF7"/>
    <w:rsid w:val="16FC296F"/>
    <w:rsid w:val="16FD4C60"/>
    <w:rsid w:val="16FF6BC8"/>
    <w:rsid w:val="16FF7D6A"/>
    <w:rsid w:val="17017621"/>
    <w:rsid w:val="17017F86"/>
    <w:rsid w:val="170203CD"/>
    <w:rsid w:val="17033CFE"/>
    <w:rsid w:val="17035549"/>
    <w:rsid w:val="17051824"/>
    <w:rsid w:val="170535D2"/>
    <w:rsid w:val="1706734A"/>
    <w:rsid w:val="17092996"/>
    <w:rsid w:val="170A6E3A"/>
    <w:rsid w:val="170B045A"/>
    <w:rsid w:val="170B68AC"/>
    <w:rsid w:val="170D06D9"/>
    <w:rsid w:val="170D692B"/>
    <w:rsid w:val="170F26A3"/>
    <w:rsid w:val="171001C9"/>
    <w:rsid w:val="17103D25"/>
    <w:rsid w:val="17110FDD"/>
    <w:rsid w:val="17123F41"/>
    <w:rsid w:val="17125CEF"/>
    <w:rsid w:val="171338FD"/>
    <w:rsid w:val="17144341"/>
    <w:rsid w:val="171657DF"/>
    <w:rsid w:val="171952CF"/>
    <w:rsid w:val="1719707D"/>
    <w:rsid w:val="171B1048"/>
    <w:rsid w:val="171C091C"/>
    <w:rsid w:val="171D0CC1"/>
    <w:rsid w:val="171E6442"/>
    <w:rsid w:val="1720040C"/>
    <w:rsid w:val="1720665E"/>
    <w:rsid w:val="172123D6"/>
    <w:rsid w:val="17214184"/>
    <w:rsid w:val="17215F32"/>
    <w:rsid w:val="17231CAA"/>
    <w:rsid w:val="17255A22"/>
    <w:rsid w:val="17263548"/>
    <w:rsid w:val="17283764"/>
    <w:rsid w:val="17285DD4"/>
    <w:rsid w:val="172B6DB1"/>
    <w:rsid w:val="172F68A1"/>
    <w:rsid w:val="173059F6"/>
    <w:rsid w:val="17312619"/>
    <w:rsid w:val="17326391"/>
    <w:rsid w:val="17342109"/>
    <w:rsid w:val="17364E4C"/>
    <w:rsid w:val="17365E81"/>
    <w:rsid w:val="173739A8"/>
    <w:rsid w:val="17377504"/>
    <w:rsid w:val="17384188"/>
    <w:rsid w:val="173914CE"/>
    <w:rsid w:val="17397720"/>
    <w:rsid w:val="173B3498"/>
    <w:rsid w:val="173C0FBE"/>
    <w:rsid w:val="173E0892"/>
    <w:rsid w:val="173E4D36"/>
    <w:rsid w:val="173E6AE4"/>
    <w:rsid w:val="17400AAE"/>
    <w:rsid w:val="1740285C"/>
    <w:rsid w:val="1740460A"/>
    <w:rsid w:val="17451C21"/>
    <w:rsid w:val="17465999"/>
    <w:rsid w:val="17483C7D"/>
    <w:rsid w:val="17485BB5"/>
    <w:rsid w:val="17487963"/>
    <w:rsid w:val="174A36DB"/>
    <w:rsid w:val="174B2FAF"/>
    <w:rsid w:val="174C255E"/>
    <w:rsid w:val="174F2A9F"/>
    <w:rsid w:val="17504D9C"/>
    <w:rsid w:val="175400B6"/>
    <w:rsid w:val="17544559"/>
    <w:rsid w:val="17562080"/>
    <w:rsid w:val="17575DF8"/>
    <w:rsid w:val="175956CC"/>
    <w:rsid w:val="175C099D"/>
    <w:rsid w:val="175E2CE2"/>
    <w:rsid w:val="175E7186"/>
    <w:rsid w:val="175F02F7"/>
    <w:rsid w:val="17604CAC"/>
    <w:rsid w:val="176127D3"/>
    <w:rsid w:val="17614581"/>
    <w:rsid w:val="17620A24"/>
    <w:rsid w:val="1763479D"/>
    <w:rsid w:val="1767428D"/>
    <w:rsid w:val="176A78D9"/>
    <w:rsid w:val="176B04A7"/>
    <w:rsid w:val="176C18A3"/>
    <w:rsid w:val="176C3651"/>
    <w:rsid w:val="176C53FF"/>
    <w:rsid w:val="176D73C9"/>
    <w:rsid w:val="176F3A0D"/>
    <w:rsid w:val="176F6E28"/>
    <w:rsid w:val="17701D14"/>
    <w:rsid w:val="177249E0"/>
    <w:rsid w:val="1772678E"/>
    <w:rsid w:val="17732C32"/>
    <w:rsid w:val="17735226"/>
    <w:rsid w:val="1777018B"/>
    <w:rsid w:val="17771FF6"/>
    <w:rsid w:val="17780248"/>
    <w:rsid w:val="177B16DD"/>
    <w:rsid w:val="177C2532"/>
    <w:rsid w:val="177E3384"/>
    <w:rsid w:val="17802452"/>
    <w:rsid w:val="1780534F"/>
    <w:rsid w:val="178169D1"/>
    <w:rsid w:val="17822E75"/>
    <w:rsid w:val="17824C23"/>
    <w:rsid w:val="17832749"/>
    <w:rsid w:val="1785299A"/>
    <w:rsid w:val="178667F0"/>
    <w:rsid w:val="1787048B"/>
    <w:rsid w:val="17895171"/>
    <w:rsid w:val="178A3AD7"/>
    <w:rsid w:val="178D35C8"/>
    <w:rsid w:val="178F7340"/>
    <w:rsid w:val="17936FC2"/>
    <w:rsid w:val="17942BA8"/>
    <w:rsid w:val="179606CE"/>
    <w:rsid w:val="17964BA4"/>
    <w:rsid w:val="17996410"/>
    <w:rsid w:val="179B5CE4"/>
    <w:rsid w:val="179D1A5D"/>
    <w:rsid w:val="179E57D5"/>
    <w:rsid w:val="179F211B"/>
    <w:rsid w:val="17A032FB"/>
    <w:rsid w:val="17A10E21"/>
    <w:rsid w:val="17A252C5"/>
    <w:rsid w:val="17A27073"/>
    <w:rsid w:val="17A32DEB"/>
    <w:rsid w:val="17A34B99"/>
    <w:rsid w:val="17A4103D"/>
    <w:rsid w:val="17A415A2"/>
    <w:rsid w:val="17A76437"/>
    <w:rsid w:val="17A80401"/>
    <w:rsid w:val="17A96653"/>
    <w:rsid w:val="17AA44AA"/>
    <w:rsid w:val="17AA5F28"/>
    <w:rsid w:val="17AA6044"/>
    <w:rsid w:val="17AB5634"/>
    <w:rsid w:val="17AC1CA0"/>
    <w:rsid w:val="17AD199B"/>
    <w:rsid w:val="17AD77C6"/>
    <w:rsid w:val="17B172B6"/>
    <w:rsid w:val="17B40B54"/>
    <w:rsid w:val="17B44FF8"/>
    <w:rsid w:val="17B46C9D"/>
    <w:rsid w:val="17B62B1E"/>
    <w:rsid w:val="17B86896"/>
    <w:rsid w:val="17B92B0F"/>
    <w:rsid w:val="17B9616B"/>
    <w:rsid w:val="17BB6387"/>
    <w:rsid w:val="17BD5C5B"/>
    <w:rsid w:val="17BE19D3"/>
    <w:rsid w:val="17BE4986"/>
    <w:rsid w:val="17BE7C25"/>
    <w:rsid w:val="17BF0CAB"/>
    <w:rsid w:val="17C074F9"/>
    <w:rsid w:val="17C214C3"/>
    <w:rsid w:val="17C3523B"/>
    <w:rsid w:val="17C36FE9"/>
    <w:rsid w:val="17C50FB3"/>
    <w:rsid w:val="17C70888"/>
    <w:rsid w:val="17CA65CA"/>
    <w:rsid w:val="17CC0594"/>
    <w:rsid w:val="17CD1C16"/>
    <w:rsid w:val="17CE60BA"/>
    <w:rsid w:val="17CF1E32"/>
    <w:rsid w:val="17D2722C"/>
    <w:rsid w:val="17D411F6"/>
    <w:rsid w:val="17D47448"/>
    <w:rsid w:val="17D64F6F"/>
    <w:rsid w:val="17D66D1D"/>
    <w:rsid w:val="17D80170"/>
    <w:rsid w:val="17D97528"/>
    <w:rsid w:val="17DD00AB"/>
    <w:rsid w:val="17DD454F"/>
    <w:rsid w:val="17DE1F0A"/>
    <w:rsid w:val="17E05CBA"/>
    <w:rsid w:val="17E256C1"/>
    <w:rsid w:val="17E31439"/>
    <w:rsid w:val="17E458DD"/>
    <w:rsid w:val="17E53404"/>
    <w:rsid w:val="17E7097F"/>
    <w:rsid w:val="17E70F2A"/>
    <w:rsid w:val="17E7717C"/>
    <w:rsid w:val="17E81F55"/>
    <w:rsid w:val="17EA27C8"/>
    <w:rsid w:val="17EC02EE"/>
    <w:rsid w:val="17EF6030"/>
    <w:rsid w:val="17F11DA8"/>
    <w:rsid w:val="17F13B56"/>
    <w:rsid w:val="17F17FFA"/>
    <w:rsid w:val="17F673BF"/>
    <w:rsid w:val="17FA6EAF"/>
    <w:rsid w:val="17FB2C27"/>
    <w:rsid w:val="17FB49D5"/>
    <w:rsid w:val="17FD074D"/>
    <w:rsid w:val="17FD24FB"/>
    <w:rsid w:val="17FF2717"/>
    <w:rsid w:val="17FF6273"/>
    <w:rsid w:val="18031054"/>
    <w:rsid w:val="18032795"/>
    <w:rsid w:val="18037057"/>
    <w:rsid w:val="18041ADC"/>
    <w:rsid w:val="1804388A"/>
    <w:rsid w:val="180516B5"/>
    <w:rsid w:val="180679D5"/>
    <w:rsid w:val="180715CC"/>
    <w:rsid w:val="18090EA0"/>
    <w:rsid w:val="180970F2"/>
    <w:rsid w:val="180B10BC"/>
    <w:rsid w:val="180C273E"/>
    <w:rsid w:val="180D4CD7"/>
    <w:rsid w:val="180E12C2"/>
    <w:rsid w:val="18100480"/>
    <w:rsid w:val="181141F9"/>
    <w:rsid w:val="18115FA7"/>
    <w:rsid w:val="18117D55"/>
    <w:rsid w:val="18130B49"/>
    <w:rsid w:val="18137F71"/>
    <w:rsid w:val="18153469"/>
    <w:rsid w:val="18155A97"/>
    <w:rsid w:val="181635BD"/>
    <w:rsid w:val="18167A61"/>
    <w:rsid w:val="18185587"/>
    <w:rsid w:val="181A2EB4"/>
    <w:rsid w:val="181B0BD3"/>
    <w:rsid w:val="181D2B9D"/>
    <w:rsid w:val="181D494B"/>
    <w:rsid w:val="181F6915"/>
    <w:rsid w:val="182061EA"/>
    <w:rsid w:val="182201B4"/>
    <w:rsid w:val="18251A52"/>
    <w:rsid w:val="18273A1C"/>
    <w:rsid w:val="18291542"/>
    <w:rsid w:val="182932F0"/>
    <w:rsid w:val="182B52BA"/>
    <w:rsid w:val="182C2DE0"/>
    <w:rsid w:val="182E4DAB"/>
    <w:rsid w:val="182F467F"/>
    <w:rsid w:val="18300B23"/>
    <w:rsid w:val="183323C1"/>
    <w:rsid w:val="18335F1D"/>
    <w:rsid w:val="183775BA"/>
    <w:rsid w:val="18381785"/>
    <w:rsid w:val="183C74C7"/>
    <w:rsid w:val="183D3240"/>
    <w:rsid w:val="183F0D66"/>
    <w:rsid w:val="1840688C"/>
    <w:rsid w:val="18426B32"/>
    <w:rsid w:val="18461C5A"/>
    <w:rsid w:val="18495740"/>
    <w:rsid w:val="184B14B9"/>
    <w:rsid w:val="184B770B"/>
    <w:rsid w:val="184C3483"/>
    <w:rsid w:val="184C5231"/>
    <w:rsid w:val="184E71FB"/>
    <w:rsid w:val="184F4A8A"/>
    <w:rsid w:val="1850222C"/>
    <w:rsid w:val="18502F73"/>
    <w:rsid w:val="185145F5"/>
    <w:rsid w:val="18552337"/>
    <w:rsid w:val="185540E5"/>
    <w:rsid w:val="185760AF"/>
    <w:rsid w:val="18583BD5"/>
    <w:rsid w:val="185A16FC"/>
    <w:rsid w:val="185C1918"/>
    <w:rsid w:val="185C36C6"/>
    <w:rsid w:val="185E30EF"/>
    <w:rsid w:val="185F4F64"/>
    <w:rsid w:val="18622CA6"/>
    <w:rsid w:val="1863482C"/>
    <w:rsid w:val="18641B32"/>
    <w:rsid w:val="1864257A"/>
    <w:rsid w:val="18644328"/>
    <w:rsid w:val="186662F2"/>
    <w:rsid w:val="18695DE3"/>
    <w:rsid w:val="186A4292"/>
    <w:rsid w:val="186B1B5B"/>
    <w:rsid w:val="186B3909"/>
    <w:rsid w:val="186C7681"/>
    <w:rsid w:val="186D58D3"/>
    <w:rsid w:val="186E5950"/>
    <w:rsid w:val="186F6C45"/>
    <w:rsid w:val="18736C61"/>
    <w:rsid w:val="187529D9"/>
    <w:rsid w:val="18773C95"/>
    <w:rsid w:val="18786807"/>
    <w:rsid w:val="187A7FF0"/>
    <w:rsid w:val="187C5B16"/>
    <w:rsid w:val="18822A00"/>
    <w:rsid w:val="18826EA4"/>
    <w:rsid w:val="188350F6"/>
    <w:rsid w:val="188449CB"/>
    <w:rsid w:val="188744BB"/>
    <w:rsid w:val="18874ECB"/>
    <w:rsid w:val="18876269"/>
    <w:rsid w:val="18890233"/>
    <w:rsid w:val="18891FE1"/>
    <w:rsid w:val="188B5D59"/>
    <w:rsid w:val="188D1AD1"/>
    <w:rsid w:val="188E0A8C"/>
    <w:rsid w:val="18925339"/>
    <w:rsid w:val="18927CB6"/>
    <w:rsid w:val="18980476"/>
    <w:rsid w:val="18982224"/>
    <w:rsid w:val="1898547C"/>
    <w:rsid w:val="189B3AC2"/>
    <w:rsid w:val="189D783A"/>
    <w:rsid w:val="189F624C"/>
    <w:rsid w:val="189F7A56"/>
    <w:rsid w:val="18A137CE"/>
    <w:rsid w:val="18A20392"/>
    <w:rsid w:val="18A312F5"/>
    <w:rsid w:val="18A4506D"/>
    <w:rsid w:val="18A50454"/>
    <w:rsid w:val="18A64941"/>
    <w:rsid w:val="18A706B9"/>
    <w:rsid w:val="18AB1F57"/>
    <w:rsid w:val="18AF5EEB"/>
    <w:rsid w:val="18B03A11"/>
    <w:rsid w:val="18B057C0"/>
    <w:rsid w:val="18B27F3E"/>
    <w:rsid w:val="18B52DD6"/>
    <w:rsid w:val="18B54B84"/>
    <w:rsid w:val="18B74DA0"/>
    <w:rsid w:val="18B76B4E"/>
    <w:rsid w:val="18B77C98"/>
    <w:rsid w:val="18B95787"/>
    <w:rsid w:val="18BC23B6"/>
    <w:rsid w:val="18BC4164"/>
    <w:rsid w:val="18BF0FFB"/>
    <w:rsid w:val="18BF1EA7"/>
    <w:rsid w:val="18C1177B"/>
    <w:rsid w:val="18C1391B"/>
    <w:rsid w:val="18C4126B"/>
    <w:rsid w:val="18C439DD"/>
    <w:rsid w:val="18C70C1D"/>
    <w:rsid w:val="18C82B09"/>
    <w:rsid w:val="18C94AD3"/>
    <w:rsid w:val="18CB216F"/>
    <w:rsid w:val="18CC0A2E"/>
    <w:rsid w:val="18CE5F1F"/>
    <w:rsid w:val="18D019BE"/>
    <w:rsid w:val="18D05E62"/>
    <w:rsid w:val="18D3325C"/>
    <w:rsid w:val="18D45952"/>
    <w:rsid w:val="18D53221"/>
    <w:rsid w:val="18D70712"/>
    <w:rsid w:val="18D70F9E"/>
    <w:rsid w:val="18D92F68"/>
    <w:rsid w:val="18D94D16"/>
    <w:rsid w:val="18DA0A8E"/>
    <w:rsid w:val="18DA6CE0"/>
    <w:rsid w:val="18DC65B5"/>
    <w:rsid w:val="18DD40DB"/>
    <w:rsid w:val="18DE057F"/>
    <w:rsid w:val="18DE232D"/>
    <w:rsid w:val="18DF60A5"/>
    <w:rsid w:val="18DF7E53"/>
    <w:rsid w:val="18E13D43"/>
    <w:rsid w:val="18E25825"/>
    <w:rsid w:val="18E26F66"/>
    <w:rsid w:val="18E436BB"/>
    <w:rsid w:val="18E52D16"/>
    <w:rsid w:val="18E65685"/>
    <w:rsid w:val="18E75636"/>
    <w:rsid w:val="18E81C7B"/>
    <w:rsid w:val="18E84F59"/>
    <w:rsid w:val="18E86D07"/>
    <w:rsid w:val="18EA6F23"/>
    <w:rsid w:val="18EB4A4A"/>
    <w:rsid w:val="18EB67F8"/>
    <w:rsid w:val="18ED07C2"/>
    <w:rsid w:val="18ED4079"/>
    <w:rsid w:val="18ED431E"/>
    <w:rsid w:val="18EE0096"/>
    <w:rsid w:val="18F02060"/>
    <w:rsid w:val="18F2402A"/>
    <w:rsid w:val="18F338FE"/>
    <w:rsid w:val="18F356AC"/>
    <w:rsid w:val="18F5280B"/>
    <w:rsid w:val="18F558C8"/>
    <w:rsid w:val="18F7519C"/>
    <w:rsid w:val="18F845CE"/>
    <w:rsid w:val="18F953B8"/>
    <w:rsid w:val="18FA6A3B"/>
    <w:rsid w:val="18FE29CF"/>
    <w:rsid w:val="18FF4051"/>
    <w:rsid w:val="19001A9D"/>
    <w:rsid w:val="1901601B"/>
    <w:rsid w:val="19045B0B"/>
    <w:rsid w:val="19063631"/>
    <w:rsid w:val="19067AD5"/>
    <w:rsid w:val="19091A44"/>
    <w:rsid w:val="190B50EC"/>
    <w:rsid w:val="190D2C12"/>
    <w:rsid w:val="190D49C0"/>
    <w:rsid w:val="191109D1"/>
    <w:rsid w:val="19121FD6"/>
    <w:rsid w:val="1912647A"/>
    <w:rsid w:val="19137AFC"/>
    <w:rsid w:val="19145D4E"/>
    <w:rsid w:val="19151AC7"/>
    <w:rsid w:val="19156D6C"/>
    <w:rsid w:val="19157D18"/>
    <w:rsid w:val="191904C5"/>
    <w:rsid w:val="19193365"/>
    <w:rsid w:val="191A4E8D"/>
    <w:rsid w:val="191E2EA7"/>
    <w:rsid w:val="1921046B"/>
    <w:rsid w:val="192301F3"/>
    <w:rsid w:val="192455D8"/>
    <w:rsid w:val="192561AE"/>
    <w:rsid w:val="19257F5C"/>
    <w:rsid w:val="19263CD4"/>
    <w:rsid w:val="1926420A"/>
    <w:rsid w:val="192835A8"/>
    <w:rsid w:val="19286B2A"/>
    <w:rsid w:val="19297320"/>
    <w:rsid w:val="192A37C4"/>
    <w:rsid w:val="192B4E46"/>
    <w:rsid w:val="192D0BBE"/>
    <w:rsid w:val="192F2B88"/>
    <w:rsid w:val="19341F4D"/>
    <w:rsid w:val="193463F1"/>
    <w:rsid w:val="19351C0F"/>
    <w:rsid w:val="19353F17"/>
    <w:rsid w:val="19355CC5"/>
    <w:rsid w:val="19362169"/>
    <w:rsid w:val="19377C8F"/>
    <w:rsid w:val="193A32DB"/>
    <w:rsid w:val="193C4FA0"/>
    <w:rsid w:val="193E101D"/>
    <w:rsid w:val="19404D95"/>
    <w:rsid w:val="19406B43"/>
    <w:rsid w:val="1941466A"/>
    <w:rsid w:val="194303E2"/>
    <w:rsid w:val="19445F08"/>
    <w:rsid w:val="194523AC"/>
    <w:rsid w:val="19467ED2"/>
    <w:rsid w:val="194720B3"/>
    <w:rsid w:val="19481E9C"/>
    <w:rsid w:val="19483C4A"/>
    <w:rsid w:val="194A1770"/>
    <w:rsid w:val="194A79C2"/>
    <w:rsid w:val="194E1132"/>
    <w:rsid w:val="194E250F"/>
    <w:rsid w:val="194E380A"/>
    <w:rsid w:val="194F4FD8"/>
    <w:rsid w:val="194F6D87"/>
    <w:rsid w:val="19502AFF"/>
    <w:rsid w:val="19503165"/>
    <w:rsid w:val="195048A6"/>
    <w:rsid w:val="19516FA3"/>
    <w:rsid w:val="195425EF"/>
    <w:rsid w:val="1954439D"/>
    <w:rsid w:val="19570331"/>
    <w:rsid w:val="19573E8D"/>
    <w:rsid w:val="19595E57"/>
    <w:rsid w:val="195A6DE8"/>
    <w:rsid w:val="195B19B9"/>
    <w:rsid w:val="195B1BCF"/>
    <w:rsid w:val="195D67D0"/>
    <w:rsid w:val="195D6EAA"/>
    <w:rsid w:val="195E346D"/>
    <w:rsid w:val="195E6FCA"/>
    <w:rsid w:val="19600F94"/>
    <w:rsid w:val="196071E6"/>
    <w:rsid w:val="19614D0C"/>
    <w:rsid w:val="19622356"/>
    <w:rsid w:val="19626CBB"/>
    <w:rsid w:val="19632832"/>
    <w:rsid w:val="19650358"/>
    <w:rsid w:val="196547FC"/>
    <w:rsid w:val="196A0064"/>
    <w:rsid w:val="196A1E12"/>
    <w:rsid w:val="196F7429"/>
    <w:rsid w:val="19706CFD"/>
    <w:rsid w:val="19726F19"/>
    <w:rsid w:val="197310D0"/>
    <w:rsid w:val="19742560"/>
    <w:rsid w:val="19742C91"/>
    <w:rsid w:val="19744A3F"/>
    <w:rsid w:val="197467ED"/>
    <w:rsid w:val="19766A09"/>
    <w:rsid w:val="1977008B"/>
    <w:rsid w:val="1977452F"/>
    <w:rsid w:val="19793E03"/>
    <w:rsid w:val="197A73AC"/>
    <w:rsid w:val="197B401F"/>
    <w:rsid w:val="197C1B46"/>
    <w:rsid w:val="197C38F4"/>
    <w:rsid w:val="197E58BE"/>
    <w:rsid w:val="198033E4"/>
    <w:rsid w:val="198253AE"/>
    <w:rsid w:val="19832ED4"/>
    <w:rsid w:val="198509FA"/>
    <w:rsid w:val="19882298"/>
    <w:rsid w:val="19890BA0"/>
    <w:rsid w:val="198A4263"/>
    <w:rsid w:val="198D5B01"/>
    <w:rsid w:val="199005F8"/>
    <w:rsid w:val="19921369"/>
    <w:rsid w:val="19940409"/>
    <w:rsid w:val="19962C07"/>
    <w:rsid w:val="199926F8"/>
    <w:rsid w:val="199B021E"/>
    <w:rsid w:val="199B6470"/>
    <w:rsid w:val="199C5D44"/>
    <w:rsid w:val="199D3F96"/>
    <w:rsid w:val="199E1ABC"/>
    <w:rsid w:val="199E386A"/>
    <w:rsid w:val="199F408C"/>
    <w:rsid w:val="19A10290"/>
    <w:rsid w:val="19A1335A"/>
    <w:rsid w:val="19A215AC"/>
    <w:rsid w:val="19A370D2"/>
    <w:rsid w:val="19A5109C"/>
    <w:rsid w:val="19A60971"/>
    <w:rsid w:val="19A63F5F"/>
    <w:rsid w:val="19A74E14"/>
    <w:rsid w:val="19A8293B"/>
    <w:rsid w:val="19A846E9"/>
    <w:rsid w:val="19A90B8D"/>
    <w:rsid w:val="19AD1CFF"/>
    <w:rsid w:val="19AE61A3"/>
    <w:rsid w:val="19B1359D"/>
    <w:rsid w:val="19B22502"/>
    <w:rsid w:val="19B27315"/>
    <w:rsid w:val="19B32CDE"/>
    <w:rsid w:val="19B47531"/>
    <w:rsid w:val="19B65058"/>
    <w:rsid w:val="19B72B7E"/>
    <w:rsid w:val="19B74EE4"/>
    <w:rsid w:val="19B86374"/>
    <w:rsid w:val="19B968F6"/>
    <w:rsid w:val="19BA6DAC"/>
    <w:rsid w:val="19BB4CF5"/>
    <w:rsid w:val="19BD63E6"/>
    <w:rsid w:val="19BE3F0C"/>
    <w:rsid w:val="19BE5CBA"/>
    <w:rsid w:val="19BF18FC"/>
    <w:rsid w:val="19C05321"/>
    <w:rsid w:val="19C534ED"/>
    <w:rsid w:val="19C5529B"/>
    <w:rsid w:val="19C61E08"/>
    <w:rsid w:val="19C72DC1"/>
    <w:rsid w:val="19C92FDD"/>
    <w:rsid w:val="19C972F9"/>
    <w:rsid w:val="19CC03D7"/>
    <w:rsid w:val="19CC487B"/>
    <w:rsid w:val="19CC6629"/>
    <w:rsid w:val="19CD1CDB"/>
    <w:rsid w:val="19D159ED"/>
    <w:rsid w:val="19D41982"/>
    <w:rsid w:val="19D618FD"/>
    <w:rsid w:val="19D674A8"/>
    <w:rsid w:val="19D70BFB"/>
    <w:rsid w:val="19D90D46"/>
    <w:rsid w:val="19DB061A"/>
    <w:rsid w:val="19DB42DF"/>
    <w:rsid w:val="19DB686C"/>
    <w:rsid w:val="19DC4392"/>
    <w:rsid w:val="19DC627D"/>
    <w:rsid w:val="19DD0836"/>
    <w:rsid w:val="19DD6BFF"/>
    <w:rsid w:val="19E27BFB"/>
    <w:rsid w:val="19E33973"/>
    <w:rsid w:val="19E35721"/>
    <w:rsid w:val="19E41BC5"/>
    <w:rsid w:val="19E51499"/>
    <w:rsid w:val="19E56821"/>
    <w:rsid w:val="19E576EB"/>
    <w:rsid w:val="19E716B5"/>
    <w:rsid w:val="19EA4D01"/>
    <w:rsid w:val="19EB3DD4"/>
    <w:rsid w:val="19EC0A79"/>
    <w:rsid w:val="19EC2827"/>
    <w:rsid w:val="19EE47F1"/>
    <w:rsid w:val="19EF1013"/>
    <w:rsid w:val="19EF40C6"/>
    <w:rsid w:val="19F142E2"/>
    <w:rsid w:val="19F17E3E"/>
    <w:rsid w:val="19F27994"/>
    <w:rsid w:val="19F33BB6"/>
    <w:rsid w:val="19F636A6"/>
    <w:rsid w:val="19F97867"/>
    <w:rsid w:val="19FB0CBC"/>
    <w:rsid w:val="19FB2A6A"/>
    <w:rsid w:val="19FD2C86"/>
    <w:rsid w:val="19FD4A34"/>
    <w:rsid w:val="19FE07AD"/>
    <w:rsid w:val="19FE7678"/>
    <w:rsid w:val="1A002777"/>
    <w:rsid w:val="1A037B71"/>
    <w:rsid w:val="1A045DC3"/>
    <w:rsid w:val="1A051B3B"/>
    <w:rsid w:val="1A0538E9"/>
    <w:rsid w:val="1A0758B3"/>
    <w:rsid w:val="1A085187"/>
    <w:rsid w:val="1A0933D9"/>
    <w:rsid w:val="1A0A70AB"/>
    <w:rsid w:val="1A0C4C78"/>
    <w:rsid w:val="1A0D279E"/>
    <w:rsid w:val="1A0F29BA"/>
    <w:rsid w:val="1A0F4768"/>
    <w:rsid w:val="1A11228E"/>
    <w:rsid w:val="1A116732"/>
    <w:rsid w:val="1A1324AA"/>
    <w:rsid w:val="1A163D48"/>
    <w:rsid w:val="1A165AF6"/>
    <w:rsid w:val="1A197394"/>
    <w:rsid w:val="1A1A55E6"/>
    <w:rsid w:val="1A1B135F"/>
    <w:rsid w:val="1A1C66C0"/>
    <w:rsid w:val="1A1D0C33"/>
    <w:rsid w:val="1A1F0E4F"/>
    <w:rsid w:val="1A200723"/>
    <w:rsid w:val="1A2024D1"/>
    <w:rsid w:val="1A22449B"/>
    <w:rsid w:val="1A231FC1"/>
    <w:rsid w:val="1A2553F4"/>
    <w:rsid w:val="1A271AB1"/>
    <w:rsid w:val="1A2C356C"/>
    <w:rsid w:val="1A2C70C8"/>
    <w:rsid w:val="1A2E1092"/>
    <w:rsid w:val="1A2E2E40"/>
    <w:rsid w:val="1A2E4BEE"/>
    <w:rsid w:val="1A2F0966"/>
    <w:rsid w:val="1A2F6BB8"/>
    <w:rsid w:val="1A3348FA"/>
    <w:rsid w:val="1A334C4E"/>
    <w:rsid w:val="1A367F46"/>
    <w:rsid w:val="1A381F10"/>
    <w:rsid w:val="1A3B4A49"/>
    <w:rsid w:val="1A3B555D"/>
    <w:rsid w:val="1A3D3083"/>
    <w:rsid w:val="1A3E4B0B"/>
    <w:rsid w:val="1A3F329F"/>
    <w:rsid w:val="1A3F6DFB"/>
    <w:rsid w:val="1A42393B"/>
    <w:rsid w:val="1A44251C"/>
    <w:rsid w:val="1A450189"/>
    <w:rsid w:val="1A46462D"/>
    <w:rsid w:val="1A473F02"/>
    <w:rsid w:val="1A475CB0"/>
    <w:rsid w:val="1A4A2559"/>
    <w:rsid w:val="1A4B1C44"/>
    <w:rsid w:val="1A4E4600"/>
    <w:rsid w:val="1A4E703E"/>
    <w:rsid w:val="1A50725A"/>
    <w:rsid w:val="1A512FD2"/>
    <w:rsid w:val="1A525246"/>
    <w:rsid w:val="1A5403CD"/>
    <w:rsid w:val="1A552D92"/>
    <w:rsid w:val="1A55661F"/>
    <w:rsid w:val="1A5756B2"/>
    <w:rsid w:val="1A584361"/>
    <w:rsid w:val="1A587EBD"/>
    <w:rsid w:val="1A590737"/>
    <w:rsid w:val="1A5B175B"/>
    <w:rsid w:val="1A5C0094"/>
    <w:rsid w:val="1A5D54D3"/>
    <w:rsid w:val="1A5F56EF"/>
    <w:rsid w:val="1A613215"/>
    <w:rsid w:val="1A623E6B"/>
    <w:rsid w:val="1A626F8D"/>
    <w:rsid w:val="1A652887"/>
    <w:rsid w:val="1A655860"/>
    <w:rsid w:val="1A657CB6"/>
    <w:rsid w:val="1A663D17"/>
    <w:rsid w:val="1A681208"/>
    <w:rsid w:val="1A6920CA"/>
    <w:rsid w:val="1A693E78"/>
    <w:rsid w:val="1A697AC7"/>
    <w:rsid w:val="1A6A7BF0"/>
    <w:rsid w:val="1A6B4094"/>
    <w:rsid w:val="1A6F016E"/>
    <w:rsid w:val="1A705206"/>
    <w:rsid w:val="1A7222BA"/>
    <w:rsid w:val="1A725422"/>
    <w:rsid w:val="1A750A6F"/>
    <w:rsid w:val="1A7647E7"/>
    <w:rsid w:val="1A766595"/>
    <w:rsid w:val="1A772A39"/>
    <w:rsid w:val="1A7840BB"/>
    <w:rsid w:val="1A7A42D7"/>
    <w:rsid w:val="1A7A6085"/>
    <w:rsid w:val="1A7A7E33"/>
    <w:rsid w:val="1A7C004F"/>
    <w:rsid w:val="1A7D3DC7"/>
    <w:rsid w:val="1A7D7923"/>
    <w:rsid w:val="1A7E714F"/>
    <w:rsid w:val="1A7F48BE"/>
    <w:rsid w:val="1A824F3A"/>
    <w:rsid w:val="1A840CB2"/>
    <w:rsid w:val="1A8446CF"/>
    <w:rsid w:val="1A845156"/>
    <w:rsid w:val="1A846F04"/>
    <w:rsid w:val="1A861BC0"/>
    <w:rsid w:val="1A8707A2"/>
    <w:rsid w:val="1A89276C"/>
    <w:rsid w:val="1A89451A"/>
    <w:rsid w:val="1A8962C8"/>
    <w:rsid w:val="1A8B19D1"/>
    <w:rsid w:val="1A8B2040"/>
    <w:rsid w:val="1A8B20C2"/>
    <w:rsid w:val="1A8C400A"/>
    <w:rsid w:val="1A8E38DF"/>
    <w:rsid w:val="1A903AFB"/>
    <w:rsid w:val="1A907657"/>
    <w:rsid w:val="1A9133CF"/>
    <w:rsid w:val="1A91517D"/>
    <w:rsid w:val="1A941C24"/>
    <w:rsid w:val="1A9441C4"/>
    <w:rsid w:val="1A951111"/>
    <w:rsid w:val="1A952EBF"/>
    <w:rsid w:val="1A9609E5"/>
    <w:rsid w:val="1A974E89"/>
    <w:rsid w:val="1A98475D"/>
    <w:rsid w:val="1A9A04D5"/>
    <w:rsid w:val="1A9B3947"/>
    <w:rsid w:val="1A9F12D7"/>
    <w:rsid w:val="1A9F5AEC"/>
    <w:rsid w:val="1AA03612"/>
    <w:rsid w:val="1AA2382E"/>
    <w:rsid w:val="1AA27C58"/>
    <w:rsid w:val="1AA475A6"/>
    <w:rsid w:val="1AAB4490"/>
    <w:rsid w:val="1AAB623F"/>
    <w:rsid w:val="1AAC0209"/>
    <w:rsid w:val="1AAD45DE"/>
    <w:rsid w:val="1AAE3F81"/>
    <w:rsid w:val="1AAE5D2F"/>
    <w:rsid w:val="1AB02072"/>
    <w:rsid w:val="1AB05F4B"/>
    <w:rsid w:val="1AB162BD"/>
    <w:rsid w:val="1AB175CD"/>
    <w:rsid w:val="1AB377E9"/>
    <w:rsid w:val="1AB534FD"/>
    <w:rsid w:val="1AB53561"/>
    <w:rsid w:val="1AB62E35"/>
    <w:rsid w:val="1AB84DFF"/>
    <w:rsid w:val="1ABA46D4"/>
    <w:rsid w:val="1ABC48F0"/>
    <w:rsid w:val="1ABF618E"/>
    <w:rsid w:val="1ABF7F3C"/>
    <w:rsid w:val="1AC06E80"/>
    <w:rsid w:val="1AC217DA"/>
    <w:rsid w:val="1AC27A2C"/>
    <w:rsid w:val="1AC437A4"/>
    <w:rsid w:val="1AC473D9"/>
    <w:rsid w:val="1AC76DF0"/>
    <w:rsid w:val="1AC9700C"/>
    <w:rsid w:val="1ACB68E1"/>
    <w:rsid w:val="1ACF03B6"/>
    <w:rsid w:val="1AD05CA5"/>
    <w:rsid w:val="1AD255F6"/>
    <w:rsid w:val="1AD25EC1"/>
    <w:rsid w:val="1AD27C6F"/>
    <w:rsid w:val="1AD339E7"/>
    <w:rsid w:val="1AD556B8"/>
    <w:rsid w:val="1ADC289C"/>
    <w:rsid w:val="1ADC6D40"/>
    <w:rsid w:val="1ADD6614"/>
    <w:rsid w:val="1ADF05DE"/>
    <w:rsid w:val="1ADF238C"/>
    <w:rsid w:val="1AE23C2A"/>
    <w:rsid w:val="1AE259D8"/>
    <w:rsid w:val="1AE300CE"/>
    <w:rsid w:val="1AE60328"/>
    <w:rsid w:val="1AE6196C"/>
    <w:rsid w:val="1AE6371B"/>
    <w:rsid w:val="1AE94FB9"/>
    <w:rsid w:val="1AEA387D"/>
    <w:rsid w:val="1AEB0D31"/>
    <w:rsid w:val="1AEB63A0"/>
    <w:rsid w:val="1AEB6F83"/>
    <w:rsid w:val="1AEC6857"/>
    <w:rsid w:val="1AED4AA9"/>
    <w:rsid w:val="1AEE0821"/>
    <w:rsid w:val="1AEF6A73"/>
    <w:rsid w:val="1AF04599"/>
    <w:rsid w:val="1AF1477C"/>
    <w:rsid w:val="1AF17E84"/>
    <w:rsid w:val="1AF20311"/>
    <w:rsid w:val="1AF220BF"/>
    <w:rsid w:val="1AF23E6D"/>
    <w:rsid w:val="1AF2632B"/>
    <w:rsid w:val="1AF271EC"/>
    <w:rsid w:val="1AF35E37"/>
    <w:rsid w:val="1AF37BE5"/>
    <w:rsid w:val="1AF44089"/>
    <w:rsid w:val="1AF51BB0"/>
    <w:rsid w:val="1AF520D1"/>
    <w:rsid w:val="1AF55D9F"/>
    <w:rsid w:val="1AF71484"/>
    <w:rsid w:val="1AFA3372"/>
    <w:rsid w:val="1AFA5418"/>
    <w:rsid w:val="1AFC2F3E"/>
    <w:rsid w:val="1AFD0A64"/>
    <w:rsid w:val="1AFD1CF3"/>
    <w:rsid w:val="1AFD7122"/>
    <w:rsid w:val="1AFE6CB6"/>
    <w:rsid w:val="1AFF2A2E"/>
    <w:rsid w:val="1B011B04"/>
    <w:rsid w:val="1B012302"/>
    <w:rsid w:val="1B0167A6"/>
    <w:rsid w:val="1B046F80"/>
    <w:rsid w:val="1B050485"/>
    <w:rsid w:val="1B063DBD"/>
    <w:rsid w:val="1B0644E6"/>
    <w:rsid w:val="1B067919"/>
    <w:rsid w:val="1B0818E3"/>
    <w:rsid w:val="1B083691"/>
    <w:rsid w:val="1B0C6C17"/>
    <w:rsid w:val="1B0D514B"/>
    <w:rsid w:val="1B0E2C71"/>
    <w:rsid w:val="1B0F0EC3"/>
    <w:rsid w:val="1B100797"/>
    <w:rsid w:val="1B102545"/>
    <w:rsid w:val="1B124510"/>
    <w:rsid w:val="1B154000"/>
    <w:rsid w:val="1B157B5C"/>
    <w:rsid w:val="1B1738D4"/>
    <w:rsid w:val="1B193AF0"/>
    <w:rsid w:val="1B19589E"/>
    <w:rsid w:val="1B1A7868"/>
    <w:rsid w:val="1B1B5147"/>
    <w:rsid w:val="1B1B527C"/>
    <w:rsid w:val="1B1C538E"/>
    <w:rsid w:val="1B1D7DD3"/>
    <w:rsid w:val="1B1E1106"/>
    <w:rsid w:val="1B1F09DB"/>
    <w:rsid w:val="1B21651D"/>
    <w:rsid w:val="1B2210BB"/>
    <w:rsid w:val="1B222279"/>
    <w:rsid w:val="1B244243"/>
    <w:rsid w:val="1B260EFF"/>
    <w:rsid w:val="1B261D69"/>
    <w:rsid w:val="1B283D33"/>
    <w:rsid w:val="1B285AE1"/>
    <w:rsid w:val="1B28788F"/>
    <w:rsid w:val="1B293607"/>
    <w:rsid w:val="1B2B55D1"/>
    <w:rsid w:val="1B2C00EA"/>
    <w:rsid w:val="1B2E0B21"/>
    <w:rsid w:val="1B2E0C1E"/>
    <w:rsid w:val="1B2E6E70"/>
    <w:rsid w:val="1B2F36F2"/>
    <w:rsid w:val="1B304996"/>
    <w:rsid w:val="1B3267B5"/>
    <w:rsid w:val="1B326960"/>
    <w:rsid w:val="1B3274A2"/>
    <w:rsid w:val="1B34092A"/>
    <w:rsid w:val="1B351FAC"/>
    <w:rsid w:val="1B3721C8"/>
    <w:rsid w:val="1B395F40"/>
    <w:rsid w:val="1B3A5EC8"/>
    <w:rsid w:val="1B3A75C2"/>
    <w:rsid w:val="1B3C158C"/>
    <w:rsid w:val="1B3E0616"/>
    <w:rsid w:val="1B3E3557"/>
    <w:rsid w:val="1B3F2E2B"/>
    <w:rsid w:val="1B3F31E7"/>
    <w:rsid w:val="1B4008A0"/>
    <w:rsid w:val="1B40161D"/>
    <w:rsid w:val="1B410951"/>
    <w:rsid w:val="1B416BA3"/>
    <w:rsid w:val="1B416F97"/>
    <w:rsid w:val="1B420427"/>
    <w:rsid w:val="1B43291B"/>
    <w:rsid w:val="1B441859"/>
    <w:rsid w:val="1B446693"/>
    <w:rsid w:val="1B4548E5"/>
    <w:rsid w:val="1B481CDF"/>
    <w:rsid w:val="1B484299"/>
    <w:rsid w:val="1B4A1EFB"/>
    <w:rsid w:val="1B4A3CA9"/>
    <w:rsid w:val="1B4B7A22"/>
    <w:rsid w:val="1B4D5548"/>
    <w:rsid w:val="1B4E306E"/>
    <w:rsid w:val="1B4F12C0"/>
    <w:rsid w:val="1B5055FC"/>
    <w:rsid w:val="1B506DE6"/>
    <w:rsid w:val="1B520DB0"/>
    <w:rsid w:val="1B522B5E"/>
    <w:rsid w:val="1B5468D6"/>
    <w:rsid w:val="1B5728FE"/>
    <w:rsid w:val="1B5763C6"/>
    <w:rsid w:val="1B590390"/>
    <w:rsid w:val="1B5932F5"/>
    <w:rsid w:val="1B5A7C65"/>
    <w:rsid w:val="1B5C39DD"/>
    <w:rsid w:val="1B5E1503"/>
    <w:rsid w:val="1B5F527B"/>
    <w:rsid w:val="1B617245"/>
    <w:rsid w:val="1B624E40"/>
    <w:rsid w:val="1B634D6B"/>
    <w:rsid w:val="1B642891"/>
    <w:rsid w:val="1B650AE3"/>
    <w:rsid w:val="1B6606B1"/>
    <w:rsid w:val="1B662AAD"/>
    <w:rsid w:val="1B66485B"/>
    <w:rsid w:val="1B6760A0"/>
    <w:rsid w:val="1B684130"/>
    <w:rsid w:val="1B6B1E72"/>
    <w:rsid w:val="1B6B3C20"/>
    <w:rsid w:val="1B6C00C4"/>
    <w:rsid w:val="1B6D7998"/>
    <w:rsid w:val="1B6E22EC"/>
    <w:rsid w:val="1B6F54BE"/>
    <w:rsid w:val="1B702014"/>
    <w:rsid w:val="1B706113"/>
    <w:rsid w:val="1B707488"/>
    <w:rsid w:val="1B721452"/>
    <w:rsid w:val="1B746F78"/>
    <w:rsid w:val="1B75684C"/>
    <w:rsid w:val="1B767316"/>
    <w:rsid w:val="1B7725C5"/>
    <w:rsid w:val="1B7900EB"/>
    <w:rsid w:val="1B7927E1"/>
    <w:rsid w:val="1B79633D"/>
    <w:rsid w:val="1B7A3E63"/>
    <w:rsid w:val="1B7C407F"/>
    <w:rsid w:val="1B7E3953"/>
    <w:rsid w:val="1B7E7DF7"/>
    <w:rsid w:val="1B811695"/>
    <w:rsid w:val="1B8371BB"/>
    <w:rsid w:val="1B851185"/>
    <w:rsid w:val="1B854CE1"/>
    <w:rsid w:val="1B862808"/>
    <w:rsid w:val="1B8847D2"/>
    <w:rsid w:val="1B886580"/>
    <w:rsid w:val="1B8A054A"/>
    <w:rsid w:val="1B8A22F8"/>
    <w:rsid w:val="1B8D1DE8"/>
    <w:rsid w:val="1B8F3DB2"/>
    <w:rsid w:val="1B8F5B60"/>
    <w:rsid w:val="1B903686"/>
    <w:rsid w:val="1B912A8E"/>
    <w:rsid w:val="1B9211AC"/>
    <w:rsid w:val="1B925650"/>
    <w:rsid w:val="1B9273FE"/>
    <w:rsid w:val="1B950C9D"/>
    <w:rsid w:val="1B976543"/>
    <w:rsid w:val="1B99078D"/>
    <w:rsid w:val="1B9B2757"/>
    <w:rsid w:val="1B9C027D"/>
    <w:rsid w:val="1B9C202B"/>
    <w:rsid w:val="1B9C64CF"/>
    <w:rsid w:val="1B9E2247"/>
    <w:rsid w:val="1B9E3FF5"/>
    <w:rsid w:val="1B9E5DA3"/>
    <w:rsid w:val="1BA01B1B"/>
    <w:rsid w:val="1BA07D6D"/>
    <w:rsid w:val="1BA15893"/>
    <w:rsid w:val="1BA3785E"/>
    <w:rsid w:val="1BA50EE0"/>
    <w:rsid w:val="1BA57132"/>
    <w:rsid w:val="1BA809D0"/>
    <w:rsid w:val="1BAA0BEC"/>
    <w:rsid w:val="1BAB226E"/>
    <w:rsid w:val="1BAD5FE6"/>
    <w:rsid w:val="1BB13D28"/>
    <w:rsid w:val="1BB43819"/>
    <w:rsid w:val="1BB630ED"/>
    <w:rsid w:val="1BB76E65"/>
    <w:rsid w:val="1BB92BDD"/>
    <w:rsid w:val="1BBB6E41"/>
    <w:rsid w:val="1BBC447B"/>
    <w:rsid w:val="1BBE036A"/>
    <w:rsid w:val="1BBE6445"/>
    <w:rsid w:val="1BC25F36"/>
    <w:rsid w:val="1BC3580A"/>
    <w:rsid w:val="1BC51582"/>
    <w:rsid w:val="1BC6429E"/>
    <w:rsid w:val="1BC81072"/>
    <w:rsid w:val="1BC872C4"/>
    <w:rsid w:val="1BCA2C1F"/>
    <w:rsid w:val="1BCA303C"/>
    <w:rsid w:val="1BCA6B98"/>
    <w:rsid w:val="1BCD0437"/>
    <w:rsid w:val="1BCD6688"/>
    <w:rsid w:val="1BCF2401"/>
    <w:rsid w:val="1BCF374C"/>
    <w:rsid w:val="1BCF41AF"/>
    <w:rsid w:val="1BD01CD5"/>
    <w:rsid w:val="1BD02C49"/>
    <w:rsid w:val="1BD113B1"/>
    <w:rsid w:val="1BD16179"/>
    <w:rsid w:val="1BD23C9F"/>
    <w:rsid w:val="1BD45C69"/>
    <w:rsid w:val="1BD47A17"/>
    <w:rsid w:val="1BD62010"/>
    <w:rsid w:val="1BD87507"/>
    <w:rsid w:val="1BDC68CC"/>
    <w:rsid w:val="1BDD2D6F"/>
    <w:rsid w:val="1BE0460E"/>
    <w:rsid w:val="1BE22134"/>
    <w:rsid w:val="1BE27765"/>
    <w:rsid w:val="1BE560E6"/>
    <w:rsid w:val="1BE72147"/>
    <w:rsid w:val="1BE835D7"/>
    <w:rsid w:val="1BE85270"/>
    <w:rsid w:val="1BEC6B0F"/>
    <w:rsid w:val="1BED0AD9"/>
    <w:rsid w:val="1BED2887"/>
    <w:rsid w:val="1BEF4851"/>
    <w:rsid w:val="1BF105C9"/>
    <w:rsid w:val="1BF260EF"/>
    <w:rsid w:val="1BF34341"/>
    <w:rsid w:val="1BF41B7A"/>
    <w:rsid w:val="1BF41E67"/>
    <w:rsid w:val="1BF43C15"/>
    <w:rsid w:val="1BF44D9F"/>
    <w:rsid w:val="1BF63E31"/>
    <w:rsid w:val="1BF71C3C"/>
    <w:rsid w:val="1BF73705"/>
    <w:rsid w:val="1BF8455C"/>
    <w:rsid w:val="1BF9122C"/>
    <w:rsid w:val="1BF9712D"/>
    <w:rsid w:val="1BF9747E"/>
    <w:rsid w:val="1BFA2996"/>
    <w:rsid w:val="1BFD436D"/>
    <w:rsid w:val="1BFD6F6E"/>
    <w:rsid w:val="1BFE4A94"/>
    <w:rsid w:val="1C0025BA"/>
    <w:rsid w:val="1C0158BF"/>
    <w:rsid w:val="1C033E58"/>
    <w:rsid w:val="1C055E22"/>
    <w:rsid w:val="1C057BD0"/>
    <w:rsid w:val="1C0831A0"/>
    <w:rsid w:val="1C085913"/>
    <w:rsid w:val="1C093B64"/>
    <w:rsid w:val="1C0A51E7"/>
    <w:rsid w:val="1C0C0F5F"/>
    <w:rsid w:val="1C0E7EC3"/>
    <w:rsid w:val="1C0F4EF3"/>
    <w:rsid w:val="1C0F6CA1"/>
    <w:rsid w:val="1C113C73"/>
    <w:rsid w:val="1C136791"/>
    <w:rsid w:val="1C1442B7"/>
    <w:rsid w:val="1C146065"/>
    <w:rsid w:val="1C163B8C"/>
    <w:rsid w:val="1C177904"/>
    <w:rsid w:val="1C1A53DB"/>
    <w:rsid w:val="1C1B73F4"/>
    <w:rsid w:val="1C1C4F1A"/>
    <w:rsid w:val="1C1D316C"/>
    <w:rsid w:val="1C1E6277"/>
    <w:rsid w:val="1C1E6EE4"/>
    <w:rsid w:val="1C1F5136"/>
    <w:rsid w:val="1C200EAE"/>
    <w:rsid w:val="1C24274C"/>
    <w:rsid w:val="1C2564C4"/>
    <w:rsid w:val="1C275D99"/>
    <w:rsid w:val="1C297D63"/>
    <w:rsid w:val="1C2C1601"/>
    <w:rsid w:val="1C2E5379"/>
    <w:rsid w:val="1C30068C"/>
    <w:rsid w:val="1C301DCD"/>
    <w:rsid w:val="1C3109C5"/>
    <w:rsid w:val="1C3246ED"/>
    <w:rsid w:val="1C33298F"/>
    <w:rsid w:val="1C335B7D"/>
    <w:rsid w:val="1C3404B6"/>
    <w:rsid w:val="1C341BDE"/>
    <w:rsid w:val="1C346708"/>
    <w:rsid w:val="1C36422E"/>
    <w:rsid w:val="1C381D54"/>
    <w:rsid w:val="1C3861F8"/>
    <w:rsid w:val="1C395ACC"/>
    <w:rsid w:val="1C3B5CE8"/>
    <w:rsid w:val="1C3D736A"/>
    <w:rsid w:val="1C3E30E2"/>
    <w:rsid w:val="1C3E5861"/>
    <w:rsid w:val="1C424981"/>
    <w:rsid w:val="1C427076"/>
    <w:rsid w:val="1C447F92"/>
    <w:rsid w:val="1C4A5F2B"/>
    <w:rsid w:val="1C4C1CA3"/>
    <w:rsid w:val="1C4C3A51"/>
    <w:rsid w:val="1C4C6724"/>
    <w:rsid w:val="1C4F52EF"/>
    <w:rsid w:val="1C511068"/>
    <w:rsid w:val="1C511D70"/>
    <w:rsid w:val="1C556DAA"/>
    <w:rsid w:val="1C583647"/>
    <w:rsid w:val="1C586408"/>
    <w:rsid w:val="1C597F1C"/>
    <w:rsid w:val="1C5A43C0"/>
    <w:rsid w:val="1C5B1EE6"/>
    <w:rsid w:val="1C5D17BA"/>
    <w:rsid w:val="1C5E7925"/>
    <w:rsid w:val="1C5F19D6"/>
    <w:rsid w:val="1C614B37"/>
    <w:rsid w:val="1C625023"/>
    <w:rsid w:val="1C654B13"/>
    <w:rsid w:val="1C6568C1"/>
    <w:rsid w:val="1C69015F"/>
    <w:rsid w:val="1C694603"/>
    <w:rsid w:val="1C6E1C1A"/>
    <w:rsid w:val="1C6E39C8"/>
    <w:rsid w:val="1C6E54EF"/>
    <w:rsid w:val="1C6E7E6B"/>
    <w:rsid w:val="1C6F7740"/>
    <w:rsid w:val="1C7134B8"/>
    <w:rsid w:val="1C746B04"/>
    <w:rsid w:val="1C782A98"/>
    <w:rsid w:val="1C7913A9"/>
    <w:rsid w:val="1C7A05BE"/>
    <w:rsid w:val="1C7A236C"/>
    <w:rsid w:val="1C7B4336"/>
    <w:rsid w:val="1C7B4A90"/>
    <w:rsid w:val="1C7B60E4"/>
    <w:rsid w:val="1C7B7E93"/>
    <w:rsid w:val="1C7D00AF"/>
    <w:rsid w:val="1C7D1E5D"/>
    <w:rsid w:val="1C7F5BD5"/>
    <w:rsid w:val="1C80194D"/>
    <w:rsid w:val="1C874A89"/>
    <w:rsid w:val="1C876837"/>
    <w:rsid w:val="1C890801"/>
    <w:rsid w:val="1C8925AF"/>
    <w:rsid w:val="1C8A6328"/>
    <w:rsid w:val="1C8D76F3"/>
    <w:rsid w:val="1C8E6A89"/>
    <w:rsid w:val="1C8E7C18"/>
    <w:rsid w:val="1C901B90"/>
    <w:rsid w:val="1C931680"/>
    <w:rsid w:val="1C940F54"/>
    <w:rsid w:val="1C9571A6"/>
    <w:rsid w:val="1C961170"/>
    <w:rsid w:val="1C962F1E"/>
    <w:rsid w:val="1C963AC5"/>
    <w:rsid w:val="1C97248C"/>
    <w:rsid w:val="1C980A44"/>
    <w:rsid w:val="1C9A0C60"/>
    <w:rsid w:val="1C9A47BD"/>
    <w:rsid w:val="1C9B764B"/>
    <w:rsid w:val="1C9D42AD"/>
    <w:rsid w:val="1C9D605B"/>
    <w:rsid w:val="1C9F0025"/>
    <w:rsid w:val="1C9F1DD3"/>
    <w:rsid w:val="1C9F6277"/>
    <w:rsid w:val="1CA05B4B"/>
    <w:rsid w:val="1CA078F9"/>
    <w:rsid w:val="1CA23671"/>
    <w:rsid w:val="1CA27B15"/>
    <w:rsid w:val="1CA309AE"/>
    <w:rsid w:val="1CA4388D"/>
    <w:rsid w:val="1CA4430D"/>
    <w:rsid w:val="1CA47198"/>
    <w:rsid w:val="1CA473E9"/>
    <w:rsid w:val="1CA56F4F"/>
    <w:rsid w:val="1CA613B3"/>
    <w:rsid w:val="1CA6732F"/>
    <w:rsid w:val="1CA67605"/>
    <w:rsid w:val="1CA70C88"/>
    <w:rsid w:val="1CA7512B"/>
    <w:rsid w:val="1CA90EA4"/>
    <w:rsid w:val="1CA92C52"/>
    <w:rsid w:val="1CA94A00"/>
    <w:rsid w:val="1CAA0778"/>
    <w:rsid w:val="1CAB1D11"/>
    <w:rsid w:val="1CAD0994"/>
    <w:rsid w:val="1CAE64BA"/>
    <w:rsid w:val="1CB515F6"/>
    <w:rsid w:val="1CB533A4"/>
    <w:rsid w:val="1CB6536F"/>
    <w:rsid w:val="1CB810E7"/>
    <w:rsid w:val="1CB82E95"/>
    <w:rsid w:val="1CBB2985"/>
    <w:rsid w:val="1CBB4733"/>
    <w:rsid w:val="1CBD04AB"/>
    <w:rsid w:val="1CBF1617"/>
    <w:rsid w:val="1CBF2475"/>
    <w:rsid w:val="1CBF4223"/>
    <w:rsid w:val="1CC02AA7"/>
    <w:rsid w:val="1CC13F37"/>
    <w:rsid w:val="1CC41839"/>
    <w:rsid w:val="1CC45CDD"/>
    <w:rsid w:val="1CC655B2"/>
    <w:rsid w:val="1CC730D8"/>
    <w:rsid w:val="1CC77DA9"/>
    <w:rsid w:val="1CC926C9"/>
    <w:rsid w:val="1CC932F4"/>
    <w:rsid w:val="1CC93433"/>
    <w:rsid w:val="1CC96E50"/>
    <w:rsid w:val="1CCB7BBA"/>
    <w:rsid w:val="1CCC06EE"/>
    <w:rsid w:val="1CCC4B92"/>
    <w:rsid w:val="1CCC6940"/>
    <w:rsid w:val="1CCE090A"/>
    <w:rsid w:val="1CD06430"/>
    <w:rsid w:val="1CD203FA"/>
    <w:rsid w:val="1CD3634C"/>
    <w:rsid w:val="1CD37CCF"/>
    <w:rsid w:val="1CD6156D"/>
    <w:rsid w:val="1CD7615D"/>
    <w:rsid w:val="1CD83537"/>
    <w:rsid w:val="1CD852E5"/>
    <w:rsid w:val="1CD87093"/>
    <w:rsid w:val="1CDA105D"/>
    <w:rsid w:val="1CDC0B3F"/>
    <w:rsid w:val="1CDF0421"/>
    <w:rsid w:val="1CDF48C5"/>
    <w:rsid w:val="1CDF6673"/>
    <w:rsid w:val="1CE26164"/>
    <w:rsid w:val="1CE647C1"/>
    <w:rsid w:val="1CE75528"/>
    <w:rsid w:val="1CE77392"/>
    <w:rsid w:val="1CE974F2"/>
    <w:rsid w:val="1CEC0633"/>
    <w:rsid w:val="1CED6FE2"/>
    <w:rsid w:val="1CEE2D5A"/>
    <w:rsid w:val="1CF00880"/>
    <w:rsid w:val="1CF06AD2"/>
    <w:rsid w:val="1CF163A7"/>
    <w:rsid w:val="1CF16ED9"/>
    <w:rsid w:val="1CF245F9"/>
    <w:rsid w:val="1CF57C45"/>
    <w:rsid w:val="1CF66C4E"/>
    <w:rsid w:val="1CF67135"/>
    <w:rsid w:val="1CF739BD"/>
    <w:rsid w:val="1CF80317"/>
    <w:rsid w:val="1CF82F87"/>
    <w:rsid w:val="1CF85987"/>
    <w:rsid w:val="1CFA2C37"/>
    <w:rsid w:val="1CFC0972"/>
    <w:rsid w:val="1CFC5477"/>
    <w:rsid w:val="1CFD070F"/>
    <w:rsid w:val="1CFD2F9D"/>
    <w:rsid w:val="1CFD6AEF"/>
    <w:rsid w:val="1CFE11EF"/>
    <w:rsid w:val="1CFF2872"/>
    <w:rsid w:val="1CFF3ED8"/>
    <w:rsid w:val="1CFF6D16"/>
    <w:rsid w:val="1D005368"/>
    <w:rsid w:val="1D012A8E"/>
    <w:rsid w:val="1D01483C"/>
    <w:rsid w:val="1D0165EA"/>
    <w:rsid w:val="1D022362"/>
    <w:rsid w:val="1D033CE9"/>
    <w:rsid w:val="1D04432C"/>
    <w:rsid w:val="1D05291B"/>
    <w:rsid w:val="1D063C00"/>
    <w:rsid w:val="1D083E1C"/>
    <w:rsid w:val="1D0B1216"/>
    <w:rsid w:val="1D0B7468"/>
    <w:rsid w:val="1D0D10AD"/>
    <w:rsid w:val="1D0D31E0"/>
    <w:rsid w:val="1D0F39CD"/>
    <w:rsid w:val="1D150CCF"/>
    <w:rsid w:val="1D1A0AE0"/>
    <w:rsid w:val="1D1A76AB"/>
    <w:rsid w:val="1D1D0F4A"/>
    <w:rsid w:val="1D1F2F14"/>
    <w:rsid w:val="1D210A3A"/>
    <w:rsid w:val="1D214EDE"/>
    <w:rsid w:val="1D216C8C"/>
    <w:rsid w:val="1D230C56"/>
    <w:rsid w:val="1D232A04"/>
    <w:rsid w:val="1D2332D3"/>
    <w:rsid w:val="1D2441FA"/>
    <w:rsid w:val="1D24677C"/>
    <w:rsid w:val="1D2624F4"/>
    <w:rsid w:val="1D271DC8"/>
    <w:rsid w:val="1D2730E4"/>
    <w:rsid w:val="1D28001A"/>
    <w:rsid w:val="1D2912B5"/>
    <w:rsid w:val="1D2B3667"/>
    <w:rsid w:val="1D2D5631"/>
    <w:rsid w:val="1D2F75FB"/>
    <w:rsid w:val="1D300C7D"/>
    <w:rsid w:val="1D306ECF"/>
    <w:rsid w:val="1D3101F6"/>
    <w:rsid w:val="1D320E99"/>
    <w:rsid w:val="1D350989"/>
    <w:rsid w:val="1D37025D"/>
    <w:rsid w:val="1D385D84"/>
    <w:rsid w:val="1D3A5FA0"/>
    <w:rsid w:val="1D3A7D4E"/>
    <w:rsid w:val="1D3D339A"/>
    <w:rsid w:val="1D3F269C"/>
    <w:rsid w:val="1D3F7112"/>
    <w:rsid w:val="1D412E8A"/>
    <w:rsid w:val="1D41685C"/>
    <w:rsid w:val="1D4330A6"/>
    <w:rsid w:val="1D436C02"/>
    <w:rsid w:val="1D464944"/>
    <w:rsid w:val="1D4806BC"/>
    <w:rsid w:val="1D491D3F"/>
    <w:rsid w:val="1D4961E3"/>
    <w:rsid w:val="1D4A4435"/>
    <w:rsid w:val="1D4A647E"/>
    <w:rsid w:val="1D4B1F5B"/>
    <w:rsid w:val="1D4D5CD3"/>
    <w:rsid w:val="1D4D6540"/>
    <w:rsid w:val="1D4E37F9"/>
    <w:rsid w:val="1D50131F"/>
    <w:rsid w:val="1D554B87"/>
    <w:rsid w:val="1D556936"/>
    <w:rsid w:val="1D567874"/>
    <w:rsid w:val="1D5801D4"/>
    <w:rsid w:val="1D580462"/>
    <w:rsid w:val="1D594678"/>
    <w:rsid w:val="1D596426"/>
    <w:rsid w:val="1D5A3F4C"/>
    <w:rsid w:val="1D5E3A3C"/>
    <w:rsid w:val="1D5F1562"/>
    <w:rsid w:val="1D5F5A06"/>
    <w:rsid w:val="1D5F6196"/>
    <w:rsid w:val="1D6132A5"/>
    <w:rsid w:val="1D614705"/>
    <w:rsid w:val="1D62418B"/>
    <w:rsid w:val="1D646B79"/>
    <w:rsid w:val="1D660B43"/>
    <w:rsid w:val="1D6628F1"/>
    <w:rsid w:val="1D682B0D"/>
    <w:rsid w:val="1D6848BB"/>
    <w:rsid w:val="1D686669"/>
    <w:rsid w:val="1D6D1ED1"/>
    <w:rsid w:val="1D6D3C7F"/>
    <w:rsid w:val="1D6F044A"/>
    <w:rsid w:val="1D7274E7"/>
    <w:rsid w:val="1D7414B2"/>
    <w:rsid w:val="1D74500E"/>
    <w:rsid w:val="1D750D86"/>
    <w:rsid w:val="1D77549B"/>
    <w:rsid w:val="1D792624"/>
    <w:rsid w:val="1D79298C"/>
    <w:rsid w:val="1D7A45EE"/>
    <w:rsid w:val="1D7B2840"/>
    <w:rsid w:val="1D7C0366"/>
    <w:rsid w:val="1D7C2114"/>
    <w:rsid w:val="1D7E40DE"/>
    <w:rsid w:val="1D835251"/>
    <w:rsid w:val="1D840FC9"/>
    <w:rsid w:val="1D864D41"/>
    <w:rsid w:val="1D880AB9"/>
    <w:rsid w:val="1D8C0E02"/>
    <w:rsid w:val="1D8E56D5"/>
    <w:rsid w:val="1D8F1E47"/>
    <w:rsid w:val="1D903E12"/>
    <w:rsid w:val="1D927B8A"/>
    <w:rsid w:val="1D943902"/>
    <w:rsid w:val="1D94745E"/>
    <w:rsid w:val="1D980C47"/>
    <w:rsid w:val="1D990835"/>
    <w:rsid w:val="1D9A07EC"/>
    <w:rsid w:val="1D9A259A"/>
    <w:rsid w:val="1D9A28A1"/>
    <w:rsid w:val="1D9B4C90"/>
    <w:rsid w:val="1D9C6312"/>
    <w:rsid w:val="1D9E208B"/>
    <w:rsid w:val="1D9F5E03"/>
    <w:rsid w:val="1DA358F3"/>
    <w:rsid w:val="1DA619A9"/>
    <w:rsid w:val="1DA63635"/>
    <w:rsid w:val="1DA67191"/>
    <w:rsid w:val="1DA871B7"/>
    <w:rsid w:val="1DA925DA"/>
    <w:rsid w:val="1DAA4ED3"/>
    <w:rsid w:val="1DAC0C4B"/>
    <w:rsid w:val="1DAD6772"/>
    <w:rsid w:val="1DAF24EA"/>
    <w:rsid w:val="1DAF58DD"/>
    <w:rsid w:val="1DAF6046"/>
    <w:rsid w:val="1DB23D88"/>
    <w:rsid w:val="1DB63878"/>
    <w:rsid w:val="1DB7139E"/>
    <w:rsid w:val="1DB93368"/>
    <w:rsid w:val="1DBC4C07"/>
    <w:rsid w:val="1DBE097F"/>
    <w:rsid w:val="1DBE44DB"/>
    <w:rsid w:val="1DC00253"/>
    <w:rsid w:val="1DC046F7"/>
    <w:rsid w:val="1DC064A5"/>
    <w:rsid w:val="1DC1221D"/>
    <w:rsid w:val="1DC13FCB"/>
    <w:rsid w:val="1DC22612"/>
    <w:rsid w:val="1DC31AF1"/>
    <w:rsid w:val="1DC60F93"/>
    <w:rsid w:val="1DC615E1"/>
    <w:rsid w:val="1DC67833"/>
    <w:rsid w:val="1DC835AB"/>
    <w:rsid w:val="1DC92705"/>
    <w:rsid w:val="1DCB6BF8"/>
    <w:rsid w:val="1DCD0BC2"/>
    <w:rsid w:val="1DCD7725"/>
    <w:rsid w:val="1DCE662F"/>
    <w:rsid w:val="1DCF493A"/>
    <w:rsid w:val="1DCF66E8"/>
    <w:rsid w:val="1DD106B2"/>
    <w:rsid w:val="1DD10C77"/>
    <w:rsid w:val="1DD51824"/>
    <w:rsid w:val="1DD65CC8"/>
    <w:rsid w:val="1DD67A76"/>
    <w:rsid w:val="1DD7559C"/>
    <w:rsid w:val="1DD91315"/>
    <w:rsid w:val="1DDA6E3B"/>
    <w:rsid w:val="1DDA7F85"/>
    <w:rsid w:val="1DDB508D"/>
    <w:rsid w:val="1DDF1B3A"/>
    <w:rsid w:val="1DE008F5"/>
    <w:rsid w:val="1DE026A3"/>
    <w:rsid w:val="1DE06B47"/>
    <w:rsid w:val="1DE2466D"/>
    <w:rsid w:val="1DE33F41"/>
    <w:rsid w:val="1DE57CB9"/>
    <w:rsid w:val="1DE859FC"/>
    <w:rsid w:val="1DE877AA"/>
    <w:rsid w:val="1DEA1774"/>
    <w:rsid w:val="1DEA52D0"/>
    <w:rsid w:val="1DEB1048"/>
    <w:rsid w:val="1DED3012"/>
    <w:rsid w:val="1DED6B6E"/>
    <w:rsid w:val="1DF24184"/>
    <w:rsid w:val="1DF27458"/>
    <w:rsid w:val="1DF4614E"/>
    <w:rsid w:val="1DF61EC7"/>
    <w:rsid w:val="1DF63C75"/>
    <w:rsid w:val="1DF66931"/>
    <w:rsid w:val="1DF83E91"/>
    <w:rsid w:val="1DF95513"/>
    <w:rsid w:val="1DFA65D4"/>
    <w:rsid w:val="1DFB572F"/>
    <w:rsid w:val="1DFC27A3"/>
    <w:rsid w:val="1DFC3255"/>
    <w:rsid w:val="1DFE521F"/>
    <w:rsid w:val="1E01086B"/>
    <w:rsid w:val="1E012619"/>
    <w:rsid w:val="1E026ABD"/>
    <w:rsid w:val="1E05035C"/>
    <w:rsid w:val="1E05210A"/>
    <w:rsid w:val="1E0565AE"/>
    <w:rsid w:val="1E067C30"/>
    <w:rsid w:val="1E0839A8"/>
    <w:rsid w:val="1E0A7720"/>
    <w:rsid w:val="1E0C16EA"/>
    <w:rsid w:val="1E0C3498"/>
    <w:rsid w:val="1E0F630C"/>
    <w:rsid w:val="1E104249"/>
    <w:rsid w:val="1E114F52"/>
    <w:rsid w:val="1E14059F"/>
    <w:rsid w:val="1E181CCB"/>
    <w:rsid w:val="1E193E07"/>
    <w:rsid w:val="1E1B192D"/>
    <w:rsid w:val="1E1B36DB"/>
    <w:rsid w:val="1E1B71BC"/>
    <w:rsid w:val="1E1C064C"/>
    <w:rsid w:val="1E1D1ADC"/>
    <w:rsid w:val="1E1E31CB"/>
    <w:rsid w:val="1E205195"/>
    <w:rsid w:val="1E2118ED"/>
    <w:rsid w:val="1E220F0E"/>
    <w:rsid w:val="1E222CBC"/>
    <w:rsid w:val="1E2527AC"/>
    <w:rsid w:val="1E25455A"/>
    <w:rsid w:val="1E292C50"/>
    <w:rsid w:val="1E2A7DC2"/>
    <w:rsid w:val="1E2D03C3"/>
    <w:rsid w:val="1E2D1660"/>
    <w:rsid w:val="1E2E2A61"/>
    <w:rsid w:val="1E2E78B2"/>
    <w:rsid w:val="1E2F362A"/>
    <w:rsid w:val="1E2F7187"/>
    <w:rsid w:val="1E312EFF"/>
    <w:rsid w:val="1E320A25"/>
    <w:rsid w:val="1E326C77"/>
    <w:rsid w:val="1E3429EF"/>
    <w:rsid w:val="1E360515"/>
    <w:rsid w:val="1E3649B9"/>
    <w:rsid w:val="1E3812B5"/>
    <w:rsid w:val="1E396257"/>
    <w:rsid w:val="1E3B3D7D"/>
    <w:rsid w:val="1E3B777C"/>
    <w:rsid w:val="1E3F65B7"/>
    <w:rsid w:val="1E401394"/>
    <w:rsid w:val="1E403142"/>
    <w:rsid w:val="1E4075E6"/>
    <w:rsid w:val="1E407A47"/>
    <w:rsid w:val="1E42335E"/>
    <w:rsid w:val="1E432C32"/>
    <w:rsid w:val="1E462178"/>
    <w:rsid w:val="1E472722"/>
    <w:rsid w:val="1E480248"/>
    <w:rsid w:val="1E4861D9"/>
    <w:rsid w:val="1E48649A"/>
    <w:rsid w:val="1E4946EC"/>
    <w:rsid w:val="1E4A3FC0"/>
    <w:rsid w:val="1E4A5D6E"/>
    <w:rsid w:val="1E4E1D03"/>
    <w:rsid w:val="1E51534F"/>
    <w:rsid w:val="1E5170FD"/>
    <w:rsid w:val="1E522E75"/>
    <w:rsid w:val="1E537319"/>
    <w:rsid w:val="1E546BED"/>
    <w:rsid w:val="1E57048B"/>
    <w:rsid w:val="1E57483D"/>
    <w:rsid w:val="1E5906A7"/>
    <w:rsid w:val="1E5B441F"/>
    <w:rsid w:val="1E5B5A22"/>
    <w:rsid w:val="1E5D3CF4"/>
    <w:rsid w:val="1E5E2B2D"/>
    <w:rsid w:val="1E5E7A6C"/>
    <w:rsid w:val="1E5F387A"/>
    <w:rsid w:val="1E5F5CBE"/>
    <w:rsid w:val="1E6058EF"/>
    <w:rsid w:val="1E62130A"/>
    <w:rsid w:val="1E632DE0"/>
    <w:rsid w:val="1E6432D4"/>
    <w:rsid w:val="1E650DFA"/>
    <w:rsid w:val="1E652BA8"/>
    <w:rsid w:val="1E672DC4"/>
    <w:rsid w:val="1E690C4B"/>
    <w:rsid w:val="1E696B3C"/>
    <w:rsid w:val="1E6A4663"/>
    <w:rsid w:val="1E6C03DB"/>
    <w:rsid w:val="1E6C55D3"/>
    <w:rsid w:val="1E6D6A63"/>
    <w:rsid w:val="1E6D6C62"/>
    <w:rsid w:val="1E6E4153"/>
    <w:rsid w:val="1E6E5F01"/>
    <w:rsid w:val="1E6F3A27"/>
    <w:rsid w:val="1E7159F1"/>
    <w:rsid w:val="1E717FB5"/>
    <w:rsid w:val="1E766B63"/>
    <w:rsid w:val="1E7A43DA"/>
    <w:rsid w:val="1E7B23CC"/>
    <w:rsid w:val="1E7D4396"/>
    <w:rsid w:val="1E7D6144"/>
    <w:rsid w:val="1E7E1EBC"/>
    <w:rsid w:val="1E7E25B9"/>
    <w:rsid w:val="1E831280"/>
    <w:rsid w:val="1E844CEA"/>
    <w:rsid w:val="1E845724"/>
    <w:rsid w:val="1E876FC3"/>
    <w:rsid w:val="1E892D3B"/>
    <w:rsid w:val="1E893F5A"/>
    <w:rsid w:val="1E894AE9"/>
    <w:rsid w:val="1E8A260F"/>
    <w:rsid w:val="1E8C282B"/>
    <w:rsid w:val="1E8C6387"/>
    <w:rsid w:val="1E8E0351"/>
    <w:rsid w:val="1E8E096D"/>
    <w:rsid w:val="1E8F40C9"/>
    <w:rsid w:val="1E8F5E77"/>
    <w:rsid w:val="1E8F7C25"/>
    <w:rsid w:val="1E90231B"/>
    <w:rsid w:val="1E91399D"/>
    <w:rsid w:val="1E921EBF"/>
    <w:rsid w:val="1E9516DF"/>
    <w:rsid w:val="1E982F7E"/>
    <w:rsid w:val="1E990AA4"/>
    <w:rsid w:val="1E9A4F48"/>
    <w:rsid w:val="1E9B481C"/>
    <w:rsid w:val="1E9C05FC"/>
    <w:rsid w:val="1E9C5B42"/>
    <w:rsid w:val="1E9D0594"/>
    <w:rsid w:val="1E9D2342"/>
    <w:rsid w:val="1E9F255E"/>
    <w:rsid w:val="1EA062D6"/>
    <w:rsid w:val="1EA25BAA"/>
    <w:rsid w:val="1EA27958"/>
    <w:rsid w:val="1EA31703"/>
    <w:rsid w:val="1EA336D1"/>
    <w:rsid w:val="1EA47B74"/>
    <w:rsid w:val="1EA51D2D"/>
    <w:rsid w:val="1EA55764"/>
    <w:rsid w:val="1EA9518B"/>
    <w:rsid w:val="1EA96F39"/>
    <w:rsid w:val="1EAC07D7"/>
    <w:rsid w:val="1EAC4C7B"/>
    <w:rsid w:val="1EAD3EF6"/>
    <w:rsid w:val="1EAE454F"/>
    <w:rsid w:val="1EAF53AF"/>
    <w:rsid w:val="1EAF7CA6"/>
    <w:rsid w:val="1EB31B66"/>
    <w:rsid w:val="1EB37DB8"/>
    <w:rsid w:val="1EB4550F"/>
    <w:rsid w:val="1EB4768C"/>
    <w:rsid w:val="1EB55259"/>
    <w:rsid w:val="1EB77B79"/>
    <w:rsid w:val="1EB853CE"/>
    <w:rsid w:val="1EB8717C"/>
    <w:rsid w:val="1EBA7398"/>
    <w:rsid w:val="1EBB10EB"/>
    <w:rsid w:val="1EBB4EBE"/>
    <w:rsid w:val="1EBB6C6C"/>
    <w:rsid w:val="1EBD0C36"/>
    <w:rsid w:val="1EBD29E4"/>
    <w:rsid w:val="1EBD39EB"/>
    <w:rsid w:val="1EBF675C"/>
    <w:rsid w:val="1EBF779B"/>
    <w:rsid w:val="1EC024D4"/>
    <w:rsid w:val="1EC27FFB"/>
    <w:rsid w:val="1EC41FC5"/>
    <w:rsid w:val="1EC43D73"/>
    <w:rsid w:val="1EC65D3D"/>
    <w:rsid w:val="1EC71AB5"/>
    <w:rsid w:val="1ECB3353"/>
    <w:rsid w:val="1ECC090F"/>
    <w:rsid w:val="1ECC2C27"/>
    <w:rsid w:val="1ECC70CB"/>
    <w:rsid w:val="1ECE074D"/>
    <w:rsid w:val="1ECE4BF1"/>
    <w:rsid w:val="1ECF44C6"/>
    <w:rsid w:val="1ED33FB6"/>
    <w:rsid w:val="1ED61CF8"/>
    <w:rsid w:val="1EDA17E8"/>
    <w:rsid w:val="1EDA5344"/>
    <w:rsid w:val="1EDB10BC"/>
    <w:rsid w:val="1EDB2E6A"/>
    <w:rsid w:val="1EDF0BAD"/>
    <w:rsid w:val="1EE066D3"/>
    <w:rsid w:val="1EE44415"/>
    <w:rsid w:val="1EE47EBD"/>
    <w:rsid w:val="1EE47F71"/>
    <w:rsid w:val="1EE53CE9"/>
    <w:rsid w:val="1EE6018D"/>
    <w:rsid w:val="1EE73F05"/>
    <w:rsid w:val="1EE75CB3"/>
    <w:rsid w:val="1EE869A7"/>
    <w:rsid w:val="1EE91A2B"/>
    <w:rsid w:val="1EE937D9"/>
    <w:rsid w:val="1EE95587"/>
    <w:rsid w:val="1EEA12FF"/>
    <w:rsid w:val="1EEC32CA"/>
    <w:rsid w:val="1EEC3FBC"/>
    <w:rsid w:val="1EEC5078"/>
    <w:rsid w:val="1EF02DBA"/>
    <w:rsid w:val="1EF108E0"/>
    <w:rsid w:val="1EF328AA"/>
    <w:rsid w:val="1EF3668B"/>
    <w:rsid w:val="1EF53F2C"/>
    <w:rsid w:val="1EF83A1C"/>
    <w:rsid w:val="1EFA3C38"/>
    <w:rsid w:val="1EFA59E6"/>
    <w:rsid w:val="1EFB52BB"/>
    <w:rsid w:val="1EFD1033"/>
    <w:rsid w:val="1EFD7285"/>
    <w:rsid w:val="1EFF4DAB"/>
    <w:rsid w:val="1F040613"/>
    <w:rsid w:val="1F0625DD"/>
    <w:rsid w:val="1F071EB1"/>
    <w:rsid w:val="1F073C5F"/>
    <w:rsid w:val="1F0A0AE2"/>
    <w:rsid w:val="1F0B7BF4"/>
    <w:rsid w:val="1F0C1276"/>
    <w:rsid w:val="1F0D396C"/>
    <w:rsid w:val="1F0E1492"/>
    <w:rsid w:val="1F132604"/>
    <w:rsid w:val="1F1330A4"/>
    <w:rsid w:val="1F136AA8"/>
    <w:rsid w:val="1F144534"/>
    <w:rsid w:val="1F182311"/>
    <w:rsid w:val="1F1B770B"/>
    <w:rsid w:val="1F1C595D"/>
    <w:rsid w:val="1F1D3483"/>
    <w:rsid w:val="1F1D6D27"/>
    <w:rsid w:val="1F1D7927"/>
    <w:rsid w:val="1F1F4218"/>
    <w:rsid w:val="1F1F71FB"/>
    <w:rsid w:val="1F2056A8"/>
    <w:rsid w:val="1F2111C5"/>
    <w:rsid w:val="1F212F73"/>
    <w:rsid w:val="1F240CB5"/>
    <w:rsid w:val="1F244811"/>
    <w:rsid w:val="1F2554B9"/>
    <w:rsid w:val="1F264A2D"/>
    <w:rsid w:val="1F274302"/>
    <w:rsid w:val="1F282554"/>
    <w:rsid w:val="1F291E28"/>
    <w:rsid w:val="1F2962CC"/>
    <w:rsid w:val="1F2B3DF2"/>
    <w:rsid w:val="1F2C1918"/>
    <w:rsid w:val="1F2F3D0D"/>
    <w:rsid w:val="1F3031B6"/>
    <w:rsid w:val="1F30765A"/>
    <w:rsid w:val="1F316F2E"/>
    <w:rsid w:val="1F3211FE"/>
    <w:rsid w:val="1F3233D2"/>
    <w:rsid w:val="1F325180"/>
    <w:rsid w:val="1F330F4D"/>
    <w:rsid w:val="1F332CA6"/>
    <w:rsid w:val="1F334A54"/>
    <w:rsid w:val="1F354C71"/>
    <w:rsid w:val="1F372797"/>
    <w:rsid w:val="1F374545"/>
    <w:rsid w:val="1F394761"/>
    <w:rsid w:val="1F3C7DAD"/>
    <w:rsid w:val="1F3D3B25"/>
    <w:rsid w:val="1F4153C3"/>
    <w:rsid w:val="1F416122"/>
    <w:rsid w:val="1F417171"/>
    <w:rsid w:val="1F427E7B"/>
    <w:rsid w:val="1F464788"/>
    <w:rsid w:val="1F494278"/>
    <w:rsid w:val="1F4B4494"/>
    <w:rsid w:val="1F4B6242"/>
    <w:rsid w:val="1F4E0726"/>
    <w:rsid w:val="1F505606"/>
    <w:rsid w:val="1F525822"/>
    <w:rsid w:val="1F5350F7"/>
    <w:rsid w:val="1F550E6F"/>
    <w:rsid w:val="1F5570C1"/>
    <w:rsid w:val="1F566EB8"/>
    <w:rsid w:val="1F572E39"/>
    <w:rsid w:val="1F5F1CED"/>
    <w:rsid w:val="1F5F3A9B"/>
    <w:rsid w:val="1F604915"/>
    <w:rsid w:val="1F615A66"/>
    <w:rsid w:val="1F617814"/>
    <w:rsid w:val="1F63358C"/>
    <w:rsid w:val="1F6368EB"/>
    <w:rsid w:val="1F640F4B"/>
    <w:rsid w:val="1F6410B2"/>
    <w:rsid w:val="1F647304"/>
    <w:rsid w:val="1F66307C"/>
    <w:rsid w:val="1F686DF4"/>
    <w:rsid w:val="1F6B68E4"/>
    <w:rsid w:val="1F6D440A"/>
    <w:rsid w:val="1F6D61B8"/>
    <w:rsid w:val="1F6E1F30"/>
    <w:rsid w:val="1F6F0182"/>
    <w:rsid w:val="1F705CA9"/>
    <w:rsid w:val="1F707A57"/>
    <w:rsid w:val="1F710EEF"/>
    <w:rsid w:val="1F721A21"/>
    <w:rsid w:val="1F72557D"/>
    <w:rsid w:val="1F7363E0"/>
    <w:rsid w:val="1F742441"/>
    <w:rsid w:val="1F751511"/>
    <w:rsid w:val="1F7532BF"/>
    <w:rsid w:val="1F75506D"/>
    <w:rsid w:val="1F770DE5"/>
    <w:rsid w:val="1F775289"/>
    <w:rsid w:val="1F777037"/>
    <w:rsid w:val="1F78690B"/>
    <w:rsid w:val="1F7A2683"/>
    <w:rsid w:val="1F7B7743"/>
    <w:rsid w:val="1F7C3B44"/>
    <w:rsid w:val="1F7C464D"/>
    <w:rsid w:val="1F7E03C6"/>
    <w:rsid w:val="1F7E6617"/>
    <w:rsid w:val="1F7F413E"/>
    <w:rsid w:val="1F7F5EEC"/>
    <w:rsid w:val="1F811C64"/>
    <w:rsid w:val="1F817EB6"/>
    <w:rsid w:val="1F8359DC"/>
    <w:rsid w:val="1F83778A"/>
    <w:rsid w:val="1F8452B0"/>
    <w:rsid w:val="1F884882"/>
    <w:rsid w:val="1F890B18"/>
    <w:rsid w:val="1F8B4890"/>
    <w:rsid w:val="1F8D383C"/>
    <w:rsid w:val="1F8D685B"/>
    <w:rsid w:val="1F8E612F"/>
    <w:rsid w:val="1F8F7049"/>
    <w:rsid w:val="1F9000F9"/>
    <w:rsid w:val="1F901EA7"/>
    <w:rsid w:val="1F923E71"/>
    <w:rsid w:val="1F925C1F"/>
    <w:rsid w:val="1F9279CD"/>
    <w:rsid w:val="1F947BE9"/>
    <w:rsid w:val="1F953961"/>
    <w:rsid w:val="1F95570F"/>
    <w:rsid w:val="1F9574BD"/>
    <w:rsid w:val="1F961CD3"/>
    <w:rsid w:val="1F9A4AD4"/>
    <w:rsid w:val="1F9E45C4"/>
    <w:rsid w:val="1F9F033C"/>
    <w:rsid w:val="1FA0658E"/>
    <w:rsid w:val="1FA12306"/>
    <w:rsid w:val="1FA228EE"/>
    <w:rsid w:val="1FA31BDA"/>
    <w:rsid w:val="1FA53BA4"/>
    <w:rsid w:val="1FA616CA"/>
    <w:rsid w:val="1FA871F0"/>
    <w:rsid w:val="1FB042F7"/>
    <w:rsid w:val="1FB060A5"/>
    <w:rsid w:val="1FB2006F"/>
    <w:rsid w:val="1FB73684"/>
    <w:rsid w:val="1FB80A0D"/>
    <w:rsid w:val="1FB913FE"/>
    <w:rsid w:val="1FB931AC"/>
    <w:rsid w:val="1FBC56BB"/>
    <w:rsid w:val="1FBC6066"/>
    <w:rsid w:val="1FBC7140"/>
    <w:rsid w:val="1FBE07C2"/>
    <w:rsid w:val="1FBF453A"/>
    <w:rsid w:val="1FC102B2"/>
    <w:rsid w:val="1FC12569"/>
    <w:rsid w:val="1FC16504"/>
    <w:rsid w:val="1FC3402A"/>
    <w:rsid w:val="1FC473C9"/>
    <w:rsid w:val="1FC61D6D"/>
    <w:rsid w:val="1FC63B1B"/>
    <w:rsid w:val="1FC748BA"/>
    <w:rsid w:val="1FC87893"/>
    <w:rsid w:val="1FC95A99"/>
    <w:rsid w:val="1FCA53B9"/>
    <w:rsid w:val="1FCB2EDF"/>
    <w:rsid w:val="1FCE047B"/>
    <w:rsid w:val="1FCF29CF"/>
    <w:rsid w:val="1FD004F5"/>
    <w:rsid w:val="1FD219CC"/>
    <w:rsid w:val="1FD3171B"/>
    <w:rsid w:val="1FD37F71"/>
    <w:rsid w:val="1FD53D5E"/>
    <w:rsid w:val="1FD55B0C"/>
    <w:rsid w:val="1FD61FB0"/>
    <w:rsid w:val="1FD71884"/>
    <w:rsid w:val="1FD91AA0"/>
    <w:rsid w:val="1FDB75C6"/>
    <w:rsid w:val="1FDC333E"/>
    <w:rsid w:val="1FDF0D94"/>
    <w:rsid w:val="1FDF698A"/>
    <w:rsid w:val="1FE12702"/>
    <w:rsid w:val="1FE30229"/>
    <w:rsid w:val="1FE521F3"/>
    <w:rsid w:val="1FE7539E"/>
    <w:rsid w:val="1FEB3581"/>
    <w:rsid w:val="1FEB4DCE"/>
    <w:rsid w:val="1FED554B"/>
    <w:rsid w:val="1FEF4E1F"/>
    <w:rsid w:val="1FF02946"/>
    <w:rsid w:val="1FF16DE9"/>
    <w:rsid w:val="1FF266BE"/>
    <w:rsid w:val="1FF67686"/>
    <w:rsid w:val="1FF70178"/>
    <w:rsid w:val="1FF71F26"/>
    <w:rsid w:val="1FF94B77"/>
    <w:rsid w:val="1FFB7C68"/>
    <w:rsid w:val="1FFE32B4"/>
    <w:rsid w:val="20000DDB"/>
    <w:rsid w:val="20012DA5"/>
    <w:rsid w:val="20020FF7"/>
    <w:rsid w:val="200308CB"/>
    <w:rsid w:val="20053BDB"/>
    <w:rsid w:val="200563F1"/>
    <w:rsid w:val="20085EE1"/>
    <w:rsid w:val="20092F2B"/>
    <w:rsid w:val="2009466C"/>
    <w:rsid w:val="200A1C59"/>
    <w:rsid w:val="200B777F"/>
    <w:rsid w:val="20126D60"/>
    <w:rsid w:val="20142AD8"/>
    <w:rsid w:val="20144886"/>
    <w:rsid w:val="20146634"/>
    <w:rsid w:val="201523AC"/>
    <w:rsid w:val="20191E9C"/>
    <w:rsid w:val="201A79C2"/>
    <w:rsid w:val="201B5C14"/>
    <w:rsid w:val="201C198C"/>
    <w:rsid w:val="201E74B3"/>
    <w:rsid w:val="20216FA3"/>
    <w:rsid w:val="20232D1B"/>
    <w:rsid w:val="20252704"/>
    <w:rsid w:val="20254CE5"/>
    <w:rsid w:val="202645B9"/>
    <w:rsid w:val="20267677"/>
    <w:rsid w:val="20270A5D"/>
    <w:rsid w:val="2027280B"/>
    <w:rsid w:val="202A22FB"/>
    <w:rsid w:val="202A5E57"/>
    <w:rsid w:val="202C7E22"/>
    <w:rsid w:val="202F16C0"/>
    <w:rsid w:val="20310CA7"/>
    <w:rsid w:val="2031368A"/>
    <w:rsid w:val="203171E6"/>
    <w:rsid w:val="203211B0"/>
    <w:rsid w:val="20340A84"/>
    <w:rsid w:val="20340D69"/>
    <w:rsid w:val="20346CD6"/>
    <w:rsid w:val="203770D9"/>
    <w:rsid w:val="20380B7A"/>
    <w:rsid w:val="20390790"/>
    <w:rsid w:val="203942EC"/>
    <w:rsid w:val="203A606B"/>
    <w:rsid w:val="203B62B7"/>
    <w:rsid w:val="203C098B"/>
    <w:rsid w:val="203C5B8B"/>
    <w:rsid w:val="203E5DA7"/>
    <w:rsid w:val="203E7B55"/>
    <w:rsid w:val="2040567B"/>
    <w:rsid w:val="204213F3"/>
    <w:rsid w:val="20436F19"/>
    <w:rsid w:val="204505AD"/>
    <w:rsid w:val="20452C91"/>
    <w:rsid w:val="20484530"/>
    <w:rsid w:val="204B441F"/>
    <w:rsid w:val="204D1B46"/>
    <w:rsid w:val="204D7D98"/>
    <w:rsid w:val="204F3B10"/>
    <w:rsid w:val="20511636"/>
    <w:rsid w:val="20517888"/>
    <w:rsid w:val="20523600"/>
    <w:rsid w:val="20531852"/>
    <w:rsid w:val="205729C5"/>
    <w:rsid w:val="20580C17"/>
    <w:rsid w:val="205C6834"/>
    <w:rsid w:val="205C7FDB"/>
    <w:rsid w:val="205D622D"/>
    <w:rsid w:val="205D7CC4"/>
    <w:rsid w:val="205E3D53"/>
    <w:rsid w:val="206155F1"/>
    <w:rsid w:val="20623843"/>
    <w:rsid w:val="20631369"/>
    <w:rsid w:val="206550E2"/>
    <w:rsid w:val="20670E5A"/>
    <w:rsid w:val="20671BE0"/>
    <w:rsid w:val="20672C08"/>
    <w:rsid w:val="20686980"/>
    <w:rsid w:val="20692E24"/>
    <w:rsid w:val="206A094A"/>
    <w:rsid w:val="206C2914"/>
    <w:rsid w:val="206C6470"/>
    <w:rsid w:val="206D21E8"/>
    <w:rsid w:val="206F41B2"/>
    <w:rsid w:val="20717F2A"/>
    <w:rsid w:val="20730A5A"/>
    <w:rsid w:val="2076109D"/>
    <w:rsid w:val="207812B9"/>
    <w:rsid w:val="20790B8D"/>
    <w:rsid w:val="2079293B"/>
    <w:rsid w:val="20796DDF"/>
    <w:rsid w:val="207B2B57"/>
    <w:rsid w:val="207B4905"/>
    <w:rsid w:val="207D242B"/>
    <w:rsid w:val="207D69B0"/>
    <w:rsid w:val="207E61A3"/>
    <w:rsid w:val="2080305E"/>
    <w:rsid w:val="20803CC9"/>
    <w:rsid w:val="208319DF"/>
    <w:rsid w:val="208337BA"/>
    <w:rsid w:val="20847C5E"/>
    <w:rsid w:val="20855784"/>
    <w:rsid w:val="20887022"/>
    <w:rsid w:val="20895274"/>
    <w:rsid w:val="208A0FEC"/>
    <w:rsid w:val="208A6CE1"/>
    <w:rsid w:val="208C08C0"/>
    <w:rsid w:val="208C266E"/>
    <w:rsid w:val="208D41D2"/>
    <w:rsid w:val="208E288A"/>
    <w:rsid w:val="208E4638"/>
    <w:rsid w:val="208F215E"/>
    <w:rsid w:val="208F6602"/>
    <w:rsid w:val="20915ED7"/>
    <w:rsid w:val="20937EA1"/>
    <w:rsid w:val="20947775"/>
    <w:rsid w:val="2096173F"/>
    <w:rsid w:val="20963CB8"/>
    <w:rsid w:val="20971013"/>
    <w:rsid w:val="209854B7"/>
    <w:rsid w:val="20995346"/>
    <w:rsid w:val="209B0B03"/>
    <w:rsid w:val="209D2ACD"/>
    <w:rsid w:val="20A025BE"/>
    <w:rsid w:val="20A35C0A"/>
    <w:rsid w:val="20A51982"/>
    <w:rsid w:val="20A57BD4"/>
    <w:rsid w:val="20A7394C"/>
    <w:rsid w:val="20A81A1B"/>
    <w:rsid w:val="20A91472"/>
    <w:rsid w:val="20AA343C"/>
    <w:rsid w:val="20AA51EA"/>
    <w:rsid w:val="20AE60DC"/>
    <w:rsid w:val="20AF17DC"/>
    <w:rsid w:val="20AF756C"/>
    <w:rsid w:val="20B07FB6"/>
    <w:rsid w:val="20B3409F"/>
    <w:rsid w:val="20B35E4D"/>
    <w:rsid w:val="20B47E17"/>
    <w:rsid w:val="20B646FB"/>
    <w:rsid w:val="20B72AF8"/>
    <w:rsid w:val="20B7743F"/>
    <w:rsid w:val="20B816B5"/>
    <w:rsid w:val="20C04A0E"/>
    <w:rsid w:val="20C20786"/>
    <w:rsid w:val="20C22534"/>
    <w:rsid w:val="20C4005A"/>
    <w:rsid w:val="20C444FE"/>
    <w:rsid w:val="20C462AC"/>
    <w:rsid w:val="20C77B4A"/>
    <w:rsid w:val="20CA13E8"/>
    <w:rsid w:val="20CA763A"/>
    <w:rsid w:val="20CD1665"/>
    <w:rsid w:val="20CE2C87"/>
    <w:rsid w:val="20CF4C51"/>
    <w:rsid w:val="20D01727"/>
    <w:rsid w:val="20D12777"/>
    <w:rsid w:val="20D44015"/>
    <w:rsid w:val="20D51287"/>
    <w:rsid w:val="20D52267"/>
    <w:rsid w:val="20D61B3B"/>
    <w:rsid w:val="20DA3C69"/>
    <w:rsid w:val="20DA5ACF"/>
    <w:rsid w:val="20DB1848"/>
    <w:rsid w:val="20DB35F6"/>
    <w:rsid w:val="20DD111C"/>
    <w:rsid w:val="20DD115A"/>
    <w:rsid w:val="20DD55C0"/>
    <w:rsid w:val="20DD736E"/>
    <w:rsid w:val="20DE6C42"/>
    <w:rsid w:val="20DF30E6"/>
    <w:rsid w:val="20DF4E94"/>
    <w:rsid w:val="20DF664B"/>
    <w:rsid w:val="20E029BA"/>
    <w:rsid w:val="20E24984"/>
    <w:rsid w:val="20E406FC"/>
    <w:rsid w:val="20E64474"/>
    <w:rsid w:val="20E73D48"/>
    <w:rsid w:val="20E765ED"/>
    <w:rsid w:val="20E83230"/>
    <w:rsid w:val="20EA3839"/>
    <w:rsid w:val="20EB1A8B"/>
    <w:rsid w:val="20EC75B1"/>
    <w:rsid w:val="20F3093F"/>
    <w:rsid w:val="20F326ED"/>
    <w:rsid w:val="20F36B91"/>
    <w:rsid w:val="20F66D15"/>
    <w:rsid w:val="20F75857"/>
    <w:rsid w:val="20FA7F20"/>
    <w:rsid w:val="20FB243F"/>
    <w:rsid w:val="20FB77F4"/>
    <w:rsid w:val="20FD531A"/>
    <w:rsid w:val="20FF72E4"/>
    <w:rsid w:val="21004E0A"/>
    <w:rsid w:val="21005984"/>
    <w:rsid w:val="21020B82"/>
    <w:rsid w:val="21025026"/>
    <w:rsid w:val="210466A8"/>
    <w:rsid w:val="21052421"/>
    <w:rsid w:val="210668C5"/>
    <w:rsid w:val="21070BE6"/>
    <w:rsid w:val="2107263D"/>
    <w:rsid w:val="21076199"/>
    <w:rsid w:val="210B2A97"/>
    <w:rsid w:val="210C37AF"/>
    <w:rsid w:val="210F504D"/>
    <w:rsid w:val="21117017"/>
    <w:rsid w:val="211179F0"/>
    <w:rsid w:val="21134B3E"/>
    <w:rsid w:val="21143FF3"/>
    <w:rsid w:val="2114528A"/>
    <w:rsid w:val="2116462E"/>
    <w:rsid w:val="21183C0B"/>
    <w:rsid w:val="21190608"/>
    <w:rsid w:val="211A2370"/>
    <w:rsid w:val="211D59BC"/>
    <w:rsid w:val="211D65ED"/>
    <w:rsid w:val="211F34E2"/>
    <w:rsid w:val="21222FD3"/>
    <w:rsid w:val="21224D81"/>
    <w:rsid w:val="21246D4B"/>
    <w:rsid w:val="21254871"/>
    <w:rsid w:val="21260D15"/>
    <w:rsid w:val="212862D1"/>
    <w:rsid w:val="212925B3"/>
    <w:rsid w:val="21294361"/>
    <w:rsid w:val="21296020"/>
    <w:rsid w:val="2129610F"/>
    <w:rsid w:val="212B00D9"/>
    <w:rsid w:val="212B632B"/>
    <w:rsid w:val="212D7572"/>
    <w:rsid w:val="21304A63"/>
    <w:rsid w:val="21311468"/>
    <w:rsid w:val="213351E0"/>
    <w:rsid w:val="21336F8E"/>
    <w:rsid w:val="21350F58"/>
    <w:rsid w:val="21371D65"/>
    <w:rsid w:val="213827F6"/>
    <w:rsid w:val="213B74B1"/>
    <w:rsid w:val="213C3006"/>
    <w:rsid w:val="213D4496"/>
    <w:rsid w:val="213D7067"/>
    <w:rsid w:val="213F1DD6"/>
    <w:rsid w:val="214116AB"/>
    <w:rsid w:val="21415B4F"/>
    <w:rsid w:val="2144119B"/>
    <w:rsid w:val="21442C28"/>
    <w:rsid w:val="21466C89"/>
    <w:rsid w:val="21466CC1"/>
    <w:rsid w:val="2147185A"/>
    <w:rsid w:val="21472A39"/>
    <w:rsid w:val="21473BCF"/>
    <w:rsid w:val="214747E7"/>
    <w:rsid w:val="214815A8"/>
    <w:rsid w:val="214C62A1"/>
    <w:rsid w:val="21521B0A"/>
    <w:rsid w:val="215313DE"/>
    <w:rsid w:val="21535882"/>
    <w:rsid w:val="21537630"/>
    <w:rsid w:val="21582E98"/>
    <w:rsid w:val="21584C46"/>
    <w:rsid w:val="215869F4"/>
    <w:rsid w:val="215A2310"/>
    <w:rsid w:val="215A276C"/>
    <w:rsid w:val="215A6C10"/>
    <w:rsid w:val="215B0293"/>
    <w:rsid w:val="215D04AF"/>
    <w:rsid w:val="215D400B"/>
    <w:rsid w:val="215F4227"/>
    <w:rsid w:val="215F7D83"/>
    <w:rsid w:val="21611D4D"/>
    <w:rsid w:val="21621621"/>
    <w:rsid w:val="21645399"/>
    <w:rsid w:val="21661111"/>
    <w:rsid w:val="21674E89"/>
    <w:rsid w:val="216B2BCB"/>
    <w:rsid w:val="216C24A0"/>
    <w:rsid w:val="216D3574"/>
    <w:rsid w:val="216E446A"/>
    <w:rsid w:val="216E7FC6"/>
    <w:rsid w:val="217032BE"/>
    <w:rsid w:val="21717AB6"/>
    <w:rsid w:val="21723F5A"/>
    <w:rsid w:val="21725D08"/>
    <w:rsid w:val="21771570"/>
    <w:rsid w:val="21780E44"/>
    <w:rsid w:val="21787096"/>
    <w:rsid w:val="217B58C7"/>
    <w:rsid w:val="217E28FF"/>
    <w:rsid w:val="21817CF9"/>
    <w:rsid w:val="21823A71"/>
    <w:rsid w:val="21837F15"/>
    <w:rsid w:val="21845A3B"/>
    <w:rsid w:val="218477E9"/>
    <w:rsid w:val="218617B3"/>
    <w:rsid w:val="21867A05"/>
    <w:rsid w:val="218759C9"/>
    <w:rsid w:val="2188017C"/>
    <w:rsid w:val="2188552B"/>
    <w:rsid w:val="218912A4"/>
    <w:rsid w:val="21894E00"/>
    <w:rsid w:val="21897ECB"/>
    <w:rsid w:val="218B501C"/>
    <w:rsid w:val="218B6DCA"/>
    <w:rsid w:val="218D141D"/>
    <w:rsid w:val="218E2416"/>
    <w:rsid w:val="218E68BA"/>
    <w:rsid w:val="21933B4E"/>
    <w:rsid w:val="21933ED0"/>
    <w:rsid w:val="21947BAF"/>
    <w:rsid w:val="21983295"/>
    <w:rsid w:val="21986530"/>
    <w:rsid w:val="219A0DBB"/>
    <w:rsid w:val="219A3A21"/>
    <w:rsid w:val="219C2D85"/>
    <w:rsid w:val="219D08AB"/>
    <w:rsid w:val="219E4D4F"/>
    <w:rsid w:val="219F63D1"/>
    <w:rsid w:val="21A165ED"/>
    <w:rsid w:val="21A41C3A"/>
    <w:rsid w:val="21A460DD"/>
    <w:rsid w:val="21A47E8B"/>
    <w:rsid w:val="21A67760"/>
    <w:rsid w:val="21A954A2"/>
    <w:rsid w:val="21AA36F4"/>
    <w:rsid w:val="21AB121A"/>
    <w:rsid w:val="21AB2FC8"/>
    <w:rsid w:val="21AD72C6"/>
    <w:rsid w:val="21AE4227"/>
    <w:rsid w:val="21AE4866"/>
    <w:rsid w:val="21B170D7"/>
    <w:rsid w:val="21B207FA"/>
    <w:rsid w:val="21B7196D"/>
    <w:rsid w:val="21B7468A"/>
    <w:rsid w:val="21B77BBF"/>
    <w:rsid w:val="21B93937"/>
    <w:rsid w:val="21BA145D"/>
    <w:rsid w:val="21BA320B"/>
    <w:rsid w:val="21BB1C74"/>
    <w:rsid w:val="21BE0F4D"/>
    <w:rsid w:val="21BE2CFB"/>
    <w:rsid w:val="21BE719F"/>
    <w:rsid w:val="21C127EB"/>
    <w:rsid w:val="21C172B9"/>
    <w:rsid w:val="21C36564"/>
    <w:rsid w:val="21C422DC"/>
    <w:rsid w:val="21C83B7A"/>
    <w:rsid w:val="21C97F2F"/>
    <w:rsid w:val="21CA791F"/>
    <w:rsid w:val="21CB5418"/>
    <w:rsid w:val="21CD1190"/>
    <w:rsid w:val="21CF4F08"/>
    <w:rsid w:val="21D02A2F"/>
    <w:rsid w:val="21D20555"/>
    <w:rsid w:val="21D249F9"/>
    <w:rsid w:val="21D27B51"/>
    <w:rsid w:val="21D544E9"/>
    <w:rsid w:val="21D70261"/>
    <w:rsid w:val="21D818E3"/>
    <w:rsid w:val="21DA1AFF"/>
    <w:rsid w:val="21DA38AD"/>
    <w:rsid w:val="21DC7625"/>
    <w:rsid w:val="21DD4C64"/>
    <w:rsid w:val="21DD6EFA"/>
    <w:rsid w:val="21DE318A"/>
    <w:rsid w:val="21DE339D"/>
    <w:rsid w:val="21E169EA"/>
    <w:rsid w:val="21E64000"/>
    <w:rsid w:val="21E649A1"/>
    <w:rsid w:val="21E8421C"/>
    <w:rsid w:val="21E87D78"/>
    <w:rsid w:val="21E93AF0"/>
    <w:rsid w:val="21EA1D42"/>
    <w:rsid w:val="21EB1616"/>
    <w:rsid w:val="21EB5ABA"/>
    <w:rsid w:val="21EB7868"/>
    <w:rsid w:val="21EC3348"/>
    <w:rsid w:val="21EC68A2"/>
    <w:rsid w:val="21ED538F"/>
    <w:rsid w:val="21EE1107"/>
    <w:rsid w:val="21EF5B80"/>
    <w:rsid w:val="21EF7359"/>
    <w:rsid w:val="21F030D1"/>
    <w:rsid w:val="21F11323"/>
    <w:rsid w:val="21F229A5"/>
    <w:rsid w:val="21F4092B"/>
    <w:rsid w:val="21F41A5B"/>
    <w:rsid w:val="21F42BC1"/>
    <w:rsid w:val="21F52495"/>
    <w:rsid w:val="21F726B1"/>
    <w:rsid w:val="21F9443D"/>
    <w:rsid w:val="21FB3F4F"/>
    <w:rsid w:val="21FC1A76"/>
    <w:rsid w:val="21FC3824"/>
    <w:rsid w:val="21FE134A"/>
    <w:rsid w:val="21FE57EE"/>
    <w:rsid w:val="22031056"/>
    <w:rsid w:val="220646A2"/>
    <w:rsid w:val="2208666C"/>
    <w:rsid w:val="220A6852"/>
    <w:rsid w:val="220D2602"/>
    <w:rsid w:val="220F17A9"/>
    <w:rsid w:val="220F3557"/>
    <w:rsid w:val="220F79FB"/>
    <w:rsid w:val="2210107D"/>
    <w:rsid w:val="22124DF5"/>
    <w:rsid w:val="22136474"/>
    <w:rsid w:val="22140B6D"/>
    <w:rsid w:val="22146DBF"/>
    <w:rsid w:val="22166536"/>
    <w:rsid w:val="2217240B"/>
    <w:rsid w:val="221768AF"/>
    <w:rsid w:val="22194EB7"/>
    <w:rsid w:val="221B63A0"/>
    <w:rsid w:val="221C2118"/>
    <w:rsid w:val="221C5C74"/>
    <w:rsid w:val="221E19EC"/>
    <w:rsid w:val="221E379A"/>
    <w:rsid w:val="221F7512"/>
    <w:rsid w:val="22200A78"/>
    <w:rsid w:val="22200B7C"/>
    <w:rsid w:val="22205764"/>
    <w:rsid w:val="222114DC"/>
    <w:rsid w:val="2221328A"/>
    <w:rsid w:val="22250FCC"/>
    <w:rsid w:val="22291DDB"/>
    <w:rsid w:val="222A326B"/>
    <w:rsid w:val="222B4109"/>
    <w:rsid w:val="222B5EB7"/>
    <w:rsid w:val="222B72CC"/>
    <w:rsid w:val="222C235B"/>
    <w:rsid w:val="222D60D3"/>
    <w:rsid w:val="222D7E81"/>
    <w:rsid w:val="223236E9"/>
    <w:rsid w:val="22327245"/>
    <w:rsid w:val="2234120F"/>
    <w:rsid w:val="22347461"/>
    <w:rsid w:val="22350AE4"/>
    <w:rsid w:val="22356D36"/>
    <w:rsid w:val="223631D9"/>
    <w:rsid w:val="22364F87"/>
    <w:rsid w:val="22380440"/>
    <w:rsid w:val="2239018F"/>
    <w:rsid w:val="223905D4"/>
    <w:rsid w:val="223B259E"/>
    <w:rsid w:val="223B434C"/>
    <w:rsid w:val="22401962"/>
    <w:rsid w:val="22407BB4"/>
    <w:rsid w:val="22413173"/>
    <w:rsid w:val="2241392C"/>
    <w:rsid w:val="224156DA"/>
    <w:rsid w:val="224376A4"/>
    <w:rsid w:val="22486A69"/>
    <w:rsid w:val="224A0A33"/>
    <w:rsid w:val="224A27E1"/>
    <w:rsid w:val="224A458F"/>
    <w:rsid w:val="224B0307"/>
    <w:rsid w:val="224D0523"/>
    <w:rsid w:val="224D22D1"/>
    <w:rsid w:val="224D407F"/>
    <w:rsid w:val="224F6049"/>
    <w:rsid w:val="22513B6F"/>
    <w:rsid w:val="225278E7"/>
    <w:rsid w:val="22543660"/>
    <w:rsid w:val="225673D8"/>
    <w:rsid w:val="22573718"/>
    <w:rsid w:val="22576990"/>
    <w:rsid w:val="2259117B"/>
    <w:rsid w:val="22597779"/>
    <w:rsid w:val="225C42C2"/>
    <w:rsid w:val="225D0766"/>
    <w:rsid w:val="225D56AD"/>
    <w:rsid w:val="225E44DE"/>
    <w:rsid w:val="225F1EAA"/>
    <w:rsid w:val="22602004"/>
    <w:rsid w:val="22603DB2"/>
    <w:rsid w:val="2262082B"/>
    <w:rsid w:val="22623FCE"/>
    <w:rsid w:val="22631AF5"/>
    <w:rsid w:val="226715E5"/>
    <w:rsid w:val="22673393"/>
    <w:rsid w:val="2268469D"/>
    <w:rsid w:val="22685DDE"/>
    <w:rsid w:val="226A06FE"/>
    <w:rsid w:val="226A2E83"/>
    <w:rsid w:val="226B2757"/>
    <w:rsid w:val="226C0FF6"/>
    <w:rsid w:val="226D14F1"/>
    <w:rsid w:val="226D64CF"/>
    <w:rsid w:val="226E2973"/>
    <w:rsid w:val="226F199F"/>
    <w:rsid w:val="226F2F9D"/>
    <w:rsid w:val="22714212"/>
    <w:rsid w:val="22723AE6"/>
    <w:rsid w:val="22743D02"/>
    <w:rsid w:val="22755811"/>
    <w:rsid w:val="22774421"/>
    <w:rsid w:val="227855A0"/>
    <w:rsid w:val="227B0BEC"/>
    <w:rsid w:val="227B5090"/>
    <w:rsid w:val="227C6712"/>
    <w:rsid w:val="227F4065"/>
    <w:rsid w:val="22802924"/>
    <w:rsid w:val="22821F7B"/>
    <w:rsid w:val="22835CF3"/>
    <w:rsid w:val="22842735"/>
    <w:rsid w:val="22873A35"/>
    <w:rsid w:val="22883309"/>
    <w:rsid w:val="228850B7"/>
    <w:rsid w:val="228A52D3"/>
    <w:rsid w:val="228B7A37"/>
    <w:rsid w:val="228C104B"/>
    <w:rsid w:val="228D0920"/>
    <w:rsid w:val="228D6B72"/>
    <w:rsid w:val="228F4698"/>
    <w:rsid w:val="2291647A"/>
    <w:rsid w:val="22925F36"/>
    <w:rsid w:val="22934188"/>
    <w:rsid w:val="22947F00"/>
    <w:rsid w:val="229536BA"/>
    <w:rsid w:val="22965A26"/>
    <w:rsid w:val="2297354C"/>
    <w:rsid w:val="22995516"/>
    <w:rsid w:val="229972C4"/>
    <w:rsid w:val="229B128E"/>
    <w:rsid w:val="229B303C"/>
    <w:rsid w:val="229C09BC"/>
    <w:rsid w:val="229D5007"/>
    <w:rsid w:val="229E2B2D"/>
    <w:rsid w:val="229E48DB"/>
    <w:rsid w:val="22A00653"/>
    <w:rsid w:val="22A1482E"/>
    <w:rsid w:val="22A16179"/>
    <w:rsid w:val="22A243CB"/>
    <w:rsid w:val="22A31EF1"/>
    <w:rsid w:val="22A5210D"/>
    <w:rsid w:val="22A75E85"/>
    <w:rsid w:val="22A77C33"/>
    <w:rsid w:val="22A85759"/>
    <w:rsid w:val="22A87507"/>
    <w:rsid w:val="22AA14D2"/>
    <w:rsid w:val="22AC04B1"/>
    <w:rsid w:val="22AC6FF8"/>
    <w:rsid w:val="22AD24B7"/>
    <w:rsid w:val="22B12860"/>
    <w:rsid w:val="22B20386"/>
    <w:rsid w:val="22B365D8"/>
    <w:rsid w:val="22B61C24"/>
    <w:rsid w:val="22B64134"/>
    <w:rsid w:val="22B75B88"/>
    <w:rsid w:val="22B8409F"/>
    <w:rsid w:val="22B8599C"/>
    <w:rsid w:val="22B934C3"/>
    <w:rsid w:val="22B97967"/>
    <w:rsid w:val="22BA4E19"/>
    <w:rsid w:val="22BB548D"/>
    <w:rsid w:val="22BB723B"/>
    <w:rsid w:val="22BC7FA6"/>
    <w:rsid w:val="22BD2FB3"/>
    <w:rsid w:val="22BD4D30"/>
    <w:rsid w:val="22C04851"/>
    <w:rsid w:val="22C72C26"/>
    <w:rsid w:val="22C73E32"/>
    <w:rsid w:val="22C75BE0"/>
    <w:rsid w:val="22C81958"/>
    <w:rsid w:val="22C97BAA"/>
    <w:rsid w:val="22CB3A79"/>
    <w:rsid w:val="22CD23BA"/>
    <w:rsid w:val="22CE3412"/>
    <w:rsid w:val="22CF0F38"/>
    <w:rsid w:val="22CF2CE6"/>
    <w:rsid w:val="22CF641B"/>
    <w:rsid w:val="22CF718A"/>
    <w:rsid w:val="22D14CB0"/>
    <w:rsid w:val="22D30A28"/>
    <w:rsid w:val="22D327D6"/>
    <w:rsid w:val="22D447A0"/>
    <w:rsid w:val="22D622C7"/>
    <w:rsid w:val="22D64075"/>
    <w:rsid w:val="22D8603F"/>
    <w:rsid w:val="22DD18A7"/>
    <w:rsid w:val="22DE117B"/>
    <w:rsid w:val="22DF47CF"/>
    <w:rsid w:val="22DF561F"/>
    <w:rsid w:val="22E03145"/>
    <w:rsid w:val="22E22A19"/>
    <w:rsid w:val="22E50641"/>
    <w:rsid w:val="22E5250A"/>
    <w:rsid w:val="22E569AE"/>
    <w:rsid w:val="22E70030"/>
    <w:rsid w:val="22E744D4"/>
    <w:rsid w:val="22E76282"/>
    <w:rsid w:val="22E91FFA"/>
    <w:rsid w:val="22EA18E2"/>
    <w:rsid w:val="22EA3023"/>
    <w:rsid w:val="22EA7B20"/>
    <w:rsid w:val="22EB3FC4"/>
    <w:rsid w:val="22EC0514"/>
    <w:rsid w:val="22EE13BE"/>
    <w:rsid w:val="22EF5136"/>
    <w:rsid w:val="22F15352"/>
    <w:rsid w:val="22F17100"/>
    <w:rsid w:val="22F35816"/>
    <w:rsid w:val="22F47480"/>
    <w:rsid w:val="22F52D07"/>
    <w:rsid w:val="22F615C6"/>
    <w:rsid w:val="22F62969"/>
    <w:rsid w:val="22F664C5"/>
    <w:rsid w:val="22F8223D"/>
    <w:rsid w:val="22F866E1"/>
    <w:rsid w:val="22F97D63"/>
    <w:rsid w:val="22FC68C8"/>
    <w:rsid w:val="22FD5AA5"/>
    <w:rsid w:val="22FD7853"/>
    <w:rsid w:val="22FF3DB9"/>
    <w:rsid w:val="23007343"/>
    <w:rsid w:val="2302130E"/>
    <w:rsid w:val="23045086"/>
    <w:rsid w:val="23046E34"/>
    <w:rsid w:val="23052BAC"/>
    <w:rsid w:val="230706D2"/>
    <w:rsid w:val="23076924"/>
    <w:rsid w:val="2309269C"/>
    <w:rsid w:val="230A1F70"/>
    <w:rsid w:val="230B6414"/>
    <w:rsid w:val="230C5CE8"/>
    <w:rsid w:val="230E380E"/>
    <w:rsid w:val="230F38AE"/>
    <w:rsid w:val="23111551"/>
    <w:rsid w:val="23137077"/>
    <w:rsid w:val="23144B9D"/>
    <w:rsid w:val="23152DEF"/>
    <w:rsid w:val="23160915"/>
    <w:rsid w:val="231A6657"/>
    <w:rsid w:val="231B5F2B"/>
    <w:rsid w:val="231E77CA"/>
    <w:rsid w:val="23215CC3"/>
    <w:rsid w:val="232272BA"/>
    <w:rsid w:val="23244DE0"/>
    <w:rsid w:val="232474D6"/>
    <w:rsid w:val="23256DAA"/>
    <w:rsid w:val="23264FFC"/>
    <w:rsid w:val="232A04B6"/>
    <w:rsid w:val="232B0864"/>
    <w:rsid w:val="232B2612"/>
    <w:rsid w:val="232C1EE7"/>
    <w:rsid w:val="232E2103"/>
    <w:rsid w:val="232E3EB1"/>
    <w:rsid w:val="232F19D7"/>
    <w:rsid w:val="23305E7B"/>
    <w:rsid w:val="23307C29"/>
    <w:rsid w:val="2331574F"/>
    <w:rsid w:val="233314C7"/>
    <w:rsid w:val="23344139"/>
    <w:rsid w:val="23353491"/>
    <w:rsid w:val="23362D65"/>
    <w:rsid w:val="2338088B"/>
    <w:rsid w:val="233A2855"/>
    <w:rsid w:val="233A4603"/>
    <w:rsid w:val="233C481F"/>
    <w:rsid w:val="233D40F4"/>
    <w:rsid w:val="233F1C1A"/>
    <w:rsid w:val="233F60BE"/>
    <w:rsid w:val="23427BCD"/>
    <w:rsid w:val="234436D4"/>
    <w:rsid w:val="234611FA"/>
    <w:rsid w:val="2346744C"/>
    <w:rsid w:val="23476D20"/>
    <w:rsid w:val="23490CEA"/>
    <w:rsid w:val="234A05BF"/>
    <w:rsid w:val="234B6811"/>
    <w:rsid w:val="234E00AF"/>
    <w:rsid w:val="235002CB"/>
    <w:rsid w:val="23516232"/>
    <w:rsid w:val="23517B9F"/>
    <w:rsid w:val="23533917"/>
    <w:rsid w:val="235558E1"/>
    <w:rsid w:val="23563407"/>
    <w:rsid w:val="23566F63"/>
    <w:rsid w:val="23571659"/>
    <w:rsid w:val="23580F2E"/>
    <w:rsid w:val="23581DF3"/>
    <w:rsid w:val="235A2EF8"/>
    <w:rsid w:val="235A6A54"/>
    <w:rsid w:val="235C6C70"/>
    <w:rsid w:val="235D6544"/>
    <w:rsid w:val="23607DE2"/>
    <w:rsid w:val="2366364A"/>
    <w:rsid w:val="23665B38"/>
    <w:rsid w:val="23675615"/>
    <w:rsid w:val="236773C3"/>
    <w:rsid w:val="23694EE9"/>
    <w:rsid w:val="236B2A0F"/>
    <w:rsid w:val="236E0F7C"/>
    <w:rsid w:val="237044C9"/>
    <w:rsid w:val="23711FEF"/>
    <w:rsid w:val="23735D67"/>
    <w:rsid w:val="23737B15"/>
    <w:rsid w:val="2375388E"/>
    <w:rsid w:val="23757D31"/>
    <w:rsid w:val="237607F8"/>
    <w:rsid w:val="23766ABD"/>
    <w:rsid w:val="23767606"/>
    <w:rsid w:val="23775858"/>
    <w:rsid w:val="237A5348"/>
    <w:rsid w:val="237D6BE6"/>
    <w:rsid w:val="237F64BA"/>
    <w:rsid w:val="23810484"/>
    <w:rsid w:val="23812232"/>
    <w:rsid w:val="23825060"/>
    <w:rsid w:val="23825FAA"/>
    <w:rsid w:val="23827D58"/>
    <w:rsid w:val="23867849"/>
    <w:rsid w:val="23871813"/>
    <w:rsid w:val="23872231"/>
    <w:rsid w:val="238910E7"/>
    <w:rsid w:val="2389558B"/>
    <w:rsid w:val="23897339"/>
    <w:rsid w:val="238B4E5F"/>
    <w:rsid w:val="238C6E29"/>
    <w:rsid w:val="238D507B"/>
    <w:rsid w:val="238E0DF3"/>
    <w:rsid w:val="239006C7"/>
    <w:rsid w:val="23906919"/>
    <w:rsid w:val="239301B8"/>
    <w:rsid w:val="23952182"/>
    <w:rsid w:val="23957A8C"/>
    <w:rsid w:val="239634D6"/>
    <w:rsid w:val="23963804"/>
    <w:rsid w:val="23971A56"/>
    <w:rsid w:val="2398573D"/>
    <w:rsid w:val="239857CE"/>
    <w:rsid w:val="23991E57"/>
    <w:rsid w:val="239A32F4"/>
    <w:rsid w:val="239A7798"/>
    <w:rsid w:val="239C706C"/>
    <w:rsid w:val="239F090A"/>
    <w:rsid w:val="23A10B26"/>
    <w:rsid w:val="23A14683"/>
    <w:rsid w:val="23A203FB"/>
    <w:rsid w:val="23A34399"/>
    <w:rsid w:val="23A4392B"/>
    <w:rsid w:val="23A678D5"/>
    <w:rsid w:val="23A67EEB"/>
    <w:rsid w:val="23A91789"/>
    <w:rsid w:val="23A93537"/>
    <w:rsid w:val="23AB5501"/>
    <w:rsid w:val="23AC56FC"/>
    <w:rsid w:val="23AD1279"/>
    <w:rsid w:val="23AD74CB"/>
    <w:rsid w:val="23AE4FF1"/>
    <w:rsid w:val="23AE6D9F"/>
    <w:rsid w:val="23B02B18"/>
    <w:rsid w:val="23B1699D"/>
    <w:rsid w:val="23B343B6"/>
    <w:rsid w:val="23B5012E"/>
    <w:rsid w:val="23B567AE"/>
    <w:rsid w:val="23B57EEF"/>
    <w:rsid w:val="23B95E70"/>
    <w:rsid w:val="23BA5744"/>
    <w:rsid w:val="23BC3AB0"/>
    <w:rsid w:val="23BD5235"/>
    <w:rsid w:val="23BD6681"/>
    <w:rsid w:val="23BD6FE3"/>
    <w:rsid w:val="23BF0FAD"/>
    <w:rsid w:val="23BF71FF"/>
    <w:rsid w:val="23C12F77"/>
    <w:rsid w:val="23C2284B"/>
    <w:rsid w:val="23C40371"/>
    <w:rsid w:val="23C45582"/>
    <w:rsid w:val="23C465C3"/>
    <w:rsid w:val="23C6058D"/>
    <w:rsid w:val="23C87E61"/>
    <w:rsid w:val="23CA1CD3"/>
    <w:rsid w:val="23CA289F"/>
    <w:rsid w:val="23CB5BA3"/>
    <w:rsid w:val="23CD191B"/>
    <w:rsid w:val="23CE7442"/>
    <w:rsid w:val="23D20CE0"/>
    <w:rsid w:val="23D27417"/>
    <w:rsid w:val="23D762F6"/>
    <w:rsid w:val="23D83E1C"/>
    <w:rsid w:val="23D902C0"/>
    <w:rsid w:val="23D972EA"/>
    <w:rsid w:val="23DA1943"/>
    <w:rsid w:val="23DA5DE6"/>
    <w:rsid w:val="23DC1B5F"/>
    <w:rsid w:val="23DC390D"/>
    <w:rsid w:val="23DD1433"/>
    <w:rsid w:val="23DE1C48"/>
    <w:rsid w:val="23DF51AB"/>
    <w:rsid w:val="23E1433B"/>
    <w:rsid w:val="23E26F0C"/>
    <w:rsid w:val="23E32EED"/>
    <w:rsid w:val="23E32F6D"/>
    <w:rsid w:val="23E34C9B"/>
    <w:rsid w:val="23E4182C"/>
    <w:rsid w:val="23E629DD"/>
    <w:rsid w:val="23E80503"/>
    <w:rsid w:val="23E9602A"/>
    <w:rsid w:val="23E97DD8"/>
    <w:rsid w:val="23EA6B2E"/>
    <w:rsid w:val="23EB3B50"/>
    <w:rsid w:val="23ED3D6C"/>
    <w:rsid w:val="23EE53EE"/>
    <w:rsid w:val="23EE54AF"/>
    <w:rsid w:val="23F231BC"/>
    <w:rsid w:val="23F30C56"/>
    <w:rsid w:val="23F31321"/>
    <w:rsid w:val="23F32A04"/>
    <w:rsid w:val="23F427B1"/>
    <w:rsid w:val="23F46EA8"/>
    <w:rsid w:val="23F52C20"/>
    <w:rsid w:val="23F724F4"/>
    <w:rsid w:val="23F8626D"/>
    <w:rsid w:val="23FA3D93"/>
    <w:rsid w:val="23FC6C77"/>
    <w:rsid w:val="23FD3B14"/>
    <w:rsid w:val="24000D54"/>
    <w:rsid w:val="24013373"/>
    <w:rsid w:val="240210CD"/>
    <w:rsid w:val="240370EB"/>
    <w:rsid w:val="240510B5"/>
    <w:rsid w:val="2406098A"/>
    <w:rsid w:val="24066BDB"/>
    <w:rsid w:val="24084702"/>
    <w:rsid w:val="2409047A"/>
    <w:rsid w:val="240A66CC"/>
    <w:rsid w:val="240B2444"/>
    <w:rsid w:val="240B5FA0"/>
    <w:rsid w:val="240D1D18"/>
    <w:rsid w:val="240D3AC6"/>
    <w:rsid w:val="240F3CE2"/>
    <w:rsid w:val="2412732E"/>
    <w:rsid w:val="24134E54"/>
    <w:rsid w:val="24141D9B"/>
    <w:rsid w:val="24170DE9"/>
    <w:rsid w:val="24172B97"/>
    <w:rsid w:val="241906BD"/>
    <w:rsid w:val="241A4435"/>
    <w:rsid w:val="241C01AD"/>
    <w:rsid w:val="241E2177"/>
    <w:rsid w:val="241E3F25"/>
    <w:rsid w:val="241E5CD3"/>
    <w:rsid w:val="242157C3"/>
    <w:rsid w:val="24223821"/>
    <w:rsid w:val="2423153B"/>
    <w:rsid w:val="2423778D"/>
    <w:rsid w:val="24253506"/>
    <w:rsid w:val="24253802"/>
    <w:rsid w:val="24253C3D"/>
    <w:rsid w:val="2426102C"/>
    <w:rsid w:val="24262DDA"/>
    <w:rsid w:val="24284DA4"/>
    <w:rsid w:val="24294678"/>
    <w:rsid w:val="242A28CA"/>
    <w:rsid w:val="242A3FC1"/>
    <w:rsid w:val="242B219E"/>
    <w:rsid w:val="242D5F16"/>
    <w:rsid w:val="242F7EE0"/>
    <w:rsid w:val="24303C58"/>
    <w:rsid w:val="243134C3"/>
    <w:rsid w:val="2432352D"/>
    <w:rsid w:val="243279D1"/>
    <w:rsid w:val="24335324"/>
    <w:rsid w:val="243454F7"/>
    <w:rsid w:val="243472A5"/>
    <w:rsid w:val="2435301D"/>
    <w:rsid w:val="24392B0D"/>
    <w:rsid w:val="243B4AD7"/>
    <w:rsid w:val="243C43AB"/>
    <w:rsid w:val="243C7B16"/>
    <w:rsid w:val="243E45C7"/>
    <w:rsid w:val="243F3E9B"/>
    <w:rsid w:val="243F5C4A"/>
    <w:rsid w:val="24410DB7"/>
    <w:rsid w:val="244119C2"/>
    <w:rsid w:val="2443398C"/>
    <w:rsid w:val="24433E0A"/>
    <w:rsid w:val="24444B67"/>
    <w:rsid w:val="24455956"/>
    <w:rsid w:val="24457704"/>
    <w:rsid w:val="24466FD8"/>
    <w:rsid w:val="244A2F6C"/>
    <w:rsid w:val="244A6AC8"/>
    <w:rsid w:val="244E33BB"/>
    <w:rsid w:val="244E5C3A"/>
    <w:rsid w:val="245142FB"/>
    <w:rsid w:val="2452597D"/>
    <w:rsid w:val="24547947"/>
    <w:rsid w:val="24555AEC"/>
    <w:rsid w:val="24561911"/>
    <w:rsid w:val="245711E5"/>
    <w:rsid w:val="24572F93"/>
    <w:rsid w:val="245931AF"/>
    <w:rsid w:val="245A2A83"/>
    <w:rsid w:val="245B0CD5"/>
    <w:rsid w:val="245C2C9F"/>
    <w:rsid w:val="245C67FB"/>
    <w:rsid w:val="245E2574"/>
    <w:rsid w:val="246103A1"/>
    <w:rsid w:val="246242CB"/>
    <w:rsid w:val="24661428"/>
    <w:rsid w:val="2466767A"/>
    <w:rsid w:val="246758CC"/>
    <w:rsid w:val="24681644"/>
    <w:rsid w:val="246953F2"/>
    <w:rsid w:val="246A6E45"/>
    <w:rsid w:val="246C2EE2"/>
    <w:rsid w:val="246D0A09"/>
    <w:rsid w:val="246F3E35"/>
    <w:rsid w:val="246F652F"/>
    <w:rsid w:val="247104F9"/>
    <w:rsid w:val="2471674B"/>
    <w:rsid w:val="24724271"/>
    <w:rsid w:val="247450D6"/>
    <w:rsid w:val="24747FE9"/>
    <w:rsid w:val="24762DB6"/>
    <w:rsid w:val="24771887"/>
    <w:rsid w:val="247753E3"/>
    <w:rsid w:val="2479115B"/>
    <w:rsid w:val="247B447A"/>
    <w:rsid w:val="247C2BEF"/>
    <w:rsid w:val="24803679"/>
    <w:rsid w:val="24804DBA"/>
    <w:rsid w:val="248144B4"/>
    <w:rsid w:val="24822706"/>
    <w:rsid w:val="2483022C"/>
    <w:rsid w:val="24833D88"/>
    <w:rsid w:val="2483647E"/>
    <w:rsid w:val="24863878"/>
    <w:rsid w:val="24877D1C"/>
    <w:rsid w:val="248875F1"/>
    <w:rsid w:val="248D2E59"/>
    <w:rsid w:val="248D4C07"/>
    <w:rsid w:val="248F097F"/>
    <w:rsid w:val="249146F7"/>
    <w:rsid w:val="2492046F"/>
    <w:rsid w:val="249266C1"/>
    <w:rsid w:val="24967F5F"/>
    <w:rsid w:val="24970470"/>
    <w:rsid w:val="249B5576"/>
    <w:rsid w:val="249B7324"/>
    <w:rsid w:val="249C4E4A"/>
    <w:rsid w:val="24A140F3"/>
    <w:rsid w:val="24A24B56"/>
    <w:rsid w:val="24A3442A"/>
    <w:rsid w:val="24A37AEA"/>
    <w:rsid w:val="24A563F4"/>
    <w:rsid w:val="24A826C3"/>
    <w:rsid w:val="24A87C93"/>
    <w:rsid w:val="24AA3A0B"/>
    <w:rsid w:val="24AA57B9"/>
    <w:rsid w:val="24AB7D76"/>
    <w:rsid w:val="24AD7057"/>
    <w:rsid w:val="24AE34FB"/>
    <w:rsid w:val="24AF7273"/>
    <w:rsid w:val="24B108F5"/>
    <w:rsid w:val="24B403E6"/>
    <w:rsid w:val="24B94F4B"/>
    <w:rsid w:val="24BE1264"/>
    <w:rsid w:val="24BF09F7"/>
    <w:rsid w:val="24C0322E"/>
    <w:rsid w:val="24C26FA6"/>
    <w:rsid w:val="24C35FFD"/>
    <w:rsid w:val="24C820E3"/>
    <w:rsid w:val="24C85C3F"/>
    <w:rsid w:val="24C8729E"/>
    <w:rsid w:val="24CD76F9"/>
    <w:rsid w:val="24CE594B"/>
    <w:rsid w:val="24D10F97"/>
    <w:rsid w:val="24D12D46"/>
    <w:rsid w:val="24D32F62"/>
    <w:rsid w:val="24D34D10"/>
    <w:rsid w:val="24D40A88"/>
    <w:rsid w:val="24D42836"/>
    <w:rsid w:val="24D50412"/>
    <w:rsid w:val="24D6035C"/>
    <w:rsid w:val="24D64800"/>
    <w:rsid w:val="24D80578"/>
    <w:rsid w:val="24D942F0"/>
    <w:rsid w:val="24DA68EE"/>
    <w:rsid w:val="24DC16EA"/>
    <w:rsid w:val="24DE1906"/>
    <w:rsid w:val="24DE5462"/>
    <w:rsid w:val="24E0742D"/>
    <w:rsid w:val="24E567F1"/>
    <w:rsid w:val="24E707BB"/>
    <w:rsid w:val="24E76A0D"/>
    <w:rsid w:val="24ED2077"/>
    <w:rsid w:val="24EE1B49"/>
    <w:rsid w:val="24EF2718"/>
    <w:rsid w:val="24F133E8"/>
    <w:rsid w:val="24F15196"/>
    <w:rsid w:val="24F627AC"/>
    <w:rsid w:val="24F904EE"/>
    <w:rsid w:val="24F9229C"/>
    <w:rsid w:val="24FA6740"/>
    <w:rsid w:val="24FB6014"/>
    <w:rsid w:val="24FD66A2"/>
    <w:rsid w:val="24FD761E"/>
    <w:rsid w:val="24FE5B05"/>
    <w:rsid w:val="250009D8"/>
    <w:rsid w:val="2500187D"/>
    <w:rsid w:val="25004B0F"/>
    <w:rsid w:val="250208BF"/>
    <w:rsid w:val="25021151"/>
    <w:rsid w:val="2503311B"/>
    <w:rsid w:val="25034EC9"/>
    <w:rsid w:val="2504136D"/>
    <w:rsid w:val="25046061"/>
    <w:rsid w:val="25050C41"/>
    <w:rsid w:val="25071AF3"/>
    <w:rsid w:val="250824DF"/>
    <w:rsid w:val="25097302"/>
    <w:rsid w:val="250B1C22"/>
    <w:rsid w:val="250C0222"/>
    <w:rsid w:val="250C30B2"/>
    <w:rsid w:val="250E5D48"/>
    <w:rsid w:val="25105EB5"/>
    <w:rsid w:val="2513335E"/>
    <w:rsid w:val="25140E84"/>
    <w:rsid w:val="251D41DD"/>
    <w:rsid w:val="251D5F8B"/>
    <w:rsid w:val="251E1D03"/>
    <w:rsid w:val="251F61A7"/>
    <w:rsid w:val="251F7F55"/>
    <w:rsid w:val="25203CCD"/>
    <w:rsid w:val="25227EA9"/>
    <w:rsid w:val="25232A7A"/>
    <w:rsid w:val="25237319"/>
    <w:rsid w:val="252512E3"/>
    <w:rsid w:val="25253091"/>
    <w:rsid w:val="252613FB"/>
    <w:rsid w:val="25283D1B"/>
    <w:rsid w:val="252A68FA"/>
    <w:rsid w:val="252C232F"/>
    <w:rsid w:val="252D53FE"/>
    <w:rsid w:val="252F5CBE"/>
    <w:rsid w:val="25302162"/>
    <w:rsid w:val="25330E2E"/>
    <w:rsid w:val="25331C52"/>
    <w:rsid w:val="253357AE"/>
    <w:rsid w:val="2533755C"/>
    <w:rsid w:val="253439FF"/>
    <w:rsid w:val="2536704D"/>
    <w:rsid w:val="25382DC5"/>
    <w:rsid w:val="253908EB"/>
    <w:rsid w:val="253B0B07"/>
    <w:rsid w:val="253D03DB"/>
    <w:rsid w:val="253F23A5"/>
    <w:rsid w:val="253F73D1"/>
    <w:rsid w:val="25407ECB"/>
    <w:rsid w:val="25423C43"/>
    <w:rsid w:val="25441DB3"/>
    <w:rsid w:val="254554E2"/>
    <w:rsid w:val="25461985"/>
    <w:rsid w:val="2547125A"/>
    <w:rsid w:val="25493224"/>
    <w:rsid w:val="254A0D4A"/>
    <w:rsid w:val="254A2AF8"/>
    <w:rsid w:val="254C061E"/>
    <w:rsid w:val="254C6870"/>
    <w:rsid w:val="254E083A"/>
    <w:rsid w:val="254E25E8"/>
    <w:rsid w:val="25501A97"/>
    <w:rsid w:val="25502F27"/>
    <w:rsid w:val="2551032A"/>
    <w:rsid w:val="25535E50"/>
    <w:rsid w:val="25545725"/>
    <w:rsid w:val="25583467"/>
    <w:rsid w:val="255A0F8D"/>
    <w:rsid w:val="255A571A"/>
    <w:rsid w:val="255B2F57"/>
    <w:rsid w:val="255B6AB3"/>
    <w:rsid w:val="255D282B"/>
    <w:rsid w:val="255D6CCF"/>
    <w:rsid w:val="255E0351"/>
    <w:rsid w:val="2560231B"/>
    <w:rsid w:val="256040C9"/>
    <w:rsid w:val="256242E5"/>
    <w:rsid w:val="25626093"/>
    <w:rsid w:val="256367CC"/>
    <w:rsid w:val="2564139D"/>
    <w:rsid w:val="2565282D"/>
    <w:rsid w:val="2569263E"/>
    <w:rsid w:val="25695674"/>
    <w:rsid w:val="256A4F48"/>
    <w:rsid w:val="256B13EC"/>
    <w:rsid w:val="256C6F12"/>
    <w:rsid w:val="256E2C8A"/>
    <w:rsid w:val="256E38DF"/>
    <w:rsid w:val="256E4A38"/>
    <w:rsid w:val="256F255E"/>
    <w:rsid w:val="25706A02"/>
    <w:rsid w:val="25710085"/>
    <w:rsid w:val="25722260"/>
    <w:rsid w:val="2572277A"/>
    <w:rsid w:val="25747751"/>
    <w:rsid w:val="25754019"/>
    <w:rsid w:val="25777813"/>
    <w:rsid w:val="257853E1"/>
    <w:rsid w:val="25787665"/>
    <w:rsid w:val="257A162F"/>
    <w:rsid w:val="257D4C7B"/>
    <w:rsid w:val="257D4E7C"/>
    <w:rsid w:val="257F27A2"/>
    <w:rsid w:val="257F6C45"/>
    <w:rsid w:val="2580476C"/>
    <w:rsid w:val="258129BE"/>
    <w:rsid w:val="258204E4"/>
    <w:rsid w:val="2584425C"/>
    <w:rsid w:val="2584600A"/>
    <w:rsid w:val="25861D82"/>
    <w:rsid w:val="25875AFA"/>
    <w:rsid w:val="25893620"/>
    <w:rsid w:val="25897AC4"/>
    <w:rsid w:val="258B383C"/>
    <w:rsid w:val="258B55EA"/>
    <w:rsid w:val="258B7398"/>
    <w:rsid w:val="258C1362"/>
    <w:rsid w:val="25902C01"/>
    <w:rsid w:val="259049AF"/>
    <w:rsid w:val="25916979"/>
    <w:rsid w:val="259322B4"/>
    <w:rsid w:val="2593416A"/>
    <w:rsid w:val="259358AB"/>
    <w:rsid w:val="2593624D"/>
    <w:rsid w:val="259501CB"/>
    <w:rsid w:val="25956469"/>
    <w:rsid w:val="25973F8F"/>
    <w:rsid w:val="25981AB5"/>
    <w:rsid w:val="25987D07"/>
    <w:rsid w:val="259A146C"/>
    <w:rsid w:val="259A582D"/>
    <w:rsid w:val="259C009E"/>
    <w:rsid w:val="259D3570"/>
    <w:rsid w:val="259D531E"/>
    <w:rsid w:val="259F1096"/>
    <w:rsid w:val="259F4BF2"/>
    <w:rsid w:val="25A0096A"/>
    <w:rsid w:val="25A22934"/>
    <w:rsid w:val="25A718F0"/>
    <w:rsid w:val="25A8619C"/>
    <w:rsid w:val="25A95A70"/>
    <w:rsid w:val="25AB17E9"/>
    <w:rsid w:val="25AC730F"/>
    <w:rsid w:val="25AD78E2"/>
    <w:rsid w:val="25AE12D9"/>
    <w:rsid w:val="25B05051"/>
    <w:rsid w:val="25B54415"/>
    <w:rsid w:val="25B74631"/>
    <w:rsid w:val="25B763DF"/>
    <w:rsid w:val="25B83F05"/>
    <w:rsid w:val="25BA5ED0"/>
    <w:rsid w:val="25BA7C7E"/>
    <w:rsid w:val="25BC1C48"/>
    <w:rsid w:val="25C24D84"/>
    <w:rsid w:val="25C40AFC"/>
    <w:rsid w:val="25C428AA"/>
    <w:rsid w:val="25C74149"/>
    <w:rsid w:val="25C94365"/>
    <w:rsid w:val="25C970BA"/>
    <w:rsid w:val="25CB59E7"/>
    <w:rsid w:val="25CC175F"/>
    <w:rsid w:val="25CE3729"/>
    <w:rsid w:val="25CF17EB"/>
    <w:rsid w:val="25D0124F"/>
    <w:rsid w:val="25D23219"/>
    <w:rsid w:val="25D77F7D"/>
    <w:rsid w:val="25D845A8"/>
    <w:rsid w:val="25D86356"/>
    <w:rsid w:val="25DA20CE"/>
    <w:rsid w:val="25DC4098"/>
    <w:rsid w:val="25DD2511"/>
    <w:rsid w:val="25DE1BBE"/>
    <w:rsid w:val="25DF5936"/>
    <w:rsid w:val="25DF76E4"/>
    <w:rsid w:val="25E116AE"/>
    <w:rsid w:val="25E1345C"/>
    <w:rsid w:val="25E13C00"/>
    <w:rsid w:val="25E1520A"/>
    <w:rsid w:val="25E22D30"/>
    <w:rsid w:val="25E35426"/>
    <w:rsid w:val="25E42F4C"/>
    <w:rsid w:val="25E44CFA"/>
    <w:rsid w:val="25E60A73"/>
    <w:rsid w:val="25E62821"/>
    <w:rsid w:val="25E66CC5"/>
    <w:rsid w:val="25E76599"/>
    <w:rsid w:val="25E82A3D"/>
    <w:rsid w:val="25E847EB"/>
    <w:rsid w:val="25E90563"/>
    <w:rsid w:val="25E940BF"/>
    <w:rsid w:val="25E94F63"/>
    <w:rsid w:val="25EB42DB"/>
    <w:rsid w:val="25EC2D81"/>
    <w:rsid w:val="25EC3BAF"/>
    <w:rsid w:val="25ED0053"/>
    <w:rsid w:val="25ED4537"/>
    <w:rsid w:val="25EE7927"/>
    <w:rsid w:val="25EE7945"/>
    <w:rsid w:val="25F018F1"/>
    <w:rsid w:val="25F0544D"/>
    <w:rsid w:val="25F136F5"/>
    <w:rsid w:val="25F506D0"/>
    <w:rsid w:val="25F72C80"/>
    <w:rsid w:val="25F74A2E"/>
    <w:rsid w:val="25FA62CC"/>
    <w:rsid w:val="25FB1F49"/>
    <w:rsid w:val="25FC3DF2"/>
    <w:rsid w:val="26013AFE"/>
    <w:rsid w:val="260158AC"/>
    <w:rsid w:val="2601765A"/>
    <w:rsid w:val="26040EF9"/>
    <w:rsid w:val="2604539D"/>
    <w:rsid w:val="26064C71"/>
    <w:rsid w:val="260809E9"/>
    <w:rsid w:val="26084E8D"/>
    <w:rsid w:val="26094761"/>
    <w:rsid w:val="260B04D9"/>
    <w:rsid w:val="260B2287"/>
    <w:rsid w:val="260B392E"/>
    <w:rsid w:val="260F621B"/>
    <w:rsid w:val="26121868"/>
    <w:rsid w:val="26123616"/>
    <w:rsid w:val="26163F80"/>
    <w:rsid w:val="26170C2C"/>
    <w:rsid w:val="261849A4"/>
    <w:rsid w:val="26185D90"/>
    <w:rsid w:val="261A4BC0"/>
    <w:rsid w:val="261A696E"/>
    <w:rsid w:val="261C26E6"/>
    <w:rsid w:val="261C4494"/>
    <w:rsid w:val="261C6242"/>
    <w:rsid w:val="261D1FBA"/>
    <w:rsid w:val="261E645E"/>
    <w:rsid w:val="261F21D6"/>
    <w:rsid w:val="26211AAB"/>
    <w:rsid w:val="262275D1"/>
    <w:rsid w:val="26233A75"/>
    <w:rsid w:val="26241155"/>
    <w:rsid w:val="2624159B"/>
    <w:rsid w:val="262477ED"/>
    <w:rsid w:val="26250EA4"/>
    <w:rsid w:val="26263565"/>
    <w:rsid w:val="262670C1"/>
    <w:rsid w:val="26282E39"/>
    <w:rsid w:val="26284BE7"/>
    <w:rsid w:val="26286395"/>
    <w:rsid w:val="2629095F"/>
    <w:rsid w:val="262B2929"/>
    <w:rsid w:val="262C78E7"/>
    <w:rsid w:val="262D044F"/>
    <w:rsid w:val="262D48F3"/>
    <w:rsid w:val="262D66A1"/>
    <w:rsid w:val="262E5F76"/>
    <w:rsid w:val="262F123D"/>
    <w:rsid w:val="262F241A"/>
    <w:rsid w:val="262F4B27"/>
    <w:rsid w:val="26306192"/>
    <w:rsid w:val="26307F40"/>
    <w:rsid w:val="26321305"/>
    <w:rsid w:val="26323CB8"/>
    <w:rsid w:val="26325A66"/>
    <w:rsid w:val="26355556"/>
    <w:rsid w:val="26357304"/>
    <w:rsid w:val="2636356A"/>
    <w:rsid w:val="263907AA"/>
    <w:rsid w:val="26393298"/>
    <w:rsid w:val="26395046"/>
    <w:rsid w:val="263C68E5"/>
    <w:rsid w:val="263D712B"/>
    <w:rsid w:val="263E440B"/>
    <w:rsid w:val="263F63D5"/>
    <w:rsid w:val="264071ED"/>
    <w:rsid w:val="26445799"/>
    <w:rsid w:val="26467763"/>
    <w:rsid w:val="264A2E70"/>
    <w:rsid w:val="264A7253"/>
    <w:rsid w:val="264D28A0"/>
    <w:rsid w:val="264D464E"/>
    <w:rsid w:val="264D6D44"/>
    <w:rsid w:val="265005E2"/>
    <w:rsid w:val="2650413E"/>
    <w:rsid w:val="26526108"/>
    <w:rsid w:val="26527EB6"/>
    <w:rsid w:val="2653298D"/>
    <w:rsid w:val="265359DC"/>
    <w:rsid w:val="26543C2E"/>
    <w:rsid w:val="265453B2"/>
    <w:rsid w:val="26555BF8"/>
    <w:rsid w:val="26556842"/>
    <w:rsid w:val="265979B6"/>
    <w:rsid w:val="265C3B44"/>
    <w:rsid w:val="265C6F87"/>
    <w:rsid w:val="265E2776"/>
    <w:rsid w:val="26600825"/>
    <w:rsid w:val="266100F9"/>
    <w:rsid w:val="2663162B"/>
    <w:rsid w:val="26633E71"/>
    <w:rsid w:val="26681488"/>
    <w:rsid w:val="26695200"/>
    <w:rsid w:val="266A16A4"/>
    <w:rsid w:val="266A3452"/>
    <w:rsid w:val="266B541C"/>
    <w:rsid w:val="266D4CF0"/>
    <w:rsid w:val="266F0A68"/>
    <w:rsid w:val="266F6CBA"/>
    <w:rsid w:val="267047E0"/>
    <w:rsid w:val="26720558"/>
    <w:rsid w:val="26722306"/>
    <w:rsid w:val="267274AB"/>
    <w:rsid w:val="2674499C"/>
    <w:rsid w:val="2677142D"/>
    <w:rsid w:val="26775B6F"/>
    <w:rsid w:val="2677791D"/>
    <w:rsid w:val="26795443"/>
    <w:rsid w:val="26795C3D"/>
    <w:rsid w:val="267970AE"/>
    <w:rsid w:val="267A740D"/>
    <w:rsid w:val="267B1C9E"/>
    <w:rsid w:val="267C13D7"/>
    <w:rsid w:val="267D718F"/>
    <w:rsid w:val="267E6EFD"/>
    <w:rsid w:val="267F67D1"/>
    <w:rsid w:val="26802C75"/>
    <w:rsid w:val="2681079B"/>
    <w:rsid w:val="26812549"/>
    <w:rsid w:val="268143CF"/>
    <w:rsid w:val="268362C1"/>
    <w:rsid w:val="2685203A"/>
    <w:rsid w:val="268564DD"/>
    <w:rsid w:val="26864374"/>
    <w:rsid w:val="26867B60"/>
    <w:rsid w:val="26881B2A"/>
    <w:rsid w:val="26883518"/>
    <w:rsid w:val="268A3AF4"/>
    <w:rsid w:val="268A6BC2"/>
    <w:rsid w:val="268C3628"/>
    <w:rsid w:val="268D0EEE"/>
    <w:rsid w:val="268D6C84"/>
    <w:rsid w:val="268D7140"/>
    <w:rsid w:val="268E5543"/>
    <w:rsid w:val="268F110A"/>
    <w:rsid w:val="268F2EB8"/>
    <w:rsid w:val="26906C30"/>
    <w:rsid w:val="26914E82"/>
    <w:rsid w:val="26924756"/>
    <w:rsid w:val="269313B5"/>
    <w:rsid w:val="2694227D"/>
    <w:rsid w:val="26947D3B"/>
    <w:rsid w:val="26955FF5"/>
    <w:rsid w:val="26962499"/>
    <w:rsid w:val="26976211"/>
    <w:rsid w:val="26995AE5"/>
    <w:rsid w:val="269B7AAF"/>
    <w:rsid w:val="269C3827"/>
    <w:rsid w:val="269C55D5"/>
    <w:rsid w:val="269E134D"/>
    <w:rsid w:val="26A02529"/>
    <w:rsid w:val="26A06E73"/>
    <w:rsid w:val="26A1499A"/>
    <w:rsid w:val="26A64B87"/>
    <w:rsid w:val="26A76454"/>
    <w:rsid w:val="26A83F7A"/>
    <w:rsid w:val="26A85D28"/>
    <w:rsid w:val="26A9214B"/>
    <w:rsid w:val="26AA1AA0"/>
    <w:rsid w:val="26AA5F44"/>
    <w:rsid w:val="26AA7CF2"/>
    <w:rsid w:val="26AF3F18"/>
    <w:rsid w:val="26B02E2F"/>
    <w:rsid w:val="26B134AE"/>
    <w:rsid w:val="26B20144"/>
    <w:rsid w:val="26B20955"/>
    <w:rsid w:val="26B4291F"/>
    <w:rsid w:val="26B648E9"/>
    <w:rsid w:val="26B741BD"/>
    <w:rsid w:val="26B807B0"/>
    <w:rsid w:val="26B96187"/>
    <w:rsid w:val="26BA5CA1"/>
    <w:rsid w:val="26BB1EFF"/>
    <w:rsid w:val="26BB3CAD"/>
    <w:rsid w:val="26BC7A25"/>
    <w:rsid w:val="26BE0468"/>
    <w:rsid w:val="26C100E1"/>
    <w:rsid w:val="26C16DEA"/>
    <w:rsid w:val="26C54B2C"/>
    <w:rsid w:val="26C863CA"/>
    <w:rsid w:val="26CB1A16"/>
    <w:rsid w:val="26CB54E5"/>
    <w:rsid w:val="26CC5EBA"/>
    <w:rsid w:val="26CC7C68"/>
    <w:rsid w:val="26CD1C32"/>
    <w:rsid w:val="26CD39E1"/>
    <w:rsid w:val="26CF1507"/>
    <w:rsid w:val="26D20FF7"/>
    <w:rsid w:val="26D46B1D"/>
    <w:rsid w:val="26D51168"/>
    <w:rsid w:val="26D61BFC"/>
    <w:rsid w:val="26D63D39"/>
    <w:rsid w:val="26D66D39"/>
    <w:rsid w:val="26D703BB"/>
    <w:rsid w:val="26D7485F"/>
    <w:rsid w:val="26D7660D"/>
    <w:rsid w:val="26DB4FDA"/>
    <w:rsid w:val="26DD00C8"/>
    <w:rsid w:val="26DD1E76"/>
    <w:rsid w:val="26DE174A"/>
    <w:rsid w:val="26E01966"/>
    <w:rsid w:val="26E153B5"/>
    <w:rsid w:val="26E34FB2"/>
    <w:rsid w:val="26E620ED"/>
    <w:rsid w:val="26E66850"/>
    <w:rsid w:val="26E7357D"/>
    <w:rsid w:val="26E74AA2"/>
    <w:rsid w:val="26E8081A"/>
    <w:rsid w:val="26EA00EF"/>
    <w:rsid w:val="26EA27E4"/>
    <w:rsid w:val="26ED5E31"/>
    <w:rsid w:val="26EE3450"/>
    <w:rsid w:val="26EF1BA9"/>
    <w:rsid w:val="26F31699"/>
    <w:rsid w:val="26F62F37"/>
    <w:rsid w:val="26F64CE5"/>
    <w:rsid w:val="26F70A5D"/>
    <w:rsid w:val="26F836FF"/>
    <w:rsid w:val="26F84502"/>
    <w:rsid w:val="26FB22FC"/>
    <w:rsid w:val="26FC7E22"/>
    <w:rsid w:val="26FE003E"/>
    <w:rsid w:val="26FE0374"/>
    <w:rsid w:val="26FE1DEC"/>
    <w:rsid w:val="26FE3B9A"/>
    <w:rsid w:val="27021B46"/>
    <w:rsid w:val="2703209D"/>
    <w:rsid w:val="2705317A"/>
    <w:rsid w:val="27054F28"/>
    <w:rsid w:val="27075144"/>
    <w:rsid w:val="27084A19"/>
    <w:rsid w:val="27090EBD"/>
    <w:rsid w:val="270A14E8"/>
    <w:rsid w:val="270C275B"/>
    <w:rsid w:val="270C62B7"/>
    <w:rsid w:val="270D0281"/>
    <w:rsid w:val="270D202F"/>
    <w:rsid w:val="270F224B"/>
    <w:rsid w:val="270F3FF9"/>
    <w:rsid w:val="270F5DA7"/>
    <w:rsid w:val="27103461"/>
    <w:rsid w:val="27147861"/>
    <w:rsid w:val="271635D9"/>
    <w:rsid w:val="2717265C"/>
    <w:rsid w:val="27174C5C"/>
    <w:rsid w:val="27181100"/>
    <w:rsid w:val="27194E78"/>
    <w:rsid w:val="27196C26"/>
    <w:rsid w:val="271B474C"/>
    <w:rsid w:val="271C2272"/>
    <w:rsid w:val="271E248E"/>
    <w:rsid w:val="271E5FEA"/>
    <w:rsid w:val="27207FB4"/>
    <w:rsid w:val="2725381D"/>
    <w:rsid w:val="272555CB"/>
    <w:rsid w:val="27267580"/>
    <w:rsid w:val="27271343"/>
    <w:rsid w:val="272730F1"/>
    <w:rsid w:val="27280C17"/>
    <w:rsid w:val="272A2BE1"/>
    <w:rsid w:val="272B1F61"/>
    <w:rsid w:val="272C6959"/>
    <w:rsid w:val="273121C1"/>
    <w:rsid w:val="27315D1D"/>
    <w:rsid w:val="27321A96"/>
    <w:rsid w:val="27335F39"/>
    <w:rsid w:val="2734580E"/>
    <w:rsid w:val="27354FCE"/>
    <w:rsid w:val="27361586"/>
    <w:rsid w:val="27363334"/>
    <w:rsid w:val="2737475D"/>
    <w:rsid w:val="273852FE"/>
    <w:rsid w:val="273A72C8"/>
    <w:rsid w:val="273B6B9C"/>
    <w:rsid w:val="273E668C"/>
    <w:rsid w:val="273F48DE"/>
    <w:rsid w:val="27402404"/>
    <w:rsid w:val="274243CE"/>
    <w:rsid w:val="2742617D"/>
    <w:rsid w:val="27433CA3"/>
    <w:rsid w:val="27455C6D"/>
    <w:rsid w:val="27457A1B"/>
    <w:rsid w:val="27475541"/>
    <w:rsid w:val="2749750B"/>
    <w:rsid w:val="274A3283"/>
    <w:rsid w:val="274C0DA9"/>
    <w:rsid w:val="274C2B57"/>
    <w:rsid w:val="274C6FFB"/>
    <w:rsid w:val="274E52FB"/>
    <w:rsid w:val="27506441"/>
    <w:rsid w:val="2751016E"/>
    <w:rsid w:val="2753038A"/>
    <w:rsid w:val="27532138"/>
    <w:rsid w:val="2753659C"/>
    <w:rsid w:val="27541A0C"/>
    <w:rsid w:val="27545EB0"/>
    <w:rsid w:val="27561C28"/>
    <w:rsid w:val="275814FC"/>
    <w:rsid w:val="275859A0"/>
    <w:rsid w:val="2758774E"/>
    <w:rsid w:val="276022E1"/>
    <w:rsid w:val="27602AA7"/>
    <w:rsid w:val="27606603"/>
    <w:rsid w:val="276205CD"/>
    <w:rsid w:val="27644345"/>
    <w:rsid w:val="276460F3"/>
    <w:rsid w:val="2767173F"/>
    <w:rsid w:val="27677991"/>
    <w:rsid w:val="27693709"/>
    <w:rsid w:val="276A7481"/>
    <w:rsid w:val="276B4823"/>
    <w:rsid w:val="276C144B"/>
    <w:rsid w:val="276E0D20"/>
    <w:rsid w:val="276F4A98"/>
    <w:rsid w:val="277057A2"/>
    <w:rsid w:val="27710810"/>
    <w:rsid w:val="27711B25"/>
    <w:rsid w:val="277125BE"/>
    <w:rsid w:val="277327DA"/>
    <w:rsid w:val="27734588"/>
    <w:rsid w:val="277420AE"/>
    <w:rsid w:val="27743E5C"/>
    <w:rsid w:val="277976C4"/>
    <w:rsid w:val="277A3B68"/>
    <w:rsid w:val="277C6C38"/>
    <w:rsid w:val="277D1451"/>
    <w:rsid w:val="277D71B5"/>
    <w:rsid w:val="277F117F"/>
    <w:rsid w:val="278055B9"/>
    <w:rsid w:val="27806CA5"/>
    <w:rsid w:val="27814EF7"/>
    <w:rsid w:val="27822A1D"/>
    <w:rsid w:val="278247CB"/>
    <w:rsid w:val="27824C8B"/>
    <w:rsid w:val="278422F1"/>
    <w:rsid w:val="27846795"/>
    <w:rsid w:val="27846B0B"/>
    <w:rsid w:val="278542BB"/>
    <w:rsid w:val="27856069"/>
    <w:rsid w:val="278728BB"/>
    <w:rsid w:val="27873B8F"/>
    <w:rsid w:val="27893DAB"/>
    <w:rsid w:val="27897907"/>
    <w:rsid w:val="278A297D"/>
    <w:rsid w:val="278C73F8"/>
    <w:rsid w:val="278E17D2"/>
    <w:rsid w:val="278E4F1E"/>
    <w:rsid w:val="278F0C96"/>
    <w:rsid w:val="278F60C4"/>
    <w:rsid w:val="2790513A"/>
    <w:rsid w:val="279066BB"/>
    <w:rsid w:val="27907C7F"/>
    <w:rsid w:val="27912C60"/>
    <w:rsid w:val="27932534"/>
    <w:rsid w:val="27935170"/>
    <w:rsid w:val="279544FE"/>
    <w:rsid w:val="27960276"/>
    <w:rsid w:val="27962024"/>
    <w:rsid w:val="279664C8"/>
    <w:rsid w:val="27983FEE"/>
    <w:rsid w:val="27985D9D"/>
    <w:rsid w:val="279978A1"/>
    <w:rsid w:val="279A1481"/>
    <w:rsid w:val="279B3ADF"/>
    <w:rsid w:val="279D1605"/>
    <w:rsid w:val="279D7857"/>
    <w:rsid w:val="279F537D"/>
    <w:rsid w:val="27A110F5"/>
    <w:rsid w:val="27A209C9"/>
    <w:rsid w:val="27A26C1B"/>
    <w:rsid w:val="27A40BE5"/>
    <w:rsid w:val="27A460F5"/>
    <w:rsid w:val="27A55E44"/>
    <w:rsid w:val="27A72484"/>
    <w:rsid w:val="27AC1848"/>
    <w:rsid w:val="27AC7A9A"/>
    <w:rsid w:val="27AE3812"/>
    <w:rsid w:val="27AE55C0"/>
    <w:rsid w:val="27AF30E6"/>
    <w:rsid w:val="27B0666A"/>
    <w:rsid w:val="27B16E5E"/>
    <w:rsid w:val="27B444A9"/>
    <w:rsid w:val="27B4707A"/>
    <w:rsid w:val="27B506FD"/>
    <w:rsid w:val="27B54BA0"/>
    <w:rsid w:val="27B64475"/>
    <w:rsid w:val="27B801ED"/>
    <w:rsid w:val="27B842BA"/>
    <w:rsid w:val="27B843BD"/>
    <w:rsid w:val="27B84691"/>
    <w:rsid w:val="27B8643F"/>
    <w:rsid w:val="27B949B4"/>
    <w:rsid w:val="27BA30C1"/>
    <w:rsid w:val="27BA5D13"/>
    <w:rsid w:val="27BC5F2F"/>
    <w:rsid w:val="27BD1CA7"/>
    <w:rsid w:val="27BD3A55"/>
    <w:rsid w:val="27BF157B"/>
    <w:rsid w:val="27C13EDC"/>
    <w:rsid w:val="27C2106B"/>
    <w:rsid w:val="27C43035"/>
    <w:rsid w:val="27C44DE4"/>
    <w:rsid w:val="27C6290A"/>
    <w:rsid w:val="27CA66CF"/>
    <w:rsid w:val="27CB6172"/>
    <w:rsid w:val="27CB7F20"/>
    <w:rsid w:val="27CC1EEA"/>
    <w:rsid w:val="27D03788"/>
    <w:rsid w:val="27D112AE"/>
    <w:rsid w:val="27D25752"/>
    <w:rsid w:val="27D33279"/>
    <w:rsid w:val="27D36DD5"/>
    <w:rsid w:val="27D52B4D"/>
    <w:rsid w:val="27D56FF1"/>
    <w:rsid w:val="27D72D69"/>
    <w:rsid w:val="27D86AE1"/>
    <w:rsid w:val="27DA4607"/>
    <w:rsid w:val="27DC037F"/>
    <w:rsid w:val="27DD40F7"/>
    <w:rsid w:val="27DD5EA5"/>
    <w:rsid w:val="27DD7C53"/>
    <w:rsid w:val="27E014F2"/>
    <w:rsid w:val="27E02036"/>
    <w:rsid w:val="27E15995"/>
    <w:rsid w:val="27E40FE2"/>
    <w:rsid w:val="27E56B08"/>
    <w:rsid w:val="27E707C8"/>
    <w:rsid w:val="27E8348A"/>
    <w:rsid w:val="27E930E8"/>
    <w:rsid w:val="27E9484A"/>
    <w:rsid w:val="27EB05C2"/>
    <w:rsid w:val="27EB2370"/>
    <w:rsid w:val="27ED7391"/>
    <w:rsid w:val="27EE1E60"/>
    <w:rsid w:val="27EE5ACA"/>
    <w:rsid w:val="27F03E2A"/>
    <w:rsid w:val="27F12FBB"/>
    <w:rsid w:val="27F136FF"/>
    <w:rsid w:val="27F21951"/>
    <w:rsid w:val="27F36D6B"/>
    <w:rsid w:val="27F60D15"/>
    <w:rsid w:val="27F6425C"/>
    <w:rsid w:val="27FA25B3"/>
    <w:rsid w:val="27FC155E"/>
    <w:rsid w:val="27FC457D"/>
    <w:rsid w:val="27FD412F"/>
    <w:rsid w:val="27FF7BCA"/>
    <w:rsid w:val="28013942"/>
    <w:rsid w:val="2803383D"/>
    <w:rsid w:val="28033B5E"/>
    <w:rsid w:val="280671AA"/>
    <w:rsid w:val="28094EEC"/>
    <w:rsid w:val="280B7BC3"/>
    <w:rsid w:val="280D24E3"/>
    <w:rsid w:val="280E2503"/>
    <w:rsid w:val="280E605F"/>
    <w:rsid w:val="28123DA1"/>
    <w:rsid w:val="281318C7"/>
    <w:rsid w:val="28137B19"/>
    <w:rsid w:val="2815563F"/>
    <w:rsid w:val="28155F68"/>
    <w:rsid w:val="28164F13"/>
    <w:rsid w:val="28180C8B"/>
    <w:rsid w:val="28186EDD"/>
    <w:rsid w:val="281A4A03"/>
    <w:rsid w:val="281C077C"/>
    <w:rsid w:val="281C4C20"/>
    <w:rsid w:val="281D62A2"/>
    <w:rsid w:val="281E2746"/>
    <w:rsid w:val="281F026C"/>
    <w:rsid w:val="28221B0A"/>
    <w:rsid w:val="28237D5C"/>
    <w:rsid w:val="28285372"/>
    <w:rsid w:val="282910EA"/>
    <w:rsid w:val="282B6C11"/>
    <w:rsid w:val="282F4953"/>
    <w:rsid w:val="28302479"/>
    <w:rsid w:val="28305FD5"/>
    <w:rsid w:val="283261F1"/>
    <w:rsid w:val="28333D17"/>
    <w:rsid w:val="28341F69"/>
    <w:rsid w:val="28355CE1"/>
    <w:rsid w:val="28386671"/>
    <w:rsid w:val="28397580"/>
    <w:rsid w:val="283A32F8"/>
    <w:rsid w:val="283D06F2"/>
    <w:rsid w:val="283F090E"/>
    <w:rsid w:val="28414686"/>
    <w:rsid w:val="28427C4C"/>
    <w:rsid w:val="28441A80"/>
    <w:rsid w:val="28445183"/>
    <w:rsid w:val="284576CE"/>
    <w:rsid w:val="28463A4A"/>
    <w:rsid w:val="2849353B"/>
    <w:rsid w:val="284952E9"/>
    <w:rsid w:val="284B1061"/>
    <w:rsid w:val="284B2E0F"/>
    <w:rsid w:val="284D4DD9"/>
    <w:rsid w:val="284E28FF"/>
    <w:rsid w:val="285048C9"/>
    <w:rsid w:val="285443B9"/>
    <w:rsid w:val="28551EE0"/>
    <w:rsid w:val="28577A06"/>
    <w:rsid w:val="2859377E"/>
    <w:rsid w:val="28595F19"/>
    <w:rsid w:val="285A74F6"/>
    <w:rsid w:val="285E6FE6"/>
    <w:rsid w:val="28610884"/>
    <w:rsid w:val="28612632"/>
    <w:rsid w:val="28615DEC"/>
    <w:rsid w:val="28620159"/>
    <w:rsid w:val="28642123"/>
    <w:rsid w:val="2866479A"/>
    <w:rsid w:val="28665E9B"/>
    <w:rsid w:val="28687E65"/>
    <w:rsid w:val="286B1703"/>
    <w:rsid w:val="286B1A6F"/>
    <w:rsid w:val="286D0FD7"/>
    <w:rsid w:val="286E4D4F"/>
    <w:rsid w:val="286E6AFD"/>
    <w:rsid w:val="286F2FA1"/>
    <w:rsid w:val="28700AC7"/>
    <w:rsid w:val="28702875"/>
    <w:rsid w:val="2870640F"/>
    <w:rsid w:val="28720201"/>
    <w:rsid w:val="28722A91"/>
    <w:rsid w:val="287265EE"/>
    <w:rsid w:val="28732366"/>
    <w:rsid w:val="287405B8"/>
    <w:rsid w:val="2874680A"/>
    <w:rsid w:val="287560DE"/>
    <w:rsid w:val="28793E20"/>
    <w:rsid w:val="2879797C"/>
    <w:rsid w:val="287B7B98"/>
    <w:rsid w:val="287D5314"/>
    <w:rsid w:val="287E1436"/>
    <w:rsid w:val="287E31E4"/>
    <w:rsid w:val="287E4F92"/>
    <w:rsid w:val="287E67A4"/>
    <w:rsid w:val="287E7EE5"/>
    <w:rsid w:val="287F0D0A"/>
    <w:rsid w:val="288051AE"/>
    <w:rsid w:val="28812CD5"/>
    <w:rsid w:val="28814A83"/>
    <w:rsid w:val="28837089"/>
    <w:rsid w:val="288527C5"/>
    <w:rsid w:val="288602EB"/>
    <w:rsid w:val="2886653D"/>
    <w:rsid w:val="28885E11"/>
    <w:rsid w:val="28893937"/>
    <w:rsid w:val="288B3B53"/>
    <w:rsid w:val="288B7918"/>
    <w:rsid w:val="288C3979"/>
    <w:rsid w:val="28904CC6"/>
    <w:rsid w:val="2891378A"/>
    <w:rsid w:val="28924EE2"/>
    <w:rsid w:val="289305C8"/>
    <w:rsid w:val="289447B6"/>
    <w:rsid w:val="2895052E"/>
    <w:rsid w:val="28976054"/>
    <w:rsid w:val="289A5B44"/>
    <w:rsid w:val="289B1FE8"/>
    <w:rsid w:val="289B3A6A"/>
    <w:rsid w:val="289B3D96"/>
    <w:rsid w:val="289C18BC"/>
    <w:rsid w:val="28A10C81"/>
    <w:rsid w:val="28A644E9"/>
    <w:rsid w:val="28A759AF"/>
    <w:rsid w:val="28A945E1"/>
    <w:rsid w:val="28A95D87"/>
    <w:rsid w:val="28AB1AFF"/>
    <w:rsid w:val="28AB7D51"/>
    <w:rsid w:val="28AC5FA3"/>
    <w:rsid w:val="28AD5878"/>
    <w:rsid w:val="28AE5882"/>
    <w:rsid w:val="28AF15F0"/>
    <w:rsid w:val="28B11C6C"/>
    <w:rsid w:val="28B22E8E"/>
    <w:rsid w:val="28B27332"/>
    <w:rsid w:val="28B364AA"/>
    <w:rsid w:val="28B9246E"/>
    <w:rsid w:val="28B9421C"/>
    <w:rsid w:val="28BA1D43"/>
    <w:rsid w:val="28BB61E6"/>
    <w:rsid w:val="28BC5ABB"/>
    <w:rsid w:val="28BE1833"/>
    <w:rsid w:val="28C055AB"/>
    <w:rsid w:val="28C332ED"/>
    <w:rsid w:val="28C36E49"/>
    <w:rsid w:val="28C52BC1"/>
    <w:rsid w:val="28C57065"/>
    <w:rsid w:val="28C606E7"/>
    <w:rsid w:val="28C9248A"/>
    <w:rsid w:val="28CA467C"/>
    <w:rsid w:val="28CA642A"/>
    <w:rsid w:val="28CB21A2"/>
    <w:rsid w:val="28CB3F50"/>
    <w:rsid w:val="28CC797B"/>
    <w:rsid w:val="28CD7CC8"/>
    <w:rsid w:val="28CF57EE"/>
    <w:rsid w:val="28D01566"/>
    <w:rsid w:val="28D252DE"/>
    <w:rsid w:val="28D56B7C"/>
    <w:rsid w:val="28D6363E"/>
    <w:rsid w:val="28D9083E"/>
    <w:rsid w:val="28D92B11"/>
    <w:rsid w:val="28DA4193"/>
    <w:rsid w:val="28DB23E5"/>
    <w:rsid w:val="28DC43AF"/>
    <w:rsid w:val="28DC615D"/>
    <w:rsid w:val="28DC7F0B"/>
    <w:rsid w:val="28DE0127"/>
    <w:rsid w:val="28E03E9F"/>
    <w:rsid w:val="28E31299"/>
    <w:rsid w:val="28E54EDC"/>
    <w:rsid w:val="28E55011"/>
    <w:rsid w:val="28E76FDC"/>
    <w:rsid w:val="28E842D2"/>
    <w:rsid w:val="28E84B02"/>
    <w:rsid w:val="28E868B0"/>
    <w:rsid w:val="28EA2628"/>
    <w:rsid w:val="28EC2844"/>
    <w:rsid w:val="28EC45F2"/>
    <w:rsid w:val="28ED2118"/>
    <w:rsid w:val="28EF5E90"/>
    <w:rsid w:val="28F10206"/>
    <w:rsid w:val="28F16AC5"/>
    <w:rsid w:val="28F33BD2"/>
    <w:rsid w:val="28F33DD9"/>
    <w:rsid w:val="28F45255"/>
    <w:rsid w:val="28F60FCD"/>
    <w:rsid w:val="28F74D45"/>
    <w:rsid w:val="28F811E9"/>
    <w:rsid w:val="28F96D0F"/>
    <w:rsid w:val="28FA12B8"/>
    <w:rsid w:val="28FE2577"/>
    <w:rsid w:val="29001E4B"/>
    <w:rsid w:val="29015BC3"/>
    <w:rsid w:val="29017971"/>
    <w:rsid w:val="29030EDA"/>
    <w:rsid w:val="29037B8D"/>
    <w:rsid w:val="29057462"/>
    <w:rsid w:val="29064F88"/>
    <w:rsid w:val="290731DA"/>
    <w:rsid w:val="290A4A78"/>
    <w:rsid w:val="290B259E"/>
    <w:rsid w:val="290C6A42"/>
    <w:rsid w:val="290D4568"/>
    <w:rsid w:val="29122110"/>
    <w:rsid w:val="2912392D"/>
    <w:rsid w:val="29126403"/>
    <w:rsid w:val="29127DD1"/>
    <w:rsid w:val="29143B49"/>
    <w:rsid w:val="2916341D"/>
    <w:rsid w:val="291678C1"/>
    <w:rsid w:val="29177195"/>
    <w:rsid w:val="29183639"/>
    <w:rsid w:val="291853E7"/>
    <w:rsid w:val="2919115F"/>
    <w:rsid w:val="29191FA9"/>
    <w:rsid w:val="29192F0D"/>
    <w:rsid w:val="29194841"/>
    <w:rsid w:val="291B0A33"/>
    <w:rsid w:val="291B4ED7"/>
    <w:rsid w:val="291C47AB"/>
    <w:rsid w:val="291D0C4F"/>
    <w:rsid w:val="291D29FD"/>
    <w:rsid w:val="291E0523"/>
    <w:rsid w:val="291E22D1"/>
    <w:rsid w:val="291E49C7"/>
    <w:rsid w:val="291E5AE2"/>
    <w:rsid w:val="29206EB8"/>
    <w:rsid w:val="29220014"/>
    <w:rsid w:val="29231FDE"/>
    <w:rsid w:val="292518B2"/>
    <w:rsid w:val="29253660"/>
    <w:rsid w:val="2927387C"/>
    <w:rsid w:val="2927562A"/>
    <w:rsid w:val="292813A2"/>
    <w:rsid w:val="292957C6"/>
    <w:rsid w:val="292A6C56"/>
    <w:rsid w:val="292A6EC8"/>
    <w:rsid w:val="292C0E92"/>
    <w:rsid w:val="292E55D7"/>
    <w:rsid w:val="292F44DF"/>
    <w:rsid w:val="29312005"/>
    <w:rsid w:val="293146FB"/>
    <w:rsid w:val="29323FCF"/>
    <w:rsid w:val="29325D7D"/>
    <w:rsid w:val="29332221"/>
    <w:rsid w:val="29341449"/>
    <w:rsid w:val="29346ACD"/>
    <w:rsid w:val="29347D47"/>
    <w:rsid w:val="29361D11"/>
    <w:rsid w:val="293643AA"/>
    <w:rsid w:val="2936586D"/>
    <w:rsid w:val="29373393"/>
    <w:rsid w:val="29385A89"/>
    <w:rsid w:val="2939710B"/>
    <w:rsid w:val="293A674B"/>
    <w:rsid w:val="293B2E83"/>
    <w:rsid w:val="293B7BDB"/>
    <w:rsid w:val="293E0BC6"/>
    <w:rsid w:val="293F112D"/>
    <w:rsid w:val="2940049A"/>
    <w:rsid w:val="294361DC"/>
    <w:rsid w:val="29453D02"/>
    <w:rsid w:val="29475CCC"/>
    <w:rsid w:val="29477A7A"/>
    <w:rsid w:val="29494DB0"/>
    <w:rsid w:val="294C5091"/>
    <w:rsid w:val="294C6E3F"/>
    <w:rsid w:val="294D0DA1"/>
    <w:rsid w:val="294D2BB7"/>
    <w:rsid w:val="294E0E09"/>
    <w:rsid w:val="294F692F"/>
    <w:rsid w:val="295201CD"/>
    <w:rsid w:val="2953641F"/>
    <w:rsid w:val="29543F45"/>
    <w:rsid w:val="29564161"/>
    <w:rsid w:val="29565F0F"/>
    <w:rsid w:val="29583A35"/>
    <w:rsid w:val="2959155B"/>
    <w:rsid w:val="29595666"/>
    <w:rsid w:val="295B52D4"/>
    <w:rsid w:val="295B71C5"/>
    <w:rsid w:val="29622B06"/>
    <w:rsid w:val="29656152"/>
    <w:rsid w:val="29673C78"/>
    <w:rsid w:val="296A19BB"/>
    <w:rsid w:val="296A3769"/>
    <w:rsid w:val="296B5579"/>
    <w:rsid w:val="296C128F"/>
    <w:rsid w:val="296D5007"/>
    <w:rsid w:val="296D58FD"/>
    <w:rsid w:val="296E3259"/>
    <w:rsid w:val="29707F5B"/>
    <w:rsid w:val="2973086F"/>
    <w:rsid w:val="297445E7"/>
    <w:rsid w:val="29752090"/>
    <w:rsid w:val="2975293D"/>
    <w:rsid w:val="2976035F"/>
    <w:rsid w:val="297840D8"/>
    <w:rsid w:val="297A7E50"/>
    <w:rsid w:val="297B7724"/>
    <w:rsid w:val="297F5466"/>
    <w:rsid w:val="29802F8C"/>
    <w:rsid w:val="29807A50"/>
    <w:rsid w:val="29844C90"/>
    <w:rsid w:val="298505A2"/>
    <w:rsid w:val="2987256D"/>
    <w:rsid w:val="29874881"/>
    <w:rsid w:val="29890093"/>
    <w:rsid w:val="298A5BB9"/>
    <w:rsid w:val="298C36DF"/>
    <w:rsid w:val="298C7B83"/>
    <w:rsid w:val="298D02AE"/>
    <w:rsid w:val="298E38FB"/>
    <w:rsid w:val="298F34E4"/>
    <w:rsid w:val="29916F47"/>
    <w:rsid w:val="29930F11"/>
    <w:rsid w:val="2996455E"/>
    <w:rsid w:val="2996630C"/>
    <w:rsid w:val="299802D6"/>
    <w:rsid w:val="299810D6"/>
    <w:rsid w:val="299A22BA"/>
    <w:rsid w:val="299A404E"/>
    <w:rsid w:val="299B1B74"/>
    <w:rsid w:val="299B6018"/>
    <w:rsid w:val="299B7DC6"/>
    <w:rsid w:val="299D58EC"/>
    <w:rsid w:val="299E1B49"/>
    <w:rsid w:val="29A053DC"/>
    <w:rsid w:val="29A058F9"/>
    <w:rsid w:val="29A0718A"/>
    <w:rsid w:val="29A6176B"/>
    <w:rsid w:val="29A7676B"/>
    <w:rsid w:val="29A80F84"/>
    <w:rsid w:val="29A94291"/>
    <w:rsid w:val="29A9551B"/>
    <w:rsid w:val="29A9794B"/>
    <w:rsid w:val="29AC5B2F"/>
    <w:rsid w:val="29AE18A7"/>
    <w:rsid w:val="29B1629B"/>
    <w:rsid w:val="29B27D0E"/>
    <w:rsid w:val="29B35110"/>
    <w:rsid w:val="29B36AF0"/>
    <w:rsid w:val="29B449E4"/>
    <w:rsid w:val="29B570DA"/>
    <w:rsid w:val="29B64C00"/>
    <w:rsid w:val="29B7308B"/>
    <w:rsid w:val="29B80978"/>
    <w:rsid w:val="29BA649E"/>
    <w:rsid w:val="29BB2216"/>
    <w:rsid w:val="29BB3FC4"/>
    <w:rsid w:val="29BB5D72"/>
    <w:rsid w:val="29BF3AB4"/>
    <w:rsid w:val="29C05B95"/>
    <w:rsid w:val="29C0782D"/>
    <w:rsid w:val="29C15A7E"/>
    <w:rsid w:val="29C25353"/>
    <w:rsid w:val="29C42E79"/>
    <w:rsid w:val="29C54E43"/>
    <w:rsid w:val="29C56BF1"/>
    <w:rsid w:val="29C70BBB"/>
    <w:rsid w:val="29C72969"/>
    <w:rsid w:val="29C76E0D"/>
    <w:rsid w:val="29CA4207"/>
    <w:rsid w:val="29CA5E0C"/>
    <w:rsid w:val="29CE3CF8"/>
    <w:rsid w:val="29CE5AA6"/>
    <w:rsid w:val="29D07A70"/>
    <w:rsid w:val="29D15596"/>
    <w:rsid w:val="29D15E68"/>
    <w:rsid w:val="29D357B2"/>
    <w:rsid w:val="29D532D8"/>
    <w:rsid w:val="29D60DFE"/>
    <w:rsid w:val="29D62BAC"/>
    <w:rsid w:val="29D67050"/>
    <w:rsid w:val="29D82DC8"/>
    <w:rsid w:val="29DA269C"/>
    <w:rsid w:val="29DD218D"/>
    <w:rsid w:val="29DF5F05"/>
    <w:rsid w:val="29E3139F"/>
    <w:rsid w:val="29E325E0"/>
    <w:rsid w:val="29E33C4B"/>
    <w:rsid w:val="29E51041"/>
    <w:rsid w:val="29E654E5"/>
    <w:rsid w:val="29E7300B"/>
    <w:rsid w:val="29E928DF"/>
    <w:rsid w:val="29EC0622"/>
    <w:rsid w:val="29EE439A"/>
    <w:rsid w:val="29EE6148"/>
    <w:rsid w:val="29EE7EF6"/>
    <w:rsid w:val="29F0536A"/>
    <w:rsid w:val="29F179E6"/>
    <w:rsid w:val="29F319B0"/>
    <w:rsid w:val="29F3375E"/>
    <w:rsid w:val="29F37D72"/>
    <w:rsid w:val="29F51284"/>
    <w:rsid w:val="29F574D6"/>
    <w:rsid w:val="29F6324E"/>
    <w:rsid w:val="29F714A0"/>
    <w:rsid w:val="29F85218"/>
    <w:rsid w:val="29F86FC6"/>
    <w:rsid w:val="29FA27CA"/>
    <w:rsid w:val="29FB0865"/>
    <w:rsid w:val="29FC070A"/>
    <w:rsid w:val="29FC6AB7"/>
    <w:rsid w:val="29FD282F"/>
    <w:rsid w:val="29FE31E1"/>
    <w:rsid w:val="2A005E7B"/>
    <w:rsid w:val="2A010C35"/>
    <w:rsid w:val="2A0140CD"/>
    <w:rsid w:val="2A015B53"/>
    <w:rsid w:val="2A0239A1"/>
    <w:rsid w:val="2A04596B"/>
    <w:rsid w:val="2A0475B6"/>
    <w:rsid w:val="2A047719"/>
    <w:rsid w:val="2A070FB7"/>
    <w:rsid w:val="2A07545B"/>
    <w:rsid w:val="2A094D30"/>
    <w:rsid w:val="2A0B0AA8"/>
    <w:rsid w:val="2A0C4820"/>
    <w:rsid w:val="2A0C5D48"/>
    <w:rsid w:val="2A0D0CC4"/>
    <w:rsid w:val="2A0E0598"/>
    <w:rsid w:val="2A0E67EA"/>
    <w:rsid w:val="2A102677"/>
    <w:rsid w:val="2A110088"/>
    <w:rsid w:val="2A111E36"/>
    <w:rsid w:val="2A12478B"/>
    <w:rsid w:val="2A13795C"/>
    <w:rsid w:val="2A151926"/>
    <w:rsid w:val="2A1805FD"/>
    <w:rsid w:val="2A181417"/>
    <w:rsid w:val="2A187669"/>
    <w:rsid w:val="2A1A2F1D"/>
    <w:rsid w:val="2A1B4A63"/>
    <w:rsid w:val="2A1C2CB5"/>
    <w:rsid w:val="2A1D07DB"/>
    <w:rsid w:val="2A1F27A5"/>
    <w:rsid w:val="2A20021E"/>
    <w:rsid w:val="2A2102CB"/>
    <w:rsid w:val="2A222295"/>
    <w:rsid w:val="2A241B69"/>
    <w:rsid w:val="2A293624"/>
    <w:rsid w:val="2A2A2A11"/>
    <w:rsid w:val="2A2B739C"/>
    <w:rsid w:val="2A2C6C70"/>
    <w:rsid w:val="2A30050E"/>
    <w:rsid w:val="2A336250"/>
    <w:rsid w:val="2A337FFE"/>
    <w:rsid w:val="2A383867"/>
    <w:rsid w:val="2A385615"/>
    <w:rsid w:val="2A3873C3"/>
    <w:rsid w:val="2A3A75DF"/>
    <w:rsid w:val="2A3C5105"/>
    <w:rsid w:val="2A3E0BD6"/>
    <w:rsid w:val="2A3F4BF5"/>
    <w:rsid w:val="2A3F69A3"/>
    <w:rsid w:val="2A41096D"/>
    <w:rsid w:val="2A41271B"/>
    <w:rsid w:val="2A4144C9"/>
    <w:rsid w:val="2A426494"/>
    <w:rsid w:val="2A4335B8"/>
    <w:rsid w:val="2A452503"/>
    <w:rsid w:val="2A455ED8"/>
    <w:rsid w:val="2A460026"/>
    <w:rsid w:val="2A465F84"/>
    <w:rsid w:val="2A497822"/>
    <w:rsid w:val="2A4B17EC"/>
    <w:rsid w:val="2A4D7312"/>
    <w:rsid w:val="2A4F00C0"/>
    <w:rsid w:val="2A4F6835"/>
    <w:rsid w:val="2A50472C"/>
    <w:rsid w:val="2A51007D"/>
    <w:rsid w:val="2A521C1D"/>
    <w:rsid w:val="2A524929"/>
    <w:rsid w:val="2A5266D7"/>
    <w:rsid w:val="2A546832"/>
    <w:rsid w:val="2A5561C7"/>
    <w:rsid w:val="2A573B43"/>
    <w:rsid w:val="2A585CB7"/>
    <w:rsid w:val="2A5A1A2F"/>
    <w:rsid w:val="2A5A37DD"/>
    <w:rsid w:val="2A5F2BA2"/>
    <w:rsid w:val="2A612DBE"/>
    <w:rsid w:val="2A614B6C"/>
    <w:rsid w:val="2A622692"/>
    <w:rsid w:val="2A636B36"/>
    <w:rsid w:val="2A6428AE"/>
    <w:rsid w:val="2A64465C"/>
    <w:rsid w:val="2A68414C"/>
    <w:rsid w:val="2A685EFA"/>
    <w:rsid w:val="2A691C72"/>
    <w:rsid w:val="2A697EC4"/>
    <w:rsid w:val="2A6C52BE"/>
    <w:rsid w:val="2A6D1762"/>
    <w:rsid w:val="2A7228D5"/>
    <w:rsid w:val="2A726D79"/>
    <w:rsid w:val="2A730F56"/>
    <w:rsid w:val="2A73489F"/>
    <w:rsid w:val="2A73664D"/>
    <w:rsid w:val="2A743B27"/>
    <w:rsid w:val="2A781EB5"/>
    <w:rsid w:val="2A7D4BD9"/>
    <w:rsid w:val="2A7F3244"/>
    <w:rsid w:val="2A8020CA"/>
    <w:rsid w:val="2A816FBC"/>
    <w:rsid w:val="2A832D34"/>
    <w:rsid w:val="2A842892"/>
    <w:rsid w:val="2A862824"/>
    <w:rsid w:val="2A8A18B8"/>
    <w:rsid w:val="2A8A2314"/>
    <w:rsid w:val="2A8B1BE9"/>
    <w:rsid w:val="2A8B7E3A"/>
    <w:rsid w:val="2A8D3BB3"/>
    <w:rsid w:val="2A8D770F"/>
    <w:rsid w:val="2A8E3487"/>
    <w:rsid w:val="2A8F072F"/>
    <w:rsid w:val="2A8F792B"/>
    <w:rsid w:val="2A905451"/>
    <w:rsid w:val="2A924D25"/>
    <w:rsid w:val="2A952A67"/>
    <w:rsid w:val="2A97058D"/>
    <w:rsid w:val="2A9767DF"/>
    <w:rsid w:val="2A9A1E2C"/>
    <w:rsid w:val="2A9E191C"/>
    <w:rsid w:val="2AA1140C"/>
    <w:rsid w:val="2AA44A58"/>
    <w:rsid w:val="2AA809EC"/>
    <w:rsid w:val="2AA84549"/>
    <w:rsid w:val="2AAA4765"/>
    <w:rsid w:val="2AAB5DE7"/>
    <w:rsid w:val="2AAD2577"/>
    <w:rsid w:val="2AB0164F"/>
    <w:rsid w:val="2AB06457"/>
    <w:rsid w:val="2AB10EF8"/>
    <w:rsid w:val="2AB23619"/>
    <w:rsid w:val="2AB253C7"/>
    <w:rsid w:val="2AB32EED"/>
    <w:rsid w:val="2AB47879"/>
    <w:rsid w:val="2AB54EB7"/>
    <w:rsid w:val="2AB56C65"/>
    <w:rsid w:val="2AB638DA"/>
    <w:rsid w:val="2AB729DE"/>
    <w:rsid w:val="2AB90504"/>
    <w:rsid w:val="2ABA24CE"/>
    <w:rsid w:val="2ABC6246"/>
    <w:rsid w:val="2ABC7FF4"/>
    <w:rsid w:val="2ABE5B1A"/>
    <w:rsid w:val="2ABF1892"/>
    <w:rsid w:val="2AC05D36"/>
    <w:rsid w:val="2AC3781B"/>
    <w:rsid w:val="2AC5334C"/>
    <w:rsid w:val="2AC82E3D"/>
    <w:rsid w:val="2AC944BF"/>
    <w:rsid w:val="2ACA2711"/>
    <w:rsid w:val="2ACA7A74"/>
    <w:rsid w:val="2ACB46DB"/>
    <w:rsid w:val="2ACC1D0C"/>
    <w:rsid w:val="2ACD0453"/>
    <w:rsid w:val="2ACD3FAF"/>
    <w:rsid w:val="2ACF7D27"/>
    <w:rsid w:val="2AD01CF1"/>
    <w:rsid w:val="2AD27817"/>
    <w:rsid w:val="2AD76BDC"/>
    <w:rsid w:val="2AD90BA6"/>
    <w:rsid w:val="2AD96DF8"/>
    <w:rsid w:val="2ADB2B70"/>
    <w:rsid w:val="2AE00186"/>
    <w:rsid w:val="2AE337D3"/>
    <w:rsid w:val="2AE412F9"/>
    <w:rsid w:val="2AE8528D"/>
    <w:rsid w:val="2AE8703B"/>
    <w:rsid w:val="2AED4651"/>
    <w:rsid w:val="2AED63FF"/>
    <w:rsid w:val="2AEE0E9A"/>
    <w:rsid w:val="2AEF03C9"/>
    <w:rsid w:val="2AEF2177"/>
    <w:rsid w:val="2AEF3A6B"/>
    <w:rsid w:val="2AF07C9E"/>
    <w:rsid w:val="2AF14141"/>
    <w:rsid w:val="2AF21C68"/>
    <w:rsid w:val="2AF23A16"/>
    <w:rsid w:val="2AF27EBA"/>
    <w:rsid w:val="2AF43C32"/>
    <w:rsid w:val="2AF459E0"/>
    <w:rsid w:val="2AF4778E"/>
    <w:rsid w:val="2AF61758"/>
    <w:rsid w:val="2AF7102C"/>
    <w:rsid w:val="2AFB4FC0"/>
    <w:rsid w:val="2AFC2AE6"/>
    <w:rsid w:val="2AFC349E"/>
    <w:rsid w:val="2AFC75AE"/>
    <w:rsid w:val="2B013C59"/>
    <w:rsid w:val="2B035C23"/>
    <w:rsid w:val="2B0507DE"/>
    <w:rsid w:val="2B05199B"/>
    <w:rsid w:val="2B083239"/>
    <w:rsid w:val="2B0971E3"/>
    <w:rsid w:val="2B0A0D5F"/>
    <w:rsid w:val="2B0D0850"/>
    <w:rsid w:val="2B0F281A"/>
    <w:rsid w:val="2B1020EE"/>
    <w:rsid w:val="2B115918"/>
    <w:rsid w:val="2B177920"/>
    <w:rsid w:val="2B195446"/>
    <w:rsid w:val="2B1A4D1A"/>
    <w:rsid w:val="2B1B11BE"/>
    <w:rsid w:val="2B1C4F36"/>
    <w:rsid w:val="2B1E0CAF"/>
    <w:rsid w:val="2B1E2A5D"/>
    <w:rsid w:val="2B204A27"/>
    <w:rsid w:val="2B2160A9"/>
    <w:rsid w:val="2B230073"/>
    <w:rsid w:val="2B231E21"/>
    <w:rsid w:val="2B2362C5"/>
    <w:rsid w:val="2B243DEB"/>
    <w:rsid w:val="2B25203D"/>
    <w:rsid w:val="2B261911"/>
    <w:rsid w:val="2B277B63"/>
    <w:rsid w:val="2B287437"/>
    <w:rsid w:val="2B2C33CC"/>
    <w:rsid w:val="2B2D0EF2"/>
    <w:rsid w:val="2B2D7144"/>
    <w:rsid w:val="2B2F6A18"/>
    <w:rsid w:val="2B302E7D"/>
    <w:rsid w:val="2B34402E"/>
    <w:rsid w:val="2B3527D2"/>
    <w:rsid w:val="2B361B54"/>
    <w:rsid w:val="2B367DA6"/>
    <w:rsid w:val="2B3836F1"/>
    <w:rsid w:val="2B3B53BD"/>
    <w:rsid w:val="2B3C2072"/>
    <w:rsid w:val="2B3E4EAD"/>
    <w:rsid w:val="2B3E6C5B"/>
    <w:rsid w:val="2B400C25"/>
    <w:rsid w:val="2B41674B"/>
    <w:rsid w:val="2B4324C3"/>
    <w:rsid w:val="2B4470C3"/>
    <w:rsid w:val="2B465B0F"/>
    <w:rsid w:val="2B473D61"/>
    <w:rsid w:val="2B475A44"/>
    <w:rsid w:val="2B481888"/>
    <w:rsid w:val="2B4A1AA4"/>
    <w:rsid w:val="2B4A26C4"/>
    <w:rsid w:val="2B4A5600"/>
    <w:rsid w:val="2B4C723F"/>
    <w:rsid w:val="2B4D2CD9"/>
    <w:rsid w:val="2B4F0E68"/>
    <w:rsid w:val="2B4F2C16"/>
    <w:rsid w:val="2B4F70BA"/>
    <w:rsid w:val="2B514BE0"/>
    <w:rsid w:val="2B51698E"/>
    <w:rsid w:val="2B520958"/>
    <w:rsid w:val="2B522706"/>
    <w:rsid w:val="2B563FA5"/>
    <w:rsid w:val="2B577D1D"/>
    <w:rsid w:val="2B585F6F"/>
    <w:rsid w:val="2B593A95"/>
    <w:rsid w:val="2B595843"/>
    <w:rsid w:val="2B5A65F0"/>
    <w:rsid w:val="2B5B15BB"/>
    <w:rsid w:val="2B5E72FD"/>
    <w:rsid w:val="2B604E23"/>
    <w:rsid w:val="2B612949"/>
    <w:rsid w:val="2B6568DD"/>
    <w:rsid w:val="2B667F60"/>
    <w:rsid w:val="2B677BFF"/>
    <w:rsid w:val="2B68108F"/>
    <w:rsid w:val="2B681F2A"/>
    <w:rsid w:val="2B6B4E3F"/>
    <w:rsid w:val="2B6D7540"/>
    <w:rsid w:val="2B722141"/>
    <w:rsid w:val="2B724B56"/>
    <w:rsid w:val="2B726905"/>
    <w:rsid w:val="2B7408CF"/>
    <w:rsid w:val="2B760580"/>
    <w:rsid w:val="2B7663F5"/>
    <w:rsid w:val="2B786611"/>
    <w:rsid w:val="2B7908D3"/>
    <w:rsid w:val="2B795EE5"/>
    <w:rsid w:val="2B797C93"/>
    <w:rsid w:val="2B7A26E0"/>
    <w:rsid w:val="2B7B6FD3"/>
    <w:rsid w:val="2B7D2FEC"/>
    <w:rsid w:val="2B7D3C27"/>
    <w:rsid w:val="2B7D7254"/>
    <w:rsid w:val="2B807273"/>
    <w:rsid w:val="2B836D64"/>
    <w:rsid w:val="2B85488A"/>
    <w:rsid w:val="2B8925CC"/>
    <w:rsid w:val="2B8A00F2"/>
    <w:rsid w:val="2B8A1EA0"/>
    <w:rsid w:val="2B8A2F99"/>
    <w:rsid w:val="2B8C79C6"/>
    <w:rsid w:val="2B8D373E"/>
    <w:rsid w:val="2B8E7BE2"/>
    <w:rsid w:val="2B8F74B6"/>
    <w:rsid w:val="2B902F73"/>
    <w:rsid w:val="2B91322F"/>
    <w:rsid w:val="2B9176D3"/>
    <w:rsid w:val="2B934CA4"/>
    <w:rsid w:val="2B944ACD"/>
    <w:rsid w:val="2B960845"/>
    <w:rsid w:val="2B964CE9"/>
    <w:rsid w:val="2B9745F1"/>
    <w:rsid w:val="2B97636B"/>
    <w:rsid w:val="2B977972"/>
    <w:rsid w:val="2B9825B4"/>
    <w:rsid w:val="2B983E5B"/>
    <w:rsid w:val="2B9845BD"/>
    <w:rsid w:val="2B9952EB"/>
    <w:rsid w:val="2B996587"/>
    <w:rsid w:val="2B997EBC"/>
    <w:rsid w:val="2B9B40AD"/>
    <w:rsid w:val="2B9B4713"/>
    <w:rsid w:val="2B9B5E5B"/>
    <w:rsid w:val="2B9D6077"/>
    <w:rsid w:val="2B9D7E25"/>
    <w:rsid w:val="2B9E76FA"/>
    <w:rsid w:val="2B9F561C"/>
    <w:rsid w:val="2BA03472"/>
    <w:rsid w:val="2BA2543C"/>
    <w:rsid w:val="2BA32F62"/>
    <w:rsid w:val="2BA3770B"/>
    <w:rsid w:val="2BA411B4"/>
    <w:rsid w:val="2BA56CDA"/>
    <w:rsid w:val="2BA57BA0"/>
    <w:rsid w:val="2BA70F21"/>
    <w:rsid w:val="2BA74800"/>
    <w:rsid w:val="2BA80578"/>
    <w:rsid w:val="2BA83950"/>
    <w:rsid w:val="2BA936A8"/>
    <w:rsid w:val="2BA967CA"/>
    <w:rsid w:val="2BAA2542"/>
    <w:rsid w:val="2BAA42F0"/>
    <w:rsid w:val="2BAC0068"/>
    <w:rsid w:val="2BAE2033"/>
    <w:rsid w:val="2BAE4370"/>
    <w:rsid w:val="2BAF1907"/>
    <w:rsid w:val="2BB1567F"/>
    <w:rsid w:val="2BB313F7"/>
    <w:rsid w:val="2BB4516F"/>
    <w:rsid w:val="2BB46F1D"/>
    <w:rsid w:val="2BB533C1"/>
    <w:rsid w:val="2BB673E4"/>
    <w:rsid w:val="2BB84C5F"/>
    <w:rsid w:val="2BB84DA6"/>
    <w:rsid w:val="2BBA09D7"/>
    <w:rsid w:val="2BBA71F5"/>
    <w:rsid w:val="2BBB474F"/>
    <w:rsid w:val="2BBD04C8"/>
    <w:rsid w:val="2BC23F85"/>
    <w:rsid w:val="2BC2788C"/>
    <w:rsid w:val="2BC41856"/>
    <w:rsid w:val="2BC453B2"/>
    <w:rsid w:val="2BC74EA2"/>
    <w:rsid w:val="2BC96E6C"/>
    <w:rsid w:val="2BCA042B"/>
    <w:rsid w:val="2BCC24B9"/>
    <w:rsid w:val="2BCC4267"/>
    <w:rsid w:val="2BCD7C30"/>
    <w:rsid w:val="2BCE6231"/>
    <w:rsid w:val="2BD246FA"/>
    <w:rsid w:val="2BD31A99"/>
    <w:rsid w:val="2BD355F5"/>
    <w:rsid w:val="2BD5553E"/>
    <w:rsid w:val="2BD55811"/>
    <w:rsid w:val="2BD56557"/>
    <w:rsid w:val="2BD61589"/>
    <w:rsid w:val="2BD80E5D"/>
    <w:rsid w:val="2BDA4BD6"/>
    <w:rsid w:val="2BDB13B0"/>
    <w:rsid w:val="2BE026B7"/>
    <w:rsid w:val="2BE041B6"/>
    <w:rsid w:val="2BE07D12"/>
    <w:rsid w:val="2BE21CDC"/>
    <w:rsid w:val="2BE27F2E"/>
    <w:rsid w:val="2BE47891"/>
    <w:rsid w:val="2BE55328"/>
    <w:rsid w:val="2BE710A1"/>
    <w:rsid w:val="2BE75544"/>
    <w:rsid w:val="2BEA293F"/>
    <w:rsid w:val="2BEB6DE3"/>
    <w:rsid w:val="2BEC4909"/>
    <w:rsid w:val="2BEC66B7"/>
    <w:rsid w:val="2BEE68D3"/>
    <w:rsid w:val="2BEF7F55"/>
    <w:rsid w:val="2BF043F9"/>
    <w:rsid w:val="2BF135D6"/>
    <w:rsid w:val="2BF533E7"/>
    <w:rsid w:val="2BF57C61"/>
    <w:rsid w:val="2BF67536"/>
    <w:rsid w:val="2BF81500"/>
    <w:rsid w:val="2BF90622"/>
    <w:rsid w:val="2BFA0DD4"/>
    <w:rsid w:val="2BFC1167"/>
    <w:rsid w:val="2BFF63EA"/>
    <w:rsid w:val="2BFF6C3E"/>
    <w:rsid w:val="2C0003B4"/>
    <w:rsid w:val="2C0004FA"/>
    <w:rsid w:val="2C063C1D"/>
    <w:rsid w:val="2C06436C"/>
    <w:rsid w:val="2C072245"/>
    <w:rsid w:val="2C077995"/>
    <w:rsid w:val="2C091017"/>
    <w:rsid w:val="2C0A4D8F"/>
    <w:rsid w:val="2C0B560D"/>
    <w:rsid w:val="2C0C6D59"/>
    <w:rsid w:val="2C0E0D23"/>
    <w:rsid w:val="2C0E487F"/>
    <w:rsid w:val="2C0F23A5"/>
    <w:rsid w:val="2C11436F"/>
    <w:rsid w:val="2C1300E8"/>
    <w:rsid w:val="2C131E96"/>
    <w:rsid w:val="2C144E29"/>
    <w:rsid w:val="2C153E60"/>
    <w:rsid w:val="2C183950"/>
    <w:rsid w:val="2C1856FE"/>
    <w:rsid w:val="2C1A1476"/>
    <w:rsid w:val="2C1A76C8"/>
    <w:rsid w:val="2C1B6F9C"/>
    <w:rsid w:val="2C1C51EE"/>
    <w:rsid w:val="2C1D2D14"/>
    <w:rsid w:val="2C1F083A"/>
    <w:rsid w:val="2C2045B2"/>
    <w:rsid w:val="2C212804"/>
    <w:rsid w:val="2C2220D9"/>
    <w:rsid w:val="2C22657D"/>
    <w:rsid w:val="2C236465"/>
    <w:rsid w:val="2C236D0A"/>
    <w:rsid w:val="2C244D24"/>
    <w:rsid w:val="2C251BC9"/>
    <w:rsid w:val="2C262215"/>
    <w:rsid w:val="2C267E1B"/>
    <w:rsid w:val="2C271DE5"/>
    <w:rsid w:val="2C2736A5"/>
    <w:rsid w:val="2C275941"/>
    <w:rsid w:val="2C2916B9"/>
    <w:rsid w:val="2C293467"/>
    <w:rsid w:val="2C29790B"/>
    <w:rsid w:val="2C2A71DF"/>
    <w:rsid w:val="2C2B3683"/>
    <w:rsid w:val="2C2C2F57"/>
    <w:rsid w:val="2C2E0A7D"/>
    <w:rsid w:val="2C302A48"/>
    <w:rsid w:val="2C315A5A"/>
    <w:rsid w:val="2C324A12"/>
    <w:rsid w:val="2C332538"/>
    <w:rsid w:val="2C363DD6"/>
    <w:rsid w:val="2C372028"/>
    <w:rsid w:val="2C3818FC"/>
    <w:rsid w:val="2C385DA0"/>
    <w:rsid w:val="2C387B4E"/>
    <w:rsid w:val="2C3A1B18"/>
    <w:rsid w:val="2C3A38C6"/>
    <w:rsid w:val="2C3B13EC"/>
    <w:rsid w:val="2C40598D"/>
    <w:rsid w:val="2C42277B"/>
    <w:rsid w:val="2C424529"/>
    <w:rsid w:val="2C453E2B"/>
    <w:rsid w:val="2C46226B"/>
    <w:rsid w:val="2C472C8F"/>
    <w:rsid w:val="2C475FE3"/>
    <w:rsid w:val="2C484235"/>
    <w:rsid w:val="2C491D5B"/>
    <w:rsid w:val="2C493B09"/>
    <w:rsid w:val="2C496CF0"/>
    <w:rsid w:val="2C4B1C25"/>
    <w:rsid w:val="2C4B5AD3"/>
    <w:rsid w:val="2C4C35F9"/>
    <w:rsid w:val="2C4E7372"/>
    <w:rsid w:val="2C4F3FF2"/>
    <w:rsid w:val="2C5028B1"/>
    <w:rsid w:val="2C5219A4"/>
    <w:rsid w:val="2C550700"/>
    <w:rsid w:val="2C5524AE"/>
    <w:rsid w:val="2C565BF0"/>
    <w:rsid w:val="2C565CCA"/>
    <w:rsid w:val="2C567FD4"/>
    <w:rsid w:val="2C5801F0"/>
    <w:rsid w:val="2C581F9E"/>
    <w:rsid w:val="2C5867E5"/>
    <w:rsid w:val="2C5A1872"/>
    <w:rsid w:val="2C5A5D16"/>
    <w:rsid w:val="2C5A7AC4"/>
    <w:rsid w:val="2C5C1A8E"/>
    <w:rsid w:val="2C5C383D"/>
    <w:rsid w:val="2C5C3A25"/>
    <w:rsid w:val="2C5D1363"/>
    <w:rsid w:val="2C5D75B5"/>
    <w:rsid w:val="2C5F157F"/>
    <w:rsid w:val="2C5F50DB"/>
    <w:rsid w:val="2C610E53"/>
    <w:rsid w:val="2C62070F"/>
    <w:rsid w:val="2C622E1D"/>
    <w:rsid w:val="2C6646BB"/>
    <w:rsid w:val="2C673F8F"/>
    <w:rsid w:val="2C6B3A80"/>
    <w:rsid w:val="2C701096"/>
    <w:rsid w:val="2C701E9B"/>
    <w:rsid w:val="2C7072E8"/>
    <w:rsid w:val="2C72738C"/>
    <w:rsid w:val="2C730B86"/>
    <w:rsid w:val="2C732934"/>
    <w:rsid w:val="2C752B50"/>
    <w:rsid w:val="2C76719D"/>
    <w:rsid w:val="2C772424"/>
    <w:rsid w:val="2C7768C8"/>
    <w:rsid w:val="2C781ABD"/>
    <w:rsid w:val="2C7831FE"/>
    <w:rsid w:val="2C792640"/>
    <w:rsid w:val="2C7A1F15"/>
    <w:rsid w:val="2C7A3CC3"/>
    <w:rsid w:val="2C7C5C8D"/>
    <w:rsid w:val="2C7C7A3B"/>
    <w:rsid w:val="2C7E7C57"/>
    <w:rsid w:val="2C7F39CF"/>
    <w:rsid w:val="2C7F577D"/>
    <w:rsid w:val="2C8132A3"/>
    <w:rsid w:val="2C815051"/>
    <w:rsid w:val="2C820DC9"/>
    <w:rsid w:val="2C834431"/>
    <w:rsid w:val="2C840FE5"/>
    <w:rsid w:val="2C8428DF"/>
    <w:rsid w:val="2C844B41"/>
    <w:rsid w:val="2C855616"/>
    <w:rsid w:val="2C8608B9"/>
    <w:rsid w:val="2C866C92"/>
    <w:rsid w:val="2C8763E0"/>
    <w:rsid w:val="2C882884"/>
    <w:rsid w:val="2C8979E0"/>
    <w:rsid w:val="2C8B2374"/>
    <w:rsid w:val="2C9034E6"/>
    <w:rsid w:val="2C931228"/>
    <w:rsid w:val="2C934D84"/>
    <w:rsid w:val="2C947B55"/>
    <w:rsid w:val="2C974875"/>
    <w:rsid w:val="2C992537"/>
    <w:rsid w:val="2C994A91"/>
    <w:rsid w:val="2C995108"/>
    <w:rsid w:val="2C9A4365"/>
    <w:rsid w:val="2C9A6598"/>
    <w:rsid w:val="2C9F3729"/>
    <w:rsid w:val="2C9F5E1F"/>
    <w:rsid w:val="2CA10CC9"/>
    <w:rsid w:val="2CA174A1"/>
    <w:rsid w:val="2CA376BD"/>
    <w:rsid w:val="2CA43435"/>
    <w:rsid w:val="2CA4764A"/>
    <w:rsid w:val="2CA62D0A"/>
    <w:rsid w:val="2CA64AB8"/>
    <w:rsid w:val="2CA84CD4"/>
    <w:rsid w:val="2CA90A4C"/>
    <w:rsid w:val="2CAA4AF5"/>
    <w:rsid w:val="2CAB6572"/>
    <w:rsid w:val="2CAD1E3D"/>
    <w:rsid w:val="2CAD22EA"/>
    <w:rsid w:val="2CAD4098"/>
    <w:rsid w:val="2CAE1BBE"/>
    <w:rsid w:val="2CAE7E10"/>
    <w:rsid w:val="2CAF6062"/>
    <w:rsid w:val="2CB1338F"/>
    <w:rsid w:val="2CB2345D"/>
    <w:rsid w:val="2CB25B52"/>
    <w:rsid w:val="2CB5119F"/>
    <w:rsid w:val="2CB573F1"/>
    <w:rsid w:val="2CB73169"/>
    <w:rsid w:val="2CB82A3D"/>
    <w:rsid w:val="2CB93CF9"/>
    <w:rsid w:val="2CBA0563"/>
    <w:rsid w:val="2CBC04A2"/>
    <w:rsid w:val="2CBC252D"/>
    <w:rsid w:val="2CBD0053"/>
    <w:rsid w:val="2CBE44F7"/>
    <w:rsid w:val="2CBF4252"/>
    <w:rsid w:val="2CC15D95"/>
    <w:rsid w:val="2CC338BC"/>
    <w:rsid w:val="2CC3566A"/>
    <w:rsid w:val="2CC47634"/>
    <w:rsid w:val="2CC66F08"/>
    <w:rsid w:val="2CC82C80"/>
    <w:rsid w:val="2CC87124"/>
    <w:rsid w:val="2CC97ED5"/>
    <w:rsid w:val="2CCB09C2"/>
    <w:rsid w:val="2CCB2770"/>
    <w:rsid w:val="2CCB3F36"/>
    <w:rsid w:val="2CCD4426"/>
    <w:rsid w:val="2CCD473A"/>
    <w:rsid w:val="2CCE400E"/>
    <w:rsid w:val="2CCF04B2"/>
    <w:rsid w:val="2CCF6239"/>
    <w:rsid w:val="2CD0422B"/>
    <w:rsid w:val="2CD07DA8"/>
    <w:rsid w:val="2CD23AFF"/>
    <w:rsid w:val="2CD45AC9"/>
    <w:rsid w:val="2CD755B9"/>
    <w:rsid w:val="2CDA0E5A"/>
    <w:rsid w:val="2CDA6E57"/>
    <w:rsid w:val="2CDC497D"/>
    <w:rsid w:val="2CDC672B"/>
    <w:rsid w:val="2CDE6947"/>
    <w:rsid w:val="2CDF621C"/>
    <w:rsid w:val="2CE35D0C"/>
    <w:rsid w:val="2CE37ABA"/>
    <w:rsid w:val="2CE455E0"/>
    <w:rsid w:val="2CE51A84"/>
    <w:rsid w:val="2CE61358"/>
    <w:rsid w:val="2CE61FCE"/>
    <w:rsid w:val="2CEA52EC"/>
    <w:rsid w:val="2CEB2E12"/>
    <w:rsid w:val="2CED0939"/>
    <w:rsid w:val="2CF021D7"/>
    <w:rsid w:val="2CF03080"/>
    <w:rsid w:val="2CF0667B"/>
    <w:rsid w:val="2CF241A1"/>
    <w:rsid w:val="2CF33A75"/>
    <w:rsid w:val="2CF41CC7"/>
    <w:rsid w:val="2CF47F19"/>
    <w:rsid w:val="2CF63C91"/>
    <w:rsid w:val="2CF73565"/>
    <w:rsid w:val="2CF77A09"/>
    <w:rsid w:val="2CFB12A7"/>
    <w:rsid w:val="2CFD5684"/>
    <w:rsid w:val="2CFE0255"/>
    <w:rsid w:val="2CFE2B46"/>
    <w:rsid w:val="2CFF066C"/>
    <w:rsid w:val="2D016192"/>
    <w:rsid w:val="2D031F0A"/>
    <w:rsid w:val="2D053ED4"/>
    <w:rsid w:val="2D081307"/>
    <w:rsid w:val="2D085772"/>
    <w:rsid w:val="2D087520"/>
    <w:rsid w:val="2D095047"/>
    <w:rsid w:val="2D0A3299"/>
    <w:rsid w:val="2D0B0DBF"/>
    <w:rsid w:val="2D0B2859"/>
    <w:rsid w:val="2D0D2D89"/>
    <w:rsid w:val="2D0D4B37"/>
    <w:rsid w:val="2D0F08AF"/>
    <w:rsid w:val="2D0F6B01"/>
    <w:rsid w:val="2D1063D5"/>
    <w:rsid w:val="2D12039F"/>
    <w:rsid w:val="2D173C07"/>
    <w:rsid w:val="2D177764"/>
    <w:rsid w:val="2D1934DC"/>
    <w:rsid w:val="2D194E5C"/>
    <w:rsid w:val="2D1A62EC"/>
    <w:rsid w:val="2D1A7254"/>
    <w:rsid w:val="2D1B36F8"/>
    <w:rsid w:val="2D1C121E"/>
    <w:rsid w:val="2D1E0AF2"/>
    <w:rsid w:val="2D1F486A"/>
    <w:rsid w:val="2D23435A"/>
    <w:rsid w:val="2D2500D2"/>
    <w:rsid w:val="2D256324"/>
    <w:rsid w:val="2D263E4A"/>
    <w:rsid w:val="2D2B1E42"/>
    <w:rsid w:val="2D2D2A3B"/>
    <w:rsid w:val="2D2D51D9"/>
    <w:rsid w:val="2D2F71A3"/>
    <w:rsid w:val="2D302395"/>
    <w:rsid w:val="2D306A77"/>
    <w:rsid w:val="2D314CC9"/>
    <w:rsid w:val="2D333521"/>
    <w:rsid w:val="2D35408E"/>
    <w:rsid w:val="2D3622E0"/>
    <w:rsid w:val="2D376058"/>
    <w:rsid w:val="2D391DD0"/>
    <w:rsid w:val="2D394446"/>
    <w:rsid w:val="2D39592C"/>
    <w:rsid w:val="2D3B4C96"/>
    <w:rsid w:val="2D3B5B48"/>
    <w:rsid w:val="2D3C541C"/>
    <w:rsid w:val="2D404F0C"/>
    <w:rsid w:val="2D4349FC"/>
    <w:rsid w:val="2D450775"/>
    <w:rsid w:val="2D46629B"/>
    <w:rsid w:val="2D480265"/>
    <w:rsid w:val="2D483DC1"/>
    <w:rsid w:val="2D486799"/>
    <w:rsid w:val="2D4B38B1"/>
    <w:rsid w:val="2D4B5BDA"/>
    <w:rsid w:val="2D4C00D5"/>
    <w:rsid w:val="2D4D13D7"/>
    <w:rsid w:val="2D4D7629"/>
    <w:rsid w:val="2D53647D"/>
    <w:rsid w:val="2D542766"/>
    <w:rsid w:val="2D55028C"/>
    <w:rsid w:val="2D550D9D"/>
    <w:rsid w:val="2D595FCE"/>
    <w:rsid w:val="2D597D7C"/>
    <w:rsid w:val="2D5A5577"/>
    <w:rsid w:val="2D5A6D7E"/>
    <w:rsid w:val="2D5B3AF4"/>
    <w:rsid w:val="2D5E1836"/>
    <w:rsid w:val="2D621327"/>
    <w:rsid w:val="2D630BFB"/>
    <w:rsid w:val="2D6333A1"/>
    <w:rsid w:val="2D651FD3"/>
    <w:rsid w:val="2D654973"/>
    <w:rsid w:val="2D661D22"/>
    <w:rsid w:val="2D67693D"/>
    <w:rsid w:val="2D6802A9"/>
    <w:rsid w:val="2D69660C"/>
    <w:rsid w:val="2D6B72D5"/>
    <w:rsid w:val="2D6D3827"/>
    <w:rsid w:val="2D6E3085"/>
    <w:rsid w:val="2D6F75A0"/>
    <w:rsid w:val="2D713318"/>
    <w:rsid w:val="2D74105A"/>
    <w:rsid w:val="2D76092E"/>
    <w:rsid w:val="2D766B80"/>
    <w:rsid w:val="2D786D08"/>
    <w:rsid w:val="2D79041E"/>
    <w:rsid w:val="2D796670"/>
    <w:rsid w:val="2D7B23E8"/>
    <w:rsid w:val="2D7B4196"/>
    <w:rsid w:val="2D7B5F44"/>
    <w:rsid w:val="2D7C3A6A"/>
    <w:rsid w:val="2D7D7F0E"/>
    <w:rsid w:val="2D8172D3"/>
    <w:rsid w:val="2D825525"/>
    <w:rsid w:val="2D850B71"/>
    <w:rsid w:val="2D856DC3"/>
    <w:rsid w:val="2D863EDD"/>
    <w:rsid w:val="2D8748E9"/>
    <w:rsid w:val="2D88240F"/>
    <w:rsid w:val="2D8868B3"/>
    <w:rsid w:val="2D8D7A26"/>
    <w:rsid w:val="2D8E211C"/>
    <w:rsid w:val="2D8F19F0"/>
    <w:rsid w:val="2D8F23BE"/>
    <w:rsid w:val="2D8F3AFF"/>
    <w:rsid w:val="2D940DB4"/>
    <w:rsid w:val="2D944DA0"/>
    <w:rsid w:val="2D962D7E"/>
    <w:rsid w:val="2D964B2C"/>
    <w:rsid w:val="2D990AC0"/>
    <w:rsid w:val="2D99286E"/>
    <w:rsid w:val="2D99461C"/>
    <w:rsid w:val="2D9B2143"/>
    <w:rsid w:val="2D9C6103"/>
    <w:rsid w:val="2D9D235F"/>
    <w:rsid w:val="2D9D410D"/>
    <w:rsid w:val="2D9E1C33"/>
    <w:rsid w:val="2D9E56F5"/>
    <w:rsid w:val="2D9E7E85"/>
    <w:rsid w:val="2DA03BFD"/>
    <w:rsid w:val="2DA37249"/>
    <w:rsid w:val="2DA52FC1"/>
    <w:rsid w:val="2DA57465"/>
    <w:rsid w:val="2DA846A6"/>
    <w:rsid w:val="2DAA05D8"/>
    <w:rsid w:val="2DAA4A7C"/>
    <w:rsid w:val="2DAA682A"/>
    <w:rsid w:val="2DAB1B97"/>
    <w:rsid w:val="2DAC25A2"/>
    <w:rsid w:val="2DAD1E76"/>
    <w:rsid w:val="2DAF2092"/>
    <w:rsid w:val="2DB15E0A"/>
    <w:rsid w:val="2DB31B82"/>
    <w:rsid w:val="2DB33930"/>
    <w:rsid w:val="2DB41456"/>
    <w:rsid w:val="2DB43204"/>
    <w:rsid w:val="2DB45D05"/>
    <w:rsid w:val="2DB80F46"/>
    <w:rsid w:val="2DB94CBF"/>
    <w:rsid w:val="2DBB0A37"/>
    <w:rsid w:val="2DBE22D5"/>
    <w:rsid w:val="2DBE4083"/>
    <w:rsid w:val="2DC0604D"/>
    <w:rsid w:val="2DC07DFB"/>
    <w:rsid w:val="2DC13DBD"/>
    <w:rsid w:val="2DC21DC5"/>
    <w:rsid w:val="2DC25921"/>
    <w:rsid w:val="2DC378EB"/>
    <w:rsid w:val="2DC4273E"/>
    <w:rsid w:val="2DC773DC"/>
    <w:rsid w:val="2DC84F02"/>
    <w:rsid w:val="2DCA2A28"/>
    <w:rsid w:val="2DCC67A0"/>
    <w:rsid w:val="2DCE076A"/>
    <w:rsid w:val="2DD35D80"/>
    <w:rsid w:val="2DD37B2E"/>
    <w:rsid w:val="2DD613CD"/>
    <w:rsid w:val="2DD65871"/>
    <w:rsid w:val="2DD815E9"/>
    <w:rsid w:val="2DD934D4"/>
    <w:rsid w:val="2DD9710F"/>
    <w:rsid w:val="2DDC2106"/>
    <w:rsid w:val="2DDD6BFF"/>
    <w:rsid w:val="2DDF2977"/>
    <w:rsid w:val="2DDF4725"/>
    <w:rsid w:val="2DE03FF9"/>
    <w:rsid w:val="2DE0494E"/>
    <w:rsid w:val="2DE14755"/>
    <w:rsid w:val="2DE25FC3"/>
    <w:rsid w:val="2DE41D28"/>
    <w:rsid w:val="2DE41D3C"/>
    <w:rsid w:val="2DE53D06"/>
    <w:rsid w:val="2DE735DA"/>
    <w:rsid w:val="2DE97352"/>
    <w:rsid w:val="2DEA4E78"/>
    <w:rsid w:val="2DEE4968"/>
    <w:rsid w:val="2DF16206"/>
    <w:rsid w:val="2DF33D2D"/>
    <w:rsid w:val="2DF6381D"/>
    <w:rsid w:val="2DF67CC1"/>
    <w:rsid w:val="2DF81343"/>
    <w:rsid w:val="2DF83A39"/>
    <w:rsid w:val="2DF857E7"/>
    <w:rsid w:val="2DFA155F"/>
    <w:rsid w:val="2DFD143F"/>
    <w:rsid w:val="2DFD4BAB"/>
    <w:rsid w:val="2DFE0923"/>
    <w:rsid w:val="2E0221C2"/>
    <w:rsid w:val="2E036741"/>
    <w:rsid w:val="2E053A60"/>
    <w:rsid w:val="2E057F04"/>
    <w:rsid w:val="2E0979F4"/>
    <w:rsid w:val="2E0C3040"/>
    <w:rsid w:val="2E0E500A"/>
    <w:rsid w:val="2E0E6DB8"/>
    <w:rsid w:val="2E0F2B31"/>
    <w:rsid w:val="2E0F48DF"/>
    <w:rsid w:val="2E100D83"/>
    <w:rsid w:val="2E110657"/>
    <w:rsid w:val="2E1343CF"/>
    <w:rsid w:val="2E141EF5"/>
    <w:rsid w:val="2E156399"/>
    <w:rsid w:val="2E1861CC"/>
    <w:rsid w:val="2E1A39AF"/>
    <w:rsid w:val="2E1D6FFC"/>
    <w:rsid w:val="2E1E4B22"/>
    <w:rsid w:val="2E206AEC"/>
    <w:rsid w:val="2E24038A"/>
    <w:rsid w:val="2E24482E"/>
    <w:rsid w:val="2E250044"/>
    <w:rsid w:val="2E254102"/>
    <w:rsid w:val="2E2746AC"/>
    <w:rsid w:val="2E2760CC"/>
    <w:rsid w:val="2E277E7A"/>
    <w:rsid w:val="2E2A34C6"/>
    <w:rsid w:val="2E2B2D7C"/>
    <w:rsid w:val="2E2B37D2"/>
    <w:rsid w:val="2E2C5491"/>
    <w:rsid w:val="2E2C594D"/>
    <w:rsid w:val="2E2C723F"/>
    <w:rsid w:val="2E3031D3"/>
    <w:rsid w:val="2E314855"/>
    <w:rsid w:val="2E3305CD"/>
    <w:rsid w:val="2E334A71"/>
    <w:rsid w:val="2E34556F"/>
    <w:rsid w:val="2E36630F"/>
    <w:rsid w:val="2E383AEE"/>
    <w:rsid w:val="2E385BE3"/>
    <w:rsid w:val="2E3A5DFF"/>
    <w:rsid w:val="2E3A7BAD"/>
    <w:rsid w:val="2E3B3A3F"/>
    <w:rsid w:val="2E3D144C"/>
    <w:rsid w:val="2E3D58F0"/>
    <w:rsid w:val="2E3F6F72"/>
    <w:rsid w:val="2E400F3C"/>
    <w:rsid w:val="2E433BD4"/>
    <w:rsid w:val="2E440A2C"/>
    <w:rsid w:val="2E4722CA"/>
    <w:rsid w:val="2E474078"/>
    <w:rsid w:val="2E494294"/>
    <w:rsid w:val="2E497DF1"/>
    <w:rsid w:val="2E4A5917"/>
    <w:rsid w:val="2E4B3B69"/>
    <w:rsid w:val="2E4C78E1"/>
    <w:rsid w:val="2E4E18AB"/>
    <w:rsid w:val="2E4E3659"/>
    <w:rsid w:val="2E4E5407"/>
    <w:rsid w:val="2E516CA5"/>
    <w:rsid w:val="2E522239"/>
    <w:rsid w:val="2E544B59"/>
    <w:rsid w:val="2E552C39"/>
    <w:rsid w:val="2E555FE9"/>
    <w:rsid w:val="2E56075F"/>
    <w:rsid w:val="2E5642BC"/>
    <w:rsid w:val="2E567479"/>
    <w:rsid w:val="2E580034"/>
    <w:rsid w:val="2E5834DA"/>
    <w:rsid w:val="2E5844D8"/>
    <w:rsid w:val="2E586286"/>
    <w:rsid w:val="2E5C3FC8"/>
    <w:rsid w:val="2E5D1E96"/>
    <w:rsid w:val="2E5D389C"/>
    <w:rsid w:val="2E5F10F6"/>
    <w:rsid w:val="2E5F13C2"/>
    <w:rsid w:val="2E5F5866"/>
    <w:rsid w:val="2E60513A"/>
    <w:rsid w:val="2E627104"/>
    <w:rsid w:val="2E6469D8"/>
    <w:rsid w:val="2E652751"/>
    <w:rsid w:val="2E6541B0"/>
    <w:rsid w:val="2E667F96"/>
    <w:rsid w:val="2E67296D"/>
    <w:rsid w:val="2E67471B"/>
    <w:rsid w:val="2E692241"/>
    <w:rsid w:val="2E6B020F"/>
    <w:rsid w:val="2E6B1950"/>
    <w:rsid w:val="2E6C695D"/>
    <w:rsid w:val="2E6D6E41"/>
    <w:rsid w:val="2E725599"/>
    <w:rsid w:val="2E7330BF"/>
    <w:rsid w:val="2E734E6D"/>
    <w:rsid w:val="2E750BE6"/>
    <w:rsid w:val="2E7A444E"/>
    <w:rsid w:val="2E7A61FC"/>
    <w:rsid w:val="2E7B1445"/>
    <w:rsid w:val="2E7B1F74"/>
    <w:rsid w:val="2E7B3D22"/>
    <w:rsid w:val="2E7D3F3E"/>
    <w:rsid w:val="2E7D5CEC"/>
    <w:rsid w:val="2E7D7A9A"/>
    <w:rsid w:val="2E7F1256"/>
    <w:rsid w:val="2E8226AB"/>
    <w:rsid w:val="2E823302"/>
    <w:rsid w:val="2E8250B1"/>
    <w:rsid w:val="2E826747"/>
    <w:rsid w:val="2E840E29"/>
    <w:rsid w:val="2E861045"/>
    <w:rsid w:val="2E862DF3"/>
    <w:rsid w:val="2E870919"/>
    <w:rsid w:val="2E876B6B"/>
    <w:rsid w:val="2E880E77"/>
    <w:rsid w:val="2E894691"/>
    <w:rsid w:val="2E89643F"/>
    <w:rsid w:val="2E8B665B"/>
    <w:rsid w:val="2E8C5F2F"/>
    <w:rsid w:val="2E8D23D3"/>
    <w:rsid w:val="2E8E1CA7"/>
    <w:rsid w:val="2E903C71"/>
    <w:rsid w:val="2E911F29"/>
    <w:rsid w:val="2E9276CB"/>
    <w:rsid w:val="2E9279E9"/>
    <w:rsid w:val="2E9372E3"/>
    <w:rsid w:val="2E953036"/>
    <w:rsid w:val="2E954DE4"/>
    <w:rsid w:val="2E976EA4"/>
    <w:rsid w:val="2E980D78"/>
    <w:rsid w:val="2E9848D4"/>
    <w:rsid w:val="2E9A689E"/>
    <w:rsid w:val="2E9B2278"/>
    <w:rsid w:val="2E9C43C4"/>
    <w:rsid w:val="2E9D013C"/>
    <w:rsid w:val="2E9F2106"/>
    <w:rsid w:val="2E9F3EB4"/>
    <w:rsid w:val="2E9F5C62"/>
    <w:rsid w:val="2EA17C2D"/>
    <w:rsid w:val="2EA27501"/>
    <w:rsid w:val="2EA72D69"/>
    <w:rsid w:val="2EA74B17"/>
    <w:rsid w:val="2EA93D71"/>
    <w:rsid w:val="2EA94D33"/>
    <w:rsid w:val="2EAA3DB9"/>
    <w:rsid w:val="2EAD65D1"/>
    <w:rsid w:val="2EB060C2"/>
    <w:rsid w:val="2EB536D8"/>
    <w:rsid w:val="2EB931C8"/>
    <w:rsid w:val="2EBA2A9C"/>
    <w:rsid w:val="2EBA6F40"/>
    <w:rsid w:val="2EBC05C2"/>
    <w:rsid w:val="2EBD11F7"/>
    <w:rsid w:val="2EBF00B3"/>
    <w:rsid w:val="2EBF66E8"/>
    <w:rsid w:val="2EC1207D"/>
    <w:rsid w:val="2EC21951"/>
    <w:rsid w:val="2EC658E5"/>
    <w:rsid w:val="2EC97183"/>
    <w:rsid w:val="2ECA0C2A"/>
    <w:rsid w:val="2ECB20BA"/>
    <w:rsid w:val="2ECD27D0"/>
    <w:rsid w:val="2ECE479A"/>
    <w:rsid w:val="2ED00512"/>
    <w:rsid w:val="2ED022C0"/>
    <w:rsid w:val="2ED0406E"/>
    <w:rsid w:val="2ED2428A"/>
    <w:rsid w:val="2ED26038"/>
    <w:rsid w:val="2ED27DE6"/>
    <w:rsid w:val="2ED33B5E"/>
    <w:rsid w:val="2ED40002"/>
    <w:rsid w:val="2ED578D6"/>
    <w:rsid w:val="2ED718A0"/>
    <w:rsid w:val="2ED753FC"/>
    <w:rsid w:val="2EDA4EED"/>
    <w:rsid w:val="2EDC2A13"/>
    <w:rsid w:val="2EDD678B"/>
    <w:rsid w:val="2EDE2C2F"/>
    <w:rsid w:val="2EDE49DD"/>
    <w:rsid w:val="2EDF69A7"/>
    <w:rsid w:val="2EDF7C55"/>
    <w:rsid w:val="2EE10029"/>
    <w:rsid w:val="2EE23DA1"/>
    <w:rsid w:val="2EE30245"/>
    <w:rsid w:val="2EE67D35"/>
    <w:rsid w:val="2EE87609"/>
    <w:rsid w:val="2EE95130"/>
    <w:rsid w:val="2EEE0998"/>
    <w:rsid w:val="2EF02962"/>
    <w:rsid w:val="2EF35FAE"/>
    <w:rsid w:val="2EF51D26"/>
    <w:rsid w:val="2EF53AD4"/>
    <w:rsid w:val="2EF91817"/>
    <w:rsid w:val="2EF97A69"/>
    <w:rsid w:val="2EFA10EB"/>
    <w:rsid w:val="2EFC30B5"/>
    <w:rsid w:val="2EFC4E63"/>
    <w:rsid w:val="2F000C2D"/>
    <w:rsid w:val="2F0106CB"/>
    <w:rsid w:val="2F0138CA"/>
    <w:rsid w:val="2F01691D"/>
    <w:rsid w:val="2F0401BB"/>
    <w:rsid w:val="2F05640D"/>
    <w:rsid w:val="2F06773C"/>
    <w:rsid w:val="2F067A90"/>
    <w:rsid w:val="2F07230D"/>
    <w:rsid w:val="2F083808"/>
    <w:rsid w:val="2F0B32F8"/>
    <w:rsid w:val="2F0D0E1E"/>
    <w:rsid w:val="2F0E5ECE"/>
    <w:rsid w:val="2F0F103A"/>
    <w:rsid w:val="2F0F4084"/>
    <w:rsid w:val="2F104B00"/>
    <w:rsid w:val="2F120B2A"/>
    <w:rsid w:val="2F1403FE"/>
    <w:rsid w:val="2F1523C9"/>
    <w:rsid w:val="2F171C9D"/>
    <w:rsid w:val="2F177EEF"/>
    <w:rsid w:val="2F1A353B"/>
    <w:rsid w:val="2F1C5505"/>
    <w:rsid w:val="2F1C72B3"/>
    <w:rsid w:val="2F1E302B"/>
    <w:rsid w:val="2F1F0B51"/>
    <w:rsid w:val="2F1F6DA3"/>
    <w:rsid w:val="2F20078C"/>
    <w:rsid w:val="2F210D6D"/>
    <w:rsid w:val="2F212B1B"/>
    <w:rsid w:val="2F2148C9"/>
    <w:rsid w:val="2F2238DE"/>
    <w:rsid w:val="2F234AE5"/>
    <w:rsid w:val="2F2443BA"/>
    <w:rsid w:val="2F25260C"/>
    <w:rsid w:val="2F261EE0"/>
    <w:rsid w:val="2F285C58"/>
    <w:rsid w:val="2F2919D0"/>
    <w:rsid w:val="2F2A5E74"/>
    <w:rsid w:val="2F2A7C22"/>
    <w:rsid w:val="2F2B399A"/>
    <w:rsid w:val="2F320885"/>
    <w:rsid w:val="2F324D29"/>
    <w:rsid w:val="2F350375"/>
    <w:rsid w:val="2F370591"/>
    <w:rsid w:val="2F3740ED"/>
    <w:rsid w:val="2F38113B"/>
    <w:rsid w:val="2F3960B7"/>
    <w:rsid w:val="2F3A598B"/>
    <w:rsid w:val="2F3C1703"/>
    <w:rsid w:val="2F3D7B25"/>
    <w:rsid w:val="2F3E547B"/>
    <w:rsid w:val="2F411B3A"/>
    <w:rsid w:val="2F416D1A"/>
    <w:rsid w:val="2F430CE4"/>
    <w:rsid w:val="2F45680A"/>
    <w:rsid w:val="2F4607D4"/>
    <w:rsid w:val="2F48454C"/>
    <w:rsid w:val="2F4A2072"/>
    <w:rsid w:val="2F4A3E20"/>
    <w:rsid w:val="2F4B1946"/>
    <w:rsid w:val="2F4B7B98"/>
    <w:rsid w:val="2F4D1B62"/>
    <w:rsid w:val="2F4D3910"/>
    <w:rsid w:val="2F4F7689"/>
    <w:rsid w:val="2F5051AF"/>
    <w:rsid w:val="2F542EF1"/>
    <w:rsid w:val="2F566C69"/>
    <w:rsid w:val="2F5702EB"/>
    <w:rsid w:val="2F57478F"/>
    <w:rsid w:val="2F590474"/>
    <w:rsid w:val="2F5E78CC"/>
    <w:rsid w:val="2F5F53F2"/>
    <w:rsid w:val="2F634EE2"/>
    <w:rsid w:val="2F642A08"/>
    <w:rsid w:val="2F662C24"/>
    <w:rsid w:val="2F6649D2"/>
    <w:rsid w:val="2F68074A"/>
    <w:rsid w:val="2F6A001E"/>
    <w:rsid w:val="2F6A44C2"/>
    <w:rsid w:val="2F6B1FE9"/>
    <w:rsid w:val="2F6B3D97"/>
    <w:rsid w:val="2F6D5D61"/>
    <w:rsid w:val="2F6D7B0F"/>
    <w:rsid w:val="2F7215C9"/>
    <w:rsid w:val="2F723377"/>
    <w:rsid w:val="2F740E9D"/>
    <w:rsid w:val="2F745341"/>
    <w:rsid w:val="2F77273B"/>
    <w:rsid w:val="2F794705"/>
    <w:rsid w:val="2F7964B4"/>
    <w:rsid w:val="2F7B66D0"/>
    <w:rsid w:val="2F7E3ACA"/>
    <w:rsid w:val="2F803CE6"/>
    <w:rsid w:val="2F8465C8"/>
    <w:rsid w:val="2F857742"/>
    <w:rsid w:val="2F860BD0"/>
    <w:rsid w:val="2F884949"/>
    <w:rsid w:val="2F8A246F"/>
    <w:rsid w:val="2F8C268B"/>
    <w:rsid w:val="2F8C4439"/>
    <w:rsid w:val="2F8D6403"/>
    <w:rsid w:val="2F9037FD"/>
    <w:rsid w:val="2F91569A"/>
    <w:rsid w:val="2F915CE5"/>
    <w:rsid w:val="2F9257C7"/>
    <w:rsid w:val="2F927575"/>
    <w:rsid w:val="2F94153F"/>
    <w:rsid w:val="2F9432ED"/>
    <w:rsid w:val="2F950E14"/>
    <w:rsid w:val="2F955AF6"/>
    <w:rsid w:val="2F990904"/>
    <w:rsid w:val="2F9B28CE"/>
    <w:rsid w:val="2F9B467C"/>
    <w:rsid w:val="2FA21EAE"/>
    <w:rsid w:val="2FA23C5C"/>
    <w:rsid w:val="2FA379D4"/>
    <w:rsid w:val="2FA675E1"/>
    <w:rsid w:val="2FA86D99"/>
    <w:rsid w:val="2FAA2B11"/>
    <w:rsid w:val="2FAA48BF"/>
    <w:rsid w:val="2FAF0127"/>
    <w:rsid w:val="2FAF1ED5"/>
    <w:rsid w:val="2FAF6379"/>
    <w:rsid w:val="2FB120F1"/>
    <w:rsid w:val="2FB219C5"/>
    <w:rsid w:val="2FB35E69"/>
    <w:rsid w:val="2FB41BE1"/>
    <w:rsid w:val="2FB67708"/>
    <w:rsid w:val="2FB83480"/>
    <w:rsid w:val="2FB90FA6"/>
    <w:rsid w:val="2FB92D54"/>
    <w:rsid w:val="2FBB7B31"/>
    <w:rsid w:val="2FBC45F2"/>
    <w:rsid w:val="2FBD0A96"/>
    <w:rsid w:val="2FBE318F"/>
    <w:rsid w:val="2FBE65BC"/>
    <w:rsid w:val="2FC02334"/>
    <w:rsid w:val="2FC17E5A"/>
    <w:rsid w:val="2FC33BD3"/>
    <w:rsid w:val="2FC35981"/>
    <w:rsid w:val="2FC42004"/>
    <w:rsid w:val="2FC516F9"/>
    <w:rsid w:val="2FC5794B"/>
    <w:rsid w:val="2FC71915"/>
    <w:rsid w:val="2FC736C3"/>
    <w:rsid w:val="2FC811E9"/>
    <w:rsid w:val="2FCC2A87"/>
    <w:rsid w:val="2FCD4A51"/>
    <w:rsid w:val="2FCD67FF"/>
    <w:rsid w:val="2FD065E6"/>
    <w:rsid w:val="2FD162F0"/>
    <w:rsid w:val="2FD22068"/>
    <w:rsid w:val="2FD302BA"/>
    <w:rsid w:val="2FD61B58"/>
    <w:rsid w:val="2FD656B4"/>
    <w:rsid w:val="2FD7142C"/>
    <w:rsid w:val="2FD96870"/>
    <w:rsid w:val="2FDB0F1C"/>
    <w:rsid w:val="2FDB2CCA"/>
    <w:rsid w:val="2FDB53C0"/>
    <w:rsid w:val="2FDD2BAB"/>
    <w:rsid w:val="2FDD2EE6"/>
    <w:rsid w:val="2FDD4C94"/>
    <w:rsid w:val="2FDE27BA"/>
    <w:rsid w:val="2FDE6C5E"/>
    <w:rsid w:val="2FE53B49"/>
    <w:rsid w:val="2FE6330A"/>
    <w:rsid w:val="2FE77605"/>
    <w:rsid w:val="2FE778C1"/>
    <w:rsid w:val="2FEA73B1"/>
    <w:rsid w:val="2FEC3129"/>
    <w:rsid w:val="2FED0C50"/>
    <w:rsid w:val="2FED6EB0"/>
    <w:rsid w:val="2FEE5271"/>
    <w:rsid w:val="2FEE6EA1"/>
    <w:rsid w:val="2FEF3D99"/>
    <w:rsid w:val="2FEF6776"/>
    <w:rsid w:val="2FF07B91"/>
    <w:rsid w:val="2FF124EE"/>
    <w:rsid w:val="2FF16992"/>
    <w:rsid w:val="2FF3270A"/>
    <w:rsid w:val="2FF36512"/>
    <w:rsid w:val="2FF40230"/>
    <w:rsid w:val="2FF87D20"/>
    <w:rsid w:val="2FFB336C"/>
    <w:rsid w:val="2FFD5337"/>
    <w:rsid w:val="2FFD70E5"/>
    <w:rsid w:val="2FFE04CB"/>
    <w:rsid w:val="2FFE2E5D"/>
    <w:rsid w:val="2FFE4C0B"/>
    <w:rsid w:val="30000983"/>
    <w:rsid w:val="300246FB"/>
    <w:rsid w:val="30050926"/>
    <w:rsid w:val="3005243D"/>
    <w:rsid w:val="30055F99"/>
    <w:rsid w:val="30071D11"/>
    <w:rsid w:val="30087837"/>
    <w:rsid w:val="300A7A53"/>
    <w:rsid w:val="300C557A"/>
    <w:rsid w:val="300E30A0"/>
    <w:rsid w:val="300E4CCE"/>
    <w:rsid w:val="300F38AF"/>
    <w:rsid w:val="300F506A"/>
    <w:rsid w:val="300F6E18"/>
    <w:rsid w:val="30110DE2"/>
    <w:rsid w:val="30136908"/>
    <w:rsid w:val="301461DC"/>
    <w:rsid w:val="301618AB"/>
    <w:rsid w:val="301663F8"/>
    <w:rsid w:val="30183F1E"/>
    <w:rsid w:val="30185CCC"/>
    <w:rsid w:val="3019196D"/>
    <w:rsid w:val="301D177E"/>
    <w:rsid w:val="301D32E3"/>
    <w:rsid w:val="301D7787"/>
    <w:rsid w:val="30202DD3"/>
    <w:rsid w:val="30204B81"/>
    <w:rsid w:val="302169BE"/>
    <w:rsid w:val="302208F9"/>
    <w:rsid w:val="30222A1F"/>
    <w:rsid w:val="30224D9D"/>
    <w:rsid w:val="30233260"/>
    <w:rsid w:val="302428C3"/>
    <w:rsid w:val="3025488D"/>
    <w:rsid w:val="3025663B"/>
    <w:rsid w:val="302567CF"/>
    <w:rsid w:val="30275F10"/>
    <w:rsid w:val="302A5A00"/>
    <w:rsid w:val="302C1778"/>
    <w:rsid w:val="302C5C1C"/>
    <w:rsid w:val="302C79CA"/>
    <w:rsid w:val="302F1268"/>
    <w:rsid w:val="30330D58"/>
    <w:rsid w:val="30354AD0"/>
    <w:rsid w:val="30360848"/>
    <w:rsid w:val="303625F7"/>
    <w:rsid w:val="303A20E7"/>
    <w:rsid w:val="303B2136"/>
    <w:rsid w:val="303D4A56"/>
    <w:rsid w:val="303E14AB"/>
    <w:rsid w:val="303F594F"/>
    <w:rsid w:val="30420659"/>
    <w:rsid w:val="304271ED"/>
    <w:rsid w:val="30442F65"/>
    <w:rsid w:val="30444D13"/>
    <w:rsid w:val="30466CDD"/>
    <w:rsid w:val="30474804"/>
    <w:rsid w:val="304765B2"/>
    <w:rsid w:val="304A7E50"/>
    <w:rsid w:val="304B42F4"/>
    <w:rsid w:val="304C1E1A"/>
    <w:rsid w:val="304E7940"/>
    <w:rsid w:val="304F5466"/>
    <w:rsid w:val="3050190A"/>
    <w:rsid w:val="30517430"/>
    <w:rsid w:val="305331A8"/>
    <w:rsid w:val="30536D05"/>
    <w:rsid w:val="30562C99"/>
    <w:rsid w:val="30575942"/>
    <w:rsid w:val="30580BC9"/>
    <w:rsid w:val="3058256D"/>
    <w:rsid w:val="3058422F"/>
    <w:rsid w:val="30586A11"/>
    <w:rsid w:val="30590093"/>
    <w:rsid w:val="305A62E5"/>
    <w:rsid w:val="305D7B83"/>
    <w:rsid w:val="305F46BA"/>
    <w:rsid w:val="30601421"/>
    <w:rsid w:val="30654C8A"/>
    <w:rsid w:val="30670A02"/>
    <w:rsid w:val="306727B0"/>
    <w:rsid w:val="30672894"/>
    <w:rsid w:val="30692387"/>
    <w:rsid w:val="306929CC"/>
    <w:rsid w:val="306B04F2"/>
    <w:rsid w:val="306B6744"/>
    <w:rsid w:val="306C426A"/>
    <w:rsid w:val="306C6018"/>
    <w:rsid w:val="306D4FC5"/>
    <w:rsid w:val="306E1D90"/>
    <w:rsid w:val="30703D5A"/>
    <w:rsid w:val="30711881"/>
    <w:rsid w:val="3071362F"/>
    <w:rsid w:val="30717AD3"/>
    <w:rsid w:val="307373A7"/>
    <w:rsid w:val="30746475"/>
    <w:rsid w:val="30753757"/>
    <w:rsid w:val="30760C45"/>
    <w:rsid w:val="30766E97"/>
    <w:rsid w:val="30782C0F"/>
    <w:rsid w:val="307849BD"/>
    <w:rsid w:val="307920D8"/>
    <w:rsid w:val="307B44AD"/>
    <w:rsid w:val="307C26FF"/>
    <w:rsid w:val="307D0225"/>
    <w:rsid w:val="307F5D4C"/>
    <w:rsid w:val="307F7AFA"/>
    <w:rsid w:val="30801AC4"/>
    <w:rsid w:val="30803872"/>
    <w:rsid w:val="3081343B"/>
    <w:rsid w:val="308415B4"/>
    <w:rsid w:val="30841DBC"/>
    <w:rsid w:val="30843362"/>
    <w:rsid w:val="3086532C"/>
    <w:rsid w:val="30872E52"/>
    <w:rsid w:val="30874C00"/>
    <w:rsid w:val="30890978"/>
    <w:rsid w:val="30894E1C"/>
    <w:rsid w:val="308A649E"/>
    <w:rsid w:val="308B2942"/>
    <w:rsid w:val="308C2216"/>
    <w:rsid w:val="308C66BA"/>
    <w:rsid w:val="308E447E"/>
    <w:rsid w:val="308F6ECF"/>
    <w:rsid w:val="30901D07"/>
    <w:rsid w:val="30907F59"/>
    <w:rsid w:val="30913CD1"/>
    <w:rsid w:val="30915A7F"/>
    <w:rsid w:val="309317F7"/>
    <w:rsid w:val="30951D00"/>
    <w:rsid w:val="3095731D"/>
    <w:rsid w:val="30973AB7"/>
    <w:rsid w:val="30975661"/>
    <w:rsid w:val="309816C2"/>
    <w:rsid w:val="3098505F"/>
    <w:rsid w:val="309A4933"/>
    <w:rsid w:val="309B5472"/>
    <w:rsid w:val="309C68FD"/>
    <w:rsid w:val="309D2676"/>
    <w:rsid w:val="309E2963"/>
    <w:rsid w:val="309F1F4A"/>
    <w:rsid w:val="30A12166"/>
    <w:rsid w:val="30A13F14"/>
    <w:rsid w:val="30A14CB5"/>
    <w:rsid w:val="30A21A3A"/>
    <w:rsid w:val="30A457B2"/>
    <w:rsid w:val="30A47560"/>
    <w:rsid w:val="30A6777C"/>
    <w:rsid w:val="30A734F4"/>
    <w:rsid w:val="30A76A5E"/>
    <w:rsid w:val="30A77050"/>
    <w:rsid w:val="30A9101A"/>
    <w:rsid w:val="30AA08EF"/>
    <w:rsid w:val="30AA30AE"/>
    <w:rsid w:val="30AB4D93"/>
    <w:rsid w:val="30AE03DF"/>
    <w:rsid w:val="30B05F05"/>
    <w:rsid w:val="30B11C7D"/>
    <w:rsid w:val="30B31E99"/>
    <w:rsid w:val="30B33C47"/>
    <w:rsid w:val="30B5176D"/>
    <w:rsid w:val="30B654E5"/>
    <w:rsid w:val="30B67293"/>
    <w:rsid w:val="30B7350A"/>
    <w:rsid w:val="30B73737"/>
    <w:rsid w:val="30B74C4B"/>
    <w:rsid w:val="30B80CAC"/>
    <w:rsid w:val="30BA3228"/>
    <w:rsid w:val="30BA4FD6"/>
    <w:rsid w:val="30BB2AFC"/>
    <w:rsid w:val="30BB3500"/>
    <w:rsid w:val="30BC5EEC"/>
    <w:rsid w:val="30BC6FA0"/>
    <w:rsid w:val="30BD0ABD"/>
    <w:rsid w:val="30BE2F3E"/>
    <w:rsid w:val="30BF25EC"/>
    <w:rsid w:val="30BF439A"/>
    <w:rsid w:val="30C03516"/>
    <w:rsid w:val="30C23E8A"/>
    <w:rsid w:val="30C3032E"/>
    <w:rsid w:val="30C6397A"/>
    <w:rsid w:val="30C904F0"/>
    <w:rsid w:val="30C9346B"/>
    <w:rsid w:val="30CA44AF"/>
    <w:rsid w:val="30CB71E3"/>
    <w:rsid w:val="30CC4D09"/>
    <w:rsid w:val="30CC6AB7"/>
    <w:rsid w:val="30CE6CD3"/>
    <w:rsid w:val="30CF4362"/>
    <w:rsid w:val="30D140CD"/>
    <w:rsid w:val="30D342E9"/>
    <w:rsid w:val="30D36097"/>
    <w:rsid w:val="30D51E0F"/>
    <w:rsid w:val="30D56A93"/>
    <w:rsid w:val="30D72AF4"/>
    <w:rsid w:val="30D836AE"/>
    <w:rsid w:val="30D8545C"/>
    <w:rsid w:val="30D86B55"/>
    <w:rsid w:val="30DA7426"/>
    <w:rsid w:val="30DC13F0"/>
    <w:rsid w:val="30DC54D6"/>
    <w:rsid w:val="30E20088"/>
    <w:rsid w:val="30E27C07"/>
    <w:rsid w:val="30E67B79"/>
    <w:rsid w:val="30E91417"/>
    <w:rsid w:val="30E958BB"/>
    <w:rsid w:val="30E97669"/>
    <w:rsid w:val="30E97ADA"/>
    <w:rsid w:val="30EB33E1"/>
    <w:rsid w:val="30ED53AB"/>
    <w:rsid w:val="30ED7159"/>
    <w:rsid w:val="30EE1123"/>
    <w:rsid w:val="30F027A5"/>
    <w:rsid w:val="30F276FC"/>
    <w:rsid w:val="30F41E94"/>
    <w:rsid w:val="30F46739"/>
    <w:rsid w:val="30F54260"/>
    <w:rsid w:val="30F6750D"/>
    <w:rsid w:val="30F71D86"/>
    <w:rsid w:val="30F73B34"/>
    <w:rsid w:val="30F77FD8"/>
    <w:rsid w:val="30F93D50"/>
    <w:rsid w:val="30F97F91"/>
    <w:rsid w:val="30FA1876"/>
    <w:rsid w:val="30FC55EE"/>
    <w:rsid w:val="30FD57C1"/>
    <w:rsid w:val="30FE230E"/>
    <w:rsid w:val="30FF0C3A"/>
    <w:rsid w:val="30FF6E8C"/>
    <w:rsid w:val="310149B3"/>
    <w:rsid w:val="310271F1"/>
    <w:rsid w:val="31030681"/>
    <w:rsid w:val="31041B11"/>
    <w:rsid w:val="31061FC9"/>
    <w:rsid w:val="3106646D"/>
    <w:rsid w:val="31083F93"/>
    <w:rsid w:val="31085D41"/>
    <w:rsid w:val="31097D0B"/>
    <w:rsid w:val="310A6E13"/>
    <w:rsid w:val="310E5321"/>
    <w:rsid w:val="3112096E"/>
    <w:rsid w:val="31124E12"/>
    <w:rsid w:val="311346E6"/>
    <w:rsid w:val="311441D7"/>
    <w:rsid w:val="31155667"/>
    <w:rsid w:val="311566B0"/>
    <w:rsid w:val="311A3CC6"/>
    <w:rsid w:val="311C17EC"/>
    <w:rsid w:val="311C7A3E"/>
    <w:rsid w:val="311E2ED7"/>
    <w:rsid w:val="311F308B"/>
    <w:rsid w:val="311F752F"/>
    <w:rsid w:val="31207AE6"/>
    <w:rsid w:val="312132A7"/>
    <w:rsid w:val="31215055"/>
    <w:rsid w:val="31216E03"/>
    <w:rsid w:val="31224929"/>
    <w:rsid w:val="31232B7B"/>
    <w:rsid w:val="31264419"/>
    <w:rsid w:val="31293F09"/>
    <w:rsid w:val="312B788D"/>
    <w:rsid w:val="312E1520"/>
    <w:rsid w:val="31300B2E"/>
    <w:rsid w:val="31305298"/>
    <w:rsid w:val="31306B17"/>
    <w:rsid w:val="31327262"/>
    <w:rsid w:val="31342FDA"/>
    <w:rsid w:val="31344D88"/>
    <w:rsid w:val="313660E1"/>
    <w:rsid w:val="313905F0"/>
    <w:rsid w:val="313A6116"/>
    <w:rsid w:val="313A7EC4"/>
    <w:rsid w:val="31411253"/>
    <w:rsid w:val="314131F4"/>
    <w:rsid w:val="31434FCB"/>
    <w:rsid w:val="31456F95"/>
    <w:rsid w:val="314618C4"/>
    <w:rsid w:val="31464ABB"/>
    <w:rsid w:val="31486DB5"/>
    <w:rsid w:val="31487073"/>
    <w:rsid w:val="31490108"/>
    <w:rsid w:val="31496359"/>
    <w:rsid w:val="314A42A6"/>
    <w:rsid w:val="314A45AB"/>
    <w:rsid w:val="314B4B4B"/>
    <w:rsid w:val="314B5142"/>
    <w:rsid w:val="314C6BC6"/>
    <w:rsid w:val="314D19A6"/>
    <w:rsid w:val="314D390E"/>
    <w:rsid w:val="314D5E4A"/>
    <w:rsid w:val="314D7BF8"/>
    <w:rsid w:val="314F1BC2"/>
    <w:rsid w:val="314F3970"/>
    <w:rsid w:val="314F6C88"/>
    <w:rsid w:val="31505547"/>
    <w:rsid w:val="315076E8"/>
    <w:rsid w:val="31554CFE"/>
    <w:rsid w:val="315619EE"/>
    <w:rsid w:val="31570A76"/>
    <w:rsid w:val="315A2315"/>
    <w:rsid w:val="315C449C"/>
    <w:rsid w:val="315C608D"/>
    <w:rsid w:val="315D1C96"/>
    <w:rsid w:val="315D7B4B"/>
    <w:rsid w:val="315E1E05"/>
    <w:rsid w:val="315E271C"/>
    <w:rsid w:val="315E3BB3"/>
    <w:rsid w:val="31603DCF"/>
    <w:rsid w:val="31605B7D"/>
    <w:rsid w:val="31615451"/>
    <w:rsid w:val="3163741B"/>
    <w:rsid w:val="31644F41"/>
    <w:rsid w:val="31666F0B"/>
    <w:rsid w:val="316867E0"/>
    <w:rsid w:val="31692558"/>
    <w:rsid w:val="316A07AA"/>
    <w:rsid w:val="316D029A"/>
    <w:rsid w:val="316D0D81"/>
    <w:rsid w:val="316D2048"/>
    <w:rsid w:val="316E7B6E"/>
    <w:rsid w:val="31701B38"/>
    <w:rsid w:val="31717D8A"/>
    <w:rsid w:val="31723B02"/>
    <w:rsid w:val="31750EFD"/>
    <w:rsid w:val="317558B3"/>
    <w:rsid w:val="31761E32"/>
    <w:rsid w:val="31771119"/>
    <w:rsid w:val="3179279B"/>
    <w:rsid w:val="31794E91"/>
    <w:rsid w:val="317A4765"/>
    <w:rsid w:val="317B29B7"/>
    <w:rsid w:val="317C04DD"/>
    <w:rsid w:val="317C228B"/>
    <w:rsid w:val="317E4255"/>
    <w:rsid w:val="317F4625"/>
    <w:rsid w:val="31815AF3"/>
    <w:rsid w:val="31864EB8"/>
    <w:rsid w:val="31880C30"/>
    <w:rsid w:val="31886E82"/>
    <w:rsid w:val="318C4058"/>
    <w:rsid w:val="318D6C29"/>
    <w:rsid w:val="318F0210"/>
    <w:rsid w:val="318F1FBE"/>
    <w:rsid w:val="31903F88"/>
    <w:rsid w:val="31943A79"/>
    <w:rsid w:val="31943F2B"/>
    <w:rsid w:val="319475D5"/>
    <w:rsid w:val="31973569"/>
    <w:rsid w:val="319B4E07"/>
    <w:rsid w:val="319B6BB5"/>
    <w:rsid w:val="319C0B7F"/>
    <w:rsid w:val="319E48F7"/>
    <w:rsid w:val="31A0241D"/>
    <w:rsid w:val="31A16195"/>
    <w:rsid w:val="31A309E6"/>
    <w:rsid w:val="31A31F0E"/>
    <w:rsid w:val="31A6555A"/>
    <w:rsid w:val="31AE5F62"/>
    <w:rsid w:val="31AF08B2"/>
    <w:rsid w:val="31B067DD"/>
    <w:rsid w:val="31B148E3"/>
    <w:rsid w:val="31B25CAD"/>
    <w:rsid w:val="31B30944"/>
    <w:rsid w:val="31B45EC9"/>
    <w:rsid w:val="31B47C77"/>
    <w:rsid w:val="31B639EF"/>
    <w:rsid w:val="31B732C3"/>
    <w:rsid w:val="31B82709"/>
    <w:rsid w:val="31B83326"/>
    <w:rsid w:val="31B93075"/>
    <w:rsid w:val="31B9703B"/>
    <w:rsid w:val="31BB1005"/>
    <w:rsid w:val="31BC6B2B"/>
    <w:rsid w:val="31BD2FCF"/>
    <w:rsid w:val="31BE0AF5"/>
    <w:rsid w:val="31C0486E"/>
    <w:rsid w:val="31C36CF8"/>
    <w:rsid w:val="31C37EBA"/>
    <w:rsid w:val="31C53C32"/>
    <w:rsid w:val="31C679AA"/>
    <w:rsid w:val="31C80FCA"/>
    <w:rsid w:val="31C854D0"/>
    <w:rsid w:val="31C92B6A"/>
    <w:rsid w:val="31CA56EC"/>
    <w:rsid w:val="31CB6D6E"/>
    <w:rsid w:val="31CF2634"/>
    <w:rsid w:val="31CF2D03"/>
    <w:rsid w:val="31D04385"/>
    <w:rsid w:val="31D05482"/>
    <w:rsid w:val="31D07E6C"/>
    <w:rsid w:val="31D10829"/>
    <w:rsid w:val="31D112FC"/>
    <w:rsid w:val="31D200FD"/>
    <w:rsid w:val="31D420C7"/>
    <w:rsid w:val="31D5284E"/>
    <w:rsid w:val="31D64091"/>
    <w:rsid w:val="31D652C6"/>
    <w:rsid w:val="31D65E3F"/>
    <w:rsid w:val="31D67BED"/>
    <w:rsid w:val="31D9148B"/>
    <w:rsid w:val="31DB5204"/>
    <w:rsid w:val="31DD5420"/>
    <w:rsid w:val="31DE2F46"/>
    <w:rsid w:val="31DE5652"/>
    <w:rsid w:val="31E04E6B"/>
    <w:rsid w:val="31E06CBE"/>
    <w:rsid w:val="31E352FF"/>
    <w:rsid w:val="31E40EB3"/>
    <w:rsid w:val="31E542D4"/>
    <w:rsid w:val="31E63BA8"/>
    <w:rsid w:val="31E71DFA"/>
    <w:rsid w:val="31E83DC4"/>
    <w:rsid w:val="31E85B72"/>
    <w:rsid w:val="31EA18EB"/>
    <w:rsid w:val="31EA5447"/>
    <w:rsid w:val="31EB11BF"/>
    <w:rsid w:val="31EC7411"/>
    <w:rsid w:val="31ED3189"/>
    <w:rsid w:val="31EF0CAF"/>
    <w:rsid w:val="31F12C79"/>
    <w:rsid w:val="31F14A27"/>
    <w:rsid w:val="31F167D5"/>
    <w:rsid w:val="31F90508"/>
    <w:rsid w:val="31F91B2E"/>
    <w:rsid w:val="31F97D80"/>
    <w:rsid w:val="31FA3C94"/>
    <w:rsid w:val="31FC517A"/>
    <w:rsid w:val="31FE5396"/>
    <w:rsid w:val="31FE7144"/>
    <w:rsid w:val="32002EBC"/>
    <w:rsid w:val="320109D2"/>
    <w:rsid w:val="32024E86"/>
    <w:rsid w:val="32026C34"/>
    <w:rsid w:val="320329AC"/>
    <w:rsid w:val="320504D2"/>
    <w:rsid w:val="32081D71"/>
    <w:rsid w:val="32087FC3"/>
    <w:rsid w:val="320A3D3B"/>
    <w:rsid w:val="320A5AE9"/>
    <w:rsid w:val="320A7897"/>
    <w:rsid w:val="320B756B"/>
    <w:rsid w:val="320D55D9"/>
    <w:rsid w:val="320E382B"/>
    <w:rsid w:val="320F1351"/>
    <w:rsid w:val="320F4EAD"/>
    <w:rsid w:val="32111360"/>
    <w:rsid w:val="321227F0"/>
    <w:rsid w:val="32130E41"/>
    <w:rsid w:val="3216448E"/>
    <w:rsid w:val="32185E28"/>
    <w:rsid w:val="32186662"/>
    <w:rsid w:val="321A3B53"/>
    <w:rsid w:val="321B5F48"/>
    <w:rsid w:val="321B7CF6"/>
    <w:rsid w:val="321C75CA"/>
    <w:rsid w:val="321E75CB"/>
    <w:rsid w:val="321E77E6"/>
    <w:rsid w:val="3220355E"/>
    <w:rsid w:val="322070BA"/>
    <w:rsid w:val="32210DA7"/>
    <w:rsid w:val="32210E55"/>
    <w:rsid w:val="322150A3"/>
    <w:rsid w:val="32227022"/>
    <w:rsid w:val="32230959"/>
    <w:rsid w:val="32236BAB"/>
    <w:rsid w:val="32280596"/>
    <w:rsid w:val="322C5A5F"/>
    <w:rsid w:val="322E5C7B"/>
    <w:rsid w:val="322E7A29"/>
    <w:rsid w:val="322F1D18"/>
    <w:rsid w:val="322F2A2C"/>
    <w:rsid w:val="32317519"/>
    <w:rsid w:val="32326DEE"/>
    <w:rsid w:val="32335040"/>
    <w:rsid w:val="323446FA"/>
    <w:rsid w:val="323668DE"/>
    <w:rsid w:val="323808A8"/>
    <w:rsid w:val="32382656"/>
    <w:rsid w:val="323A2127"/>
    <w:rsid w:val="323B19FC"/>
    <w:rsid w:val="323B2146"/>
    <w:rsid w:val="323D1A1A"/>
    <w:rsid w:val="323E5792"/>
    <w:rsid w:val="32400B34"/>
    <w:rsid w:val="324234D5"/>
    <w:rsid w:val="32425283"/>
    <w:rsid w:val="32456B21"/>
    <w:rsid w:val="32472899"/>
    <w:rsid w:val="324A4137"/>
    <w:rsid w:val="324C2702"/>
    <w:rsid w:val="324C6101"/>
    <w:rsid w:val="325154C6"/>
    <w:rsid w:val="32517538"/>
    <w:rsid w:val="32531113"/>
    <w:rsid w:val="3255145A"/>
    <w:rsid w:val="32555174"/>
    <w:rsid w:val="32583AF5"/>
    <w:rsid w:val="32586854"/>
    <w:rsid w:val="32586A21"/>
    <w:rsid w:val="325925CC"/>
    <w:rsid w:val="325A6A70"/>
    <w:rsid w:val="325D3E6B"/>
    <w:rsid w:val="32650F71"/>
    <w:rsid w:val="32653528"/>
    <w:rsid w:val="32655415"/>
    <w:rsid w:val="32670A19"/>
    <w:rsid w:val="32672F3B"/>
    <w:rsid w:val="32676A97"/>
    <w:rsid w:val="32696CB3"/>
    <w:rsid w:val="326A1EDF"/>
    <w:rsid w:val="326D488B"/>
    <w:rsid w:val="326E5D1B"/>
    <w:rsid w:val="326F3B9E"/>
    <w:rsid w:val="327127D7"/>
    <w:rsid w:val="32725B2C"/>
    <w:rsid w:val="327318E0"/>
    <w:rsid w:val="3273368E"/>
    <w:rsid w:val="3276317E"/>
    <w:rsid w:val="32764F2C"/>
    <w:rsid w:val="32780CA4"/>
    <w:rsid w:val="32786EF6"/>
    <w:rsid w:val="327B7CAA"/>
    <w:rsid w:val="327D0B45"/>
    <w:rsid w:val="327D117A"/>
    <w:rsid w:val="327D17AF"/>
    <w:rsid w:val="327D62BB"/>
    <w:rsid w:val="327F2033"/>
    <w:rsid w:val="32800130"/>
    <w:rsid w:val="32803FFD"/>
    <w:rsid w:val="3281224F"/>
    <w:rsid w:val="32812D01"/>
    <w:rsid w:val="328161FD"/>
    <w:rsid w:val="32847649"/>
    <w:rsid w:val="32847F41"/>
    <w:rsid w:val="32894C60"/>
    <w:rsid w:val="328A54F4"/>
    <w:rsid w:val="328A6C2A"/>
    <w:rsid w:val="328B4E7C"/>
    <w:rsid w:val="328F5FEE"/>
    <w:rsid w:val="32925116"/>
    <w:rsid w:val="32931F82"/>
    <w:rsid w:val="3293788C"/>
    <w:rsid w:val="32943604"/>
    <w:rsid w:val="32951856"/>
    <w:rsid w:val="32977AF8"/>
    <w:rsid w:val="32981347"/>
    <w:rsid w:val="32990C1B"/>
    <w:rsid w:val="329B2BE5"/>
    <w:rsid w:val="329B4993"/>
    <w:rsid w:val="329E6876"/>
    <w:rsid w:val="32A0644D"/>
    <w:rsid w:val="32A24C0B"/>
    <w:rsid w:val="32A25D21"/>
    <w:rsid w:val="32A55811"/>
    <w:rsid w:val="32A63A63"/>
    <w:rsid w:val="32A7320F"/>
    <w:rsid w:val="32A777DC"/>
    <w:rsid w:val="32A8733C"/>
    <w:rsid w:val="32A91F0D"/>
    <w:rsid w:val="32A970B0"/>
    <w:rsid w:val="32AB72CC"/>
    <w:rsid w:val="32AC094E"/>
    <w:rsid w:val="32AC4DF2"/>
    <w:rsid w:val="32AE2918"/>
    <w:rsid w:val="32AE46C6"/>
    <w:rsid w:val="32AF463E"/>
    <w:rsid w:val="32B05ACE"/>
    <w:rsid w:val="32B1065A"/>
    <w:rsid w:val="32B31CDC"/>
    <w:rsid w:val="32B51EF8"/>
    <w:rsid w:val="32B617CD"/>
    <w:rsid w:val="32B67A1F"/>
    <w:rsid w:val="32B85545"/>
    <w:rsid w:val="32BA750F"/>
    <w:rsid w:val="32BB5035"/>
    <w:rsid w:val="32BC3287"/>
    <w:rsid w:val="32BD6FFF"/>
    <w:rsid w:val="32BF0681"/>
    <w:rsid w:val="32C0264B"/>
    <w:rsid w:val="32C263C3"/>
    <w:rsid w:val="32C4038E"/>
    <w:rsid w:val="32C61435"/>
    <w:rsid w:val="32C71C2C"/>
    <w:rsid w:val="32CB171C"/>
    <w:rsid w:val="32CB34CA"/>
    <w:rsid w:val="32CB5278"/>
    <w:rsid w:val="32CC7242"/>
    <w:rsid w:val="32CD1B51"/>
    <w:rsid w:val="32CE4D68"/>
    <w:rsid w:val="32CE6495"/>
    <w:rsid w:val="32D00AE0"/>
    <w:rsid w:val="32D06D32"/>
    <w:rsid w:val="32D22AAA"/>
    <w:rsid w:val="32D54349"/>
    <w:rsid w:val="32D81743"/>
    <w:rsid w:val="32D85BE7"/>
    <w:rsid w:val="32DA54BB"/>
    <w:rsid w:val="32DC6465"/>
    <w:rsid w:val="32DD144F"/>
    <w:rsid w:val="32DD31FD"/>
    <w:rsid w:val="32DE516E"/>
    <w:rsid w:val="32DF1FDC"/>
    <w:rsid w:val="32DF2AD1"/>
    <w:rsid w:val="32E14A9C"/>
    <w:rsid w:val="32E53E60"/>
    <w:rsid w:val="32E620B2"/>
    <w:rsid w:val="32E85C1B"/>
    <w:rsid w:val="32E95C5F"/>
    <w:rsid w:val="32EB591A"/>
    <w:rsid w:val="32EB76C8"/>
    <w:rsid w:val="32EE5A70"/>
    <w:rsid w:val="32F02F31"/>
    <w:rsid w:val="32F12805"/>
    <w:rsid w:val="32F83B93"/>
    <w:rsid w:val="32F842C3"/>
    <w:rsid w:val="32FA20F5"/>
    <w:rsid w:val="32FA3DAF"/>
    <w:rsid w:val="32FA5B5D"/>
    <w:rsid w:val="32FD11AA"/>
    <w:rsid w:val="32FE6D27"/>
    <w:rsid w:val="32FF3174"/>
    <w:rsid w:val="33010C9A"/>
    <w:rsid w:val="33031CDF"/>
    <w:rsid w:val="330469DC"/>
    <w:rsid w:val="33062754"/>
    <w:rsid w:val="33093FF2"/>
    <w:rsid w:val="33097D0E"/>
    <w:rsid w:val="330A66D8"/>
    <w:rsid w:val="330B38C7"/>
    <w:rsid w:val="330E7C2A"/>
    <w:rsid w:val="33114C55"/>
    <w:rsid w:val="33134E71"/>
    <w:rsid w:val="33136C1F"/>
    <w:rsid w:val="33150BE9"/>
    <w:rsid w:val="33174961"/>
    <w:rsid w:val="331A1D5C"/>
    <w:rsid w:val="331C1F78"/>
    <w:rsid w:val="331C5AD4"/>
    <w:rsid w:val="331D35FA"/>
    <w:rsid w:val="331D7A9E"/>
    <w:rsid w:val="331E378C"/>
    <w:rsid w:val="331F3816"/>
    <w:rsid w:val="3322495F"/>
    <w:rsid w:val="33233306"/>
    <w:rsid w:val="332350B4"/>
    <w:rsid w:val="33240E2C"/>
    <w:rsid w:val="33260700"/>
    <w:rsid w:val="33264BA4"/>
    <w:rsid w:val="33274478"/>
    <w:rsid w:val="332B3F69"/>
    <w:rsid w:val="332B5D17"/>
    <w:rsid w:val="332C1A8F"/>
    <w:rsid w:val="333015F2"/>
    <w:rsid w:val="333077D1"/>
    <w:rsid w:val="33311883"/>
    <w:rsid w:val="333170A5"/>
    <w:rsid w:val="33324454"/>
    <w:rsid w:val="333252F7"/>
    <w:rsid w:val="333358E4"/>
    <w:rsid w:val="33356B95"/>
    <w:rsid w:val="333746BC"/>
    <w:rsid w:val="33380434"/>
    <w:rsid w:val="33392BE6"/>
    <w:rsid w:val="333C43C8"/>
    <w:rsid w:val="333C7F24"/>
    <w:rsid w:val="333D1567"/>
    <w:rsid w:val="333D5A4A"/>
    <w:rsid w:val="333E1EEE"/>
    <w:rsid w:val="3341378C"/>
    <w:rsid w:val="334212B2"/>
    <w:rsid w:val="3344327C"/>
    <w:rsid w:val="33463D5A"/>
    <w:rsid w:val="33482D6D"/>
    <w:rsid w:val="33490893"/>
    <w:rsid w:val="33492641"/>
    <w:rsid w:val="334926DB"/>
    <w:rsid w:val="334B0167"/>
    <w:rsid w:val="334B460B"/>
    <w:rsid w:val="334B6320"/>
    <w:rsid w:val="334C648B"/>
    <w:rsid w:val="334D2131"/>
    <w:rsid w:val="33501C21"/>
    <w:rsid w:val="335214F5"/>
    <w:rsid w:val="33527747"/>
    <w:rsid w:val="335334BF"/>
    <w:rsid w:val="33543E57"/>
    <w:rsid w:val="33550FE6"/>
    <w:rsid w:val="33552D94"/>
    <w:rsid w:val="33557238"/>
    <w:rsid w:val="3357359E"/>
    <w:rsid w:val="33590AD6"/>
    <w:rsid w:val="33596D28"/>
    <w:rsid w:val="335975FF"/>
    <w:rsid w:val="335C05C6"/>
    <w:rsid w:val="335C2374"/>
    <w:rsid w:val="335C4122"/>
    <w:rsid w:val="335D0CAA"/>
    <w:rsid w:val="335D7E9A"/>
    <w:rsid w:val="33605D91"/>
    <w:rsid w:val="33613E2E"/>
    <w:rsid w:val="3361798A"/>
    <w:rsid w:val="33644712"/>
    <w:rsid w:val="33680D19"/>
    <w:rsid w:val="336B25B7"/>
    <w:rsid w:val="336B6A5B"/>
    <w:rsid w:val="336D27D3"/>
    <w:rsid w:val="336D4581"/>
    <w:rsid w:val="336E20A7"/>
    <w:rsid w:val="336F02F9"/>
    <w:rsid w:val="33705E1F"/>
    <w:rsid w:val="33707BCD"/>
    <w:rsid w:val="337201A6"/>
    <w:rsid w:val="33721B98"/>
    <w:rsid w:val="33727DEA"/>
    <w:rsid w:val="337616F8"/>
    <w:rsid w:val="33784CD4"/>
    <w:rsid w:val="33791178"/>
    <w:rsid w:val="33792F26"/>
    <w:rsid w:val="337C47C4"/>
    <w:rsid w:val="337E678E"/>
    <w:rsid w:val="337F42B4"/>
    <w:rsid w:val="337F6063"/>
    <w:rsid w:val="33802506"/>
    <w:rsid w:val="3381627F"/>
    <w:rsid w:val="33831403"/>
    <w:rsid w:val="33833CFC"/>
    <w:rsid w:val="33835B1F"/>
    <w:rsid w:val="33837901"/>
    <w:rsid w:val="33843679"/>
    <w:rsid w:val="33863895"/>
    <w:rsid w:val="338673F1"/>
    <w:rsid w:val="3389470C"/>
    <w:rsid w:val="338B0EAB"/>
    <w:rsid w:val="338B4A07"/>
    <w:rsid w:val="338C391E"/>
    <w:rsid w:val="338F0E0F"/>
    <w:rsid w:val="338F274A"/>
    <w:rsid w:val="33900270"/>
    <w:rsid w:val="33916300"/>
    <w:rsid w:val="33925D96"/>
    <w:rsid w:val="33945FB2"/>
    <w:rsid w:val="33957634"/>
    <w:rsid w:val="339935C8"/>
    <w:rsid w:val="33994A92"/>
    <w:rsid w:val="33995376"/>
    <w:rsid w:val="339A10EE"/>
    <w:rsid w:val="339A4C4A"/>
    <w:rsid w:val="339E298D"/>
    <w:rsid w:val="33A04957"/>
    <w:rsid w:val="33A37FA3"/>
    <w:rsid w:val="33A45AC9"/>
    <w:rsid w:val="33A53D1B"/>
    <w:rsid w:val="33A55C06"/>
    <w:rsid w:val="33A67A93"/>
    <w:rsid w:val="33A71C67"/>
    <w:rsid w:val="33A930DF"/>
    <w:rsid w:val="33AA1331"/>
    <w:rsid w:val="33AD2BD0"/>
    <w:rsid w:val="33AD7074"/>
    <w:rsid w:val="33AE03F9"/>
    <w:rsid w:val="33AE06F6"/>
    <w:rsid w:val="33B201E6"/>
    <w:rsid w:val="33B45D0C"/>
    <w:rsid w:val="33B51A84"/>
    <w:rsid w:val="33B65F28"/>
    <w:rsid w:val="33B95A18"/>
    <w:rsid w:val="33B977C6"/>
    <w:rsid w:val="33BC1065"/>
    <w:rsid w:val="33BE302F"/>
    <w:rsid w:val="33BE7EEE"/>
    <w:rsid w:val="33C1667B"/>
    <w:rsid w:val="33C2512E"/>
    <w:rsid w:val="33C323F3"/>
    <w:rsid w:val="33C341A1"/>
    <w:rsid w:val="33C46C09"/>
    <w:rsid w:val="33C61EE3"/>
    <w:rsid w:val="33C63C91"/>
    <w:rsid w:val="33C70135"/>
    <w:rsid w:val="33C817B8"/>
    <w:rsid w:val="33C85C5B"/>
    <w:rsid w:val="33CA19D4"/>
    <w:rsid w:val="33CB12A8"/>
    <w:rsid w:val="33CB74FA"/>
    <w:rsid w:val="33CC7F5C"/>
    <w:rsid w:val="33CF0D98"/>
    <w:rsid w:val="33D12A42"/>
    <w:rsid w:val="33D12D62"/>
    <w:rsid w:val="33D20888"/>
    <w:rsid w:val="33D26ADA"/>
    <w:rsid w:val="33D463AE"/>
    <w:rsid w:val="33D53ED4"/>
    <w:rsid w:val="33D61B6B"/>
    <w:rsid w:val="33D75E9F"/>
    <w:rsid w:val="33D91C17"/>
    <w:rsid w:val="33D934D4"/>
    <w:rsid w:val="33D94AF6"/>
    <w:rsid w:val="33D95773"/>
    <w:rsid w:val="33DA5F86"/>
    <w:rsid w:val="33DE547F"/>
    <w:rsid w:val="33E32A95"/>
    <w:rsid w:val="33E52369"/>
    <w:rsid w:val="33E91A1A"/>
    <w:rsid w:val="33EA461D"/>
    <w:rsid w:val="33EA5BD2"/>
    <w:rsid w:val="33ED121E"/>
    <w:rsid w:val="33EE588C"/>
    <w:rsid w:val="33EF143A"/>
    <w:rsid w:val="33EF31E8"/>
    <w:rsid w:val="33F151B2"/>
    <w:rsid w:val="33F16F60"/>
    <w:rsid w:val="33F2372F"/>
    <w:rsid w:val="33F24A86"/>
    <w:rsid w:val="33F64577"/>
    <w:rsid w:val="33F702EF"/>
    <w:rsid w:val="33F95E15"/>
    <w:rsid w:val="33FB7DDF"/>
    <w:rsid w:val="33FC5905"/>
    <w:rsid w:val="33FE167D"/>
    <w:rsid w:val="33FE2F6A"/>
    <w:rsid w:val="3402116D"/>
    <w:rsid w:val="34036C94"/>
    <w:rsid w:val="34045DA2"/>
    <w:rsid w:val="34050C5E"/>
    <w:rsid w:val="34050F42"/>
    <w:rsid w:val="34054394"/>
    <w:rsid w:val="340547BA"/>
    <w:rsid w:val="34060532"/>
    <w:rsid w:val="340622E0"/>
    <w:rsid w:val="34076784"/>
    <w:rsid w:val="34092494"/>
    <w:rsid w:val="340A0022"/>
    <w:rsid w:val="340A1DD0"/>
    <w:rsid w:val="340B21E3"/>
    <w:rsid w:val="340E07E5"/>
    <w:rsid w:val="340E74C2"/>
    <w:rsid w:val="340F5638"/>
    <w:rsid w:val="3411315F"/>
    <w:rsid w:val="34120C85"/>
    <w:rsid w:val="34125129"/>
    <w:rsid w:val="34126ED7"/>
    <w:rsid w:val="34133546"/>
    <w:rsid w:val="3417273F"/>
    <w:rsid w:val="34175343"/>
    <w:rsid w:val="34185F28"/>
    <w:rsid w:val="341B3FDD"/>
    <w:rsid w:val="341B48A9"/>
    <w:rsid w:val="341B5D8B"/>
    <w:rsid w:val="341D5FA7"/>
    <w:rsid w:val="341D71C9"/>
    <w:rsid w:val="341E1BA1"/>
    <w:rsid w:val="341E1D9A"/>
    <w:rsid w:val="341E3ACD"/>
    <w:rsid w:val="342015F4"/>
    <w:rsid w:val="342033A2"/>
    <w:rsid w:val="34235BF7"/>
    <w:rsid w:val="342410E5"/>
    <w:rsid w:val="34254E5C"/>
    <w:rsid w:val="3428494C"/>
    <w:rsid w:val="342A033D"/>
    <w:rsid w:val="342A2472"/>
    <w:rsid w:val="342A4220"/>
    <w:rsid w:val="342B1D46"/>
    <w:rsid w:val="342D3D10"/>
    <w:rsid w:val="342D5ABF"/>
    <w:rsid w:val="342D6CBE"/>
    <w:rsid w:val="342F1837"/>
    <w:rsid w:val="34302A6E"/>
    <w:rsid w:val="3430563F"/>
    <w:rsid w:val="343155AF"/>
    <w:rsid w:val="3431795E"/>
    <w:rsid w:val="34321327"/>
    <w:rsid w:val="343230D5"/>
    <w:rsid w:val="34337579"/>
    <w:rsid w:val="343432F1"/>
    <w:rsid w:val="3434509F"/>
    <w:rsid w:val="34345E1C"/>
    <w:rsid w:val="34346E4D"/>
    <w:rsid w:val="34362BC5"/>
    <w:rsid w:val="343706EB"/>
    <w:rsid w:val="343926B5"/>
    <w:rsid w:val="34395261"/>
    <w:rsid w:val="343B01DB"/>
    <w:rsid w:val="343C3BE2"/>
    <w:rsid w:val="343D03F7"/>
    <w:rsid w:val="343D21A6"/>
    <w:rsid w:val="343E1A7A"/>
    <w:rsid w:val="343E5F1E"/>
    <w:rsid w:val="343E7CCC"/>
    <w:rsid w:val="34401C96"/>
    <w:rsid w:val="34403A44"/>
    <w:rsid w:val="344057F2"/>
    <w:rsid w:val="344352E2"/>
    <w:rsid w:val="34470CF5"/>
    <w:rsid w:val="34473024"/>
    <w:rsid w:val="34474DD2"/>
    <w:rsid w:val="344A2B14"/>
    <w:rsid w:val="344C23E9"/>
    <w:rsid w:val="344E43B3"/>
    <w:rsid w:val="344F1ED9"/>
    <w:rsid w:val="344F3C87"/>
    <w:rsid w:val="34502058"/>
    <w:rsid w:val="345134E8"/>
    <w:rsid w:val="345319C9"/>
    <w:rsid w:val="34563E84"/>
    <w:rsid w:val="34571F2B"/>
    <w:rsid w:val="34580D8D"/>
    <w:rsid w:val="3459310A"/>
    <w:rsid w:val="34594B05"/>
    <w:rsid w:val="345968B4"/>
    <w:rsid w:val="345B6AD0"/>
    <w:rsid w:val="345B716B"/>
    <w:rsid w:val="345D63A4"/>
    <w:rsid w:val="345E211C"/>
    <w:rsid w:val="346040E6"/>
    <w:rsid w:val="34605E94"/>
    <w:rsid w:val="3461446D"/>
    <w:rsid w:val="34627E5E"/>
    <w:rsid w:val="34655258"/>
    <w:rsid w:val="34675474"/>
    <w:rsid w:val="34677222"/>
    <w:rsid w:val="34684D49"/>
    <w:rsid w:val="346A4ED3"/>
    <w:rsid w:val="346A58EF"/>
    <w:rsid w:val="346A6D13"/>
    <w:rsid w:val="346B0EF8"/>
    <w:rsid w:val="346C65E7"/>
    <w:rsid w:val="346D2A0F"/>
    <w:rsid w:val="346E6803"/>
    <w:rsid w:val="346F4329"/>
    <w:rsid w:val="346F60D7"/>
    <w:rsid w:val="34711E4F"/>
    <w:rsid w:val="34726B72"/>
    <w:rsid w:val="34733E19"/>
    <w:rsid w:val="347436ED"/>
    <w:rsid w:val="34761214"/>
    <w:rsid w:val="34784F8C"/>
    <w:rsid w:val="347B4A7C"/>
    <w:rsid w:val="347B5013"/>
    <w:rsid w:val="3482405C"/>
    <w:rsid w:val="34825E0A"/>
    <w:rsid w:val="348342CA"/>
    <w:rsid w:val="34847806"/>
    <w:rsid w:val="34853B4C"/>
    <w:rsid w:val="34864CF7"/>
    <w:rsid w:val="34876187"/>
    <w:rsid w:val="348921E8"/>
    <w:rsid w:val="3489363D"/>
    <w:rsid w:val="34897199"/>
    <w:rsid w:val="348A1163"/>
    <w:rsid w:val="348C4EDB"/>
    <w:rsid w:val="348D1BF6"/>
    <w:rsid w:val="348E0C53"/>
    <w:rsid w:val="348E47AF"/>
    <w:rsid w:val="348F0527"/>
    <w:rsid w:val="34907349"/>
    <w:rsid w:val="3491604D"/>
    <w:rsid w:val="3491662F"/>
    <w:rsid w:val="34945B3E"/>
    <w:rsid w:val="349618B6"/>
    <w:rsid w:val="3496754B"/>
    <w:rsid w:val="3498084D"/>
    <w:rsid w:val="349A13A6"/>
    <w:rsid w:val="349B6ECC"/>
    <w:rsid w:val="349C065E"/>
    <w:rsid w:val="349E076A"/>
    <w:rsid w:val="349F69BC"/>
    <w:rsid w:val="34A00986"/>
    <w:rsid w:val="34A044E2"/>
    <w:rsid w:val="34A25743"/>
    <w:rsid w:val="34A43FD3"/>
    <w:rsid w:val="34A71D15"/>
    <w:rsid w:val="34A915E9"/>
    <w:rsid w:val="34AB35B3"/>
    <w:rsid w:val="34AD7EA2"/>
    <w:rsid w:val="34AF2977"/>
    <w:rsid w:val="34AF4725"/>
    <w:rsid w:val="34B1049E"/>
    <w:rsid w:val="34B14942"/>
    <w:rsid w:val="34B166F0"/>
    <w:rsid w:val="34B220E9"/>
    <w:rsid w:val="34B306BA"/>
    <w:rsid w:val="34B32468"/>
    <w:rsid w:val="34B41D3C"/>
    <w:rsid w:val="34B47F8E"/>
    <w:rsid w:val="34B54432"/>
    <w:rsid w:val="34B561E0"/>
    <w:rsid w:val="34B61F58"/>
    <w:rsid w:val="34B63D06"/>
    <w:rsid w:val="34B87A7E"/>
    <w:rsid w:val="34B97B86"/>
    <w:rsid w:val="34BB30CA"/>
    <w:rsid w:val="34BD6E42"/>
    <w:rsid w:val="34BE2568"/>
    <w:rsid w:val="34BF2BBB"/>
    <w:rsid w:val="34C06933"/>
    <w:rsid w:val="34C10EE9"/>
    <w:rsid w:val="34C15B3C"/>
    <w:rsid w:val="34C208FD"/>
    <w:rsid w:val="34C421D5"/>
    <w:rsid w:val="34C53F49"/>
    <w:rsid w:val="34C56129"/>
    <w:rsid w:val="34C602B7"/>
    <w:rsid w:val="34C91C8B"/>
    <w:rsid w:val="34CA155F"/>
    <w:rsid w:val="34CA25C5"/>
    <w:rsid w:val="34CC52D7"/>
    <w:rsid w:val="34CE1050"/>
    <w:rsid w:val="34CE2DFE"/>
    <w:rsid w:val="34D0301A"/>
    <w:rsid w:val="34D0497D"/>
    <w:rsid w:val="34D15E0D"/>
    <w:rsid w:val="34D32B0A"/>
    <w:rsid w:val="34D507EF"/>
    <w:rsid w:val="34D643A8"/>
    <w:rsid w:val="34D67F04"/>
    <w:rsid w:val="34D80120"/>
    <w:rsid w:val="34D81ECE"/>
    <w:rsid w:val="34D8459F"/>
    <w:rsid w:val="34DA12D0"/>
    <w:rsid w:val="34DA1676"/>
    <w:rsid w:val="34DA5C46"/>
    <w:rsid w:val="34DB19BE"/>
    <w:rsid w:val="34DB376C"/>
    <w:rsid w:val="34DB551B"/>
    <w:rsid w:val="34DF14AF"/>
    <w:rsid w:val="34E00D83"/>
    <w:rsid w:val="34E16FD5"/>
    <w:rsid w:val="34E268A9"/>
    <w:rsid w:val="34E70033"/>
    <w:rsid w:val="34E73EBF"/>
    <w:rsid w:val="34EA39B0"/>
    <w:rsid w:val="34EB1C02"/>
    <w:rsid w:val="34EC0B94"/>
    <w:rsid w:val="34EC7728"/>
    <w:rsid w:val="34F0546A"/>
    <w:rsid w:val="34F14D3E"/>
    <w:rsid w:val="34F34F5A"/>
    <w:rsid w:val="34F52A80"/>
    <w:rsid w:val="34F65B63"/>
    <w:rsid w:val="34F767F8"/>
    <w:rsid w:val="34F82570"/>
    <w:rsid w:val="34F860CC"/>
    <w:rsid w:val="34FA1E45"/>
    <w:rsid w:val="34FA62E8"/>
    <w:rsid w:val="34FB796B"/>
    <w:rsid w:val="34FC3E0F"/>
    <w:rsid w:val="34FD1935"/>
    <w:rsid w:val="34FE79FB"/>
    <w:rsid w:val="34FF0E8B"/>
    <w:rsid w:val="35011425"/>
    <w:rsid w:val="35026F4B"/>
    <w:rsid w:val="35040F15"/>
    <w:rsid w:val="350607E9"/>
    <w:rsid w:val="35064A4C"/>
    <w:rsid w:val="35066A3B"/>
    <w:rsid w:val="350727B3"/>
    <w:rsid w:val="35074561"/>
    <w:rsid w:val="350902DA"/>
    <w:rsid w:val="350A598E"/>
    <w:rsid w:val="350B4052"/>
    <w:rsid w:val="350B5E00"/>
    <w:rsid w:val="350B742E"/>
    <w:rsid w:val="350C1B78"/>
    <w:rsid w:val="350C3926"/>
    <w:rsid w:val="350E769E"/>
    <w:rsid w:val="350F723F"/>
    <w:rsid w:val="35101668"/>
    <w:rsid w:val="35103416"/>
    <w:rsid w:val="35156C7E"/>
    <w:rsid w:val="35164541"/>
    <w:rsid w:val="351813AB"/>
    <w:rsid w:val="351A4295"/>
    <w:rsid w:val="351A6043"/>
    <w:rsid w:val="351C000D"/>
    <w:rsid w:val="351C18C5"/>
    <w:rsid w:val="351C625F"/>
    <w:rsid w:val="351D1FD7"/>
    <w:rsid w:val="351D4414"/>
    <w:rsid w:val="351D5B33"/>
    <w:rsid w:val="351F3659"/>
    <w:rsid w:val="351F5D4F"/>
    <w:rsid w:val="35211654"/>
    <w:rsid w:val="35215623"/>
    <w:rsid w:val="3522139B"/>
    <w:rsid w:val="35227168"/>
    <w:rsid w:val="35230286"/>
    <w:rsid w:val="35245113"/>
    <w:rsid w:val="352549E8"/>
    <w:rsid w:val="35262C3A"/>
    <w:rsid w:val="352670DE"/>
    <w:rsid w:val="352754C6"/>
    <w:rsid w:val="352B6A18"/>
    <w:rsid w:val="352F7CE5"/>
    <w:rsid w:val="353115DE"/>
    <w:rsid w:val="353335A8"/>
    <w:rsid w:val="3533798B"/>
    <w:rsid w:val="353510CF"/>
    <w:rsid w:val="35386E11"/>
    <w:rsid w:val="353A4937"/>
    <w:rsid w:val="353A66E5"/>
    <w:rsid w:val="353B041A"/>
    <w:rsid w:val="353C420B"/>
    <w:rsid w:val="353C625C"/>
    <w:rsid w:val="353F3CFB"/>
    <w:rsid w:val="35410C3E"/>
    <w:rsid w:val="35441312"/>
    <w:rsid w:val="35447564"/>
    <w:rsid w:val="3546508A"/>
    <w:rsid w:val="35474341"/>
    <w:rsid w:val="35492DCC"/>
    <w:rsid w:val="354B444E"/>
    <w:rsid w:val="354C0922"/>
    <w:rsid w:val="354D466A"/>
    <w:rsid w:val="354D6418"/>
    <w:rsid w:val="354E03E2"/>
    <w:rsid w:val="3550415A"/>
    <w:rsid w:val="35505F08"/>
    <w:rsid w:val="35527ED3"/>
    <w:rsid w:val="355359F9"/>
    <w:rsid w:val="35542E3F"/>
    <w:rsid w:val="3555351F"/>
    <w:rsid w:val="355754E9"/>
    <w:rsid w:val="35577297"/>
    <w:rsid w:val="3558300F"/>
    <w:rsid w:val="355A0B35"/>
    <w:rsid w:val="355A2F26"/>
    <w:rsid w:val="355D23D3"/>
    <w:rsid w:val="355D49EF"/>
    <w:rsid w:val="355E6877"/>
    <w:rsid w:val="355F7EFA"/>
    <w:rsid w:val="356279EA"/>
    <w:rsid w:val="35633E8E"/>
    <w:rsid w:val="35635719"/>
    <w:rsid w:val="35635C3C"/>
    <w:rsid w:val="3566409A"/>
    <w:rsid w:val="3566572C"/>
    <w:rsid w:val="35675000"/>
    <w:rsid w:val="356814A4"/>
    <w:rsid w:val="35696FCA"/>
    <w:rsid w:val="356B0CB4"/>
    <w:rsid w:val="356C2617"/>
    <w:rsid w:val="356D6ABA"/>
    <w:rsid w:val="35702107"/>
    <w:rsid w:val="357065AB"/>
    <w:rsid w:val="35731BF7"/>
    <w:rsid w:val="3575596F"/>
    <w:rsid w:val="357716E7"/>
    <w:rsid w:val="357A11D7"/>
    <w:rsid w:val="357A4D33"/>
    <w:rsid w:val="357C4F4F"/>
    <w:rsid w:val="35812566"/>
    <w:rsid w:val="35814314"/>
    <w:rsid w:val="358309F1"/>
    <w:rsid w:val="35843E04"/>
    <w:rsid w:val="35845BB2"/>
    <w:rsid w:val="358636D8"/>
    <w:rsid w:val="35867372"/>
    <w:rsid w:val="35867B7C"/>
    <w:rsid w:val="358838F4"/>
    <w:rsid w:val="358C5FA8"/>
    <w:rsid w:val="358D4A67"/>
    <w:rsid w:val="358E07DF"/>
    <w:rsid w:val="358E5B04"/>
    <w:rsid w:val="358F4C83"/>
    <w:rsid w:val="358F6692"/>
    <w:rsid w:val="359009FB"/>
    <w:rsid w:val="35906305"/>
    <w:rsid w:val="359202CF"/>
    <w:rsid w:val="35942299"/>
    <w:rsid w:val="35951B6D"/>
    <w:rsid w:val="3595385E"/>
    <w:rsid w:val="35956011"/>
    <w:rsid w:val="35957DBF"/>
    <w:rsid w:val="35977693"/>
    <w:rsid w:val="359978AF"/>
    <w:rsid w:val="359A03B9"/>
    <w:rsid w:val="359B675B"/>
    <w:rsid w:val="359E01CA"/>
    <w:rsid w:val="359F0C3E"/>
    <w:rsid w:val="359F29EC"/>
    <w:rsid w:val="35A149B6"/>
    <w:rsid w:val="35A16764"/>
    <w:rsid w:val="35A3072E"/>
    <w:rsid w:val="35A3428A"/>
    <w:rsid w:val="35A42BA4"/>
    <w:rsid w:val="35A818A1"/>
    <w:rsid w:val="35A85D44"/>
    <w:rsid w:val="35A87AF3"/>
    <w:rsid w:val="35A952DD"/>
    <w:rsid w:val="35AD128C"/>
    <w:rsid w:val="35AD5109"/>
    <w:rsid w:val="35AD6EB7"/>
    <w:rsid w:val="35AE7CBF"/>
    <w:rsid w:val="35AF7A0E"/>
    <w:rsid w:val="35B069A7"/>
    <w:rsid w:val="35B24EFF"/>
    <w:rsid w:val="35B50461"/>
    <w:rsid w:val="35B5088A"/>
    <w:rsid w:val="35B5220F"/>
    <w:rsid w:val="35B54FC1"/>
    <w:rsid w:val="35B75F88"/>
    <w:rsid w:val="35B933D5"/>
    <w:rsid w:val="35B9585C"/>
    <w:rsid w:val="35BA3691"/>
    <w:rsid w:val="35BB44E8"/>
    <w:rsid w:val="35BB5A78"/>
    <w:rsid w:val="35BB76F2"/>
    <w:rsid w:val="35BC534C"/>
    <w:rsid w:val="35BE7316"/>
    <w:rsid w:val="35C116A6"/>
    <w:rsid w:val="35C15DF1"/>
    <w:rsid w:val="35C3492C"/>
    <w:rsid w:val="35C661CB"/>
    <w:rsid w:val="35C67F79"/>
    <w:rsid w:val="35C80E75"/>
    <w:rsid w:val="35C93186"/>
    <w:rsid w:val="35C97A69"/>
    <w:rsid w:val="35CA5CBB"/>
    <w:rsid w:val="35CD57AB"/>
    <w:rsid w:val="35CE6E2D"/>
    <w:rsid w:val="35CF507F"/>
    <w:rsid w:val="35D00DF7"/>
    <w:rsid w:val="35D02BA5"/>
    <w:rsid w:val="35D24B6F"/>
    <w:rsid w:val="35D32FA4"/>
    <w:rsid w:val="35D46B3A"/>
    <w:rsid w:val="35D54660"/>
    <w:rsid w:val="35D5640E"/>
    <w:rsid w:val="35D65B47"/>
    <w:rsid w:val="35D703D8"/>
    <w:rsid w:val="35DA1C76"/>
    <w:rsid w:val="35DA3A24"/>
    <w:rsid w:val="35DC779C"/>
    <w:rsid w:val="35DE2A8C"/>
    <w:rsid w:val="35E14DB3"/>
    <w:rsid w:val="35E30B2B"/>
    <w:rsid w:val="35E368FD"/>
    <w:rsid w:val="35E623C9"/>
    <w:rsid w:val="35E83F69"/>
    <w:rsid w:val="35E903AD"/>
    <w:rsid w:val="35EB3E83"/>
    <w:rsid w:val="35EB79DF"/>
    <w:rsid w:val="35EC4489"/>
    <w:rsid w:val="35ED19A9"/>
    <w:rsid w:val="35EF127D"/>
    <w:rsid w:val="35EF74CF"/>
    <w:rsid w:val="35F20D6E"/>
    <w:rsid w:val="35F40F8A"/>
    <w:rsid w:val="35F42D38"/>
    <w:rsid w:val="35F621A2"/>
    <w:rsid w:val="35F72828"/>
    <w:rsid w:val="35F745D6"/>
    <w:rsid w:val="35F9034E"/>
    <w:rsid w:val="35F91D40"/>
    <w:rsid w:val="35F920FC"/>
    <w:rsid w:val="35FA5E74"/>
    <w:rsid w:val="35FB2318"/>
    <w:rsid w:val="35FB40C6"/>
    <w:rsid w:val="35FC399A"/>
    <w:rsid w:val="35FE3505"/>
    <w:rsid w:val="35FE5964"/>
    <w:rsid w:val="35FE728D"/>
    <w:rsid w:val="35FF60D6"/>
    <w:rsid w:val="360016DD"/>
    <w:rsid w:val="36034D29"/>
    <w:rsid w:val="36050AA1"/>
    <w:rsid w:val="36054F45"/>
    <w:rsid w:val="36062A6B"/>
    <w:rsid w:val="36064819"/>
    <w:rsid w:val="36074A7F"/>
    <w:rsid w:val="36080591"/>
    <w:rsid w:val="360A255B"/>
    <w:rsid w:val="360C62D3"/>
    <w:rsid w:val="360D204B"/>
    <w:rsid w:val="360D6F99"/>
    <w:rsid w:val="360F1920"/>
    <w:rsid w:val="360F3154"/>
    <w:rsid w:val="360F36CE"/>
    <w:rsid w:val="36105698"/>
    <w:rsid w:val="36127662"/>
    <w:rsid w:val="361433DA"/>
    <w:rsid w:val="3614429B"/>
    <w:rsid w:val="36154A5C"/>
    <w:rsid w:val="3615572B"/>
    <w:rsid w:val="36176A26"/>
    <w:rsid w:val="3619279E"/>
    <w:rsid w:val="361B02C4"/>
    <w:rsid w:val="361B6516"/>
    <w:rsid w:val="361C5DEB"/>
    <w:rsid w:val="36211653"/>
    <w:rsid w:val="362178A5"/>
    <w:rsid w:val="3623361D"/>
    <w:rsid w:val="362353CB"/>
    <w:rsid w:val="36257DF1"/>
    <w:rsid w:val="36260A17"/>
    <w:rsid w:val="3627310D"/>
    <w:rsid w:val="36274EBB"/>
    <w:rsid w:val="3628478F"/>
    <w:rsid w:val="36293923"/>
    <w:rsid w:val="362A0508"/>
    <w:rsid w:val="362A1092"/>
    <w:rsid w:val="362A49AB"/>
    <w:rsid w:val="362B4280"/>
    <w:rsid w:val="362C24D2"/>
    <w:rsid w:val="362C39B2"/>
    <w:rsid w:val="362D1DA6"/>
    <w:rsid w:val="362D7FF8"/>
    <w:rsid w:val="362F1FC2"/>
    <w:rsid w:val="36301896"/>
    <w:rsid w:val="36315D3A"/>
    <w:rsid w:val="36317AE8"/>
    <w:rsid w:val="36323860"/>
    <w:rsid w:val="36341386"/>
    <w:rsid w:val="363423A1"/>
    <w:rsid w:val="36345099"/>
    <w:rsid w:val="36370E76"/>
    <w:rsid w:val="36372C24"/>
    <w:rsid w:val="363870C8"/>
    <w:rsid w:val="3639699D"/>
    <w:rsid w:val="363C34A7"/>
    <w:rsid w:val="363D46DF"/>
    <w:rsid w:val="36404CC0"/>
    <w:rsid w:val="36413AA3"/>
    <w:rsid w:val="36415851"/>
    <w:rsid w:val="36435A6D"/>
    <w:rsid w:val="36443E34"/>
    <w:rsid w:val="364517E5"/>
    <w:rsid w:val="36462E68"/>
    <w:rsid w:val="36463152"/>
    <w:rsid w:val="3647730B"/>
    <w:rsid w:val="36483084"/>
    <w:rsid w:val="36484E32"/>
    <w:rsid w:val="364A6DFC"/>
    <w:rsid w:val="364D2448"/>
    <w:rsid w:val="364D41F6"/>
    <w:rsid w:val="364D442C"/>
    <w:rsid w:val="364F4412"/>
    <w:rsid w:val="364F7F6E"/>
    <w:rsid w:val="36511F38"/>
    <w:rsid w:val="36521DA3"/>
    <w:rsid w:val="36533F02"/>
    <w:rsid w:val="365437D6"/>
    <w:rsid w:val="3656754F"/>
    <w:rsid w:val="365732C7"/>
    <w:rsid w:val="36590DED"/>
    <w:rsid w:val="365B4B65"/>
    <w:rsid w:val="365D08DD"/>
    <w:rsid w:val="365E4655"/>
    <w:rsid w:val="365E6403"/>
    <w:rsid w:val="36631C6B"/>
    <w:rsid w:val="366426B3"/>
    <w:rsid w:val="36653B43"/>
    <w:rsid w:val="36653C36"/>
    <w:rsid w:val="366559E4"/>
    <w:rsid w:val="3667175C"/>
    <w:rsid w:val="3667350A"/>
    <w:rsid w:val="36683C05"/>
    <w:rsid w:val="366854D4"/>
    <w:rsid w:val="36687282"/>
    <w:rsid w:val="366A4DA8"/>
    <w:rsid w:val="366B28CE"/>
    <w:rsid w:val="366C0B20"/>
    <w:rsid w:val="366C0E45"/>
    <w:rsid w:val="366E2AEA"/>
    <w:rsid w:val="366E3DCA"/>
    <w:rsid w:val="366F0610"/>
    <w:rsid w:val="366F23BE"/>
    <w:rsid w:val="36714388"/>
    <w:rsid w:val="36716136"/>
    <w:rsid w:val="36730100"/>
    <w:rsid w:val="367479D5"/>
    <w:rsid w:val="3676374D"/>
    <w:rsid w:val="367774C5"/>
    <w:rsid w:val="36781CEB"/>
    <w:rsid w:val="36791FB9"/>
    <w:rsid w:val="36794B8A"/>
    <w:rsid w:val="367C4ADB"/>
    <w:rsid w:val="367E0853"/>
    <w:rsid w:val="367E325A"/>
    <w:rsid w:val="367E6394"/>
    <w:rsid w:val="367E6AA5"/>
    <w:rsid w:val="367F46EA"/>
    <w:rsid w:val="367F4CF7"/>
    <w:rsid w:val="368045CB"/>
    <w:rsid w:val="36806379"/>
    <w:rsid w:val="36825C0A"/>
    <w:rsid w:val="36826596"/>
    <w:rsid w:val="36835E6A"/>
    <w:rsid w:val="3684230E"/>
    <w:rsid w:val="36857E34"/>
    <w:rsid w:val="368A369C"/>
    <w:rsid w:val="368A544A"/>
    <w:rsid w:val="368A71F8"/>
    <w:rsid w:val="368B585E"/>
    <w:rsid w:val="368E4F3A"/>
    <w:rsid w:val="368F0CB2"/>
    <w:rsid w:val="36910587"/>
    <w:rsid w:val="369167D9"/>
    <w:rsid w:val="36923549"/>
    <w:rsid w:val="369260AD"/>
    <w:rsid w:val="36962041"/>
    <w:rsid w:val="36963DEF"/>
    <w:rsid w:val="36965B9D"/>
    <w:rsid w:val="36987B67"/>
    <w:rsid w:val="369938DF"/>
    <w:rsid w:val="369D517D"/>
    <w:rsid w:val="369E0EF6"/>
    <w:rsid w:val="36A007CA"/>
    <w:rsid w:val="36A06A1C"/>
    <w:rsid w:val="36A20D4C"/>
    <w:rsid w:val="36A22794"/>
    <w:rsid w:val="36A4475E"/>
    <w:rsid w:val="36A63BA7"/>
    <w:rsid w:val="36A75FFC"/>
    <w:rsid w:val="36A858D0"/>
    <w:rsid w:val="36AA33F6"/>
    <w:rsid w:val="36AA5AEC"/>
    <w:rsid w:val="36AC3612"/>
    <w:rsid w:val="36AC53C0"/>
    <w:rsid w:val="36AF4EB1"/>
    <w:rsid w:val="36AF6C5F"/>
    <w:rsid w:val="36B349A1"/>
    <w:rsid w:val="36B43F1A"/>
    <w:rsid w:val="36B44275"/>
    <w:rsid w:val="36B64491"/>
    <w:rsid w:val="36B67FED"/>
    <w:rsid w:val="36B75FBF"/>
    <w:rsid w:val="36B97ADD"/>
    <w:rsid w:val="36BA5D2F"/>
    <w:rsid w:val="36BB1AA7"/>
    <w:rsid w:val="36BB5604"/>
    <w:rsid w:val="36BD0C45"/>
    <w:rsid w:val="36BD137C"/>
    <w:rsid w:val="36C00E6C"/>
    <w:rsid w:val="36C02C1A"/>
    <w:rsid w:val="36C26992"/>
    <w:rsid w:val="36C3270A"/>
    <w:rsid w:val="36C4095C"/>
    <w:rsid w:val="36C56482"/>
    <w:rsid w:val="36C73FA8"/>
    <w:rsid w:val="36C95800"/>
    <w:rsid w:val="36C95F72"/>
    <w:rsid w:val="36CA1CEB"/>
    <w:rsid w:val="36CA5847"/>
    <w:rsid w:val="36CB3957"/>
    <w:rsid w:val="36CC5A63"/>
    <w:rsid w:val="36CE3589"/>
    <w:rsid w:val="36D44917"/>
    <w:rsid w:val="36D52B69"/>
    <w:rsid w:val="36D554E4"/>
    <w:rsid w:val="36D6068F"/>
    <w:rsid w:val="36D641EB"/>
    <w:rsid w:val="36D729D5"/>
    <w:rsid w:val="36D861B6"/>
    <w:rsid w:val="36DA0180"/>
    <w:rsid w:val="36DA1F2E"/>
    <w:rsid w:val="36DD557A"/>
    <w:rsid w:val="36E0506A"/>
    <w:rsid w:val="36E25286"/>
    <w:rsid w:val="36E27034"/>
    <w:rsid w:val="36E44B5A"/>
    <w:rsid w:val="36E54FD9"/>
    <w:rsid w:val="36E7464B"/>
    <w:rsid w:val="36E763F9"/>
    <w:rsid w:val="36EA5EE9"/>
    <w:rsid w:val="36ED017D"/>
    <w:rsid w:val="36EE3C2B"/>
    <w:rsid w:val="36EE7787"/>
    <w:rsid w:val="36F31241"/>
    <w:rsid w:val="36F32FEF"/>
    <w:rsid w:val="36F62AE0"/>
    <w:rsid w:val="36F71FBF"/>
    <w:rsid w:val="36FA25D0"/>
    <w:rsid w:val="36FA437E"/>
    <w:rsid w:val="36FD5C1C"/>
    <w:rsid w:val="36FF1994"/>
    <w:rsid w:val="36FF3742"/>
    <w:rsid w:val="37011D34"/>
    <w:rsid w:val="37021484"/>
    <w:rsid w:val="37023232"/>
    <w:rsid w:val="37040D59"/>
    <w:rsid w:val="37054AD1"/>
    <w:rsid w:val="370676FA"/>
    <w:rsid w:val="37070849"/>
    <w:rsid w:val="37076A9B"/>
    <w:rsid w:val="370A79F5"/>
    <w:rsid w:val="370C5E5F"/>
    <w:rsid w:val="37113475"/>
    <w:rsid w:val="371371EE"/>
    <w:rsid w:val="371511B8"/>
    <w:rsid w:val="37152F66"/>
    <w:rsid w:val="3715340F"/>
    <w:rsid w:val="37166CDE"/>
    <w:rsid w:val="371A057C"/>
    <w:rsid w:val="371A67E9"/>
    <w:rsid w:val="371B2546"/>
    <w:rsid w:val="371B60A2"/>
    <w:rsid w:val="371C0798"/>
    <w:rsid w:val="371D006C"/>
    <w:rsid w:val="371D62BE"/>
    <w:rsid w:val="371F5B92"/>
    <w:rsid w:val="37225683"/>
    <w:rsid w:val="3724764D"/>
    <w:rsid w:val="37265173"/>
    <w:rsid w:val="372907BF"/>
    <w:rsid w:val="372B2789"/>
    <w:rsid w:val="372C4753"/>
    <w:rsid w:val="372C6501"/>
    <w:rsid w:val="372E04CB"/>
    <w:rsid w:val="37305FF2"/>
    <w:rsid w:val="37307DA0"/>
    <w:rsid w:val="37310A0F"/>
    <w:rsid w:val="37313B18"/>
    <w:rsid w:val="373158C6"/>
    <w:rsid w:val="37362EDC"/>
    <w:rsid w:val="37386C54"/>
    <w:rsid w:val="373A6E70"/>
    <w:rsid w:val="373B04F2"/>
    <w:rsid w:val="373B4692"/>
    <w:rsid w:val="373C01CC"/>
    <w:rsid w:val="373C4996"/>
    <w:rsid w:val="373D070E"/>
    <w:rsid w:val="373F6235"/>
    <w:rsid w:val="373F7FE3"/>
    <w:rsid w:val="3744384B"/>
    <w:rsid w:val="37473281"/>
    <w:rsid w:val="37474D66"/>
    <w:rsid w:val="37476E97"/>
    <w:rsid w:val="37490126"/>
    <w:rsid w:val="37497C6E"/>
    <w:rsid w:val="374A2CF7"/>
    <w:rsid w:val="374A3AE6"/>
    <w:rsid w:val="374B2E2B"/>
    <w:rsid w:val="374B4BD9"/>
    <w:rsid w:val="374D7F37"/>
    <w:rsid w:val="375021F0"/>
    <w:rsid w:val="37511489"/>
    <w:rsid w:val="37517D16"/>
    <w:rsid w:val="375515B4"/>
    <w:rsid w:val="37557806"/>
    <w:rsid w:val="375A12C0"/>
    <w:rsid w:val="375A306E"/>
    <w:rsid w:val="375A4E1C"/>
    <w:rsid w:val="375C0B95"/>
    <w:rsid w:val="375C4EA7"/>
    <w:rsid w:val="375D490D"/>
    <w:rsid w:val="375F3A8C"/>
    <w:rsid w:val="375F68D7"/>
    <w:rsid w:val="37607F59"/>
    <w:rsid w:val="37620175"/>
    <w:rsid w:val="37621F23"/>
    <w:rsid w:val="37623CD1"/>
    <w:rsid w:val="37633642"/>
    <w:rsid w:val="37643EED"/>
    <w:rsid w:val="37645C9B"/>
    <w:rsid w:val="37661A13"/>
    <w:rsid w:val="37667C65"/>
    <w:rsid w:val="376736AE"/>
    <w:rsid w:val="37691503"/>
    <w:rsid w:val="376B0DD8"/>
    <w:rsid w:val="376B702A"/>
    <w:rsid w:val="376C4B50"/>
    <w:rsid w:val="376D0FF4"/>
    <w:rsid w:val="376E2676"/>
    <w:rsid w:val="376E3B9D"/>
    <w:rsid w:val="37704640"/>
    <w:rsid w:val="377063EE"/>
    <w:rsid w:val="37715EA1"/>
    <w:rsid w:val="37753A04"/>
    <w:rsid w:val="37773C20"/>
    <w:rsid w:val="377759CE"/>
    <w:rsid w:val="37781747"/>
    <w:rsid w:val="377A319E"/>
    <w:rsid w:val="377C1237"/>
    <w:rsid w:val="377C2FE5"/>
    <w:rsid w:val="377C4D93"/>
    <w:rsid w:val="37824373"/>
    <w:rsid w:val="37826121"/>
    <w:rsid w:val="37832E87"/>
    <w:rsid w:val="37865C12"/>
    <w:rsid w:val="378700C7"/>
    <w:rsid w:val="37873738"/>
    <w:rsid w:val="37893954"/>
    <w:rsid w:val="378955B8"/>
    <w:rsid w:val="37895702"/>
    <w:rsid w:val="378C49F0"/>
    <w:rsid w:val="378D3F39"/>
    <w:rsid w:val="378E0F6A"/>
    <w:rsid w:val="379245B6"/>
    <w:rsid w:val="37936580"/>
    <w:rsid w:val="379522F8"/>
    <w:rsid w:val="37955E55"/>
    <w:rsid w:val="37976071"/>
    <w:rsid w:val="37985945"/>
    <w:rsid w:val="37991DE9"/>
    <w:rsid w:val="37994EFC"/>
    <w:rsid w:val="379A346B"/>
    <w:rsid w:val="379C5435"/>
    <w:rsid w:val="379F4F25"/>
    <w:rsid w:val="37A10C9D"/>
    <w:rsid w:val="37A20571"/>
    <w:rsid w:val="37A34A15"/>
    <w:rsid w:val="37A4253C"/>
    <w:rsid w:val="37A442EA"/>
    <w:rsid w:val="37A60062"/>
    <w:rsid w:val="37AB38CA"/>
    <w:rsid w:val="37AE6F16"/>
    <w:rsid w:val="37B22EAA"/>
    <w:rsid w:val="37B247C4"/>
    <w:rsid w:val="37B26A07"/>
    <w:rsid w:val="37B87D95"/>
    <w:rsid w:val="37B90C1A"/>
    <w:rsid w:val="37BA3B0D"/>
    <w:rsid w:val="37BC1633"/>
    <w:rsid w:val="37BC3018"/>
    <w:rsid w:val="37BC5AD7"/>
    <w:rsid w:val="37BC7885"/>
    <w:rsid w:val="37BD18D7"/>
    <w:rsid w:val="37BD44A8"/>
    <w:rsid w:val="37BE2D67"/>
    <w:rsid w:val="37C00785"/>
    <w:rsid w:val="37C36BD9"/>
    <w:rsid w:val="37C36E66"/>
    <w:rsid w:val="37C404E8"/>
    <w:rsid w:val="37C4673A"/>
    <w:rsid w:val="37C512C3"/>
    <w:rsid w:val="37C60704"/>
    <w:rsid w:val="37C6373D"/>
    <w:rsid w:val="37C724A8"/>
    <w:rsid w:val="37C83096"/>
    <w:rsid w:val="37C93D50"/>
    <w:rsid w:val="37CA01F4"/>
    <w:rsid w:val="37CB5D1A"/>
    <w:rsid w:val="37CD3840"/>
    <w:rsid w:val="37CF580A"/>
    <w:rsid w:val="37D03331"/>
    <w:rsid w:val="37D050DF"/>
    <w:rsid w:val="37D3697D"/>
    <w:rsid w:val="37D526F5"/>
    <w:rsid w:val="37D72911"/>
    <w:rsid w:val="37D83F93"/>
    <w:rsid w:val="37D864DF"/>
    <w:rsid w:val="37D949BA"/>
    <w:rsid w:val="37DA5F5D"/>
    <w:rsid w:val="37DC0EC1"/>
    <w:rsid w:val="37DC1CD5"/>
    <w:rsid w:val="37DE5A4E"/>
    <w:rsid w:val="37E00298"/>
    <w:rsid w:val="37E1553E"/>
    <w:rsid w:val="37E312B6"/>
    <w:rsid w:val="37E33064"/>
    <w:rsid w:val="37E34E12"/>
    <w:rsid w:val="37E56DDC"/>
    <w:rsid w:val="37E62B54"/>
    <w:rsid w:val="37E961A0"/>
    <w:rsid w:val="37EA2644"/>
    <w:rsid w:val="37EB016A"/>
    <w:rsid w:val="37EB1F18"/>
    <w:rsid w:val="37EB3CC7"/>
    <w:rsid w:val="37EB7C62"/>
    <w:rsid w:val="37ED3EE3"/>
    <w:rsid w:val="37F05781"/>
    <w:rsid w:val="37F05BF6"/>
    <w:rsid w:val="37F24828"/>
    <w:rsid w:val="37F30DCD"/>
    <w:rsid w:val="37F45271"/>
    <w:rsid w:val="37F4701F"/>
    <w:rsid w:val="37F60FE9"/>
    <w:rsid w:val="37F7266B"/>
    <w:rsid w:val="37F92887"/>
    <w:rsid w:val="37F963E3"/>
    <w:rsid w:val="37FA03AE"/>
    <w:rsid w:val="37FA1879"/>
    <w:rsid w:val="37FA215C"/>
    <w:rsid w:val="37FC2378"/>
    <w:rsid w:val="37FC4126"/>
    <w:rsid w:val="37FC5ED4"/>
    <w:rsid w:val="37FE2480"/>
    <w:rsid w:val="37FE79CA"/>
    <w:rsid w:val="37FF59C4"/>
    <w:rsid w:val="38003C16"/>
    <w:rsid w:val="3802174C"/>
    <w:rsid w:val="38033706"/>
    <w:rsid w:val="380357AD"/>
    <w:rsid w:val="38042FDA"/>
    <w:rsid w:val="38064FA4"/>
    <w:rsid w:val="380729ED"/>
    <w:rsid w:val="3809239F"/>
    <w:rsid w:val="380A136E"/>
    <w:rsid w:val="38123949"/>
    <w:rsid w:val="381256F7"/>
    <w:rsid w:val="38140676"/>
    <w:rsid w:val="38156F95"/>
    <w:rsid w:val="38165244"/>
    <w:rsid w:val="38170F5F"/>
    <w:rsid w:val="38194CD8"/>
    <w:rsid w:val="381C20D2"/>
    <w:rsid w:val="381E5E4A"/>
    <w:rsid w:val="381E7A67"/>
    <w:rsid w:val="381F1BC2"/>
    <w:rsid w:val="38206066"/>
    <w:rsid w:val="38211DDE"/>
    <w:rsid w:val="3821593A"/>
    <w:rsid w:val="38216165"/>
    <w:rsid w:val="382275F5"/>
    <w:rsid w:val="38233460"/>
    <w:rsid w:val="38283467"/>
    <w:rsid w:val="382A2A41"/>
    <w:rsid w:val="382D2531"/>
    <w:rsid w:val="382D42DF"/>
    <w:rsid w:val="383003C0"/>
    <w:rsid w:val="38327B47"/>
    <w:rsid w:val="383438BF"/>
    <w:rsid w:val="383445DB"/>
    <w:rsid w:val="3834566E"/>
    <w:rsid w:val="3837515E"/>
    <w:rsid w:val="38376F0C"/>
    <w:rsid w:val="38397128"/>
    <w:rsid w:val="383A69FC"/>
    <w:rsid w:val="383B4C4E"/>
    <w:rsid w:val="383C2774"/>
    <w:rsid w:val="383C4522"/>
    <w:rsid w:val="38402264"/>
    <w:rsid w:val="38404012"/>
    <w:rsid w:val="38415FDC"/>
    <w:rsid w:val="38417D8A"/>
    <w:rsid w:val="3842422E"/>
    <w:rsid w:val="384358B1"/>
    <w:rsid w:val="384440D0"/>
    <w:rsid w:val="38453E1F"/>
    <w:rsid w:val="38481119"/>
    <w:rsid w:val="38496AB6"/>
    <w:rsid w:val="384A1526"/>
    <w:rsid w:val="384A4E91"/>
    <w:rsid w:val="384B0C09"/>
    <w:rsid w:val="384D2BD3"/>
    <w:rsid w:val="384D672F"/>
    <w:rsid w:val="38507FCD"/>
    <w:rsid w:val="3851621F"/>
    <w:rsid w:val="385201EA"/>
    <w:rsid w:val="38521F98"/>
    <w:rsid w:val="38545D10"/>
    <w:rsid w:val="385555E4"/>
    <w:rsid w:val="38561A88"/>
    <w:rsid w:val="385775AE"/>
    <w:rsid w:val="38593621"/>
    <w:rsid w:val="385B7786"/>
    <w:rsid w:val="385C0C16"/>
    <w:rsid w:val="385E093C"/>
    <w:rsid w:val="385E6B8E"/>
    <w:rsid w:val="38606463"/>
    <w:rsid w:val="38613F89"/>
    <w:rsid w:val="3862042D"/>
    <w:rsid w:val="38621FBC"/>
    <w:rsid w:val="38624A88"/>
    <w:rsid w:val="3862667F"/>
    <w:rsid w:val="386341A5"/>
    <w:rsid w:val="38651CCB"/>
    <w:rsid w:val="38653A79"/>
    <w:rsid w:val="38657F1D"/>
    <w:rsid w:val="38673C95"/>
    <w:rsid w:val="38675A43"/>
    <w:rsid w:val="38683569"/>
    <w:rsid w:val="386C3059"/>
    <w:rsid w:val="386D6DD1"/>
    <w:rsid w:val="3870241E"/>
    <w:rsid w:val="38710670"/>
    <w:rsid w:val="38716EF5"/>
    <w:rsid w:val="38735A0D"/>
    <w:rsid w:val="38740160"/>
    <w:rsid w:val="38765C86"/>
    <w:rsid w:val="38767A34"/>
    <w:rsid w:val="387719FE"/>
    <w:rsid w:val="387737AC"/>
    <w:rsid w:val="38797524"/>
    <w:rsid w:val="387C7014"/>
    <w:rsid w:val="387D3805"/>
    <w:rsid w:val="387E0FDF"/>
    <w:rsid w:val="38804D57"/>
    <w:rsid w:val="38836992"/>
    <w:rsid w:val="3885236D"/>
    <w:rsid w:val="388529F3"/>
    <w:rsid w:val="3885411B"/>
    <w:rsid w:val="388760E5"/>
    <w:rsid w:val="38877E93"/>
    <w:rsid w:val="388859B9"/>
    <w:rsid w:val="388A3C94"/>
    <w:rsid w:val="388F0AF6"/>
    <w:rsid w:val="388F6D48"/>
    <w:rsid w:val="3891486E"/>
    <w:rsid w:val="38936487"/>
    <w:rsid w:val="3894435E"/>
    <w:rsid w:val="38947917"/>
    <w:rsid w:val="389B56ED"/>
    <w:rsid w:val="389C3213"/>
    <w:rsid w:val="389C60A9"/>
    <w:rsid w:val="389D0C7A"/>
    <w:rsid w:val="389E342F"/>
    <w:rsid w:val="389E6F8B"/>
    <w:rsid w:val="38A02D03"/>
    <w:rsid w:val="38A10829"/>
    <w:rsid w:val="38A30A45"/>
    <w:rsid w:val="38A345A1"/>
    <w:rsid w:val="38A35F7C"/>
    <w:rsid w:val="38A4740C"/>
    <w:rsid w:val="38A547BD"/>
    <w:rsid w:val="38A8605B"/>
    <w:rsid w:val="38AA5930"/>
    <w:rsid w:val="38AD5420"/>
    <w:rsid w:val="38B04943"/>
    <w:rsid w:val="38B16CBE"/>
    <w:rsid w:val="38B302F9"/>
    <w:rsid w:val="38B30C88"/>
    <w:rsid w:val="38B36EDA"/>
    <w:rsid w:val="38B4055C"/>
    <w:rsid w:val="38B44A00"/>
    <w:rsid w:val="38B642D4"/>
    <w:rsid w:val="38B76C5D"/>
    <w:rsid w:val="38B86BCD"/>
    <w:rsid w:val="38B90269"/>
    <w:rsid w:val="38B95946"/>
    <w:rsid w:val="38B95B73"/>
    <w:rsid w:val="38BD5663"/>
    <w:rsid w:val="38BE13DB"/>
    <w:rsid w:val="38BF1443"/>
    <w:rsid w:val="38C033A5"/>
    <w:rsid w:val="38C22C79"/>
    <w:rsid w:val="38C27DC4"/>
    <w:rsid w:val="38C31254"/>
    <w:rsid w:val="38C34C43"/>
    <w:rsid w:val="38C56C0D"/>
    <w:rsid w:val="38C8225A"/>
    <w:rsid w:val="38CB30C3"/>
    <w:rsid w:val="38CC58A6"/>
    <w:rsid w:val="38CE5AC2"/>
    <w:rsid w:val="38CE7AA8"/>
    <w:rsid w:val="38CF35E8"/>
    <w:rsid w:val="38CF5396"/>
    <w:rsid w:val="38CF5C07"/>
    <w:rsid w:val="38D1110E"/>
    <w:rsid w:val="38D26C34"/>
    <w:rsid w:val="38D40BFF"/>
    <w:rsid w:val="38D46E50"/>
    <w:rsid w:val="38D64977"/>
    <w:rsid w:val="38D8249D"/>
    <w:rsid w:val="38D96215"/>
    <w:rsid w:val="38DA0C1B"/>
    <w:rsid w:val="38DB1F8D"/>
    <w:rsid w:val="38DD3F57"/>
    <w:rsid w:val="38DE382B"/>
    <w:rsid w:val="38DE55D9"/>
    <w:rsid w:val="38E01351"/>
    <w:rsid w:val="38E452E6"/>
    <w:rsid w:val="38E5105E"/>
    <w:rsid w:val="38E73434"/>
    <w:rsid w:val="38E76B84"/>
    <w:rsid w:val="38E928FC"/>
    <w:rsid w:val="38E946AA"/>
    <w:rsid w:val="38EA21D0"/>
    <w:rsid w:val="38EA6674"/>
    <w:rsid w:val="38ED2171"/>
    <w:rsid w:val="38EE7F12"/>
    <w:rsid w:val="38F11C25"/>
    <w:rsid w:val="38F12CD3"/>
    <w:rsid w:val="38F30332"/>
    <w:rsid w:val="38F44DFD"/>
    <w:rsid w:val="38F66DC7"/>
    <w:rsid w:val="38F72AEE"/>
    <w:rsid w:val="38F848ED"/>
    <w:rsid w:val="38F90665"/>
    <w:rsid w:val="38F92413"/>
    <w:rsid w:val="38F94775"/>
    <w:rsid w:val="38FB1854"/>
    <w:rsid w:val="38FB43DD"/>
    <w:rsid w:val="38FD1F03"/>
    <w:rsid w:val="38FE5C7B"/>
    <w:rsid w:val="38FE7A29"/>
    <w:rsid w:val="38FF14A6"/>
    <w:rsid w:val="39002936"/>
    <w:rsid w:val="39002DFE"/>
    <w:rsid w:val="39010314"/>
    <w:rsid w:val="39012206"/>
    <w:rsid w:val="39013DC6"/>
    <w:rsid w:val="39025256"/>
    <w:rsid w:val="3902576C"/>
    <w:rsid w:val="39033292"/>
    <w:rsid w:val="390414E4"/>
    <w:rsid w:val="3905525C"/>
    <w:rsid w:val="3905700A"/>
    <w:rsid w:val="39074B30"/>
    <w:rsid w:val="390908A8"/>
    <w:rsid w:val="39092558"/>
    <w:rsid w:val="39095129"/>
    <w:rsid w:val="390A2872"/>
    <w:rsid w:val="390B7A49"/>
    <w:rsid w:val="39113C01"/>
    <w:rsid w:val="39131727"/>
    <w:rsid w:val="3914724D"/>
    <w:rsid w:val="3914766B"/>
    <w:rsid w:val="39161217"/>
    <w:rsid w:val="39162FC5"/>
    <w:rsid w:val="39184F8F"/>
    <w:rsid w:val="39186D3D"/>
    <w:rsid w:val="39194863"/>
    <w:rsid w:val="391A2AB5"/>
    <w:rsid w:val="391B05DB"/>
    <w:rsid w:val="391B4A7F"/>
    <w:rsid w:val="391B682D"/>
    <w:rsid w:val="391B753E"/>
    <w:rsid w:val="391D07F7"/>
    <w:rsid w:val="391F631E"/>
    <w:rsid w:val="39216370"/>
    <w:rsid w:val="3922196A"/>
    <w:rsid w:val="39225E0E"/>
    <w:rsid w:val="39230DE1"/>
    <w:rsid w:val="39241B86"/>
    <w:rsid w:val="39243934"/>
    <w:rsid w:val="3925145A"/>
    <w:rsid w:val="392576AC"/>
    <w:rsid w:val="39264651"/>
    <w:rsid w:val="39273424"/>
    <w:rsid w:val="39286212"/>
    <w:rsid w:val="39291B42"/>
    <w:rsid w:val="39292CF8"/>
    <w:rsid w:val="3929719C"/>
    <w:rsid w:val="392971ED"/>
    <w:rsid w:val="392C4597"/>
    <w:rsid w:val="392E47B3"/>
    <w:rsid w:val="3930052B"/>
    <w:rsid w:val="39317DFF"/>
    <w:rsid w:val="39325651"/>
    <w:rsid w:val="39335925"/>
    <w:rsid w:val="393500E5"/>
    <w:rsid w:val="39355B41"/>
    <w:rsid w:val="39365415"/>
    <w:rsid w:val="393873DF"/>
    <w:rsid w:val="39395B1F"/>
    <w:rsid w:val="393A4F06"/>
    <w:rsid w:val="393A6BDC"/>
    <w:rsid w:val="393C6877"/>
    <w:rsid w:val="393D0552"/>
    <w:rsid w:val="393D67A4"/>
    <w:rsid w:val="393E0C76"/>
    <w:rsid w:val="39406294"/>
    <w:rsid w:val="3942200C"/>
    <w:rsid w:val="39445D84"/>
    <w:rsid w:val="39447B32"/>
    <w:rsid w:val="3945106A"/>
    <w:rsid w:val="394915ED"/>
    <w:rsid w:val="3949381E"/>
    <w:rsid w:val="394C4C39"/>
    <w:rsid w:val="394E6C03"/>
    <w:rsid w:val="3950297B"/>
    <w:rsid w:val="3951224F"/>
    <w:rsid w:val="39513FFD"/>
    <w:rsid w:val="395140C2"/>
    <w:rsid w:val="39515D96"/>
    <w:rsid w:val="39557F91"/>
    <w:rsid w:val="39567866"/>
    <w:rsid w:val="3958538C"/>
    <w:rsid w:val="395A55A8"/>
    <w:rsid w:val="395A7356"/>
    <w:rsid w:val="395B30CE"/>
    <w:rsid w:val="395B4E7C"/>
    <w:rsid w:val="395C1320"/>
    <w:rsid w:val="395C3290"/>
    <w:rsid w:val="395D6E46"/>
    <w:rsid w:val="395F2BBE"/>
    <w:rsid w:val="39602492"/>
    <w:rsid w:val="39605C72"/>
    <w:rsid w:val="3962445C"/>
    <w:rsid w:val="39673821"/>
    <w:rsid w:val="39677CC5"/>
    <w:rsid w:val="39693A3D"/>
    <w:rsid w:val="39697599"/>
    <w:rsid w:val="396B1563"/>
    <w:rsid w:val="396C7089"/>
    <w:rsid w:val="396E1053"/>
    <w:rsid w:val="396E2E01"/>
    <w:rsid w:val="396E4BAF"/>
    <w:rsid w:val="39706B79"/>
    <w:rsid w:val="3971644D"/>
    <w:rsid w:val="397228F1"/>
    <w:rsid w:val="39730417"/>
    <w:rsid w:val="397321C6"/>
    <w:rsid w:val="39753B47"/>
    <w:rsid w:val="39761CC4"/>
    <w:rsid w:val="39763A64"/>
    <w:rsid w:val="39777F08"/>
    <w:rsid w:val="39785A2E"/>
    <w:rsid w:val="397877DC"/>
    <w:rsid w:val="397A17A6"/>
    <w:rsid w:val="397A79F8"/>
    <w:rsid w:val="397D1296"/>
    <w:rsid w:val="397F11FB"/>
    <w:rsid w:val="397F6DBC"/>
    <w:rsid w:val="398443D3"/>
    <w:rsid w:val="39861EF9"/>
    <w:rsid w:val="39875C71"/>
    <w:rsid w:val="39897A4F"/>
    <w:rsid w:val="398E34A3"/>
    <w:rsid w:val="39904B26"/>
    <w:rsid w:val="39930ABA"/>
    <w:rsid w:val="39932868"/>
    <w:rsid w:val="39965EB4"/>
    <w:rsid w:val="39987E7E"/>
    <w:rsid w:val="399B34CA"/>
    <w:rsid w:val="399C171C"/>
    <w:rsid w:val="399D7242"/>
    <w:rsid w:val="39A03105"/>
    <w:rsid w:val="39A46823"/>
    <w:rsid w:val="39A64349"/>
    <w:rsid w:val="39A71E6F"/>
    <w:rsid w:val="39A93E39"/>
    <w:rsid w:val="39AD1B7B"/>
    <w:rsid w:val="39AD2B38"/>
    <w:rsid w:val="39AE1450"/>
    <w:rsid w:val="39B0341A"/>
    <w:rsid w:val="39B06F76"/>
    <w:rsid w:val="39B36A66"/>
    <w:rsid w:val="39B47E3A"/>
    <w:rsid w:val="39B527DE"/>
    <w:rsid w:val="39B60304"/>
    <w:rsid w:val="39B747A8"/>
    <w:rsid w:val="39B76556"/>
    <w:rsid w:val="39BA4298"/>
    <w:rsid w:val="39BA7DF4"/>
    <w:rsid w:val="39BD78E5"/>
    <w:rsid w:val="39BE5B37"/>
    <w:rsid w:val="39BF365D"/>
    <w:rsid w:val="39BF540B"/>
    <w:rsid w:val="39C3314D"/>
    <w:rsid w:val="39C762B0"/>
    <w:rsid w:val="39CA3E38"/>
    <w:rsid w:val="39CB0253"/>
    <w:rsid w:val="39CB2D91"/>
    <w:rsid w:val="39CB3DB0"/>
    <w:rsid w:val="39CC76A4"/>
    <w:rsid w:val="39CD19E3"/>
    <w:rsid w:val="39CD3FCC"/>
    <w:rsid w:val="39CD5569"/>
    <w:rsid w:val="39CE1AF2"/>
    <w:rsid w:val="39CE38A0"/>
    <w:rsid w:val="39CF5D1F"/>
    <w:rsid w:val="39D07618"/>
    <w:rsid w:val="39D37108"/>
    <w:rsid w:val="39D4535A"/>
    <w:rsid w:val="39D61D44"/>
    <w:rsid w:val="39D64915"/>
    <w:rsid w:val="39D709A6"/>
    <w:rsid w:val="39D864CC"/>
    <w:rsid w:val="39D92970"/>
    <w:rsid w:val="39DA3296"/>
    <w:rsid w:val="39DB50AA"/>
    <w:rsid w:val="39DF3CFF"/>
    <w:rsid w:val="39DF5AAD"/>
    <w:rsid w:val="39E3559D"/>
    <w:rsid w:val="39E3734B"/>
    <w:rsid w:val="39E430C3"/>
    <w:rsid w:val="39E44E71"/>
    <w:rsid w:val="39E60BE9"/>
    <w:rsid w:val="39E84962"/>
    <w:rsid w:val="39E86D2A"/>
    <w:rsid w:val="39E90113"/>
    <w:rsid w:val="39E906DA"/>
    <w:rsid w:val="39EB26A4"/>
    <w:rsid w:val="39EB421B"/>
    <w:rsid w:val="39EB6200"/>
    <w:rsid w:val="39EC65AC"/>
    <w:rsid w:val="39ED1F78"/>
    <w:rsid w:val="39F01A68"/>
    <w:rsid w:val="39F03816"/>
    <w:rsid w:val="39F07CBA"/>
    <w:rsid w:val="39F46A0E"/>
    <w:rsid w:val="39F5707E"/>
    <w:rsid w:val="39F71049"/>
    <w:rsid w:val="39F72DF7"/>
    <w:rsid w:val="39F74BA5"/>
    <w:rsid w:val="39F7538F"/>
    <w:rsid w:val="39F8074B"/>
    <w:rsid w:val="39F81012"/>
    <w:rsid w:val="39FB069B"/>
    <w:rsid w:val="39FC21BB"/>
    <w:rsid w:val="39FD5F33"/>
    <w:rsid w:val="39FE4185"/>
    <w:rsid w:val="3A013C75"/>
    <w:rsid w:val="3A045513"/>
    <w:rsid w:val="3A053765"/>
    <w:rsid w:val="3A0D261A"/>
    <w:rsid w:val="3A0F6392"/>
    <w:rsid w:val="3A10210A"/>
    <w:rsid w:val="3A1439A9"/>
    <w:rsid w:val="3A145757"/>
    <w:rsid w:val="3A1514CF"/>
    <w:rsid w:val="3A173238"/>
    <w:rsid w:val="3A176FF5"/>
    <w:rsid w:val="3A184B1B"/>
    <w:rsid w:val="3A190FBF"/>
    <w:rsid w:val="3A1A0893"/>
    <w:rsid w:val="3A1A1B12"/>
    <w:rsid w:val="3A1C0AAF"/>
    <w:rsid w:val="3A1E0383"/>
    <w:rsid w:val="3A1E65D5"/>
    <w:rsid w:val="3A1F19CA"/>
    <w:rsid w:val="3A1F234D"/>
    <w:rsid w:val="3A1F40FB"/>
    <w:rsid w:val="3A211C22"/>
    <w:rsid w:val="3A217E73"/>
    <w:rsid w:val="3A233BEC"/>
    <w:rsid w:val="3A2443AC"/>
    <w:rsid w:val="3A2636DC"/>
    <w:rsid w:val="3A26548A"/>
    <w:rsid w:val="3A2A31CC"/>
    <w:rsid w:val="3A2B0CF2"/>
    <w:rsid w:val="3A2B2111"/>
    <w:rsid w:val="3A2B6F44"/>
    <w:rsid w:val="3A2C3249"/>
    <w:rsid w:val="3A2D4A6A"/>
    <w:rsid w:val="3A2D6818"/>
    <w:rsid w:val="3A2F07E2"/>
    <w:rsid w:val="3A325BDD"/>
    <w:rsid w:val="3A3556CD"/>
    <w:rsid w:val="3A372F4A"/>
    <w:rsid w:val="3A377C51"/>
    <w:rsid w:val="3A3A7D13"/>
    <w:rsid w:val="3A3B7187"/>
    <w:rsid w:val="3A3C2633"/>
    <w:rsid w:val="3A3C6A5B"/>
    <w:rsid w:val="3A3E27D3"/>
    <w:rsid w:val="3A3F02FA"/>
    <w:rsid w:val="3A3F654C"/>
    <w:rsid w:val="3A40479E"/>
    <w:rsid w:val="3A410516"/>
    <w:rsid w:val="3A424D64"/>
    <w:rsid w:val="3A43428E"/>
    <w:rsid w:val="3A437DEA"/>
    <w:rsid w:val="3A443B62"/>
    <w:rsid w:val="3A444744"/>
    <w:rsid w:val="3A4536E5"/>
    <w:rsid w:val="3A4678DA"/>
    <w:rsid w:val="3A4818A4"/>
    <w:rsid w:val="3A485400"/>
    <w:rsid w:val="3A4934F6"/>
    <w:rsid w:val="3A4A561C"/>
    <w:rsid w:val="3A4B3142"/>
    <w:rsid w:val="3A4B4EF0"/>
    <w:rsid w:val="3A4C0EE3"/>
    <w:rsid w:val="3A4D2A17"/>
    <w:rsid w:val="3A4F2C33"/>
    <w:rsid w:val="3A501F38"/>
    <w:rsid w:val="3A5244D1"/>
    <w:rsid w:val="3A5308B9"/>
    <w:rsid w:val="3A543DA5"/>
    <w:rsid w:val="3A555D6F"/>
    <w:rsid w:val="3A5622C7"/>
    <w:rsid w:val="3A5A5133"/>
    <w:rsid w:val="3A5C534F"/>
    <w:rsid w:val="3A5C70FE"/>
    <w:rsid w:val="3A612EBD"/>
    <w:rsid w:val="3A6164C2"/>
    <w:rsid w:val="3A63048C"/>
    <w:rsid w:val="3A63223A"/>
    <w:rsid w:val="3A6366DE"/>
    <w:rsid w:val="3A661D2A"/>
    <w:rsid w:val="3A663AD8"/>
    <w:rsid w:val="3A66415E"/>
    <w:rsid w:val="3A680E3F"/>
    <w:rsid w:val="3A68164F"/>
    <w:rsid w:val="3A686949"/>
    <w:rsid w:val="3A686A7E"/>
    <w:rsid w:val="3A695377"/>
    <w:rsid w:val="3A6B7341"/>
    <w:rsid w:val="3A6C423E"/>
    <w:rsid w:val="3A6D4E67"/>
    <w:rsid w:val="3A6E28F0"/>
    <w:rsid w:val="3A704957"/>
    <w:rsid w:val="3A706705"/>
    <w:rsid w:val="3A7252D2"/>
    <w:rsid w:val="3A726921"/>
    <w:rsid w:val="3A742699"/>
    <w:rsid w:val="3A744447"/>
    <w:rsid w:val="3A766411"/>
    <w:rsid w:val="3A7750E3"/>
    <w:rsid w:val="3A777A93"/>
    <w:rsid w:val="3A797CAF"/>
    <w:rsid w:val="3A7C32FC"/>
    <w:rsid w:val="3A7D77A0"/>
    <w:rsid w:val="3A80103E"/>
    <w:rsid w:val="3A804B9A"/>
    <w:rsid w:val="3A8476E7"/>
    <w:rsid w:val="3A850402"/>
    <w:rsid w:val="3A865F28"/>
    <w:rsid w:val="3A872856"/>
    <w:rsid w:val="3A8A3559"/>
    <w:rsid w:val="3A8A5A19"/>
    <w:rsid w:val="3A8A77C7"/>
    <w:rsid w:val="3A8C79E3"/>
    <w:rsid w:val="3A8D5509"/>
    <w:rsid w:val="3A8D72B7"/>
    <w:rsid w:val="3A8F302F"/>
    <w:rsid w:val="3A8F74D3"/>
    <w:rsid w:val="3A905C8A"/>
    <w:rsid w:val="3A9133E3"/>
    <w:rsid w:val="3A920D71"/>
    <w:rsid w:val="3A9248CD"/>
    <w:rsid w:val="3A940645"/>
    <w:rsid w:val="3A944AE9"/>
    <w:rsid w:val="3A95616C"/>
    <w:rsid w:val="3A960861"/>
    <w:rsid w:val="3A9643BE"/>
    <w:rsid w:val="3A971EE4"/>
    <w:rsid w:val="3A995C5C"/>
    <w:rsid w:val="3A9B7C26"/>
    <w:rsid w:val="3A9C399E"/>
    <w:rsid w:val="3A9E14C4"/>
    <w:rsid w:val="3AA0523C"/>
    <w:rsid w:val="3AA0577F"/>
    <w:rsid w:val="3AA12D62"/>
    <w:rsid w:val="3AA27206"/>
    <w:rsid w:val="3AA34100"/>
    <w:rsid w:val="3AA54601"/>
    <w:rsid w:val="3AA60379"/>
    <w:rsid w:val="3AAA60BB"/>
    <w:rsid w:val="3AAC1E33"/>
    <w:rsid w:val="3AAD1707"/>
    <w:rsid w:val="3AAD5BAB"/>
    <w:rsid w:val="3AAF36D1"/>
    <w:rsid w:val="3AB24F6F"/>
    <w:rsid w:val="3AB331C1"/>
    <w:rsid w:val="3AB42A96"/>
    <w:rsid w:val="3AB46F3A"/>
    <w:rsid w:val="3AB57C56"/>
    <w:rsid w:val="3AB64A60"/>
    <w:rsid w:val="3AB7306C"/>
    <w:rsid w:val="3AB807D8"/>
    <w:rsid w:val="3AB94550"/>
    <w:rsid w:val="3AB962FE"/>
    <w:rsid w:val="3ABB3E24"/>
    <w:rsid w:val="3ABC7B9C"/>
    <w:rsid w:val="3ABE56C2"/>
    <w:rsid w:val="3AC151B3"/>
    <w:rsid w:val="3AC16F61"/>
    <w:rsid w:val="3AC30F2B"/>
    <w:rsid w:val="3AC52EF5"/>
    <w:rsid w:val="3AC727C9"/>
    <w:rsid w:val="3AC76C6D"/>
    <w:rsid w:val="3AC802EF"/>
    <w:rsid w:val="3AC84793"/>
    <w:rsid w:val="3AC86541"/>
    <w:rsid w:val="3ACC5EDD"/>
    <w:rsid w:val="3ACC6031"/>
    <w:rsid w:val="3ACC7DDF"/>
    <w:rsid w:val="3ACD1DA9"/>
    <w:rsid w:val="3ACD3B57"/>
    <w:rsid w:val="3ACD736D"/>
    <w:rsid w:val="3ACE07FD"/>
    <w:rsid w:val="3ACF167E"/>
    <w:rsid w:val="3ACF78CF"/>
    <w:rsid w:val="3AD1189A"/>
    <w:rsid w:val="3AD153F6"/>
    <w:rsid w:val="3AD273C0"/>
    <w:rsid w:val="3AD35612"/>
    <w:rsid w:val="3AD3639A"/>
    <w:rsid w:val="3AD4138A"/>
    <w:rsid w:val="3AD9074E"/>
    <w:rsid w:val="3AD924FC"/>
    <w:rsid w:val="3ADB2718"/>
    <w:rsid w:val="3ADB40F3"/>
    <w:rsid w:val="3ADB6274"/>
    <w:rsid w:val="3ADC2868"/>
    <w:rsid w:val="3ADD1FEC"/>
    <w:rsid w:val="3ADE7B13"/>
    <w:rsid w:val="3AE0388B"/>
    <w:rsid w:val="3AE07D2F"/>
    <w:rsid w:val="3AE113B1"/>
    <w:rsid w:val="3AE25855"/>
    <w:rsid w:val="3AE27603"/>
    <w:rsid w:val="3AE570F3"/>
    <w:rsid w:val="3AE72AE5"/>
    <w:rsid w:val="3AE8273F"/>
    <w:rsid w:val="3AED3D86"/>
    <w:rsid w:val="3AED5FA8"/>
    <w:rsid w:val="3AEE41FA"/>
    <w:rsid w:val="3AEF1D20"/>
    <w:rsid w:val="3AEF7F72"/>
    <w:rsid w:val="3AF13B97"/>
    <w:rsid w:val="3AF15A98"/>
    <w:rsid w:val="3AF37A62"/>
    <w:rsid w:val="3AF439F8"/>
    <w:rsid w:val="3AF45588"/>
    <w:rsid w:val="3AF47336"/>
    <w:rsid w:val="3AF61300"/>
    <w:rsid w:val="3AF630AE"/>
    <w:rsid w:val="3AF70BD4"/>
    <w:rsid w:val="3AF9494C"/>
    <w:rsid w:val="3AFD422F"/>
    <w:rsid w:val="3AFD443D"/>
    <w:rsid w:val="3AFE01B5"/>
    <w:rsid w:val="3B00217F"/>
    <w:rsid w:val="3B005BA8"/>
    <w:rsid w:val="3B005CDB"/>
    <w:rsid w:val="3B023801"/>
    <w:rsid w:val="3B027CA5"/>
    <w:rsid w:val="3B0357CB"/>
    <w:rsid w:val="3B051543"/>
    <w:rsid w:val="3B0532F1"/>
    <w:rsid w:val="3B077069"/>
    <w:rsid w:val="3B084B8F"/>
    <w:rsid w:val="3B0949EF"/>
    <w:rsid w:val="3B0A4DAB"/>
    <w:rsid w:val="3B0C0B24"/>
    <w:rsid w:val="3B0C4680"/>
    <w:rsid w:val="3B0D21A6"/>
    <w:rsid w:val="3B0E664A"/>
    <w:rsid w:val="3B0F4170"/>
    <w:rsid w:val="3B0F5F1E"/>
    <w:rsid w:val="3B111C96"/>
    <w:rsid w:val="3B11613A"/>
    <w:rsid w:val="3B135A0E"/>
    <w:rsid w:val="3B141786"/>
    <w:rsid w:val="3B143534"/>
    <w:rsid w:val="3B157549"/>
    <w:rsid w:val="3B163750"/>
    <w:rsid w:val="3B1654FE"/>
    <w:rsid w:val="3B1672AC"/>
    <w:rsid w:val="3B1C0294"/>
    <w:rsid w:val="3B1D4ADF"/>
    <w:rsid w:val="3B1E43B3"/>
    <w:rsid w:val="3B1F7721"/>
    <w:rsid w:val="3B201ED9"/>
    <w:rsid w:val="3B2208D8"/>
    <w:rsid w:val="3B223EA3"/>
    <w:rsid w:val="3B225C51"/>
    <w:rsid w:val="3B251BE5"/>
    <w:rsid w:val="3B253993"/>
    <w:rsid w:val="3B273268"/>
    <w:rsid w:val="3B293484"/>
    <w:rsid w:val="3B2A2D58"/>
    <w:rsid w:val="3B2A71FC"/>
    <w:rsid w:val="3B2B567D"/>
    <w:rsid w:val="3B2C087E"/>
    <w:rsid w:val="3B304812"/>
    <w:rsid w:val="3B3140E6"/>
    <w:rsid w:val="3B331C0C"/>
    <w:rsid w:val="3B334A39"/>
    <w:rsid w:val="3B337E5E"/>
    <w:rsid w:val="3B343BD6"/>
    <w:rsid w:val="3B3479AB"/>
    <w:rsid w:val="3B3763D1"/>
    <w:rsid w:val="3B385475"/>
    <w:rsid w:val="3B3911ED"/>
    <w:rsid w:val="3B3B4F65"/>
    <w:rsid w:val="3B3B6D13"/>
    <w:rsid w:val="3B3D0CDD"/>
    <w:rsid w:val="3B3D2A8B"/>
    <w:rsid w:val="3B3E0A5D"/>
    <w:rsid w:val="3B3F2CA7"/>
    <w:rsid w:val="3B410B1F"/>
    <w:rsid w:val="3B417D02"/>
    <w:rsid w:val="3B424545"/>
    <w:rsid w:val="3B44206B"/>
    <w:rsid w:val="3B491430"/>
    <w:rsid w:val="3B4958D4"/>
    <w:rsid w:val="3B497682"/>
    <w:rsid w:val="3B4A51A8"/>
    <w:rsid w:val="3B4E6A46"/>
    <w:rsid w:val="3B4F27BE"/>
    <w:rsid w:val="3B506C62"/>
    <w:rsid w:val="3B53405D"/>
    <w:rsid w:val="3B547DD5"/>
    <w:rsid w:val="3B585B17"/>
    <w:rsid w:val="3B5878C5"/>
    <w:rsid w:val="3B5B5607"/>
    <w:rsid w:val="3B602C1D"/>
    <w:rsid w:val="3B605538"/>
    <w:rsid w:val="3B60677A"/>
    <w:rsid w:val="3B627E58"/>
    <w:rsid w:val="3B64626A"/>
    <w:rsid w:val="3B651FE2"/>
    <w:rsid w:val="3B673FAC"/>
    <w:rsid w:val="3B675D5A"/>
    <w:rsid w:val="3B677B08"/>
    <w:rsid w:val="3B691AD2"/>
    <w:rsid w:val="3B693880"/>
    <w:rsid w:val="3B6A75F8"/>
    <w:rsid w:val="3B6B584A"/>
    <w:rsid w:val="3B6C15C2"/>
    <w:rsid w:val="3B6E533A"/>
    <w:rsid w:val="3B6E70E8"/>
    <w:rsid w:val="3B6F4C0F"/>
    <w:rsid w:val="3B702E61"/>
    <w:rsid w:val="3B710987"/>
    <w:rsid w:val="3B712735"/>
    <w:rsid w:val="3B716BD9"/>
    <w:rsid w:val="3B732951"/>
    <w:rsid w:val="3B7442DC"/>
    <w:rsid w:val="3B781D15"/>
    <w:rsid w:val="3B7837BF"/>
    <w:rsid w:val="3B783AC3"/>
    <w:rsid w:val="3B7A0CB0"/>
    <w:rsid w:val="3B7A3CDF"/>
    <w:rsid w:val="3B7A66DC"/>
    <w:rsid w:val="3B7B35B3"/>
    <w:rsid w:val="3B7D557D"/>
    <w:rsid w:val="3B7F30A4"/>
    <w:rsid w:val="3B806E1C"/>
    <w:rsid w:val="3B841B0F"/>
    <w:rsid w:val="3B84690C"/>
    <w:rsid w:val="3B860E72"/>
    <w:rsid w:val="3B871F58"/>
    <w:rsid w:val="3B89198B"/>
    <w:rsid w:val="3B892174"/>
    <w:rsid w:val="3B895CD0"/>
    <w:rsid w:val="3B8A37F6"/>
    <w:rsid w:val="3B8C57C0"/>
    <w:rsid w:val="3B8C756F"/>
    <w:rsid w:val="3B8E1539"/>
    <w:rsid w:val="3B8F6853"/>
    <w:rsid w:val="3B9052B1"/>
    <w:rsid w:val="3B90705F"/>
    <w:rsid w:val="3B934DA1"/>
    <w:rsid w:val="3B936B4F"/>
    <w:rsid w:val="3B950B19"/>
    <w:rsid w:val="3B9603ED"/>
    <w:rsid w:val="3B974891"/>
    <w:rsid w:val="3B9A1C8B"/>
    <w:rsid w:val="3B9C1EA7"/>
    <w:rsid w:val="3B9C3C56"/>
    <w:rsid w:val="3B9D352A"/>
    <w:rsid w:val="3B9D5C20"/>
    <w:rsid w:val="3B9D79CE"/>
    <w:rsid w:val="3B9F153B"/>
    <w:rsid w:val="3BA1126C"/>
    <w:rsid w:val="3BA174BE"/>
    <w:rsid w:val="3BA23236"/>
    <w:rsid w:val="3BA42B0A"/>
    <w:rsid w:val="3BA50630"/>
    <w:rsid w:val="3BA7084C"/>
    <w:rsid w:val="3BA725FA"/>
    <w:rsid w:val="3BA90120"/>
    <w:rsid w:val="3BA96372"/>
    <w:rsid w:val="3BAA3A7D"/>
    <w:rsid w:val="3BAC0F6E"/>
    <w:rsid w:val="3BAC19BF"/>
    <w:rsid w:val="3BAC5E63"/>
    <w:rsid w:val="3BAD6C67"/>
    <w:rsid w:val="3BAE1BDB"/>
    <w:rsid w:val="3BAE3989"/>
    <w:rsid w:val="3BAE5737"/>
    <w:rsid w:val="3BB05953"/>
    <w:rsid w:val="3BB07701"/>
    <w:rsid w:val="3BB227C9"/>
    <w:rsid w:val="3BB23479"/>
    <w:rsid w:val="3BB371F1"/>
    <w:rsid w:val="3BB56AC5"/>
    <w:rsid w:val="3BB6283D"/>
    <w:rsid w:val="3BB80364"/>
    <w:rsid w:val="3BBA232E"/>
    <w:rsid w:val="3BBA40DC"/>
    <w:rsid w:val="3BBB1019"/>
    <w:rsid w:val="3BBC42F8"/>
    <w:rsid w:val="3BBC60A6"/>
    <w:rsid w:val="3BBD3BCC"/>
    <w:rsid w:val="3BBF16F2"/>
    <w:rsid w:val="3BBF4813"/>
    <w:rsid w:val="3BBF5B96"/>
    <w:rsid w:val="3BC211E2"/>
    <w:rsid w:val="3BC27434"/>
    <w:rsid w:val="3BC649D4"/>
    <w:rsid w:val="3BC66F24"/>
    <w:rsid w:val="3BC74A4B"/>
    <w:rsid w:val="3BC75B75"/>
    <w:rsid w:val="3BC907C3"/>
    <w:rsid w:val="3BC92571"/>
    <w:rsid w:val="3BC96A15"/>
    <w:rsid w:val="3BCC2061"/>
    <w:rsid w:val="3BCD02B3"/>
    <w:rsid w:val="3BCE5DD9"/>
    <w:rsid w:val="3BD01B51"/>
    <w:rsid w:val="3BD038FF"/>
    <w:rsid w:val="3BD17677"/>
    <w:rsid w:val="3BD262A4"/>
    <w:rsid w:val="3BD50179"/>
    <w:rsid w:val="3BD57167"/>
    <w:rsid w:val="3BD774E1"/>
    <w:rsid w:val="3BD80A06"/>
    <w:rsid w:val="3BDA652C"/>
    <w:rsid w:val="3BDC22A4"/>
    <w:rsid w:val="3BDD14DC"/>
    <w:rsid w:val="3BDD7DCA"/>
    <w:rsid w:val="3BDE296C"/>
    <w:rsid w:val="3BDF7FE6"/>
    <w:rsid w:val="3BE13D5E"/>
    <w:rsid w:val="3BE23632"/>
    <w:rsid w:val="3BE41159"/>
    <w:rsid w:val="3BE61375"/>
    <w:rsid w:val="3BE64ED1"/>
    <w:rsid w:val="3BE850ED"/>
    <w:rsid w:val="3BE92C13"/>
    <w:rsid w:val="3BED0FD1"/>
    <w:rsid w:val="3BEE0229"/>
    <w:rsid w:val="3BEE1FD7"/>
    <w:rsid w:val="3BF000A3"/>
    <w:rsid w:val="3BF07952"/>
    <w:rsid w:val="3BF07AFD"/>
    <w:rsid w:val="3BF35840"/>
    <w:rsid w:val="3BF375EE"/>
    <w:rsid w:val="3BF462D3"/>
    <w:rsid w:val="3BF55114"/>
    <w:rsid w:val="3BF70E8C"/>
    <w:rsid w:val="3BF75330"/>
    <w:rsid w:val="3BF770DE"/>
    <w:rsid w:val="3BF849A3"/>
    <w:rsid w:val="3BF910A8"/>
    <w:rsid w:val="3BF9375E"/>
    <w:rsid w:val="3BFA097C"/>
    <w:rsid w:val="3BFA2E16"/>
    <w:rsid w:val="3BFA6BCE"/>
    <w:rsid w:val="3BFC3324"/>
    <w:rsid w:val="3BFC64A2"/>
    <w:rsid w:val="3BFD046C"/>
    <w:rsid w:val="3BFD221A"/>
    <w:rsid w:val="3BFD37E9"/>
    <w:rsid w:val="3BFF5F92"/>
    <w:rsid w:val="3C027831"/>
    <w:rsid w:val="3C0417FB"/>
    <w:rsid w:val="3C0435A9"/>
    <w:rsid w:val="3C065573"/>
    <w:rsid w:val="3C073099"/>
    <w:rsid w:val="3C074E47"/>
    <w:rsid w:val="3C0812EB"/>
    <w:rsid w:val="3C085BD9"/>
    <w:rsid w:val="3C096E11"/>
    <w:rsid w:val="3C0B0DDB"/>
    <w:rsid w:val="3C0B116B"/>
    <w:rsid w:val="3C0C2E19"/>
    <w:rsid w:val="3C0D06AF"/>
    <w:rsid w:val="3C0E4427"/>
    <w:rsid w:val="3C0F2EDB"/>
    <w:rsid w:val="3C1063F2"/>
    <w:rsid w:val="3C112B59"/>
    <w:rsid w:val="3C123F18"/>
    <w:rsid w:val="3C1557B6"/>
    <w:rsid w:val="3C172AFD"/>
    <w:rsid w:val="3C177780"/>
    <w:rsid w:val="3C1852A6"/>
    <w:rsid w:val="3C1A2DCC"/>
    <w:rsid w:val="3C1A7270"/>
    <w:rsid w:val="3C1C4D96"/>
    <w:rsid w:val="3C1D466B"/>
    <w:rsid w:val="3C1E28BD"/>
    <w:rsid w:val="3C1F03E3"/>
    <w:rsid w:val="3C1F6635"/>
    <w:rsid w:val="3C2105FF"/>
    <w:rsid w:val="3C215F09"/>
    <w:rsid w:val="3C241E9D"/>
    <w:rsid w:val="3C2459F9"/>
    <w:rsid w:val="3C2679C3"/>
    <w:rsid w:val="3C2854E9"/>
    <w:rsid w:val="3C2B322B"/>
    <w:rsid w:val="3C2B4FD9"/>
    <w:rsid w:val="3C2B6D87"/>
    <w:rsid w:val="3C2B7832"/>
    <w:rsid w:val="3C2D2B00"/>
    <w:rsid w:val="3C2E61B3"/>
    <w:rsid w:val="3C2F6E1E"/>
    <w:rsid w:val="3C30439E"/>
    <w:rsid w:val="3C315BF1"/>
    <w:rsid w:val="3C320116"/>
    <w:rsid w:val="3C327705"/>
    <w:rsid w:val="3C333E8E"/>
    <w:rsid w:val="3C335C3C"/>
    <w:rsid w:val="3C340332"/>
    <w:rsid w:val="3C355E58"/>
    <w:rsid w:val="3C371BD0"/>
    <w:rsid w:val="3C37397E"/>
    <w:rsid w:val="3C395948"/>
    <w:rsid w:val="3C3A521C"/>
    <w:rsid w:val="3C3A5E97"/>
    <w:rsid w:val="3C3C07B7"/>
    <w:rsid w:val="3C3C2D43"/>
    <w:rsid w:val="3C3C71E7"/>
    <w:rsid w:val="3C3E2F5F"/>
    <w:rsid w:val="3C3E5CA8"/>
    <w:rsid w:val="3C3F0879"/>
    <w:rsid w:val="3C3F2833"/>
    <w:rsid w:val="3C4271FA"/>
    <w:rsid w:val="3C43068A"/>
    <w:rsid w:val="3C432323"/>
    <w:rsid w:val="3C44609B"/>
    <w:rsid w:val="3C461E13"/>
    <w:rsid w:val="3C4816E7"/>
    <w:rsid w:val="3C48306C"/>
    <w:rsid w:val="3C485B8B"/>
    <w:rsid w:val="3C495460"/>
    <w:rsid w:val="3C4A1903"/>
    <w:rsid w:val="3C4B11D8"/>
    <w:rsid w:val="3C4B19ED"/>
    <w:rsid w:val="3C4B567C"/>
    <w:rsid w:val="3C4C02AC"/>
    <w:rsid w:val="3C4D31A2"/>
    <w:rsid w:val="3C4E0CC8"/>
    <w:rsid w:val="3C4E2A76"/>
    <w:rsid w:val="3C4F64BA"/>
    <w:rsid w:val="3C502C92"/>
    <w:rsid w:val="3C51411E"/>
    <w:rsid w:val="3C53008C"/>
    <w:rsid w:val="3C544530"/>
    <w:rsid w:val="3C5502A8"/>
    <w:rsid w:val="3C591B47"/>
    <w:rsid w:val="3C597D99"/>
    <w:rsid w:val="3C5A141B"/>
    <w:rsid w:val="3C5C1637"/>
    <w:rsid w:val="3C5C33E5"/>
    <w:rsid w:val="3C5C5193"/>
    <w:rsid w:val="3C5E715D"/>
    <w:rsid w:val="3C5F2ED5"/>
    <w:rsid w:val="3C5F4C83"/>
    <w:rsid w:val="3C601127"/>
    <w:rsid w:val="3C6329C5"/>
    <w:rsid w:val="3C636521"/>
    <w:rsid w:val="3C642299"/>
    <w:rsid w:val="3C65673D"/>
    <w:rsid w:val="3C680C61"/>
    <w:rsid w:val="3C6B3628"/>
    <w:rsid w:val="3C6B7896"/>
    <w:rsid w:val="3C6D114E"/>
    <w:rsid w:val="3C6D55F2"/>
    <w:rsid w:val="3C6D73A0"/>
    <w:rsid w:val="3C6F136A"/>
    <w:rsid w:val="3C706E90"/>
    <w:rsid w:val="3C722C08"/>
    <w:rsid w:val="3C723457"/>
    <w:rsid w:val="3C74072E"/>
    <w:rsid w:val="3C752336"/>
    <w:rsid w:val="3C7544A7"/>
    <w:rsid w:val="3C764FC0"/>
    <w:rsid w:val="3C7E313B"/>
    <w:rsid w:val="3C7F7892"/>
    <w:rsid w:val="3C805325"/>
    <w:rsid w:val="3C81109D"/>
    <w:rsid w:val="3C812E4B"/>
    <w:rsid w:val="3C814BF9"/>
    <w:rsid w:val="3C834E15"/>
    <w:rsid w:val="3C846FAD"/>
    <w:rsid w:val="3C85293C"/>
    <w:rsid w:val="3C8841DA"/>
    <w:rsid w:val="3C885F88"/>
    <w:rsid w:val="3C893318"/>
    <w:rsid w:val="3C89390F"/>
    <w:rsid w:val="3C8A1D00"/>
    <w:rsid w:val="3C8B3CCA"/>
    <w:rsid w:val="3C8B7826"/>
    <w:rsid w:val="3C8D17A0"/>
    <w:rsid w:val="3C8D17F0"/>
    <w:rsid w:val="3C8F5568"/>
    <w:rsid w:val="3C920BB5"/>
    <w:rsid w:val="3C925059"/>
    <w:rsid w:val="3C926E07"/>
    <w:rsid w:val="3C945B02"/>
    <w:rsid w:val="3C964B49"/>
    <w:rsid w:val="3C97266F"/>
    <w:rsid w:val="3C991F43"/>
    <w:rsid w:val="3C9B3F0D"/>
    <w:rsid w:val="3C9E1C4F"/>
    <w:rsid w:val="3C9F32D2"/>
    <w:rsid w:val="3C9F3BB5"/>
    <w:rsid w:val="3CA01523"/>
    <w:rsid w:val="3CA134EE"/>
    <w:rsid w:val="3CA24510"/>
    <w:rsid w:val="3CA54D8C"/>
    <w:rsid w:val="3CA803D8"/>
    <w:rsid w:val="3CA8233D"/>
    <w:rsid w:val="3CA8487C"/>
    <w:rsid w:val="3CAC611A"/>
    <w:rsid w:val="3CAD1E92"/>
    <w:rsid w:val="3CAF1767"/>
    <w:rsid w:val="3CAF36AA"/>
    <w:rsid w:val="3CB054DF"/>
    <w:rsid w:val="3CB13731"/>
    <w:rsid w:val="3CB21257"/>
    <w:rsid w:val="3CB274A9"/>
    <w:rsid w:val="3CB3702A"/>
    <w:rsid w:val="3CB72D11"/>
    <w:rsid w:val="3CB7686D"/>
    <w:rsid w:val="3CB8475C"/>
    <w:rsid w:val="3CB90837"/>
    <w:rsid w:val="3CBA010B"/>
    <w:rsid w:val="3CBC20D5"/>
    <w:rsid w:val="3CBE19AA"/>
    <w:rsid w:val="3CBE5E4E"/>
    <w:rsid w:val="3CC05722"/>
    <w:rsid w:val="3CC1149A"/>
    <w:rsid w:val="3CC20AD9"/>
    <w:rsid w:val="3CC316B6"/>
    <w:rsid w:val="3CC35212"/>
    <w:rsid w:val="3CC44440"/>
    <w:rsid w:val="3CC50F8A"/>
    <w:rsid w:val="3CC64D02"/>
    <w:rsid w:val="3CC66AB0"/>
    <w:rsid w:val="3CCA65A0"/>
    <w:rsid w:val="3CCB2319"/>
    <w:rsid w:val="3CCD6091"/>
    <w:rsid w:val="3CCD7A77"/>
    <w:rsid w:val="3CCF1E09"/>
    <w:rsid w:val="3CD04124"/>
    <w:rsid w:val="3CD1792F"/>
    <w:rsid w:val="3CD218F9"/>
    <w:rsid w:val="3CD236A7"/>
    <w:rsid w:val="3CD411CD"/>
    <w:rsid w:val="3CD553C5"/>
    <w:rsid w:val="3CD72A6B"/>
    <w:rsid w:val="3CDA245A"/>
    <w:rsid w:val="3CDB07AE"/>
    <w:rsid w:val="3CDB69FF"/>
    <w:rsid w:val="3CDC4526"/>
    <w:rsid w:val="3CDE204C"/>
    <w:rsid w:val="3CE138EA"/>
    <w:rsid w:val="3CE162B7"/>
    <w:rsid w:val="3CE27DA1"/>
    <w:rsid w:val="3CE358B4"/>
    <w:rsid w:val="3CE37662"/>
    <w:rsid w:val="3CE533DA"/>
    <w:rsid w:val="3CE55188"/>
    <w:rsid w:val="3CE8111C"/>
    <w:rsid w:val="3CE84C78"/>
    <w:rsid w:val="3CEA09F1"/>
    <w:rsid w:val="3CEA279F"/>
    <w:rsid w:val="3CEB6517"/>
    <w:rsid w:val="3CED04E1"/>
    <w:rsid w:val="3CED228F"/>
    <w:rsid w:val="3CEF24AB"/>
    <w:rsid w:val="3CF11D7F"/>
    <w:rsid w:val="3CF20AFE"/>
    <w:rsid w:val="3CF278A5"/>
    <w:rsid w:val="3CF30989"/>
    <w:rsid w:val="3CF4361D"/>
    <w:rsid w:val="3CF67395"/>
    <w:rsid w:val="3CF74EBC"/>
    <w:rsid w:val="3CF87058"/>
    <w:rsid w:val="3CF96E86"/>
    <w:rsid w:val="3CFB2BFE"/>
    <w:rsid w:val="3CFC0724"/>
    <w:rsid w:val="3CFE26EE"/>
    <w:rsid w:val="3CFE449C"/>
    <w:rsid w:val="3D006466"/>
    <w:rsid w:val="3D023F8C"/>
    <w:rsid w:val="3D033860"/>
    <w:rsid w:val="3D037D04"/>
    <w:rsid w:val="3D053A7C"/>
    <w:rsid w:val="3D0641F3"/>
    <w:rsid w:val="3D067E12"/>
    <w:rsid w:val="3D0715A3"/>
    <w:rsid w:val="3D09356D"/>
    <w:rsid w:val="3D0C0967"/>
    <w:rsid w:val="3D0C1D7C"/>
    <w:rsid w:val="3D0F0457"/>
    <w:rsid w:val="3D0F2205"/>
    <w:rsid w:val="3D0F48FB"/>
    <w:rsid w:val="3D112421"/>
    <w:rsid w:val="3D1141CF"/>
    <w:rsid w:val="3D115F7D"/>
    <w:rsid w:val="3D121CF5"/>
    <w:rsid w:val="3D1367F7"/>
    <w:rsid w:val="3D141F11"/>
    <w:rsid w:val="3D145A6E"/>
    <w:rsid w:val="3D147120"/>
    <w:rsid w:val="3D1617E6"/>
    <w:rsid w:val="3D181A77"/>
    <w:rsid w:val="3D18555E"/>
    <w:rsid w:val="3D192669"/>
    <w:rsid w:val="3D1B32A0"/>
    <w:rsid w:val="3D1B504E"/>
    <w:rsid w:val="3D1E069A"/>
    <w:rsid w:val="3D1E06B7"/>
    <w:rsid w:val="3D1E4B3E"/>
    <w:rsid w:val="3D1F64DB"/>
    <w:rsid w:val="3D2008B6"/>
    <w:rsid w:val="3D211F38"/>
    <w:rsid w:val="3D22018A"/>
    <w:rsid w:val="3D22462E"/>
    <w:rsid w:val="3D2263DC"/>
    <w:rsid w:val="3D232155"/>
    <w:rsid w:val="3D235CB1"/>
    <w:rsid w:val="3D24777C"/>
    <w:rsid w:val="3D250C0C"/>
    <w:rsid w:val="3D257C7B"/>
    <w:rsid w:val="3D271C45"/>
    <w:rsid w:val="3D280CCE"/>
    <w:rsid w:val="3D281519"/>
    <w:rsid w:val="3D2959BD"/>
    <w:rsid w:val="3D2A34E3"/>
    <w:rsid w:val="3D2A5291"/>
    <w:rsid w:val="3D2B7A0A"/>
    <w:rsid w:val="3D2F4655"/>
    <w:rsid w:val="3D314871"/>
    <w:rsid w:val="3D332398"/>
    <w:rsid w:val="3D346110"/>
    <w:rsid w:val="3D347271"/>
    <w:rsid w:val="3D347EBE"/>
    <w:rsid w:val="3D385C00"/>
    <w:rsid w:val="3D3879AE"/>
    <w:rsid w:val="3D3B124C"/>
    <w:rsid w:val="3D3B3681"/>
    <w:rsid w:val="3D3B60B6"/>
    <w:rsid w:val="3D3B749E"/>
    <w:rsid w:val="3D3C05D3"/>
    <w:rsid w:val="3D3D729B"/>
    <w:rsid w:val="3D3E2EF3"/>
    <w:rsid w:val="3D42082D"/>
    <w:rsid w:val="3D4225DB"/>
    <w:rsid w:val="3D45031D"/>
    <w:rsid w:val="3D4520CB"/>
    <w:rsid w:val="3D464256"/>
    <w:rsid w:val="3D474095"/>
    <w:rsid w:val="3D475E43"/>
    <w:rsid w:val="3D477BF1"/>
    <w:rsid w:val="3D4A76E1"/>
    <w:rsid w:val="3D4F2F4A"/>
    <w:rsid w:val="3D4F6AA6"/>
    <w:rsid w:val="3D510A70"/>
    <w:rsid w:val="3D516798"/>
    <w:rsid w:val="3D540560"/>
    <w:rsid w:val="3D5440BC"/>
    <w:rsid w:val="3D5642D8"/>
    <w:rsid w:val="3D566086"/>
    <w:rsid w:val="3D567A39"/>
    <w:rsid w:val="3D567E34"/>
    <w:rsid w:val="3D580050"/>
    <w:rsid w:val="3D581DFE"/>
    <w:rsid w:val="3D5D7415"/>
    <w:rsid w:val="3D5F222C"/>
    <w:rsid w:val="3D5F318D"/>
    <w:rsid w:val="3D5F6C0A"/>
    <w:rsid w:val="3D5F7307"/>
    <w:rsid w:val="3D600CB3"/>
    <w:rsid w:val="3D605157"/>
    <w:rsid w:val="3D6337C1"/>
    <w:rsid w:val="3D6407A3"/>
    <w:rsid w:val="3D65276D"/>
    <w:rsid w:val="3D670293"/>
    <w:rsid w:val="3D672041"/>
    <w:rsid w:val="3D6720FF"/>
    <w:rsid w:val="3D687B67"/>
    <w:rsid w:val="3D695DB9"/>
    <w:rsid w:val="3D6A7D83"/>
    <w:rsid w:val="3D6C3AFB"/>
    <w:rsid w:val="3D6C4AE1"/>
    <w:rsid w:val="3D6C58AA"/>
    <w:rsid w:val="3D6D517E"/>
    <w:rsid w:val="3D6E33D0"/>
    <w:rsid w:val="3D6F0EF6"/>
    <w:rsid w:val="3D6F1B14"/>
    <w:rsid w:val="3D6F76D8"/>
    <w:rsid w:val="3D6F7A43"/>
    <w:rsid w:val="3D711112"/>
    <w:rsid w:val="3D71261C"/>
    <w:rsid w:val="3D712EC0"/>
    <w:rsid w:val="3D714C6E"/>
    <w:rsid w:val="3D7309E6"/>
    <w:rsid w:val="3D736C38"/>
    <w:rsid w:val="3D74650C"/>
    <w:rsid w:val="3D7529B0"/>
    <w:rsid w:val="3D7604D6"/>
    <w:rsid w:val="3D7824A0"/>
    <w:rsid w:val="3D785FFC"/>
    <w:rsid w:val="3D793B23"/>
    <w:rsid w:val="3D7D7AB7"/>
    <w:rsid w:val="3D801355"/>
    <w:rsid w:val="3D803103"/>
    <w:rsid w:val="3D826E7B"/>
    <w:rsid w:val="3D8449A1"/>
    <w:rsid w:val="3D8726E3"/>
    <w:rsid w:val="3D89020A"/>
    <w:rsid w:val="3D8923ED"/>
    <w:rsid w:val="3D89645B"/>
    <w:rsid w:val="3D8B21D4"/>
    <w:rsid w:val="3D8C7CFA"/>
    <w:rsid w:val="3D8E5820"/>
    <w:rsid w:val="3D8E75CE"/>
    <w:rsid w:val="3D8F3346"/>
    <w:rsid w:val="3D9077EA"/>
    <w:rsid w:val="3D913562"/>
    <w:rsid w:val="3D9512B4"/>
    <w:rsid w:val="3D954E00"/>
    <w:rsid w:val="3D9646D4"/>
    <w:rsid w:val="3D980F2D"/>
    <w:rsid w:val="3D9A694F"/>
    <w:rsid w:val="3D9B7F3D"/>
    <w:rsid w:val="3D9E622F"/>
    <w:rsid w:val="3D9F17DB"/>
    <w:rsid w:val="3D9F5C7F"/>
    <w:rsid w:val="3DA051DB"/>
    <w:rsid w:val="3DA2751D"/>
    <w:rsid w:val="3DA46DF1"/>
    <w:rsid w:val="3DA52B6A"/>
    <w:rsid w:val="3DA60DBB"/>
    <w:rsid w:val="3DA768E2"/>
    <w:rsid w:val="3DA83401"/>
    <w:rsid w:val="3DAA4092"/>
    <w:rsid w:val="3DAC3EF8"/>
    <w:rsid w:val="3DAC5CA6"/>
    <w:rsid w:val="3DAE1A1E"/>
    <w:rsid w:val="3DB01C3A"/>
    <w:rsid w:val="3DB039E8"/>
    <w:rsid w:val="3DB1150E"/>
    <w:rsid w:val="3DB1470E"/>
    <w:rsid w:val="3DB334D8"/>
    <w:rsid w:val="3DB41B96"/>
    <w:rsid w:val="3DB42DAD"/>
    <w:rsid w:val="3DB66B25"/>
    <w:rsid w:val="3DB77087"/>
    <w:rsid w:val="3DBA5A08"/>
    <w:rsid w:val="3DBA6615"/>
    <w:rsid w:val="3DBB238D"/>
    <w:rsid w:val="3DBB3958"/>
    <w:rsid w:val="3DBC05DF"/>
    <w:rsid w:val="3DBD6105"/>
    <w:rsid w:val="3DC04496"/>
    <w:rsid w:val="3DC079A3"/>
    <w:rsid w:val="3DC2196D"/>
    <w:rsid w:val="3DC22C2F"/>
    <w:rsid w:val="3DC2419A"/>
    <w:rsid w:val="3DC254CA"/>
    <w:rsid w:val="3DC36C6B"/>
    <w:rsid w:val="3DC41242"/>
    <w:rsid w:val="3DC56D68"/>
    <w:rsid w:val="3DC75184"/>
    <w:rsid w:val="3DC94AAA"/>
    <w:rsid w:val="3DC96858"/>
    <w:rsid w:val="3DCB0822"/>
    <w:rsid w:val="3DCB524C"/>
    <w:rsid w:val="3DCB6A74"/>
    <w:rsid w:val="3DCC6348"/>
    <w:rsid w:val="3DCC66DC"/>
    <w:rsid w:val="3DCD12AD"/>
    <w:rsid w:val="3DCE20C0"/>
    <w:rsid w:val="3DD07BE6"/>
    <w:rsid w:val="3DD11BB1"/>
    <w:rsid w:val="3DD2254E"/>
    <w:rsid w:val="3DD35929"/>
    <w:rsid w:val="3DD376D7"/>
    <w:rsid w:val="3DD516A1"/>
    <w:rsid w:val="3DD60F75"/>
    <w:rsid w:val="3DD671C7"/>
    <w:rsid w:val="3DD84CED"/>
    <w:rsid w:val="3DDA2813"/>
    <w:rsid w:val="3DDC47DD"/>
    <w:rsid w:val="3DDD2303"/>
    <w:rsid w:val="3DDD67A7"/>
    <w:rsid w:val="3DDF7E2A"/>
    <w:rsid w:val="3DE03BA2"/>
    <w:rsid w:val="3DE10BB3"/>
    <w:rsid w:val="3DE11DF4"/>
    <w:rsid w:val="3DE22043"/>
    <w:rsid w:val="3DE25B6C"/>
    <w:rsid w:val="3DE2791A"/>
    <w:rsid w:val="3DE418E4"/>
    <w:rsid w:val="3DE43692"/>
    <w:rsid w:val="3DE73182"/>
    <w:rsid w:val="3DE90CA8"/>
    <w:rsid w:val="3DEB0EC4"/>
    <w:rsid w:val="3DEB4A20"/>
    <w:rsid w:val="3DEB7678"/>
    <w:rsid w:val="3DEC2546"/>
    <w:rsid w:val="3DED69EA"/>
    <w:rsid w:val="3DF02037"/>
    <w:rsid w:val="3DF064DB"/>
    <w:rsid w:val="3DF11FA9"/>
    <w:rsid w:val="3DF17B5D"/>
    <w:rsid w:val="3DF338D5"/>
    <w:rsid w:val="3DF633C5"/>
    <w:rsid w:val="3DF82424"/>
    <w:rsid w:val="3DF8713D"/>
    <w:rsid w:val="3DFC6C2D"/>
    <w:rsid w:val="3DFD29A6"/>
    <w:rsid w:val="3E012496"/>
    <w:rsid w:val="3E021D6A"/>
    <w:rsid w:val="3E043D34"/>
    <w:rsid w:val="3E05686D"/>
    <w:rsid w:val="3E06151A"/>
    <w:rsid w:val="3E06185A"/>
    <w:rsid w:val="3E0755D2"/>
    <w:rsid w:val="3E09134A"/>
    <w:rsid w:val="3E09759C"/>
    <w:rsid w:val="3E0B0C1F"/>
    <w:rsid w:val="3E0B6E71"/>
    <w:rsid w:val="3E0D4056"/>
    <w:rsid w:val="3E0E070F"/>
    <w:rsid w:val="3E0E4BB3"/>
    <w:rsid w:val="3E10092B"/>
    <w:rsid w:val="3E106377"/>
    <w:rsid w:val="3E107484"/>
    <w:rsid w:val="3E116551"/>
    <w:rsid w:val="3E126C05"/>
    <w:rsid w:val="3E1321C9"/>
    <w:rsid w:val="3E144ED2"/>
    <w:rsid w:val="3E171CB9"/>
    <w:rsid w:val="3E1877DF"/>
    <w:rsid w:val="3E1A70B4"/>
    <w:rsid w:val="3E1B3F87"/>
    <w:rsid w:val="3E1C2E2C"/>
    <w:rsid w:val="3E1F46CA"/>
    <w:rsid w:val="3E2148E6"/>
    <w:rsid w:val="3E2241BA"/>
    <w:rsid w:val="3E241CE0"/>
    <w:rsid w:val="3E246184"/>
    <w:rsid w:val="3E263CAA"/>
    <w:rsid w:val="3E285C74"/>
    <w:rsid w:val="3E2B306F"/>
    <w:rsid w:val="3E2B7513"/>
    <w:rsid w:val="3E2C3159"/>
    <w:rsid w:val="3E2C6DE7"/>
    <w:rsid w:val="3E2E2B5F"/>
    <w:rsid w:val="3E2E7003"/>
    <w:rsid w:val="3E2E7675"/>
    <w:rsid w:val="3E300685"/>
    <w:rsid w:val="3E3068D7"/>
    <w:rsid w:val="3E3143FA"/>
    <w:rsid w:val="3E350391"/>
    <w:rsid w:val="3E353EED"/>
    <w:rsid w:val="3E35594C"/>
    <w:rsid w:val="3E36420B"/>
    <w:rsid w:val="3E3A1504"/>
    <w:rsid w:val="3E3A59A8"/>
    <w:rsid w:val="3E3C34CE"/>
    <w:rsid w:val="3E3D2DA2"/>
    <w:rsid w:val="3E3E7246"/>
    <w:rsid w:val="3E3F4D6C"/>
    <w:rsid w:val="3E410AE4"/>
    <w:rsid w:val="3E4203B8"/>
    <w:rsid w:val="3E441C89"/>
    <w:rsid w:val="3E46434D"/>
    <w:rsid w:val="3E465190"/>
    <w:rsid w:val="3E4800C5"/>
    <w:rsid w:val="3E481E73"/>
    <w:rsid w:val="3E484052"/>
    <w:rsid w:val="3E495BEB"/>
    <w:rsid w:val="3E497999"/>
    <w:rsid w:val="3E4A66E2"/>
    <w:rsid w:val="3E4C1002"/>
    <w:rsid w:val="3E4E4FAF"/>
    <w:rsid w:val="3E500D27"/>
    <w:rsid w:val="3E546A69"/>
    <w:rsid w:val="3E54742F"/>
    <w:rsid w:val="3E5720B6"/>
    <w:rsid w:val="3E587BDC"/>
    <w:rsid w:val="3E595E2E"/>
    <w:rsid w:val="3E5A7DF8"/>
    <w:rsid w:val="3E5E1696"/>
    <w:rsid w:val="3E5F71BC"/>
    <w:rsid w:val="3E6102EE"/>
    <w:rsid w:val="3E636CAD"/>
    <w:rsid w:val="3E646581"/>
    <w:rsid w:val="3E66054B"/>
    <w:rsid w:val="3E6746A0"/>
    <w:rsid w:val="3E675C0A"/>
    <w:rsid w:val="3E6842C3"/>
    <w:rsid w:val="3E693B97"/>
    <w:rsid w:val="3E6A003B"/>
    <w:rsid w:val="3E6A5CCC"/>
    <w:rsid w:val="3E6B5B61"/>
    <w:rsid w:val="3E6B790F"/>
    <w:rsid w:val="3E6D18D9"/>
    <w:rsid w:val="3E6D3687"/>
    <w:rsid w:val="3E6E73FF"/>
    <w:rsid w:val="3E7013C9"/>
    <w:rsid w:val="3E703177"/>
    <w:rsid w:val="3E70582C"/>
    <w:rsid w:val="3E72445E"/>
    <w:rsid w:val="3E734A16"/>
    <w:rsid w:val="3E75078E"/>
    <w:rsid w:val="3E7B5510"/>
    <w:rsid w:val="3E7F33BB"/>
    <w:rsid w:val="3E846873"/>
    <w:rsid w:val="3E862623"/>
    <w:rsid w:val="3E864749"/>
    <w:rsid w:val="3E8804C1"/>
    <w:rsid w:val="3E88226F"/>
    <w:rsid w:val="3E886713"/>
    <w:rsid w:val="3E8A248B"/>
    <w:rsid w:val="3E8D3D29"/>
    <w:rsid w:val="3E8D7925"/>
    <w:rsid w:val="3E904E16"/>
    <w:rsid w:val="3E9055C8"/>
    <w:rsid w:val="3E927592"/>
    <w:rsid w:val="3E94330A"/>
    <w:rsid w:val="3E9450B8"/>
    <w:rsid w:val="3E95498C"/>
    <w:rsid w:val="3E970704"/>
    <w:rsid w:val="3E9725E0"/>
    <w:rsid w:val="3E976956"/>
    <w:rsid w:val="3E9926CE"/>
    <w:rsid w:val="3E992C55"/>
    <w:rsid w:val="3E9A1FA2"/>
    <w:rsid w:val="3E9B1F29"/>
    <w:rsid w:val="3E9B73AF"/>
    <w:rsid w:val="3E9C3F6D"/>
    <w:rsid w:val="3E9E5F37"/>
    <w:rsid w:val="3E9F580B"/>
    <w:rsid w:val="3EA13331"/>
    <w:rsid w:val="3EA177D5"/>
    <w:rsid w:val="3EA3354D"/>
    <w:rsid w:val="3EA352FB"/>
    <w:rsid w:val="3EA6703C"/>
    <w:rsid w:val="3EA80B63"/>
    <w:rsid w:val="3EA846BF"/>
    <w:rsid w:val="3EA90437"/>
    <w:rsid w:val="3EAA6689"/>
    <w:rsid w:val="3EAB0654"/>
    <w:rsid w:val="3EAD1CD6"/>
    <w:rsid w:val="3EAF1EF2"/>
    <w:rsid w:val="3EAF3CA0"/>
    <w:rsid w:val="3EAF4400"/>
    <w:rsid w:val="3EB017C6"/>
    <w:rsid w:val="3EB07A18"/>
    <w:rsid w:val="3EB219E2"/>
    <w:rsid w:val="3EB412B6"/>
    <w:rsid w:val="3EB5502E"/>
    <w:rsid w:val="3EB66B30"/>
    <w:rsid w:val="3EB70DA6"/>
    <w:rsid w:val="3EB72B54"/>
    <w:rsid w:val="3EBA43F3"/>
    <w:rsid w:val="3EBA46BE"/>
    <w:rsid w:val="3EBB0897"/>
    <w:rsid w:val="3EBB1512"/>
    <w:rsid w:val="3EBC016B"/>
    <w:rsid w:val="3EBC460F"/>
    <w:rsid w:val="3EBE2135"/>
    <w:rsid w:val="3EBE7E93"/>
    <w:rsid w:val="3EBF7C5B"/>
    <w:rsid w:val="3EC040FF"/>
    <w:rsid w:val="3EC05EAD"/>
    <w:rsid w:val="3EC11C25"/>
    <w:rsid w:val="3EC139D3"/>
    <w:rsid w:val="3EC15781"/>
    <w:rsid w:val="3EC55271"/>
    <w:rsid w:val="3EC611F6"/>
    <w:rsid w:val="3EC7548D"/>
    <w:rsid w:val="3EC924E2"/>
    <w:rsid w:val="3ECA0ADA"/>
    <w:rsid w:val="3ECB6600"/>
    <w:rsid w:val="3ECD05CA"/>
    <w:rsid w:val="3ECD2378"/>
    <w:rsid w:val="3ECD4126"/>
    <w:rsid w:val="3ECE6247"/>
    <w:rsid w:val="3ECF4342"/>
    <w:rsid w:val="3ED01E68"/>
    <w:rsid w:val="3ED022A8"/>
    <w:rsid w:val="3ED25BE0"/>
    <w:rsid w:val="3ED27799"/>
    <w:rsid w:val="3ED43706"/>
    <w:rsid w:val="3ED454B4"/>
    <w:rsid w:val="3ED5122D"/>
    <w:rsid w:val="3ED74FA5"/>
    <w:rsid w:val="3EDA0523"/>
    <w:rsid w:val="3EDA6843"/>
    <w:rsid w:val="3EDB4A95"/>
    <w:rsid w:val="3EDC084B"/>
    <w:rsid w:val="3EDC25BB"/>
    <w:rsid w:val="3EDC6A5F"/>
    <w:rsid w:val="3EDE4585"/>
    <w:rsid w:val="3EDF090D"/>
    <w:rsid w:val="3EE002FD"/>
    <w:rsid w:val="3EE1322D"/>
    <w:rsid w:val="3EE14075"/>
    <w:rsid w:val="3EE3071E"/>
    <w:rsid w:val="3EE37DED"/>
    <w:rsid w:val="3EE417EC"/>
    <w:rsid w:val="3EE53B65"/>
    <w:rsid w:val="3EE6343A"/>
    <w:rsid w:val="3EE73740"/>
    <w:rsid w:val="3EE871B2"/>
    <w:rsid w:val="3EED47C8"/>
    <w:rsid w:val="3EEE5831"/>
    <w:rsid w:val="3EEF0540"/>
    <w:rsid w:val="3EEF6CC1"/>
    <w:rsid w:val="3EF06066"/>
    <w:rsid w:val="3EF20030"/>
    <w:rsid w:val="3EF21DDE"/>
    <w:rsid w:val="3EF26282"/>
    <w:rsid w:val="3EF450A1"/>
    <w:rsid w:val="3EF45B57"/>
    <w:rsid w:val="3EF47905"/>
    <w:rsid w:val="3EF47F62"/>
    <w:rsid w:val="3EF5367D"/>
    <w:rsid w:val="3EF618CF"/>
    <w:rsid w:val="3EF67B21"/>
    <w:rsid w:val="3EF75647"/>
    <w:rsid w:val="3EF7687F"/>
    <w:rsid w:val="3EF913BF"/>
    <w:rsid w:val="3EF92944"/>
    <w:rsid w:val="3EF9316D"/>
    <w:rsid w:val="3EF953E1"/>
    <w:rsid w:val="3EFC2999"/>
    <w:rsid w:val="3EFC4A0B"/>
    <w:rsid w:val="3EFE0783"/>
    <w:rsid w:val="3EFF67B6"/>
    <w:rsid w:val="3F035D9A"/>
    <w:rsid w:val="3F0538C0"/>
    <w:rsid w:val="3F063AB8"/>
    <w:rsid w:val="3F06588A"/>
    <w:rsid w:val="3F067638"/>
    <w:rsid w:val="3F073ADC"/>
    <w:rsid w:val="3F077A2A"/>
    <w:rsid w:val="3F081602"/>
    <w:rsid w:val="3F0A35CC"/>
    <w:rsid w:val="3F0A7FA0"/>
    <w:rsid w:val="3F0B4C4E"/>
    <w:rsid w:val="3F0D4E6A"/>
    <w:rsid w:val="3F0D6C18"/>
    <w:rsid w:val="3F0F0BE2"/>
    <w:rsid w:val="3F0F473E"/>
    <w:rsid w:val="3F105341"/>
    <w:rsid w:val="3F122481"/>
    <w:rsid w:val="3F125FDD"/>
    <w:rsid w:val="3F14466E"/>
    <w:rsid w:val="3F163D1F"/>
    <w:rsid w:val="3F165ACD"/>
    <w:rsid w:val="3F1735F3"/>
    <w:rsid w:val="3F177A97"/>
    <w:rsid w:val="3F1955BD"/>
    <w:rsid w:val="3F1B1335"/>
    <w:rsid w:val="3F1C5CDE"/>
    <w:rsid w:val="3F1C6E5B"/>
    <w:rsid w:val="3F1E2BD3"/>
    <w:rsid w:val="3F1E4982"/>
    <w:rsid w:val="3F2006FA"/>
    <w:rsid w:val="3F220916"/>
    <w:rsid w:val="3F2226C4"/>
    <w:rsid w:val="3F222FE0"/>
    <w:rsid w:val="3F23468E"/>
    <w:rsid w:val="3F247041"/>
    <w:rsid w:val="3F275F2C"/>
    <w:rsid w:val="3F277CDA"/>
    <w:rsid w:val="3F2B709E"/>
    <w:rsid w:val="3F2C3542"/>
    <w:rsid w:val="3F2D1069"/>
    <w:rsid w:val="3F2D6C63"/>
    <w:rsid w:val="3F2F4DE1"/>
    <w:rsid w:val="3F2F6B8F"/>
    <w:rsid w:val="3F312907"/>
    <w:rsid w:val="3F3423F7"/>
    <w:rsid w:val="3F3441A5"/>
    <w:rsid w:val="3F357FC6"/>
    <w:rsid w:val="3F3643C1"/>
    <w:rsid w:val="3F36616F"/>
    <w:rsid w:val="3F395C5F"/>
    <w:rsid w:val="3F3A1267"/>
    <w:rsid w:val="3F3B19D7"/>
    <w:rsid w:val="3F3B5533"/>
    <w:rsid w:val="3F3C12AC"/>
    <w:rsid w:val="3F3D1329"/>
    <w:rsid w:val="3F400D9C"/>
    <w:rsid w:val="3F406FEE"/>
    <w:rsid w:val="3F41113A"/>
    <w:rsid w:val="3F4225CA"/>
    <w:rsid w:val="3F422D66"/>
    <w:rsid w:val="3F43088C"/>
    <w:rsid w:val="3F43263A"/>
    <w:rsid w:val="3F4343E8"/>
    <w:rsid w:val="3F450E5B"/>
    <w:rsid w:val="3F454604"/>
    <w:rsid w:val="3F48386B"/>
    <w:rsid w:val="3F484D1C"/>
    <w:rsid w:val="3F4940F4"/>
    <w:rsid w:val="3F4A1C1A"/>
    <w:rsid w:val="3F4A7E6C"/>
    <w:rsid w:val="3F4D5267"/>
    <w:rsid w:val="3F4D76DD"/>
    <w:rsid w:val="3F512FA9"/>
    <w:rsid w:val="3F536D21"/>
    <w:rsid w:val="3F56236D"/>
    <w:rsid w:val="3F566811"/>
    <w:rsid w:val="3F577E93"/>
    <w:rsid w:val="3F5860E5"/>
    <w:rsid w:val="3F5944E5"/>
    <w:rsid w:val="3F5B5BD6"/>
    <w:rsid w:val="3F5E56C6"/>
    <w:rsid w:val="3F5F3233"/>
    <w:rsid w:val="3F60143E"/>
    <w:rsid w:val="3F604F9A"/>
    <w:rsid w:val="3F6251B6"/>
    <w:rsid w:val="3F626F64"/>
    <w:rsid w:val="3F632CDC"/>
    <w:rsid w:val="3F656A54"/>
    <w:rsid w:val="3F676329"/>
    <w:rsid w:val="3F682F54"/>
    <w:rsid w:val="3F6A406B"/>
    <w:rsid w:val="3F6C393F"/>
    <w:rsid w:val="3F6E3B5B"/>
    <w:rsid w:val="3F6E5909"/>
    <w:rsid w:val="3F6F1681"/>
    <w:rsid w:val="3F710F55"/>
    <w:rsid w:val="3F7153F9"/>
    <w:rsid w:val="3F722276"/>
    <w:rsid w:val="3F724CCD"/>
    <w:rsid w:val="3F731171"/>
    <w:rsid w:val="3F742F66"/>
    <w:rsid w:val="3F76656C"/>
    <w:rsid w:val="3F786788"/>
    <w:rsid w:val="3F7A390C"/>
    <w:rsid w:val="3F7A66FA"/>
    <w:rsid w:val="3F7B1DD4"/>
    <w:rsid w:val="3F7E7C4C"/>
    <w:rsid w:val="3F80563C"/>
    <w:rsid w:val="3F84512C"/>
    <w:rsid w:val="3F874C1D"/>
    <w:rsid w:val="3F890995"/>
    <w:rsid w:val="3F892743"/>
    <w:rsid w:val="3F8954F2"/>
    <w:rsid w:val="3F8A2017"/>
    <w:rsid w:val="3F8A64BB"/>
    <w:rsid w:val="3F8C5D8F"/>
    <w:rsid w:val="3F8D4B70"/>
    <w:rsid w:val="3F8F3AD1"/>
    <w:rsid w:val="3F9410E8"/>
    <w:rsid w:val="3F95733A"/>
    <w:rsid w:val="3F964E60"/>
    <w:rsid w:val="3F966C0E"/>
    <w:rsid w:val="3F981C83"/>
    <w:rsid w:val="3F982986"/>
    <w:rsid w:val="3F9862B1"/>
    <w:rsid w:val="3F9A4950"/>
    <w:rsid w:val="3F9A4FB0"/>
    <w:rsid w:val="3F9B4224"/>
    <w:rsid w:val="3F9B5FD2"/>
    <w:rsid w:val="3F9D1D4A"/>
    <w:rsid w:val="3F9E5AC2"/>
    <w:rsid w:val="3FA00BB8"/>
    <w:rsid w:val="3FA139B0"/>
    <w:rsid w:val="3FA23805"/>
    <w:rsid w:val="3FA24476"/>
    <w:rsid w:val="3FA255B3"/>
    <w:rsid w:val="3FA27361"/>
    <w:rsid w:val="3FA66E58"/>
    <w:rsid w:val="3FA70E1B"/>
    <w:rsid w:val="3FA86BA7"/>
    <w:rsid w:val="3FAA26B9"/>
    <w:rsid w:val="3FAC6431"/>
    <w:rsid w:val="3FAE55EA"/>
    <w:rsid w:val="3FAF1A7E"/>
    <w:rsid w:val="3FAF7CCF"/>
    <w:rsid w:val="3FB00F40"/>
    <w:rsid w:val="3FB3156E"/>
    <w:rsid w:val="3FB377C0"/>
    <w:rsid w:val="3FB62E0C"/>
    <w:rsid w:val="3FB672B0"/>
    <w:rsid w:val="3FB928FC"/>
    <w:rsid w:val="3FBA0B4E"/>
    <w:rsid w:val="3FBB0422"/>
    <w:rsid w:val="3FBD063E"/>
    <w:rsid w:val="3FBE7F13"/>
    <w:rsid w:val="3FBF43B6"/>
    <w:rsid w:val="3FBF6165"/>
    <w:rsid w:val="3FC01EDD"/>
    <w:rsid w:val="3FC03C8B"/>
    <w:rsid w:val="3FC27A03"/>
    <w:rsid w:val="3FC419CD"/>
    <w:rsid w:val="3FC4377B"/>
    <w:rsid w:val="3FC45529"/>
    <w:rsid w:val="3FC47810"/>
    <w:rsid w:val="3FC714BD"/>
    <w:rsid w:val="3FC76DC7"/>
    <w:rsid w:val="3FC92B3F"/>
    <w:rsid w:val="3FC96FE3"/>
    <w:rsid w:val="3FCA4B09"/>
    <w:rsid w:val="3FCC262F"/>
    <w:rsid w:val="3FCE0156"/>
    <w:rsid w:val="3FCE45FA"/>
    <w:rsid w:val="3FCE63A8"/>
    <w:rsid w:val="3FCF2120"/>
    <w:rsid w:val="3FD249E5"/>
    <w:rsid w:val="3FD339BE"/>
    <w:rsid w:val="3FD35F60"/>
    <w:rsid w:val="3FD37E62"/>
    <w:rsid w:val="3FD414E4"/>
    <w:rsid w:val="3FD55988"/>
    <w:rsid w:val="3FD57736"/>
    <w:rsid w:val="3FDA4D4C"/>
    <w:rsid w:val="3FE200A5"/>
    <w:rsid w:val="3FE23C01"/>
    <w:rsid w:val="3FE45BCB"/>
    <w:rsid w:val="3FE47979"/>
    <w:rsid w:val="3FE536F1"/>
    <w:rsid w:val="3FE61943"/>
    <w:rsid w:val="3FE71217"/>
    <w:rsid w:val="3FE756BB"/>
    <w:rsid w:val="3FE931E1"/>
    <w:rsid w:val="3FEB29BB"/>
    <w:rsid w:val="3FEB40FC"/>
    <w:rsid w:val="3FEB6F5A"/>
    <w:rsid w:val="3FEC2CD2"/>
    <w:rsid w:val="3FEE07F8"/>
    <w:rsid w:val="3FEE6A4A"/>
    <w:rsid w:val="3FEF631E"/>
    <w:rsid w:val="3FF027C2"/>
    <w:rsid w:val="3FF04570"/>
    <w:rsid w:val="3FF1653A"/>
    <w:rsid w:val="3FF51B86"/>
    <w:rsid w:val="3FF57DD8"/>
    <w:rsid w:val="3FF94FBF"/>
    <w:rsid w:val="3FFA644F"/>
    <w:rsid w:val="3FFB2F15"/>
    <w:rsid w:val="3FFD0A3B"/>
    <w:rsid w:val="3FFE3D07"/>
    <w:rsid w:val="3FFF0C57"/>
    <w:rsid w:val="4000052B"/>
    <w:rsid w:val="4001677D"/>
    <w:rsid w:val="400242A3"/>
    <w:rsid w:val="40034E4D"/>
    <w:rsid w:val="40083624"/>
    <w:rsid w:val="40095632"/>
    <w:rsid w:val="400B3158"/>
    <w:rsid w:val="400C0C7E"/>
    <w:rsid w:val="400C6ED0"/>
    <w:rsid w:val="400E2C48"/>
    <w:rsid w:val="400E5D55"/>
    <w:rsid w:val="40153FD6"/>
    <w:rsid w:val="40154B29"/>
    <w:rsid w:val="401670B8"/>
    <w:rsid w:val="40183119"/>
    <w:rsid w:val="401A339B"/>
    <w:rsid w:val="401B1A9A"/>
    <w:rsid w:val="401C35B7"/>
    <w:rsid w:val="401D2E8B"/>
    <w:rsid w:val="401F09B1"/>
    <w:rsid w:val="401F4E55"/>
    <w:rsid w:val="401F6CDA"/>
    <w:rsid w:val="40216A50"/>
    <w:rsid w:val="402204A1"/>
    <w:rsid w:val="40224945"/>
    <w:rsid w:val="40226D9C"/>
    <w:rsid w:val="4024421A"/>
    <w:rsid w:val="40251D40"/>
    <w:rsid w:val="402661E4"/>
    <w:rsid w:val="402725F6"/>
    <w:rsid w:val="40273D0A"/>
    <w:rsid w:val="40275AB8"/>
    <w:rsid w:val="40291830"/>
    <w:rsid w:val="40295CD4"/>
    <w:rsid w:val="402A7AD7"/>
    <w:rsid w:val="402B37FA"/>
    <w:rsid w:val="402B55A8"/>
    <w:rsid w:val="402E533E"/>
    <w:rsid w:val="402F67CE"/>
    <w:rsid w:val="40300E10"/>
    <w:rsid w:val="40316936"/>
    <w:rsid w:val="40326890"/>
    <w:rsid w:val="40330901"/>
    <w:rsid w:val="40342640"/>
    <w:rsid w:val="40353AD0"/>
    <w:rsid w:val="40361065"/>
    <w:rsid w:val="403703F1"/>
    <w:rsid w:val="40384169"/>
    <w:rsid w:val="40387CC5"/>
    <w:rsid w:val="403E177F"/>
    <w:rsid w:val="403F1053"/>
    <w:rsid w:val="403F2E01"/>
    <w:rsid w:val="40432931"/>
    <w:rsid w:val="4044666A"/>
    <w:rsid w:val="40456069"/>
    <w:rsid w:val="404576A6"/>
    <w:rsid w:val="40460634"/>
    <w:rsid w:val="404623E2"/>
    <w:rsid w:val="40463C67"/>
    <w:rsid w:val="40464A55"/>
    <w:rsid w:val="40490124"/>
    <w:rsid w:val="404B79F8"/>
    <w:rsid w:val="404D1D57"/>
    <w:rsid w:val="404E74E8"/>
    <w:rsid w:val="404F3FFC"/>
    <w:rsid w:val="40503261"/>
    <w:rsid w:val="40526FD9"/>
    <w:rsid w:val="40532D51"/>
    <w:rsid w:val="40534AFF"/>
    <w:rsid w:val="405368AD"/>
    <w:rsid w:val="40552625"/>
    <w:rsid w:val="40572841"/>
    <w:rsid w:val="40583EC3"/>
    <w:rsid w:val="405A40DF"/>
    <w:rsid w:val="405A7C3B"/>
    <w:rsid w:val="405C39B3"/>
    <w:rsid w:val="405F34A4"/>
    <w:rsid w:val="40642868"/>
    <w:rsid w:val="40644F5E"/>
    <w:rsid w:val="40672358"/>
    <w:rsid w:val="40694322"/>
    <w:rsid w:val="406960D0"/>
    <w:rsid w:val="406B3BF6"/>
    <w:rsid w:val="406D3E12"/>
    <w:rsid w:val="406D5BC1"/>
    <w:rsid w:val="406E36E7"/>
    <w:rsid w:val="406E7B8B"/>
    <w:rsid w:val="40703903"/>
    <w:rsid w:val="40703FF6"/>
    <w:rsid w:val="407056B1"/>
    <w:rsid w:val="40707CC2"/>
    <w:rsid w:val="4072697D"/>
    <w:rsid w:val="40730CFD"/>
    <w:rsid w:val="40736F4F"/>
    <w:rsid w:val="407451A1"/>
    <w:rsid w:val="4075299B"/>
    <w:rsid w:val="4077259B"/>
    <w:rsid w:val="40774C91"/>
    <w:rsid w:val="40776A3F"/>
    <w:rsid w:val="40786313"/>
    <w:rsid w:val="407927B7"/>
    <w:rsid w:val="407A6407"/>
    <w:rsid w:val="407C4056"/>
    <w:rsid w:val="407D392A"/>
    <w:rsid w:val="407F6327"/>
    <w:rsid w:val="407F76A2"/>
    <w:rsid w:val="4081166C"/>
    <w:rsid w:val="40827192"/>
    <w:rsid w:val="40833567"/>
    <w:rsid w:val="40836138"/>
    <w:rsid w:val="40842F0A"/>
    <w:rsid w:val="40860A30"/>
    <w:rsid w:val="40866C82"/>
    <w:rsid w:val="40890521"/>
    <w:rsid w:val="408A49C4"/>
    <w:rsid w:val="408B24EB"/>
    <w:rsid w:val="408B3189"/>
    <w:rsid w:val="408B421A"/>
    <w:rsid w:val="408B4299"/>
    <w:rsid w:val="408B6047"/>
    <w:rsid w:val="408C5D5A"/>
    <w:rsid w:val="408E5B37"/>
    <w:rsid w:val="4092048B"/>
    <w:rsid w:val="40925CB9"/>
    <w:rsid w:val="409273D5"/>
    <w:rsid w:val="4093314D"/>
    <w:rsid w:val="409475F1"/>
    <w:rsid w:val="40955117"/>
    <w:rsid w:val="40972C3D"/>
    <w:rsid w:val="40995AEB"/>
    <w:rsid w:val="409969B6"/>
    <w:rsid w:val="409A272E"/>
    <w:rsid w:val="409B6CE3"/>
    <w:rsid w:val="409C46F8"/>
    <w:rsid w:val="409C64A6"/>
    <w:rsid w:val="409F7D44"/>
    <w:rsid w:val="40A11D0E"/>
    <w:rsid w:val="40A23390"/>
    <w:rsid w:val="40A27F80"/>
    <w:rsid w:val="40A315E2"/>
    <w:rsid w:val="40A35A86"/>
    <w:rsid w:val="40A37834"/>
    <w:rsid w:val="40A435AC"/>
    <w:rsid w:val="40A45A04"/>
    <w:rsid w:val="40A47108"/>
    <w:rsid w:val="40A50042"/>
    <w:rsid w:val="40A67324"/>
    <w:rsid w:val="40A84E4B"/>
    <w:rsid w:val="40AB66E9"/>
    <w:rsid w:val="40AC3C03"/>
    <w:rsid w:val="40B03CFF"/>
    <w:rsid w:val="40B05AAD"/>
    <w:rsid w:val="40B7508E"/>
    <w:rsid w:val="40B85ED8"/>
    <w:rsid w:val="40B90E06"/>
    <w:rsid w:val="40BC6B48"/>
    <w:rsid w:val="40BE641C"/>
    <w:rsid w:val="40BF3F42"/>
    <w:rsid w:val="40C15618"/>
    <w:rsid w:val="40C33A32"/>
    <w:rsid w:val="40C61775"/>
    <w:rsid w:val="40C652D1"/>
    <w:rsid w:val="40C737B3"/>
    <w:rsid w:val="40C81049"/>
    <w:rsid w:val="40CB0B39"/>
    <w:rsid w:val="40CD48B1"/>
    <w:rsid w:val="40D043A1"/>
    <w:rsid w:val="40D23C76"/>
    <w:rsid w:val="40D2705F"/>
    <w:rsid w:val="40D55514"/>
    <w:rsid w:val="40D8548F"/>
    <w:rsid w:val="40DA0D7C"/>
    <w:rsid w:val="40DB5220"/>
    <w:rsid w:val="40DE5602"/>
    <w:rsid w:val="40DE6ABE"/>
    <w:rsid w:val="40DF6392"/>
    <w:rsid w:val="40E02836"/>
    <w:rsid w:val="40E1210B"/>
    <w:rsid w:val="40E13EB9"/>
    <w:rsid w:val="40E340D5"/>
    <w:rsid w:val="40E35E83"/>
    <w:rsid w:val="40E67721"/>
    <w:rsid w:val="40E816EB"/>
    <w:rsid w:val="40E92715"/>
    <w:rsid w:val="40EA6776"/>
    <w:rsid w:val="40EB2F89"/>
    <w:rsid w:val="40ED3C67"/>
    <w:rsid w:val="40ED6D01"/>
    <w:rsid w:val="40EE65D6"/>
    <w:rsid w:val="40F005A0"/>
    <w:rsid w:val="40F143C0"/>
    <w:rsid w:val="40F40090"/>
    <w:rsid w:val="40F523F9"/>
    <w:rsid w:val="40F7192E"/>
    <w:rsid w:val="40F736DC"/>
    <w:rsid w:val="40F80D7A"/>
    <w:rsid w:val="40FA4F7A"/>
    <w:rsid w:val="40FA63F5"/>
    <w:rsid w:val="40FB141E"/>
    <w:rsid w:val="40FC0CF2"/>
    <w:rsid w:val="40FF07E3"/>
    <w:rsid w:val="41011E2C"/>
    <w:rsid w:val="410127AD"/>
    <w:rsid w:val="41012A9F"/>
    <w:rsid w:val="41022986"/>
    <w:rsid w:val="41040A5E"/>
    <w:rsid w:val="410447FF"/>
    <w:rsid w:val="4105229D"/>
    <w:rsid w:val="4105404B"/>
    <w:rsid w:val="41061B71"/>
    <w:rsid w:val="410858E9"/>
    <w:rsid w:val="41087697"/>
    <w:rsid w:val="410A318F"/>
    <w:rsid w:val="410B7187"/>
    <w:rsid w:val="410C362B"/>
    <w:rsid w:val="410D4CAE"/>
    <w:rsid w:val="410D73A4"/>
    <w:rsid w:val="410F0A41"/>
    <w:rsid w:val="410F6C78"/>
    <w:rsid w:val="41110C42"/>
    <w:rsid w:val="411244F2"/>
    <w:rsid w:val="41140732"/>
    <w:rsid w:val="41164303"/>
    <w:rsid w:val="41166258"/>
    <w:rsid w:val="41183CE8"/>
    <w:rsid w:val="411A73CB"/>
    <w:rsid w:val="411B561D"/>
    <w:rsid w:val="411B6CE5"/>
    <w:rsid w:val="411C3143"/>
    <w:rsid w:val="411C75E7"/>
    <w:rsid w:val="411E6EBB"/>
    <w:rsid w:val="41202C33"/>
    <w:rsid w:val="41210759"/>
    <w:rsid w:val="412169AB"/>
    <w:rsid w:val="412344D1"/>
    <w:rsid w:val="412451C6"/>
    <w:rsid w:val="41250249"/>
    <w:rsid w:val="412546ED"/>
    <w:rsid w:val="4125649B"/>
    <w:rsid w:val="41263FC1"/>
    <w:rsid w:val="41270465"/>
    <w:rsid w:val="41272213"/>
    <w:rsid w:val="41281AE7"/>
    <w:rsid w:val="41282D76"/>
    <w:rsid w:val="41285F8B"/>
    <w:rsid w:val="412A3AB2"/>
    <w:rsid w:val="412B15D8"/>
    <w:rsid w:val="412F10C8"/>
    <w:rsid w:val="412F731A"/>
    <w:rsid w:val="41313092"/>
    <w:rsid w:val="41320BB8"/>
    <w:rsid w:val="41326E0A"/>
    <w:rsid w:val="413466DE"/>
    <w:rsid w:val="413606A8"/>
    <w:rsid w:val="41362456"/>
    <w:rsid w:val="413761CE"/>
    <w:rsid w:val="41377F7D"/>
    <w:rsid w:val="413B7A6D"/>
    <w:rsid w:val="413C5593"/>
    <w:rsid w:val="413E093E"/>
    <w:rsid w:val="413E130B"/>
    <w:rsid w:val="41406E31"/>
    <w:rsid w:val="41410DFB"/>
    <w:rsid w:val="4142704D"/>
    <w:rsid w:val="41432DC5"/>
    <w:rsid w:val="41456B3D"/>
    <w:rsid w:val="414601C0"/>
    <w:rsid w:val="414803DC"/>
    <w:rsid w:val="4148218A"/>
    <w:rsid w:val="414A0622"/>
    <w:rsid w:val="414B422F"/>
    <w:rsid w:val="414C1C7A"/>
    <w:rsid w:val="414D77A0"/>
    <w:rsid w:val="414F09CB"/>
    <w:rsid w:val="414F176A"/>
    <w:rsid w:val="414F3518"/>
    <w:rsid w:val="414F52C6"/>
    <w:rsid w:val="41555735"/>
    <w:rsid w:val="41566655"/>
    <w:rsid w:val="4157061F"/>
    <w:rsid w:val="415840B6"/>
    <w:rsid w:val="41594397"/>
    <w:rsid w:val="415E7BFF"/>
    <w:rsid w:val="416168A9"/>
    <w:rsid w:val="4162149D"/>
    <w:rsid w:val="41627D39"/>
    <w:rsid w:val="41635215"/>
    <w:rsid w:val="41650F8E"/>
    <w:rsid w:val="416A0352"/>
    <w:rsid w:val="416F5968"/>
    <w:rsid w:val="41704F0E"/>
    <w:rsid w:val="417116E0"/>
    <w:rsid w:val="41727207"/>
    <w:rsid w:val="417411D1"/>
    <w:rsid w:val="41760AA5"/>
    <w:rsid w:val="41772210"/>
    <w:rsid w:val="41780CC1"/>
    <w:rsid w:val="41792343"/>
    <w:rsid w:val="417967E7"/>
    <w:rsid w:val="417A5FC0"/>
    <w:rsid w:val="417B255F"/>
    <w:rsid w:val="417C2F0F"/>
    <w:rsid w:val="417D62D7"/>
    <w:rsid w:val="417E5BAB"/>
    <w:rsid w:val="417E7512"/>
    <w:rsid w:val="41801923"/>
    <w:rsid w:val="418331C2"/>
    <w:rsid w:val="41841C43"/>
    <w:rsid w:val="4185518C"/>
    <w:rsid w:val="41866A28"/>
    <w:rsid w:val="41872CB2"/>
    <w:rsid w:val="418807D8"/>
    <w:rsid w:val="41886A2A"/>
    <w:rsid w:val="418A09F4"/>
    <w:rsid w:val="418A27A2"/>
    <w:rsid w:val="418A4550"/>
    <w:rsid w:val="418C02C8"/>
    <w:rsid w:val="418C2076"/>
    <w:rsid w:val="418D4040"/>
    <w:rsid w:val="418F1B67"/>
    <w:rsid w:val="41911D83"/>
    <w:rsid w:val="41913B31"/>
    <w:rsid w:val="419158DF"/>
    <w:rsid w:val="4191768D"/>
    <w:rsid w:val="419378A9"/>
    <w:rsid w:val="419453CF"/>
    <w:rsid w:val="41970A1B"/>
    <w:rsid w:val="41994793"/>
    <w:rsid w:val="419D24D5"/>
    <w:rsid w:val="419E7FFC"/>
    <w:rsid w:val="41A03D74"/>
    <w:rsid w:val="41A25D3E"/>
    <w:rsid w:val="41A31919"/>
    <w:rsid w:val="41A41AB6"/>
    <w:rsid w:val="41A43864"/>
    <w:rsid w:val="41A575DC"/>
    <w:rsid w:val="41A76EB0"/>
    <w:rsid w:val="41A82C28"/>
    <w:rsid w:val="41A90E7A"/>
    <w:rsid w:val="41AC16A0"/>
    <w:rsid w:val="41AD023F"/>
    <w:rsid w:val="41AD7E15"/>
    <w:rsid w:val="41AE11D8"/>
    <w:rsid w:val="41AE46E3"/>
    <w:rsid w:val="41AF045B"/>
    <w:rsid w:val="41B11ADD"/>
    <w:rsid w:val="41B415CD"/>
    <w:rsid w:val="41B50A70"/>
    <w:rsid w:val="41B61F00"/>
    <w:rsid w:val="41B8730F"/>
    <w:rsid w:val="41B91FC2"/>
    <w:rsid w:val="41BA3452"/>
    <w:rsid w:val="41BB48E2"/>
    <w:rsid w:val="41BB6E00"/>
    <w:rsid w:val="41BD0482"/>
    <w:rsid w:val="41BD4926"/>
    <w:rsid w:val="41C37A62"/>
    <w:rsid w:val="41C45CB4"/>
    <w:rsid w:val="41C55588"/>
    <w:rsid w:val="41C77552"/>
    <w:rsid w:val="41C91AB7"/>
    <w:rsid w:val="41CA0DF1"/>
    <w:rsid w:val="41CA7043"/>
    <w:rsid w:val="41CC2DBB"/>
    <w:rsid w:val="41CD4447"/>
    <w:rsid w:val="41CE6B33"/>
    <w:rsid w:val="41D103D1"/>
    <w:rsid w:val="41D2325B"/>
    <w:rsid w:val="41D33FF9"/>
    <w:rsid w:val="41D43A1D"/>
    <w:rsid w:val="41D67795"/>
    <w:rsid w:val="41DA7286"/>
    <w:rsid w:val="41DB4DAC"/>
    <w:rsid w:val="41DD0B24"/>
    <w:rsid w:val="41DF3CDD"/>
    <w:rsid w:val="41E06866"/>
    <w:rsid w:val="41E111CE"/>
    <w:rsid w:val="41E2613A"/>
    <w:rsid w:val="41E33C60"/>
    <w:rsid w:val="41E55C2A"/>
    <w:rsid w:val="41E73751"/>
    <w:rsid w:val="41E81277"/>
    <w:rsid w:val="41E9396D"/>
    <w:rsid w:val="41E974C9"/>
    <w:rsid w:val="41EA3241"/>
    <w:rsid w:val="41EA78CA"/>
    <w:rsid w:val="41EE0C01"/>
    <w:rsid w:val="41EE0F83"/>
    <w:rsid w:val="41EE4ADF"/>
    <w:rsid w:val="41F36599"/>
    <w:rsid w:val="41F42D98"/>
    <w:rsid w:val="41F45E6E"/>
    <w:rsid w:val="41F52311"/>
    <w:rsid w:val="41F61BE6"/>
    <w:rsid w:val="41F67E38"/>
    <w:rsid w:val="41F83BB0"/>
    <w:rsid w:val="41F8595E"/>
    <w:rsid w:val="41F93484"/>
    <w:rsid w:val="41F95D14"/>
    <w:rsid w:val="41FA7928"/>
    <w:rsid w:val="41FB36A0"/>
    <w:rsid w:val="41FF0A9A"/>
    <w:rsid w:val="4200449D"/>
    <w:rsid w:val="42010CB6"/>
    <w:rsid w:val="42042555"/>
    <w:rsid w:val="42044303"/>
    <w:rsid w:val="4205007B"/>
    <w:rsid w:val="420662CD"/>
    <w:rsid w:val="42075BA1"/>
    <w:rsid w:val="420936C7"/>
    <w:rsid w:val="42097B6B"/>
    <w:rsid w:val="420A5691"/>
    <w:rsid w:val="420A743F"/>
    <w:rsid w:val="420B38E3"/>
    <w:rsid w:val="420C1409"/>
    <w:rsid w:val="420E33D3"/>
    <w:rsid w:val="421107CE"/>
    <w:rsid w:val="42132798"/>
    <w:rsid w:val="42134546"/>
    <w:rsid w:val="421502BE"/>
    <w:rsid w:val="42162288"/>
    <w:rsid w:val="42164036"/>
    <w:rsid w:val="42165DE4"/>
    <w:rsid w:val="42187DAE"/>
    <w:rsid w:val="421B135F"/>
    <w:rsid w:val="421D3616"/>
    <w:rsid w:val="421D53C4"/>
    <w:rsid w:val="421F113C"/>
    <w:rsid w:val="421F7117"/>
    <w:rsid w:val="42206C63"/>
    <w:rsid w:val="42213106"/>
    <w:rsid w:val="42221190"/>
    <w:rsid w:val="42240607"/>
    <w:rsid w:val="4226071D"/>
    <w:rsid w:val="422624CB"/>
    <w:rsid w:val="42276243"/>
    <w:rsid w:val="42277FF1"/>
    <w:rsid w:val="422B5D33"/>
    <w:rsid w:val="422B7AE1"/>
    <w:rsid w:val="422D2033"/>
    <w:rsid w:val="422F6EA6"/>
    <w:rsid w:val="423066CC"/>
    <w:rsid w:val="42312C1E"/>
    <w:rsid w:val="42332E3A"/>
    <w:rsid w:val="42334BE8"/>
    <w:rsid w:val="42341F06"/>
    <w:rsid w:val="42353396"/>
    <w:rsid w:val="423746D8"/>
    <w:rsid w:val="42380450"/>
    <w:rsid w:val="423821FE"/>
    <w:rsid w:val="423A3BCC"/>
    <w:rsid w:val="423A41C8"/>
    <w:rsid w:val="423A7D24"/>
    <w:rsid w:val="423B7208"/>
    <w:rsid w:val="423D46F9"/>
    <w:rsid w:val="423D5A66"/>
    <w:rsid w:val="423D7815"/>
    <w:rsid w:val="424010B3"/>
    <w:rsid w:val="42402E61"/>
    <w:rsid w:val="42415557"/>
    <w:rsid w:val="42417305"/>
    <w:rsid w:val="42440BA3"/>
    <w:rsid w:val="424566C9"/>
    <w:rsid w:val="42462B6D"/>
    <w:rsid w:val="4246491B"/>
    <w:rsid w:val="42466EEC"/>
    <w:rsid w:val="42470693"/>
    <w:rsid w:val="4249440B"/>
    <w:rsid w:val="424961B9"/>
    <w:rsid w:val="424A586D"/>
    <w:rsid w:val="424B1F31"/>
    <w:rsid w:val="424C018D"/>
    <w:rsid w:val="424C7A58"/>
    <w:rsid w:val="424E37D0"/>
    <w:rsid w:val="424E57D2"/>
    <w:rsid w:val="4250579A"/>
    <w:rsid w:val="4251142E"/>
    <w:rsid w:val="42530DE6"/>
    <w:rsid w:val="42552DB0"/>
    <w:rsid w:val="42554B5E"/>
    <w:rsid w:val="425608D6"/>
    <w:rsid w:val="4258464E"/>
    <w:rsid w:val="425A2175"/>
    <w:rsid w:val="425D7B4C"/>
    <w:rsid w:val="42613503"/>
    <w:rsid w:val="42642FF3"/>
    <w:rsid w:val="42662762"/>
    <w:rsid w:val="42664A0F"/>
    <w:rsid w:val="42666D6B"/>
    <w:rsid w:val="4269060A"/>
    <w:rsid w:val="4269685C"/>
    <w:rsid w:val="426C1EA8"/>
    <w:rsid w:val="426E79CE"/>
    <w:rsid w:val="426F40A9"/>
    <w:rsid w:val="42724A79"/>
    <w:rsid w:val="42731488"/>
    <w:rsid w:val="427633FA"/>
    <w:rsid w:val="42777821"/>
    <w:rsid w:val="4278084D"/>
    <w:rsid w:val="427C033D"/>
    <w:rsid w:val="42805A9F"/>
    <w:rsid w:val="42815953"/>
    <w:rsid w:val="42817701"/>
    <w:rsid w:val="42821601"/>
    <w:rsid w:val="428216CB"/>
    <w:rsid w:val="42844760"/>
    <w:rsid w:val="428471F1"/>
    <w:rsid w:val="42870A90"/>
    <w:rsid w:val="42876CE2"/>
    <w:rsid w:val="428A7C17"/>
    <w:rsid w:val="428B4A24"/>
    <w:rsid w:val="428B5084"/>
    <w:rsid w:val="428B67D2"/>
    <w:rsid w:val="428C1723"/>
    <w:rsid w:val="428C60A6"/>
    <w:rsid w:val="428E0470"/>
    <w:rsid w:val="428E1E1E"/>
    <w:rsid w:val="428E62C2"/>
    <w:rsid w:val="42905B96"/>
    <w:rsid w:val="429338D8"/>
    <w:rsid w:val="42937435"/>
    <w:rsid w:val="429531AD"/>
    <w:rsid w:val="42957651"/>
    <w:rsid w:val="42957E13"/>
    <w:rsid w:val="42975177"/>
    <w:rsid w:val="42976F25"/>
    <w:rsid w:val="42984A4B"/>
    <w:rsid w:val="42986794"/>
    <w:rsid w:val="42997141"/>
    <w:rsid w:val="429A316A"/>
    <w:rsid w:val="429B3C85"/>
    <w:rsid w:val="429C09DF"/>
    <w:rsid w:val="42A15FF5"/>
    <w:rsid w:val="42A258CA"/>
    <w:rsid w:val="42A41642"/>
    <w:rsid w:val="42A561C7"/>
    <w:rsid w:val="42A653BA"/>
    <w:rsid w:val="42A97719"/>
    <w:rsid w:val="42AA7468"/>
    <w:rsid w:val="42AB0C22"/>
    <w:rsid w:val="42AD4959"/>
    <w:rsid w:val="42AD499A"/>
    <w:rsid w:val="42B15B0D"/>
    <w:rsid w:val="42B21FB1"/>
    <w:rsid w:val="42B25919"/>
    <w:rsid w:val="42B26C49"/>
    <w:rsid w:val="42B31885"/>
    <w:rsid w:val="42B37AD7"/>
    <w:rsid w:val="42B42802"/>
    <w:rsid w:val="42B45D29"/>
    <w:rsid w:val="42B51AA1"/>
    <w:rsid w:val="42B71375"/>
    <w:rsid w:val="42BA0E65"/>
    <w:rsid w:val="42C121F4"/>
    <w:rsid w:val="42C26E30"/>
    <w:rsid w:val="42C41CE4"/>
    <w:rsid w:val="42C57F36"/>
    <w:rsid w:val="42C910A8"/>
    <w:rsid w:val="42C972FA"/>
    <w:rsid w:val="42CA554C"/>
    <w:rsid w:val="42CB3072"/>
    <w:rsid w:val="42CD3F43"/>
    <w:rsid w:val="42D27F5D"/>
    <w:rsid w:val="42D31F27"/>
    <w:rsid w:val="42D33CD5"/>
    <w:rsid w:val="42D40179"/>
    <w:rsid w:val="42D552A6"/>
    <w:rsid w:val="42D55C9F"/>
    <w:rsid w:val="42D71A17"/>
    <w:rsid w:val="42D737C5"/>
    <w:rsid w:val="42D77C69"/>
    <w:rsid w:val="42DA1507"/>
    <w:rsid w:val="42DA5063"/>
    <w:rsid w:val="42DC0DDB"/>
    <w:rsid w:val="42DE2DA6"/>
    <w:rsid w:val="42E12896"/>
    <w:rsid w:val="42E44134"/>
    <w:rsid w:val="42E5365A"/>
    <w:rsid w:val="42E61C5A"/>
    <w:rsid w:val="42E83C24"/>
    <w:rsid w:val="42E859D2"/>
    <w:rsid w:val="42EA174A"/>
    <w:rsid w:val="42EA346B"/>
    <w:rsid w:val="42EB54C2"/>
    <w:rsid w:val="42EB7271"/>
    <w:rsid w:val="42ED123B"/>
    <w:rsid w:val="42ED2FE9"/>
    <w:rsid w:val="42EE0B0F"/>
    <w:rsid w:val="42EF4FB3"/>
    <w:rsid w:val="42F04887"/>
    <w:rsid w:val="42F26851"/>
    <w:rsid w:val="42F36125"/>
    <w:rsid w:val="42F470EE"/>
    <w:rsid w:val="42F500EF"/>
    <w:rsid w:val="42F51E9D"/>
    <w:rsid w:val="42F73E67"/>
    <w:rsid w:val="42F8373B"/>
    <w:rsid w:val="42F86EFF"/>
    <w:rsid w:val="42F9198D"/>
    <w:rsid w:val="42F92F60"/>
    <w:rsid w:val="42F97BDF"/>
    <w:rsid w:val="42FA43F0"/>
    <w:rsid w:val="42FC147E"/>
    <w:rsid w:val="42FC322C"/>
    <w:rsid w:val="42FF2D1C"/>
    <w:rsid w:val="43000F6E"/>
    <w:rsid w:val="43014CE6"/>
    <w:rsid w:val="43016A94"/>
    <w:rsid w:val="43030E0A"/>
    <w:rsid w:val="4303280C"/>
    <w:rsid w:val="43051503"/>
    <w:rsid w:val="430640AA"/>
    <w:rsid w:val="430976F7"/>
    <w:rsid w:val="430A3B9B"/>
    <w:rsid w:val="430A3EE5"/>
    <w:rsid w:val="430B16C1"/>
    <w:rsid w:val="430B346F"/>
    <w:rsid w:val="430D5439"/>
    <w:rsid w:val="430D71E7"/>
    <w:rsid w:val="430E5437"/>
    <w:rsid w:val="430F2F5F"/>
    <w:rsid w:val="431542ED"/>
    <w:rsid w:val="43165843"/>
    <w:rsid w:val="431A1904"/>
    <w:rsid w:val="431C742A"/>
    <w:rsid w:val="43212C92"/>
    <w:rsid w:val="432509D4"/>
    <w:rsid w:val="432602A9"/>
    <w:rsid w:val="432636BD"/>
    <w:rsid w:val="432664FB"/>
    <w:rsid w:val="43282273"/>
    <w:rsid w:val="43284021"/>
    <w:rsid w:val="432A7D99"/>
    <w:rsid w:val="432B3B11"/>
    <w:rsid w:val="432C5DEE"/>
    <w:rsid w:val="432D1637"/>
    <w:rsid w:val="432E715D"/>
    <w:rsid w:val="432F1853"/>
    <w:rsid w:val="43301127"/>
    <w:rsid w:val="43324E9F"/>
    <w:rsid w:val="433330F0"/>
    <w:rsid w:val="433504EC"/>
    <w:rsid w:val="4335673E"/>
    <w:rsid w:val="43362BE2"/>
    <w:rsid w:val="43374264"/>
    <w:rsid w:val="4339622E"/>
    <w:rsid w:val="433A6FE6"/>
    <w:rsid w:val="433E55F2"/>
    <w:rsid w:val="43413334"/>
    <w:rsid w:val="434150E2"/>
    <w:rsid w:val="43420014"/>
    <w:rsid w:val="43430E5B"/>
    <w:rsid w:val="43432BE5"/>
    <w:rsid w:val="43432C09"/>
    <w:rsid w:val="43434165"/>
    <w:rsid w:val="43452E25"/>
    <w:rsid w:val="43454BD3"/>
    <w:rsid w:val="434626F9"/>
    <w:rsid w:val="43480868"/>
    <w:rsid w:val="434846C3"/>
    <w:rsid w:val="43496A62"/>
    <w:rsid w:val="43497EE7"/>
    <w:rsid w:val="434A3F97"/>
    <w:rsid w:val="434B7D0F"/>
    <w:rsid w:val="434D1CD9"/>
    <w:rsid w:val="4350713C"/>
    <w:rsid w:val="43513AA8"/>
    <w:rsid w:val="4351766F"/>
    <w:rsid w:val="4352109E"/>
    <w:rsid w:val="43525542"/>
    <w:rsid w:val="435412BA"/>
    <w:rsid w:val="43544E16"/>
    <w:rsid w:val="43566DE0"/>
    <w:rsid w:val="435766B4"/>
    <w:rsid w:val="4359067E"/>
    <w:rsid w:val="435A7F52"/>
    <w:rsid w:val="435B43F6"/>
    <w:rsid w:val="435B61A4"/>
    <w:rsid w:val="435C016E"/>
    <w:rsid w:val="435C1F1C"/>
    <w:rsid w:val="435E3EE6"/>
    <w:rsid w:val="43607C5E"/>
    <w:rsid w:val="43615785"/>
    <w:rsid w:val="436314FD"/>
    <w:rsid w:val="436332AB"/>
    <w:rsid w:val="43635059"/>
    <w:rsid w:val="43644AEF"/>
    <w:rsid w:val="436653E0"/>
    <w:rsid w:val="43672D9B"/>
    <w:rsid w:val="43683470"/>
    <w:rsid w:val="43686B13"/>
    <w:rsid w:val="436A288B"/>
    <w:rsid w:val="436A4639"/>
    <w:rsid w:val="436A63E7"/>
    <w:rsid w:val="436C6603"/>
    <w:rsid w:val="436D4129"/>
    <w:rsid w:val="436F1C02"/>
    <w:rsid w:val="436F39FE"/>
    <w:rsid w:val="436F7EA2"/>
    <w:rsid w:val="43707776"/>
    <w:rsid w:val="43713C1A"/>
    <w:rsid w:val="43721740"/>
    <w:rsid w:val="437454B8"/>
    <w:rsid w:val="43752EA3"/>
    <w:rsid w:val="43754D8C"/>
    <w:rsid w:val="43755A74"/>
    <w:rsid w:val="437B3C8D"/>
    <w:rsid w:val="437B6846"/>
    <w:rsid w:val="437D25BE"/>
    <w:rsid w:val="437E5696"/>
    <w:rsid w:val="437F7674"/>
    <w:rsid w:val="43814017"/>
    <w:rsid w:val="43827BD5"/>
    <w:rsid w:val="43836937"/>
    <w:rsid w:val="438374A9"/>
    <w:rsid w:val="43853221"/>
    <w:rsid w:val="4387343D"/>
    <w:rsid w:val="438751EB"/>
    <w:rsid w:val="43875283"/>
    <w:rsid w:val="43877E89"/>
    <w:rsid w:val="43881319"/>
    <w:rsid w:val="43882D11"/>
    <w:rsid w:val="438A0837"/>
    <w:rsid w:val="438A680A"/>
    <w:rsid w:val="438C0A54"/>
    <w:rsid w:val="438D657A"/>
    <w:rsid w:val="438F22F2"/>
    <w:rsid w:val="438F40A0"/>
    <w:rsid w:val="438F5E4E"/>
    <w:rsid w:val="43917E18"/>
    <w:rsid w:val="43923B90"/>
    <w:rsid w:val="4396542E"/>
    <w:rsid w:val="439671DC"/>
    <w:rsid w:val="439873F8"/>
    <w:rsid w:val="43996CCD"/>
    <w:rsid w:val="439C056B"/>
    <w:rsid w:val="439D4A0F"/>
    <w:rsid w:val="439D67BD"/>
    <w:rsid w:val="439E2535"/>
    <w:rsid w:val="43A062AD"/>
    <w:rsid w:val="43A23DD3"/>
    <w:rsid w:val="43A41F82"/>
    <w:rsid w:val="43A63197"/>
    <w:rsid w:val="43AA2C88"/>
    <w:rsid w:val="43AC2EA4"/>
    <w:rsid w:val="43AC6A00"/>
    <w:rsid w:val="43AD2778"/>
    <w:rsid w:val="43AD4526"/>
    <w:rsid w:val="43B2775D"/>
    <w:rsid w:val="43B27D8E"/>
    <w:rsid w:val="43B41D58"/>
    <w:rsid w:val="43B6162D"/>
    <w:rsid w:val="43B65AD0"/>
    <w:rsid w:val="43B6787E"/>
    <w:rsid w:val="43B9111D"/>
    <w:rsid w:val="43BB6C43"/>
    <w:rsid w:val="43BD0C0D"/>
    <w:rsid w:val="43BE4985"/>
    <w:rsid w:val="43BF3FB9"/>
    <w:rsid w:val="43C24475"/>
    <w:rsid w:val="43C401ED"/>
    <w:rsid w:val="43C4431A"/>
    <w:rsid w:val="43C71A8C"/>
    <w:rsid w:val="43C7383A"/>
    <w:rsid w:val="43C73BDB"/>
    <w:rsid w:val="43C867AC"/>
    <w:rsid w:val="43CA157C"/>
    <w:rsid w:val="43CB512D"/>
    <w:rsid w:val="43CE261E"/>
    <w:rsid w:val="43CE2E1A"/>
    <w:rsid w:val="43CF0940"/>
    <w:rsid w:val="43CF26EE"/>
    <w:rsid w:val="43D146B8"/>
    <w:rsid w:val="43D61CCF"/>
    <w:rsid w:val="43D67F21"/>
    <w:rsid w:val="43D877F5"/>
    <w:rsid w:val="43D9356D"/>
    <w:rsid w:val="43DA3792"/>
    <w:rsid w:val="43DD12AF"/>
    <w:rsid w:val="43DE0B83"/>
    <w:rsid w:val="43DE2931"/>
    <w:rsid w:val="43E15EC3"/>
    <w:rsid w:val="43E22422"/>
    <w:rsid w:val="43E3619A"/>
    <w:rsid w:val="43E53CC0"/>
    <w:rsid w:val="43E71EF6"/>
    <w:rsid w:val="43E72B2B"/>
    <w:rsid w:val="43E73EDC"/>
    <w:rsid w:val="43E91A02"/>
    <w:rsid w:val="43EA39CC"/>
    <w:rsid w:val="43EC504E"/>
    <w:rsid w:val="43EF2D90"/>
    <w:rsid w:val="43F32881"/>
    <w:rsid w:val="43F3462F"/>
    <w:rsid w:val="43F43450"/>
    <w:rsid w:val="43F565F9"/>
    <w:rsid w:val="43F65ECD"/>
    <w:rsid w:val="43F87E97"/>
    <w:rsid w:val="43F959BD"/>
    <w:rsid w:val="43FA3C0F"/>
    <w:rsid w:val="43FB1735"/>
    <w:rsid w:val="43FD725B"/>
    <w:rsid w:val="43FE7FBC"/>
    <w:rsid w:val="44006D4C"/>
    <w:rsid w:val="44020D16"/>
    <w:rsid w:val="44022AC4"/>
    <w:rsid w:val="44054362"/>
    <w:rsid w:val="440A1978"/>
    <w:rsid w:val="440C749E"/>
    <w:rsid w:val="440E054D"/>
    <w:rsid w:val="440E1469"/>
    <w:rsid w:val="440E76BA"/>
    <w:rsid w:val="440F51E1"/>
    <w:rsid w:val="440F5436"/>
    <w:rsid w:val="44134CD1"/>
    <w:rsid w:val="4416031D"/>
    <w:rsid w:val="44183734"/>
    <w:rsid w:val="44184095"/>
    <w:rsid w:val="44193CE6"/>
    <w:rsid w:val="441F5424"/>
    <w:rsid w:val="44226CC2"/>
    <w:rsid w:val="44230847"/>
    <w:rsid w:val="44242A3A"/>
    <w:rsid w:val="442548A8"/>
    <w:rsid w:val="4427077C"/>
    <w:rsid w:val="44284A81"/>
    <w:rsid w:val="442944F4"/>
    <w:rsid w:val="442A5B77"/>
    <w:rsid w:val="442B201A"/>
    <w:rsid w:val="442C18EF"/>
    <w:rsid w:val="442C303A"/>
    <w:rsid w:val="442C5D93"/>
    <w:rsid w:val="442D18F9"/>
    <w:rsid w:val="442E5667"/>
    <w:rsid w:val="4430027A"/>
    <w:rsid w:val="443142DB"/>
    <w:rsid w:val="44315157"/>
    <w:rsid w:val="44316F05"/>
    <w:rsid w:val="4432576B"/>
    <w:rsid w:val="44332C7D"/>
    <w:rsid w:val="44345C27"/>
    <w:rsid w:val="44354C47"/>
    <w:rsid w:val="443609BF"/>
    <w:rsid w:val="44380293"/>
    <w:rsid w:val="44384737"/>
    <w:rsid w:val="443864E5"/>
    <w:rsid w:val="4439400C"/>
    <w:rsid w:val="443A225E"/>
    <w:rsid w:val="443B7D84"/>
    <w:rsid w:val="443D58AA"/>
    <w:rsid w:val="443F1622"/>
    <w:rsid w:val="4441183E"/>
    <w:rsid w:val="44416EAA"/>
    <w:rsid w:val="44421112"/>
    <w:rsid w:val="44424DAC"/>
    <w:rsid w:val="44446C38"/>
    <w:rsid w:val="44476729"/>
    <w:rsid w:val="44481F86"/>
    <w:rsid w:val="444924A1"/>
    <w:rsid w:val="44496945"/>
    <w:rsid w:val="444A6219"/>
    <w:rsid w:val="444A7FC7"/>
    <w:rsid w:val="444E3F5B"/>
    <w:rsid w:val="444E5D09"/>
    <w:rsid w:val="444F55DD"/>
    <w:rsid w:val="445350CD"/>
    <w:rsid w:val="44550E45"/>
    <w:rsid w:val="445A34E7"/>
    <w:rsid w:val="445A645C"/>
    <w:rsid w:val="445B0426"/>
    <w:rsid w:val="445B21D4"/>
    <w:rsid w:val="445C3F1A"/>
    <w:rsid w:val="445D7CFA"/>
    <w:rsid w:val="445F1CC4"/>
    <w:rsid w:val="44615A3C"/>
    <w:rsid w:val="446217B4"/>
    <w:rsid w:val="446472DA"/>
    <w:rsid w:val="4465321F"/>
    <w:rsid w:val="4466465B"/>
    <w:rsid w:val="44666861"/>
    <w:rsid w:val="44670B79"/>
    <w:rsid w:val="44686F7B"/>
    <w:rsid w:val="44692B43"/>
    <w:rsid w:val="446B0669"/>
    <w:rsid w:val="446B68BB"/>
    <w:rsid w:val="446E2C06"/>
    <w:rsid w:val="446F7A2D"/>
    <w:rsid w:val="44727C49"/>
    <w:rsid w:val="4475773A"/>
    <w:rsid w:val="4476700E"/>
    <w:rsid w:val="447A2AD1"/>
    <w:rsid w:val="447A4D50"/>
    <w:rsid w:val="447C53F1"/>
    <w:rsid w:val="447D039C"/>
    <w:rsid w:val="447E28E2"/>
    <w:rsid w:val="447F4114"/>
    <w:rsid w:val="448160DE"/>
    <w:rsid w:val="44817E8C"/>
    <w:rsid w:val="44823C05"/>
    <w:rsid w:val="44831C25"/>
    <w:rsid w:val="44846754"/>
    <w:rsid w:val="448654A3"/>
    <w:rsid w:val="44867251"/>
    <w:rsid w:val="4488746D"/>
    <w:rsid w:val="448A6B93"/>
    <w:rsid w:val="448B0D0B"/>
    <w:rsid w:val="448B4867"/>
    <w:rsid w:val="448C6831"/>
    <w:rsid w:val="448D4A83"/>
    <w:rsid w:val="448F2126"/>
    <w:rsid w:val="44901E7E"/>
    <w:rsid w:val="44924440"/>
    <w:rsid w:val="44934AAB"/>
    <w:rsid w:val="44937BC0"/>
    <w:rsid w:val="44941FAF"/>
    <w:rsid w:val="449556E6"/>
    <w:rsid w:val="449776B0"/>
    <w:rsid w:val="44986F84"/>
    <w:rsid w:val="449A0F4E"/>
    <w:rsid w:val="449A71A0"/>
    <w:rsid w:val="449C5E6A"/>
    <w:rsid w:val="449D27EC"/>
    <w:rsid w:val="449D3330"/>
    <w:rsid w:val="449E078A"/>
    <w:rsid w:val="449F0313"/>
    <w:rsid w:val="449F7072"/>
    <w:rsid w:val="44A1052F"/>
    <w:rsid w:val="44A1408B"/>
    <w:rsid w:val="44A616A1"/>
    <w:rsid w:val="44A65B45"/>
    <w:rsid w:val="44A703AC"/>
    <w:rsid w:val="44A771C7"/>
    <w:rsid w:val="44A818BD"/>
    <w:rsid w:val="44A8366B"/>
    <w:rsid w:val="44A9589D"/>
    <w:rsid w:val="44AB1EDA"/>
    <w:rsid w:val="44AB4F09"/>
    <w:rsid w:val="44AC2A30"/>
    <w:rsid w:val="44AE0556"/>
    <w:rsid w:val="44AE49FA"/>
    <w:rsid w:val="44AE56AE"/>
    <w:rsid w:val="44AE67A8"/>
    <w:rsid w:val="44B00772"/>
    <w:rsid w:val="44B042CE"/>
    <w:rsid w:val="44B1402F"/>
    <w:rsid w:val="44B244EA"/>
    <w:rsid w:val="44B26298"/>
    <w:rsid w:val="44B30262"/>
    <w:rsid w:val="44B32010"/>
    <w:rsid w:val="44B57B36"/>
    <w:rsid w:val="44B6565C"/>
    <w:rsid w:val="44B738AE"/>
    <w:rsid w:val="44B87626"/>
    <w:rsid w:val="44B951CC"/>
    <w:rsid w:val="44BA15F0"/>
    <w:rsid w:val="44BA339E"/>
    <w:rsid w:val="44BC7116"/>
    <w:rsid w:val="44BD4C3D"/>
    <w:rsid w:val="44BF09B5"/>
    <w:rsid w:val="44BF0E72"/>
    <w:rsid w:val="44BF2763"/>
    <w:rsid w:val="44BF57D9"/>
    <w:rsid w:val="44C02694"/>
    <w:rsid w:val="44C10289"/>
    <w:rsid w:val="44C15470"/>
    <w:rsid w:val="44C164DB"/>
    <w:rsid w:val="44C304A5"/>
    <w:rsid w:val="44C45FCB"/>
    <w:rsid w:val="44C53935"/>
    <w:rsid w:val="44C61D43"/>
    <w:rsid w:val="44C63AF1"/>
    <w:rsid w:val="44C80E26"/>
    <w:rsid w:val="44C935E1"/>
    <w:rsid w:val="44C9538F"/>
    <w:rsid w:val="44CC6C2E"/>
    <w:rsid w:val="44CD1324"/>
    <w:rsid w:val="44CD14E0"/>
    <w:rsid w:val="44CD30D2"/>
    <w:rsid w:val="44CE29A6"/>
    <w:rsid w:val="44D02BC2"/>
    <w:rsid w:val="44D22496"/>
    <w:rsid w:val="44D34460"/>
    <w:rsid w:val="44D37FBC"/>
    <w:rsid w:val="44D51F86"/>
    <w:rsid w:val="44D75CFE"/>
    <w:rsid w:val="44D83825"/>
    <w:rsid w:val="44D97CC8"/>
    <w:rsid w:val="44DC50C3"/>
    <w:rsid w:val="44DD0E3B"/>
    <w:rsid w:val="44DE52DF"/>
    <w:rsid w:val="44DF4BB3"/>
    <w:rsid w:val="44E1092B"/>
    <w:rsid w:val="44E13BB3"/>
    <w:rsid w:val="44E421C9"/>
    <w:rsid w:val="44E65F41"/>
    <w:rsid w:val="44E81CBA"/>
    <w:rsid w:val="44E87F0C"/>
    <w:rsid w:val="44E977E0"/>
    <w:rsid w:val="44EB17AA"/>
    <w:rsid w:val="44EB3558"/>
    <w:rsid w:val="44EB64CD"/>
    <w:rsid w:val="44EC107E"/>
    <w:rsid w:val="44EE129A"/>
    <w:rsid w:val="44F05012"/>
    <w:rsid w:val="44F06DC0"/>
    <w:rsid w:val="44F07603"/>
    <w:rsid w:val="44F20B0B"/>
    <w:rsid w:val="44F20D8A"/>
    <w:rsid w:val="44F25523"/>
    <w:rsid w:val="44F52628"/>
    <w:rsid w:val="44F543D6"/>
    <w:rsid w:val="44F61827"/>
    <w:rsid w:val="44F7014F"/>
    <w:rsid w:val="44F867C4"/>
    <w:rsid w:val="44F87A23"/>
    <w:rsid w:val="44FE14DD"/>
    <w:rsid w:val="44FF4F56"/>
    <w:rsid w:val="44FF5255"/>
    <w:rsid w:val="44FF7003"/>
    <w:rsid w:val="45012D7B"/>
    <w:rsid w:val="45080E8A"/>
    <w:rsid w:val="4508410A"/>
    <w:rsid w:val="45091C30"/>
    <w:rsid w:val="450A37AA"/>
    <w:rsid w:val="450B59A8"/>
    <w:rsid w:val="450C780B"/>
    <w:rsid w:val="450D7972"/>
    <w:rsid w:val="450E5498"/>
    <w:rsid w:val="450E7246"/>
    <w:rsid w:val="45101210"/>
    <w:rsid w:val="45102FBE"/>
    <w:rsid w:val="45107462"/>
    <w:rsid w:val="4510761C"/>
    <w:rsid w:val="45120AE5"/>
    <w:rsid w:val="45126D36"/>
    <w:rsid w:val="451505D5"/>
    <w:rsid w:val="451707F1"/>
    <w:rsid w:val="4517491E"/>
    <w:rsid w:val="45196317"/>
    <w:rsid w:val="451A208F"/>
    <w:rsid w:val="451A3E3D"/>
    <w:rsid w:val="451C0790"/>
    <w:rsid w:val="451F3201"/>
    <w:rsid w:val="451F76A5"/>
    <w:rsid w:val="45230F44"/>
    <w:rsid w:val="45232CF2"/>
    <w:rsid w:val="45244CBC"/>
    <w:rsid w:val="45272CD2"/>
    <w:rsid w:val="452847AC"/>
    <w:rsid w:val="45286D33"/>
    <w:rsid w:val="452B1BA6"/>
    <w:rsid w:val="452D1DC2"/>
    <w:rsid w:val="452D3B70"/>
    <w:rsid w:val="452D591E"/>
    <w:rsid w:val="452E5F4C"/>
    <w:rsid w:val="452F5B3A"/>
    <w:rsid w:val="45321187"/>
    <w:rsid w:val="45321526"/>
    <w:rsid w:val="45350C77"/>
    <w:rsid w:val="45356EC9"/>
    <w:rsid w:val="453A628D"/>
    <w:rsid w:val="453B25D8"/>
    <w:rsid w:val="453B44DF"/>
    <w:rsid w:val="453C0257"/>
    <w:rsid w:val="453E7B2C"/>
    <w:rsid w:val="453F38A4"/>
    <w:rsid w:val="45433394"/>
    <w:rsid w:val="454341EB"/>
    <w:rsid w:val="454669E0"/>
    <w:rsid w:val="45470B7B"/>
    <w:rsid w:val="4548631D"/>
    <w:rsid w:val="45486BFC"/>
    <w:rsid w:val="45494BDC"/>
    <w:rsid w:val="454964D0"/>
    <w:rsid w:val="454B2248"/>
    <w:rsid w:val="454B3FF6"/>
    <w:rsid w:val="454C355D"/>
    <w:rsid w:val="454D4212"/>
    <w:rsid w:val="4550160D"/>
    <w:rsid w:val="45505AB1"/>
    <w:rsid w:val="4550785F"/>
    <w:rsid w:val="45513D03"/>
    <w:rsid w:val="45525385"/>
    <w:rsid w:val="45533430"/>
    <w:rsid w:val="455410FD"/>
    <w:rsid w:val="4554734F"/>
    <w:rsid w:val="4555317F"/>
    <w:rsid w:val="455671E0"/>
    <w:rsid w:val="4557299B"/>
    <w:rsid w:val="45575091"/>
    <w:rsid w:val="455A57DD"/>
    <w:rsid w:val="455C26A8"/>
    <w:rsid w:val="455C4456"/>
    <w:rsid w:val="455C6204"/>
    <w:rsid w:val="455F7AA2"/>
    <w:rsid w:val="45603F46"/>
    <w:rsid w:val="45612018"/>
    <w:rsid w:val="45617CBE"/>
    <w:rsid w:val="456357E4"/>
    <w:rsid w:val="45637592"/>
    <w:rsid w:val="456450B8"/>
    <w:rsid w:val="4565330A"/>
    <w:rsid w:val="45660E30"/>
    <w:rsid w:val="45670165"/>
    <w:rsid w:val="45682DFA"/>
    <w:rsid w:val="456926CF"/>
    <w:rsid w:val="456A0921"/>
    <w:rsid w:val="456D0411"/>
    <w:rsid w:val="456F23DB"/>
    <w:rsid w:val="456F5F37"/>
    <w:rsid w:val="45701CAF"/>
    <w:rsid w:val="45723C79"/>
    <w:rsid w:val="45725278"/>
    <w:rsid w:val="457277D5"/>
    <w:rsid w:val="457479F1"/>
    <w:rsid w:val="457572C5"/>
    <w:rsid w:val="4577128F"/>
    <w:rsid w:val="4577303D"/>
    <w:rsid w:val="45774DEB"/>
    <w:rsid w:val="457C2402"/>
    <w:rsid w:val="457E261E"/>
    <w:rsid w:val="457E43CC"/>
    <w:rsid w:val="458138DD"/>
    <w:rsid w:val="45835E86"/>
    <w:rsid w:val="458539AC"/>
    <w:rsid w:val="45863281"/>
    <w:rsid w:val="458946E9"/>
    <w:rsid w:val="458A2D71"/>
    <w:rsid w:val="458C09F0"/>
    <w:rsid w:val="458C4D3B"/>
    <w:rsid w:val="45905EAD"/>
    <w:rsid w:val="45911C91"/>
    <w:rsid w:val="45921C25"/>
    <w:rsid w:val="45941E41"/>
    <w:rsid w:val="4594599D"/>
    <w:rsid w:val="459534C4"/>
    <w:rsid w:val="45967968"/>
    <w:rsid w:val="4597548E"/>
    <w:rsid w:val="4597723C"/>
    <w:rsid w:val="459B31D0"/>
    <w:rsid w:val="459B4F7E"/>
    <w:rsid w:val="459C04E5"/>
    <w:rsid w:val="459C2AA4"/>
    <w:rsid w:val="459E05CA"/>
    <w:rsid w:val="459E681C"/>
    <w:rsid w:val="459F48C9"/>
    <w:rsid w:val="45A47C0E"/>
    <w:rsid w:val="45A51959"/>
    <w:rsid w:val="45A57BAB"/>
    <w:rsid w:val="45A81449"/>
    <w:rsid w:val="45A831F7"/>
    <w:rsid w:val="45AA6F6F"/>
    <w:rsid w:val="45AB5409"/>
    <w:rsid w:val="45AC0F39"/>
    <w:rsid w:val="45AD4CB1"/>
    <w:rsid w:val="45AD6A5F"/>
    <w:rsid w:val="45B1654F"/>
    <w:rsid w:val="45B47DEE"/>
    <w:rsid w:val="45B63B66"/>
    <w:rsid w:val="45B918A8"/>
    <w:rsid w:val="45BB117C"/>
    <w:rsid w:val="45BB73CE"/>
    <w:rsid w:val="45BE0C6C"/>
    <w:rsid w:val="45C049E4"/>
    <w:rsid w:val="45C06792"/>
    <w:rsid w:val="45C14BA3"/>
    <w:rsid w:val="45C30031"/>
    <w:rsid w:val="45C36283"/>
    <w:rsid w:val="45C51FFB"/>
    <w:rsid w:val="45C83899"/>
    <w:rsid w:val="45C85647"/>
    <w:rsid w:val="45C920D3"/>
    <w:rsid w:val="45CA3563"/>
    <w:rsid w:val="45CA720B"/>
    <w:rsid w:val="45CB0699"/>
    <w:rsid w:val="45CC3389"/>
    <w:rsid w:val="45CD0A54"/>
    <w:rsid w:val="45CD0EAF"/>
    <w:rsid w:val="45CD7101"/>
    <w:rsid w:val="45CF2E79"/>
    <w:rsid w:val="45CF3374"/>
    <w:rsid w:val="45CF4C28"/>
    <w:rsid w:val="45D1274E"/>
    <w:rsid w:val="45D16BF2"/>
    <w:rsid w:val="45D264C6"/>
    <w:rsid w:val="45D3296A"/>
    <w:rsid w:val="45D4223E"/>
    <w:rsid w:val="45D43FEC"/>
    <w:rsid w:val="45D44615"/>
    <w:rsid w:val="45D61B06"/>
    <w:rsid w:val="45D64208"/>
    <w:rsid w:val="45D93CF8"/>
    <w:rsid w:val="45DC10F2"/>
    <w:rsid w:val="45DD7344"/>
    <w:rsid w:val="45E03718"/>
    <w:rsid w:val="45E2495B"/>
    <w:rsid w:val="45E36925"/>
    <w:rsid w:val="45E5444B"/>
    <w:rsid w:val="45E701C3"/>
    <w:rsid w:val="45EA1A61"/>
    <w:rsid w:val="45EA380F"/>
    <w:rsid w:val="45EC3A2B"/>
    <w:rsid w:val="45EC57D9"/>
    <w:rsid w:val="45EC7588"/>
    <w:rsid w:val="45EE77A4"/>
    <w:rsid w:val="45F12DF0"/>
    <w:rsid w:val="45F14B9E"/>
    <w:rsid w:val="45F3102E"/>
    <w:rsid w:val="45F34DBA"/>
    <w:rsid w:val="45F428E0"/>
    <w:rsid w:val="45F97EF6"/>
    <w:rsid w:val="45FB2391"/>
    <w:rsid w:val="45FB3C6E"/>
    <w:rsid w:val="45FB77CB"/>
    <w:rsid w:val="46003033"/>
    <w:rsid w:val="460074D7"/>
    <w:rsid w:val="46032B23"/>
    <w:rsid w:val="460664FE"/>
    <w:rsid w:val="46072075"/>
    <w:rsid w:val="46081EE8"/>
    <w:rsid w:val="460A133B"/>
    <w:rsid w:val="460A1E32"/>
    <w:rsid w:val="460A5C60"/>
    <w:rsid w:val="460B72B5"/>
    <w:rsid w:val="460C7C2A"/>
    <w:rsid w:val="460F14C8"/>
    <w:rsid w:val="461116AD"/>
    <w:rsid w:val="46130FB8"/>
    <w:rsid w:val="4613720A"/>
    <w:rsid w:val="46144D30"/>
    <w:rsid w:val="46145273"/>
    <w:rsid w:val="46155B08"/>
    <w:rsid w:val="46162856"/>
    <w:rsid w:val="461865CE"/>
    <w:rsid w:val="46192D48"/>
    <w:rsid w:val="46195EA3"/>
    <w:rsid w:val="461B0239"/>
    <w:rsid w:val="461D1E37"/>
    <w:rsid w:val="461D5993"/>
    <w:rsid w:val="461E795D"/>
    <w:rsid w:val="461F3D68"/>
    <w:rsid w:val="461F3F1D"/>
    <w:rsid w:val="46205483"/>
    <w:rsid w:val="462211FB"/>
    <w:rsid w:val="46223947"/>
    <w:rsid w:val="4623010C"/>
    <w:rsid w:val="46252A2C"/>
    <w:rsid w:val="46252A99"/>
    <w:rsid w:val="462705C0"/>
    <w:rsid w:val="46276812"/>
    <w:rsid w:val="46284338"/>
    <w:rsid w:val="462A6302"/>
    <w:rsid w:val="462C02CC"/>
    <w:rsid w:val="462C3E28"/>
    <w:rsid w:val="462C5BD6"/>
    <w:rsid w:val="462E5DF2"/>
    <w:rsid w:val="46301E70"/>
    <w:rsid w:val="46326F64"/>
    <w:rsid w:val="46342CDD"/>
    <w:rsid w:val="46364CA7"/>
    <w:rsid w:val="46366A55"/>
    <w:rsid w:val="463902F3"/>
    <w:rsid w:val="46394F03"/>
    <w:rsid w:val="463B22BD"/>
    <w:rsid w:val="463B406B"/>
    <w:rsid w:val="463D2143"/>
    <w:rsid w:val="463F1DAD"/>
    <w:rsid w:val="463F7FFF"/>
    <w:rsid w:val="46422A3B"/>
    <w:rsid w:val="4642364B"/>
    <w:rsid w:val="46445615"/>
    <w:rsid w:val="464473C4"/>
    <w:rsid w:val="46470C62"/>
    <w:rsid w:val="46476EB4"/>
    <w:rsid w:val="464949DA"/>
    <w:rsid w:val="46496788"/>
    <w:rsid w:val="464A2500"/>
    <w:rsid w:val="464E0242"/>
    <w:rsid w:val="464E1FF0"/>
    <w:rsid w:val="464E3D9E"/>
    <w:rsid w:val="4654337F"/>
    <w:rsid w:val="46560EA5"/>
    <w:rsid w:val="46577FD6"/>
    <w:rsid w:val="4658048C"/>
    <w:rsid w:val="46584C1D"/>
    <w:rsid w:val="465B64BB"/>
    <w:rsid w:val="465C029D"/>
    <w:rsid w:val="465D0485"/>
    <w:rsid w:val="46603AD2"/>
    <w:rsid w:val="46633E5E"/>
    <w:rsid w:val="466435C2"/>
    <w:rsid w:val="46647A66"/>
    <w:rsid w:val="4666134F"/>
    <w:rsid w:val="46696E2A"/>
    <w:rsid w:val="466A1160"/>
    <w:rsid w:val="466B0DF4"/>
    <w:rsid w:val="466E2692"/>
    <w:rsid w:val="466E4440"/>
    <w:rsid w:val="466E61EE"/>
    <w:rsid w:val="46713F31"/>
    <w:rsid w:val="46717A8D"/>
    <w:rsid w:val="46731A57"/>
    <w:rsid w:val="4674757D"/>
    <w:rsid w:val="467557CF"/>
    <w:rsid w:val="4676108E"/>
    <w:rsid w:val="46761547"/>
    <w:rsid w:val="467632F5"/>
    <w:rsid w:val="467852BF"/>
    <w:rsid w:val="467A1037"/>
    <w:rsid w:val="467A2DE5"/>
    <w:rsid w:val="467D0B27"/>
    <w:rsid w:val="467D28D5"/>
    <w:rsid w:val="467D4684"/>
    <w:rsid w:val="467F664E"/>
    <w:rsid w:val="46805F22"/>
    <w:rsid w:val="468123C6"/>
    <w:rsid w:val="46843C64"/>
    <w:rsid w:val="468477C0"/>
    <w:rsid w:val="46853538"/>
    <w:rsid w:val="468679DC"/>
    <w:rsid w:val="46873754"/>
    <w:rsid w:val="46893028"/>
    <w:rsid w:val="468974CC"/>
    <w:rsid w:val="468A0B4E"/>
    <w:rsid w:val="468A6DA0"/>
    <w:rsid w:val="468B4FF2"/>
    <w:rsid w:val="468C2B19"/>
    <w:rsid w:val="468C48C7"/>
    <w:rsid w:val="468E4AE3"/>
    <w:rsid w:val="46902609"/>
    <w:rsid w:val="46902E7B"/>
    <w:rsid w:val="4691012F"/>
    <w:rsid w:val="469320F9"/>
    <w:rsid w:val="46935C55"/>
    <w:rsid w:val="46971BE9"/>
    <w:rsid w:val="469C3FEF"/>
    <w:rsid w:val="469C7200"/>
    <w:rsid w:val="469D0882"/>
    <w:rsid w:val="46A20569"/>
    <w:rsid w:val="46A240EA"/>
    <w:rsid w:val="46A41C10"/>
    <w:rsid w:val="46A55988"/>
    <w:rsid w:val="46A61E2C"/>
    <w:rsid w:val="46A71700"/>
    <w:rsid w:val="46A95479"/>
    <w:rsid w:val="46AB11F1"/>
    <w:rsid w:val="46AC6D17"/>
    <w:rsid w:val="46AE2A8F"/>
    <w:rsid w:val="46B02CAB"/>
    <w:rsid w:val="46B06807"/>
    <w:rsid w:val="46B1257F"/>
    <w:rsid w:val="46B207D1"/>
    <w:rsid w:val="46B300A5"/>
    <w:rsid w:val="46B34549"/>
    <w:rsid w:val="46B417FC"/>
    <w:rsid w:val="46B53E1D"/>
    <w:rsid w:val="46B75DE7"/>
    <w:rsid w:val="46B8390E"/>
    <w:rsid w:val="46B856BC"/>
    <w:rsid w:val="46BA58D8"/>
    <w:rsid w:val="46BB51AC"/>
    <w:rsid w:val="46BD0F24"/>
    <w:rsid w:val="46C027C2"/>
    <w:rsid w:val="46C422B2"/>
    <w:rsid w:val="46C44060"/>
    <w:rsid w:val="46C6602A"/>
    <w:rsid w:val="46C71DA3"/>
    <w:rsid w:val="46C81B7C"/>
    <w:rsid w:val="46C978C9"/>
    <w:rsid w:val="46CC1167"/>
    <w:rsid w:val="46D06EA9"/>
    <w:rsid w:val="46D1436F"/>
    <w:rsid w:val="46D324F5"/>
    <w:rsid w:val="46D52711"/>
    <w:rsid w:val="46D544C0"/>
    <w:rsid w:val="46D5626E"/>
    <w:rsid w:val="46D64180"/>
    <w:rsid w:val="46D83FB0"/>
    <w:rsid w:val="46D87B0C"/>
    <w:rsid w:val="46D955A7"/>
    <w:rsid w:val="46DA1AD6"/>
    <w:rsid w:val="46DC584E"/>
    <w:rsid w:val="46DD3374"/>
    <w:rsid w:val="46DD5122"/>
    <w:rsid w:val="46DF0E9A"/>
    <w:rsid w:val="46DF533E"/>
    <w:rsid w:val="46DF70EC"/>
    <w:rsid w:val="46E11293"/>
    <w:rsid w:val="46E6047B"/>
    <w:rsid w:val="46E75FA1"/>
    <w:rsid w:val="46E81166"/>
    <w:rsid w:val="46E82445"/>
    <w:rsid w:val="46E841F3"/>
    <w:rsid w:val="46E91689"/>
    <w:rsid w:val="46E97F6B"/>
    <w:rsid w:val="46EB3CE3"/>
    <w:rsid w:val="46EB783F"/>
    <w:rsid w:val="46ED695B"/>
    <w:rsid w:val="46ED7A5B"/>
    <w:rsid w:val="46EE732F"/>
    <w:rsid w:val="46F030A7"/>
    <w:rsid w:val="46F04E55"/>
    <w:rsid w:val="46F34946"/>
    <w:rsid w:val="46F36F97"/>
    <w:rsid w:val="46F5246C"/>
    <w:rsid w:val="46F56910"/>
    <w:rsid w:val="46F72688"/>
    <w:rsid w:val="46F74436"/>
    <w:rsid w:val="46FF481C"/>
    <w:rsid w:val="47012600"/>
    <w:rsid w:val="47013507"/>
    <w:rsid w:val="47017063"/>
    <w:rsid w:val="47022DDB"/>
    <w:rsid w:val="47024B89"/>
    <w:rsid w:val="470362D1"/>
    <w:rsid w:val="47084895"/>
    <w:rsid w:val="470923BB"/>
    <w:rsid w:val="47094169"/>
    <w:rsid w:val="47095F17"/>
    <w:rsid w:val="470D5A07"/>
    <w:rsid w:val="470E2960"/>
    <w:rsid w:val="470E352E"/>
    <w:rsid w:val="470F5136"/>
    <w:rsid w:val="4710374A"/>
    <w:rsid w:val="471072A6"/>
    <w:rsid w:val="47133957"/>
    <w:rsid w:val="47136D96"/>
    <w:rsid w:val="47174AD8"/>
    <w:rsid w:val="471825FE"/>
    <w:rsid w:val="471A0124"/>
    <w:rsid w:val="471A45C8"/>
    <w:rsid w:val="471D19C3"/>
    <w:rsid w:val="471E1235"/>
    <w:rsid w:val="471E2976"/>
    <w:rsid w:val="471F3E06"/>
    <w:rsid w:val="472114B3"/>
    <w:rsid w:val="47213261"/>
    <w:rsid w:val="47217705"/>
    <w:rsid w:val="47226FD9"/>
    <w:rsid w:val="4723522B"/>
    <w:rsid w:val="47240FA3"/>
    <w:rsid w:val="47242D51"/>
    <w:rsid w:val="472745EF"/>
    <w:rsid w:val="47280A93"/>
    <w:rsid w:val="472866DC"/>
    <w:rsid w:val="47290367"/>
    <w:rsid w:val="47294EB8"/>
    <w:rsid w:val="472B0583"/>
    <w:rsid w:val="472B40E0"/>
    <w:rsid w:val="473070C1"/>
    <w:rsid w:val="473276AB"/>
    <w:rsid w:val="473311E6"/>
    <w:rsid w:val="47332F94"/>
    <w:rsid w:val="4734568A"/>
    <w:rsid w:val="47347438"/>
    <w:rsid w:val="47353569"/>
    <w:rsid w:val="47354F5E"/>
    <w:rsid w:val="47370CD6"/>
    <w:rsid w:val="473860EE"/>
    <w:rsid w:val="473A07C7"/>
    <w:rsid w:val="473A4323"/>
    <w:rsid w:val="473D47BE"/>
    <w:rsid w:val="473F7B8B"/>
    <w:rsid w:val="4740402F"/>
    <w:rsid w:val="47413903"/>
    <w:rsid w:val="474156B1"/>
    <w:rsid w:val="47421D71"/>
    <w:rsid w:val="4743767B"/>
    <w:rsid w:val="47451645"/>
    <w:rsid w:val="47460F19"/>
    <w:rsid w:val="47462CC7"/>
    <w:rsid w:val="474653BD"/>
    <w:rsid w:val="4746716B"/>
    <w:rsid w:val="47470441"/>
    <w:rsid w:val="47495A20"/>
    <w:rsid w:val="474978A2"/>
    <w:rsid w:val="474A6017"/>
    <w:rsid w:val="474B29D4"/>
    <w:rsid w:val="474C59F4"/>
    <w:rsid w:val="474D04FA"/>
    <w:rsid w:val="47501D98"/>
    <w:rsid w:val="475239D4"/>
    <w:rsid w:val="47523D62"/>
    <w:rsid w:val="47525B10"/>
    <w:rsid w:val="475278BE"/>
    <w:rsid w:val="475353E4"/>
    <w:rsid w:val="47541888"/>
    <w:rsid w:val="47561677"/>
    <w:rsid w:val="47573126"/>
    <w:rsid w:val="475813C6"/>
    <w:rsid w:val="475950F1"/>
    <w:rsid w:val="475A6773"/>
    <w:rsid w:val="475A68B7"/>
    <w:rsid w:val="475A7FF8"/>
    <w:rsid w:val="475C24EB"/>
    <w:rsid w:val="475C698F"/>
    <w:rsid w:val="475E44B5"/>
    <w:rsid w:val="475E6263"/>
    <w:rsid w:val="4760647F"/>
    <w:rsid w:val="47615D53"/>
    <w:rsid w:val="47621D4A"/>
    <w:rsid w:val="47627C1A"/>
    <w:rsid w:val="47631ACB"/>
    <w:rsid w:val="476615BC"/>
    <w:rsid w:val="47664E5A"/>
    <w:rsid w:val="47685334"/>
    <w:rsid w:val="476B4E24"/>
    <w:rsid w:val="476B6BD2"/>
    <w:rsid w:val="476F0470"/>
    <w:rsid w:val="476F0D8E"/>
    <w:rsid w:val="476F1E82"/>
    <w:rsid w:val="47700ADD"/>
    <w:rsid w:val="47721D0E"/>
    <w:rsid w:val="477261B2"/>
    <w:rsid w:val="47727F60"/>
    <w:rsid w:val="4775307B"/>
    <w:rsid w:val="477737C9"/>
    <w:rsid w:val="47775577"/>
    <w:rsid w:val="47777325"/>
    <w:rsid w:val="4779309D"/>
    <w:rsid w:val="47794E4B"/>
    <w:rsid w:val="477E4B57"/>
    <w:rsid w:val="47835CCA"/>
    <w:rsid w:val="47863A0C"/>
    <w:rsid w:val="47887784"/>
    <w:rsid w:val="478A52AA"/>
    <w:rsid w:val="478A5995"/>
    <w:rsid w:val="478A7058"/>
    <w:rsid w:val="478B1022"/>
    <w:rsid w:val="478B2DD0"/>
    <w:rsid w:val="478B5A34"/>
    <w:rsid w:val="478C29D1"/>
    <w:rsid w:val="478F0B12"/>
    <w:rsid w:val="478F466E"/>
    <w:rsid w:val="47906638"/>
    <w:rsid w:val="47925F0D"/>
    <w:rsid w:val="47941C85"/>
    <w:rsid w:val="47947ED7"/>
    <w:rsid w:val="479559FD"/>
    <w:rsid w:val="47966384"/>
    <w:rsid w:val="479954ED"/>
    <w:rsid w:val="479B1265"/>
    <w:rsid w:val="479C322F"/>
    <w:rsid w:val="479C6D8B"/>
    <w:rsid w:val="479E0D55"/>
    <w:rsid w:val="479E48B1"/>
    <w:rsid w:val="479F062A"/>
    <w:rsid w:val="47A0687C"/>
    <w:rsid w:val="47A07E0C"/>
    <w:rsid w:val="47A23C1C"/>
    <w:rsid w:val="47A3011A"/>
    <w:rsid w:val="47A324A9"/>
    <w:rsid w:val="47A3396B"/>
    <w:rsid w:val="47A3636C"/>
    <w:rsid w:val="47A43710"/>
    <w:rsid w:val="47A45C40"/>
    <w:rsid w:val="47A520E4"/>
    <w:rsid w:val="47A53E92"/>
    <w:rsid w:val="47A83982"/>
    <w:rsid w:val="47A85730"/>
    <w:rsid w:val="47AB6F90"/>
    <w:rsid w:val="47AD71EA"/>
    <w:rsid w:val="47AF4D11"/>
    <w:rsid w:val="47AF6ABF"/>
    <w:rsid w:val="47B02837"/>
    <w:rsid w:val="47B10A89"/>
    <w:rsid w:val="47B24801"/>
    <w:rsid w:val="47B70069"/>
    <w:rsid w:val="47B75973"/>
    <w:rsid w:val="47B95B8F"/>
    <w:rsid w:val="47B9793D"/>
    <w:rsid w:val="47BC3568"/>
    <w:rsid w:val="47BC742D"/>
    <w:rsid w:val="47BE6D02"/>
    <w:rsid w:val="47C06F1E"/>
    <w:rsid w:val="47C307BC"/>
    <w:rsid w:val="47C3256A"/>
    <w:rsid w:val="47C36A0E"/>
    <w:rsid w:val="47C562E2"/>
    <w:rsid w:val="47C84024"/>
    <w:rsid w:val="47C87B80"/>
    <w:rsid w:val="47CB7671"/>
    <w:rsid w:val="47CD163B"/>
    <w:rsid w:val="47CE0068"/>
    <w:rsid w:val="47CF53B3"/>
    <w:rsid w:val="47CF7161"/>
    <w:rsid w:val="47D002C4"/>
    <w:rsid w:val="47D06A35"/>
    <w:rsid w:val="47D169E9"/>
    <w:rsid w:val="47D227AD"/>
    <w:rsid w:val="47D26C51"/>
    <w:rsid w:val="47D44777"/>
    <w:rsid w:val="47D47CB9"/>
    <w:rsid w:val="47D631DB"/>
    <w:rsid w:val="47D66741"/>
    <w:rsid w:val="47D91D8D"/>
    <w:rsid w:val="47D97FDF"/>
    <w:rsid w:val="47DB266C"/>
    <w:rsid w:val="47DB78B4"/>
    <w:rsid w:val="47DD6B1A"/>
    <w:rsid w:val="47DE73A4"/>
    <w:rsid w:val="47E10C42"/>
    <w:rsid w:val="47E250E6"/>
    <w:rsid w:val="47E2796E"/>
    <w:rsid w:val="47E30E5E"/>
    <w:rsid w:val="47E32C0C"/>
    <w:rsid w:val="47E57A30"/>
    <w:rsid w:val="47E658B8"/>
    <w:rsid w:val="47E744AA"/>
    <w:rsid w:val="47EB386F"/>
    <w:rsid w:val="47EC192A"/>
    <w:rsid w:val="47EC1AC1"/>
    <w:rsid w:val="47ED5839"/>
    <w:rsid w:val="47EE5F11"/>
    <w:rsid w:val="47EF15B1"/>
    <w:rsid w:val="47EF335F"/>
    <w:rsid w:val="47F044D9"/>
    <w:rsid w:val="47F40975"/>
    <w:rsid w:val="47F46BC7"/>
    <w:rsid w:val="47F6293F"/>
    <w:rsid w:val="47F646ED"/>
    <w:rsid w:val="47F70466"/>
    <w:rsid w:val="47F90E64"/>
    <w:rsid w:val="47F92430"/>
    <w:rsid w:val="47FB1D04"/>
    <w:rsid w:val="47FB4CBA"/>
    <w:rsid w:val="47FB7F56"/>
    <w:rsid w:val="47FE17F4"/>
    <w:rsid w:val="47FE7A46"/>
    <w:rsid w:val="480212E4"/>
    <w:rsid w:val="48052B82"/>
    <w:rsid w:val="48074B4D"/>
    <w:rsid w:val="480768FB"/>
    <w:rsid w:val="480C2163"/>
    <w:rsid w:val="480D7C89"/>
    <w:rsid w:val="480F278A"/>
    <w:rsid w:val="480F3A01"/>
    <w:rsid w:val="480F57AF"/>
    <w:rsid w:val="480F755D"/>
    <w:rsid w:val="48111527"/>
    <w:rsid w:val="48112BEF"/>
    <w:rsid w:val="481132D5"/>
    <w:rsid w:val="4812704D"/>
    <w:rsid w:val="4814136D"/>
    <w:rsid w:val="48142DC6"/>
    <w:rsid w:val="48164D90"/>
    <w:rsid w:val="48177CEE"/>
    <w:rsid w:val="48180B08"/>
    <w:rsid w:val="48194880"/>
    <w:rsid w:val="4819662E"/>
    <w:rsid w:val="481B05F8"/>
    <w:rsid w:val="481C3FDB"/>
    <w:rsid w:val="481E6D74"/>
    <w:rsid w:val="48200DA0"/>
    <w:rsid w:val="4820176A"/>
    <w:rsid w:val="48217291"/>
    <w:rsid w:val="48217EC1"/>
    <w:rsid w:val="48221986"/>
    <w:rsid w:val="482254E2"/>
    <w:rsid w:val="4823125B"/>
    <w:rsid w:val="48233009"/>
    <w:rsid w:val="48270D4B"/>
    <w:rsid w:val="48276657"/>
    <w:rsid w:val="4828061F"/>
    <w:rsid w:val="48286871"/>
    <w:rsid w:val="482A083B"/>
    <w:rsid w:val="482A25E9"/>
    <w:rsid w:val="482A4397"/>
    <w:rsid w:val="482A48FE"/>
    <w:rsid w:val="482C6361"/>
    <w:rsid w:val="482D3E87"/>
    <w:rsid w:val="482E032B"/>
    <w:rsid w:val="482E5F75"/>
    <w:rsid w:val="482F5E51"/>
    <w:rsid w:val="48343468"/>
    <w:rsid w:val="48360F8E"/>
    <w:rsid w:val="48362D3C"/>
    <w:rsid w:val="48384D06"/>
    <w:rsid w:val="48390A7E"/>
    <w:rsid w:val="48396CD0"/>
    <w:rsid w:val="483D056E"/>
    <w:rsid w:val="483D231C"/>
    <w:rsid w:val="483D40CA"/>
    <w:rsid w:val="483E6094"/>
    <w:rsid w:val="483F42E6"/>
    <w:rsid w:val="4840005F"/>
    <w:rsid w:val="48412F5B"/>
    <w:rsid w:val="484216E1"/>
    <w:rsid w:val="484418FD"/>
    <w:rsid w:val="4845019B"/>
    <w:rsid w:val="484511D1"/>
    <w:rsid w:val="48455675"/>
    <w:rsid w:val="484713ED"/>
    <w:rsid w:val="484A2C8B"/>
    <w:rsid w:val="484A400D"/>
    <w:rsid w:val="484A67E7"/>
    <w:rsid w:val="484C07B1"/>
    <w:rsid w:val="484E277B"/>
    <w:rsid w:val="484E4529"/>
    <w:rsid w:val="484F2050"/>
    <w:rsid w:val="48510A04"/>
    <w:rsid w:val="48515DC8"/>
    <w:rsid w:val="48531BE9"/>
    <w:rsid w:val="485338EE"/>
    <w:rsid w:val="48537D92"/>
    <w:rsid w:val="48541414"/>
    <w:rsid w:val="4856518C"/>
    <w:rsid w:val="48575181"/>
    <w:rsid w:val="48580F04"/>
    <w:rsid w:val="48587156"/>
    <w:rsid w:val="48593316"/>
    <w:rsid w:val="48594C7C"/>
    <w:rsid w:val="485B27A2"/>
    <w:rsid w:val="485D29BF"/>
    <w:rsid w:val="485D651B"/>
    <w:rsid w:val="485E04E5"/>
    <w:rsid w:val="485F64E4"/>
    <w:rsid w:val="485F6737"/>
    <w:rsid w:val="486024AF"/>
    <w:rsid w:val="4860425D"/>
    <w:rsid w:val="48621D83"/>
    <w:rsid w:val="48627FD5"/>
    <w:rsid w:val="48634E65"/>
    <w:rsid w:val="486378A9"/>
    <w:rsid w:val="48643D4D"/>
    <w:rsid w:val="48645AFB"/>
    <w:rsid w:val="48647785"/>
    <w:rsid w:val="48651873"/>
    <w:rsid w:val="48671147"/>
    <w:rsid w:val="4867383D"/>
    <w:rsid w:val="486755EB"/>
    <w:rsid w:val="48677399"/>
    <w:rsid w:val="486D24D6"/>
    <w:rsid w:val="486D73A7"/>
    <w:rsid w:val="4870272E"/>
    <w:rsid w:val="48710218"/>
    <w:rsid w:val="48735ADA"/>
    <w:rsid w:val="48763A80"/>
    <w:rsid w:val="487675DC"/>
    <w:rsid w:val="48785BFB"/>
    <w:rsid w:val="48790E7B"/>
    <w:rsid w:val="487A3570"/>
    <w:rsid w:val="487B4BF3"/>
    <w:rsid w:val="487D4E0F"/>
    <w:rsid w:val="487F0B87"/>
    <w:rsid w:val="487F2935"/>
    <w:rsid w:val="48811017"/>
    <w:rsid w:val="488241D3"/>
    <w:rsid w:val="48847F4B"/>
    <w:rsid w:val="48855A71"/>
    <w:rsid w:val="488570E6"/>
    <w:rsid w:val="48861F15"/>
    <w:rsid w:val="48895562"/>
    <w:rsid w:val="488A12DA"/>
    <w:rsid w:val="488A3088"/>
    <w:rsid w:val="488D397D"/>
    <w:rsid w:val="488E2B78"/>
    <w:rsid w:val="4890478F"/>
    <w:rsid w:val="489108BA"/>
    <w:rsid w:val="4893018E"/>
    <w:rsid w:val="48945CB4"/>
    <w:rsid w:val="48952158"/>
    <w:rsid w:val="48961184"/>
    <w:rsid w:val="48961A2D"/>
    <w:rsid w:val="48967C7F"/>
    <w:rsid w:val="48981C49"/>
    <w:rsid w:val="489857A5"/>
    <w:rsid w:val="489B34E7"/>
    <w:rsid w:val="489B7922"/>
    <w:rsid w:val="489D2DBB"/>
    <w:rsid w:val="489F2FD7"/>
    <w:rsid w:val="489F4D85"/>
    <w:rsid w:val="489F6B33"/>
    <w:rsid w:val="48A44149"/>
    <w:rsid w:val="48A51C70"/>
    <w:rsid w:val="48A64365"/>
    <w:rsid w:val="48A67538"/>
    <w:rsid w:val="48AA54D8"/>
    <w:rsid w:val="48AB197C"/>
    <w:rsid w:val="48AE6D76"/>
    <w:rsid w:val="48B14AB8"/>
    <w:rsid w:val="48B16866"/>
    <w:rsid w:val="48B3438D"/>
    <w:rsid w:val="48B40105"/>
    <w:rsid w:val="48B56357"/>
    <w:rsid w:val="48B620CF"/>
    <w:rsid w:val="48B819A3"/>
    <w:rsid w:val="48B87BF5"/>
    <w:rsid w:val="48B92DDD"/>
    <w:rsid w:val="48BA1BBF"/>
    <w:rsid w:val="48BA4B98"/>
    <w:rsid w:val="48BB76E5"/>
    <w:rsid w:val="48BC5937"/>
    <w:rsid w:val="48BD16AF"/>
    <w:rsid w:val="48BD345D"/>
    <w:rsid w:val="48C04CFB"/>
    <w:rsid w:val="48C12F4D"/>
    <w:rsid w:val="48C26CC5"/>
    <w:rsid w:val="48C540C0"/>
    <w:rsid w:val="48C7332C"/>
    <w:rsid w:val="48C77FB2"/>
    <w:rsid w:val="48C93BB0"/>
    <w:rsid w:val="48CA6933"/>
    <w:rsid w:val="48CB3DCC"/>
    <w:rsid w:val="48CB5B7A"/>
    <w:rsid w:val="48CC18F2"/>
    <w:rsid w:val="48D10CB7"/>
    <w:rsid w:val="48D41126"/>
    <w:rsid w:val="48D569F9"/>
    <w:rsid w:val="48D6451F"/>
    <w:rsid w:val="48D64ED6"/>
    <w:rsid w:val="48D66DE4"/>
    <w:rsid w:val="48D80F37"/>
    <w:rsid w:val="48D82045"/>
    <w:rsid w:val="48DA7B6B"/>
    <w:rsid w:val="48DB1B35"/>
    <w:rsid w:val="48DB38E3"/>
    <w:rsid w:val="48DD3AFF"/>
    <w:rsid w:val="48DD765B"/>
    <w:rsid w:val="48DF6239"/>
    <w:rsid w:val="48E1539E"/>
    <w:rsid w:val="48E22EC4"/>
    <w:rsid w:val="48E46C3C"/>
    <w:rsid w:val="48E474DA"/>
    <w:rsid w:val="48E72288"/>
    <w:rsid w:val="48E85443"/>
    <w:rsid w:val="48E924A4"/>
    <w:rsid w:val="48E93727"/>
    <w:rsid w:val="48E96000"/>
    <w:rsid w:val="48EA334C"/>
    <w:rsid w:val="48EB1D78"/>
    <w:rsid w:val="48EC5AF0"/>
    <w:rsid w:val="48EE3617"/>
    <w:rsid w:val="48EE7ABB"/>
    <w:rsid w:val="48F0738F"/>
    <w:rsid w:val="48F14EB5"/>
    <w:rsid w:val="48F350D1"/>
    <w:rsid w:val="48F5045F"/>
    <w:rsid w:val="48F52BF7"/>
    <w:rsid w:val="48F74BC1"/>
    <w:rsid w:val="48F84495"/>
    <w:rsid w:val="48F86DE0"/>
    <w:rsid w:val="48FA645F"/>
    <w:rsid w:val="48FD5F50"/>
    <w:rsid w:val="48FD7CFE"/>
    <w:rsid w:val="490115D2"/>
    <w:rsid w:val="490270C2"/>
    <w:rsid w:val="49033566"/>
    <w:rsid w:val="4904108C"/>
    <w:rsid w:val="49060960"/>
    <w:rsid w:val="49064E04"/>
    <w:rsid w:val="49073D03"/>
    <w:rsid w:val="490966A2"/>
    <w:rsid w:val="490A2935"/>
    <w:rsid w:val="490B241B"/>
    <w:rsid w:val="490B5F77"/>
    <w:rsid w:val="49105C83"/>
    <w:rsid w:val="49115557"/>
    <w:rsid w:val="49137521"/>
    <w:rsid w:val="49156DF5"/>
    <w:rsid w:val="4916491B"/>
    <w:rsid w:val="49172B6D"/>
    <w:rsid w:val="491737F8"/>
    <w:rsid w:val="49184B37"/>
    <w:rsid w:val="491A08B0"/>
    <w:rsid w:val="491A265E"/>
    <w:rsid w:val="491D3EFC"/>
    <w:rsid w:val="491F1A22"/>
    <w:rsid w:val="49211C3E"/>
    <w:rsid w:val="49247038"/>
    <w:rsid w:val="49261002"/>
    <w:rsid w:val="49262DB0"/>
    <w:rsid w:val="49274542"/>
    <w:rsid w:val="49284D7B"/>
    <w:rsid w:val="492928A1"/>
    <w:rsid w:val="492A2738"/>
    <w:rsid w:val="492B6619"/>
    <w:rsid w:val="492C413F"/>
    <w:rsid w:val="492E05EF"/>
    <w:rsid w:val="492E435B"/>
    <w:rsid w:val="492E6109"/>
    <w:rsid w:val="493279A7"/>
    <w:rsid w:val="49331890"/>
    <w:rsid w:val="493354CD"/>
    <w:rsid w:val="49342184"/>
    <w:rsid w:val="49344461"/>
    <w:rsid w:val="493504C2"/>
    <w:rsid w:val="493556E9"/>
    <w:rsid w:val="49374FBE"/>
    <w:rsid w:val="493A4AAE"/>
    <w:rsid w:val="493C0826"/>
    <w:rsid w:val="493C25D4"/>
    <w:rsid w:val="493C4382"/>
    <w:rsid w:val="493D00FA"/>
    <w:rsid w:val="493D634C"/>
    <w:rsid w:val="49406630"/>
    <w:rsid w:val="49417BEA"/>
    <w:rsid w:val="49425710"/>
    <w:rsid w:val="49437E06"/>
    <w:rsid w:val="49441489"/>
    <w:rsid w:val="494476DB"/>
    <w:rsid w:val="49463453"/>
    <w:rsid w:val="494B2817"/>
    <w:rsid w:val="494E2307"/>
    <w:rsid w:val="49520049"/>
    <w:rsid w:val="4953791E"/>
    <w:rsid w:val="495518E8"/>
    <w:rsid w:val="49554EDB"/>
    <w:rsid w:val="49557B3A"/>
    <w:rsid w:val="4957740E"/>
    <w:rsid w:val="495777FB"/>
    <w:rsid w:val="49583186"/>
    <w:rsid w:val="49584D47"/>
    <w:rsid w:val="495A4B31"/>
    <w:rsid w:val="495B760C"/>
    <w:rsid w:val="495C2C76"/>
    <w:rsid w:val="495C4A24"/>
    <w:rsid w:val="495C67D2"/>
    <w:rsid w:val="495F2766"/>
    <w:rsid w:val="495F4514"/>
    <w:rsid w:val="49627B61"/>
    <w:rsid w:val="49634005"/>
    <w:rsid w:val="49667651"/>
    <w:rsid w:val="49670780"/>
    <w:rsid w:val="4968161B"/>
    <w:rsid w:val="496833C9"/>
    <w:rsid w:val="4968786D"/>
    <w:rsid w:val="49695393"/>
    <w:rsid w:val="496B110B"/>
    <w:rsid w:val="496B2EB9"/>
    <w:rsid w:val="496C3162"/>
    <w:rsid w:val="496D09DF"/>
    <w:rsid w:val="496D4E83"/>
    <w:rsid w:val="496E4757"/>
    <w:rsid w:val="496E6505"/>
    <w:rsid w:val="4970227E"/>
    <w:rsid w:val="4971393F"/>
    <w:rsid w:val="49725FF6"/>
    <w:rsid w:val="49746212"/>
    <w:rsid w:val="49747FC0"/>
    <w:rsid w:val="49753D38"/>
    <w:rsid w:val="49777AB0"/>
    <w:rsid w:val="497A134E"/>
    <w:rsid w:val="497A30FC"/>
    <w:rsid w:val="497A75A0"/>
    <w:rsid w:val="497C0086"/>
    <w:rsid w:val="497C50C6"/>
    <w:rsid w:val="497E2BEC"/>
    <w:rsid w:val="497F6965"/>
    <w:rsid w:val="49802948"/>
    <w:rsid w:val="49802A68"/>
    <w:rsid w:val="4980356C"/>
    <w:rsid w:val="4981092F"/>
    <w:rsid w:val="49831FB1"/>
    <w:rsid w:val="49865F45"/>
    <w:rsid w:val="49867CF3"/>
    <w:rsid w:val="49891591"/>
    <w:rsid w:val="498B66EB"/>
    <w:rsid w:val="498B765A"/>
    <w:rsid w:val="498D2E30"/>
    <w:rsid w:val="498E6BA8"/>
    <w:rsid w:val="49900B72"/>
    <w:rsid w:val="49902920"/>
    <w:rsid w:val="499046CE"/>
    <w:rsid w:val="49920446"/>
    <w:rsid w:val="49924E7D"/>
    <w:rsid w:val="49942410"/>
    <w:rsid w:val="499441BE"/>
    <w:rsid w:val="49951CE4"/>
    <w:rsid w:val="499917D4"/>
    <w:rsid w:val="49997A26"/>
    <w:rsid w:val="499A554C"/>
    <w:rsid w:val="499C12C5"/>
    <w:rsid w:val="499C7517"/>
    <w:rsid w:val="499E503D"/>
    <w:rsid w:val="499F2B63"/>
    <w:rsid w:val="49A07007"/>
    <w:rsid w:val="49A168DB"/>
    <w:rsid w:val="49A346C1"/>
    <w:rsid w:val="49A34A17"/>
    <w:rsid w:val="49A62143"/>
    <w:rsid w:val="49A81A17"/>
    <w:rsid w:val="49A95790"/>
    <w:rsid w:val="49AB4594"/>
    <w:rsid w:val="49AB59AC"/>
    <w:rsid w:val="49AB775A"/>
    <w:rsid w:val="49AC05F5"/>
    <w:rsid w:val="49AD5280"/>
    <w:rsid w:val="49AE2DA6"/>
    <w:rsid w:val="49AE449B"/>
    <w:rsid w:val="49B06B1E"/>
    <w:rsid w:val="49B22896"/>
    <w:rsid w:val="49B26D3A"/>
    <w:rsid w:val="49B52386"/>
    <w:rsid w:val="49B605D8"/>
    <w:rsid w:val="49B72B37"/>
    <w:rsid w:val="49B74350"/>
    <w:rsid w:val="49B77EAC"/>
    <w:rsid w:val="49BB5BEF"/>
    <w:rsid w:val="49BC54C3"/>
    <w:rsid w:val="49C01457"/>
    <w:rsid w:val="49C11094"/>
    <w:rsid w:val="49C12AD9"/>
    <w:rsid w:val="49C16F7D"/>
    <w:rsid w:val="49C425C9"/>
    <w:rsid w:val="49C466C0"/>
    <w:rsid w:val="49C600F0"/>
    <w:rsid w:val="49C83E68"/>
    <w:rsid w:val="49CA5E32"/>
    <w:rsid w:val="49CB1BAA"/>
    <w:rsid w:val="49CB243D"/>
    <w:rsid w:val="49CD5922"/>
    <w:rsid w:val="49CD76D0"/>
    <w:rsid w:val="49D071C0"/>
    <w:rsid w:val="49D24CE6"/>
    <w:rsid w:val="49D547D7"/>
    <w:rsid w:val="49D56585"/>
    <w:rsid w:val="49D722FD"/>
    <w:rsid w:val="49D92519"/>
    <w:rsid w:val="49DB1DED"/>
    <w:rsid w:val="49DB2A66"/>
    <w:rsid w:val="49DB4007"/>
    <w:rsid w:val="49DC3DB7"/>
    <w:rsid w:val="49DC5B65"/>
    <w:rsid w:val="49DC7715"/>
    <w:rsid w:val="49DE08B3"/>
    <w:rsid w:val="49DE7B2F"/>
    <w:rsid w:val="49DF11B1"/>
    <w:rsid w:val="49E27234"/>
    <w:rsid w:val="49E35145"/>
    <w:rsid w:val="49E54A1A"/>
    <w:rsid w:val="49E62540"/>
    <w:rsid w:val="49E704D5"/>
    <w:rsid w:val="49E8450A"/>
    <w:rsid w:val="49EA0597"/>
    <w:rsid w:val="49EA2030"/>
    <w:rsid w:val="49EC224C"/>
    <w:rsid w:val="49EC3FFA"/>
    <w:rsid w:val="49ED030A"/>
    <w:rsid w:val="49EF1838"/>
    <w:rsid w:val="49F033BE"/>
    <w:rsid w:val="49F11610"/>
    <w:rsid w:val="49F17862"/>
    <w:rsid w:val="49F26968"/>
    <w:rsid w:val="49F31649"/>
    <w:rsid w:val="49F41101"/>
    <w:rsid w:val="49F4421A"/>
    <w:rsid w:val="49F5018E"/>
    <w:rsid w:val="49F509D5"/>
    <w:rsid w:val="49F70BF1"/>
    <w:rsid w:val="49F72751"/>
    <w:rsid w:val="49F7474D"/>
    <w:rsid w:val="49F77FCA"/>
    <w:rsid w:val="49F904C5"/>
    <w:rsid w:val="49FA0177"/>
    <w:rsid w:val="49FE1F7F"/>
    <w:rsid w:val="4A023139"/>
    <w:rsid w:val="4A03113E"/>
    <w:rsid w:val="4A05330E"/>
    <w:rsid w:val="4A056E6A"/>
    <w:rsid w:val="4A06662F"/>
    <w:rsid w:val="4A0A0924"/>
    <w:rsid w:val="4A0B1011"/>
    <w:rsid w:val="4A0B1FA6"/>
    <w:rsid w:val="4A0D21C2"/>
    <w:rsid w:val="4A0D488A"/>
    <w:rsid w:val="4A0F0E22"/>
    <w:rsid w:val="4A0F1A73"/>
    <w:rsid w:val="4A0F1A96"/>
    <w:rsid w:val="4A0F5F3A"/>
    <w:rsid w:val="4A111CB3"/>
    <w:rsid w:val="4A121587"/>
    <w:rsid w:val="4A143551"/>
    <w:rsid w:val="4A161077"/>
    <w:rsid w:val="4A17094B"/>
    <w:rsid w:val="4A1760E7"/>
    <w:rsid w:val="4A1C2405"/>
    <w:rsid w:val="4A1E1CDA"/>
    <w:rsid w:val="4A1E7F2C"/>
    <w:rsid w:val="4A205A52"/>
    <w:rsid w:val="4A2117CA"/>
    <w:rsid w:val="4A266DE0"/>
    <w:rsid w:val="4A277484"/>
    <w:rsid w:val="4A280DAA"/>
    <w:rsid w:val="4A282B58"/>
    <w:rsid w:val="4A284C0F"/>
    <w:rsid w:val="4A2A4B22"/>
    <w:rsid w:val="4A312D2C"/>
    <w:rsid w:val="4A3239D7"/>
    <w:rsid w:val="4A325785"/>
    <w:rsid w:val="4A336ADC"/>
    <w:rsid w:val="4A3414FD"/>
    <w:rsid w:val="4A347F6C"/>
    <w:rsid w:val="4A392FB7"/>
    <w:rsid w:val="4A3B0ADD"/>
    <w:rsid w:val="4A3B6D2F"/>
    <w:rsid w:val="4A3E05CE"/>
    <w:rsid w:val="4A3E237C"/>
    <w:rsid w:val="4A4060F4"/>
    <w:rsid w:val="4A407EA2"/>
    <w:rsid w:val="4A413C1A"/>
    <w:rsid w:val="4A423CB1"/>
    <w:rsid w:val="4A45195C"/>
    <w:rsid w:val="4A471230"/>
    <w:rsid w:val="4A4831FA"/>
    <w:rsid w:val="4A4A0D21"/>
    <w:rsid w:val="4A4A6F73"/>
    <w:rsid w:val="4A4C2CEB"/>
    <w:rsid w:val="4A4C4A99"/>
    <w:rsid w:val="4A4D0811"/>
    <w:rsid w:val="4A5120AF"/>
    <w:rsid w:val="4A525E27"/>
    <w:rsid w:val="4A541B9F"/>
    <w:rsid w:val="4A547556"/>
    <w:rsid w:val="4A547DF1"/>
    <w:rsid w:val="4A563B69"/>
    <w:rsid w:val="4A597367"/>
    <w:rsid w:val="4A5B2F2E"/>
    <w:rsid w:val="4A5D0A54"/>
    <w:rsid w:val="4A5F4669"/>
    <w:rsid w:val="4A600544"/>
    <w:rsid w:val="4A606796"/>
    <w:rsid w:val="4A62250E"/>
    <w:rsid w:val="4A6242BC"/>
    <w:rsid w:val="4A625D30"/>
    <w:rsid w:val="4A62606A"/>
    <w:rsid w:val="4A6718D3"/>
    <w:rsid w:val="4A673681"/>
    <w:rsid w:val="4A6873F9"/>
    <w:rsid w:val="4A6A13C3"/>
    <w:rsid w:val="4A6A3171"/>
    <w:rsid w:val="4A6C513B"/>
    <w:rsid w:val="4A6D4A0F"/>
    <w:rsid w:val="4A6E00FD"/>
    <w:rsid w:val="4A6F158D"/>
    <w:rsid w:val="4A6F69D9"/>
    <w:rsid w:val="4A7101BF"/>
    <w:rsid w:val="4A7162AD"/>
    <w:rsid w:val="4A722025"/>
    <w:rsid w:val="4A730277"/>
    <w:rsid w:val="4A732ADF"/>
    <w:rsid w:val="4A7364C9"/>
    <w:rsid w:val="4A744A7C"/>
    <w:rsid w:val="4A745D9D"/>
    <w:rsid w:val="4A77763C"/>
    <w:rsid w:val="4A78588E"/>
    <w:rsid w:val="4A791606"/>
    <w:rsid w:val="4A7933B4"/>
    <w:rsid w:val="4A7B576F"/>
    <w:rsid w:val="4A7E09CA"/>
    <w:rsid w:val="4A7E6C1C"/>
    <w:rsid w:val="4A7F1081"/>
    <w:rsid w:val="4A7F4E6E"/>
    <w:rsid w:val="4A802994"/>
    <w:rsid w:val="4A816572"/>
    <w:rsid w:val="4A834233"/>
    <w:rsid w:val="4A835FE1"/>
    <w:rsid w:val="4A8561FD"/>
    <w:rsid w:val="4A857FAB"/>
    <w:rsid w:val="4A872255"/>
    <w:rsid w:val="4A895CED"/>
    <w:rsid w:val="4A897A9B"/>
    <w:rsid w:val="4A8E3303"/>
    <w:rsid w:val="4A8E5FA5"/>
    <w:rsid w:val="4A8E6E5F"/>
    <w:rsid w:val="4A914BA1"/>
    <w:rsid w:val="4A91694F"/>
    <w:rsid w:val="4A9220C8"/>
    <w:rsid w:val="4A934476"/>
    <w:rsid w:val="4A941E17"/>
    <w:rsid w:val="4A954692"/>
    <w:rsid w:val="4A965D14"/>
    <w:rsid w:val="4A970798"/>
    <w:rsid w:val="4A981A8C"/>
    <w:rsid w:val="4A993A56"/>
    <w:rsid w:val="4A9A1CA8"/>
    <w:rsid w:val="4A9F106C"/>
    <w:rsid w:val="4A9F72BE"/>
    <w:rsid w:val="4AA20B5D"/>
    <w:rsid w:val="4AA30431"/>
    <w:rsid w:val="4AA46683"/>
    <w:rsid w:val="4AA51EA6"/>
    <w:rsid w:val="4AA523FB"/>
    <w:rsid w:val="4AA76173"/>
    <w:rsid w:val="4AA85A47"/>
    <w:rsid w:val="4AA91EEB"/>
    <w:rsid w:val="4AAA5C63"/>
    <w:rsid w:val="4AAA7A11"/>
    <w:rsid w:val="4AAE12AF"/>
    <w:rsid w:val="4AAE5753"/>
    <w:rsid w:val="4AAF6DD6"/>
    <w:rsid w:val="4AB64608"/>
    <w:rsid w:val="4AB663B6"/>
    <w:rsid w:val="4AB80380"/>
    <w:rsid w:val="4ABA5EA6"/>
    <w:rsid w:val="4ABB1C1E"/>
    <w:rsid w:val="4ABD14F2"/>
    <w:rsid w:val="4ABD5996"/>
    <w:rsid w:val="4AC07235"/>
    <w:rsid w:val="4AC40AD3"/>
    <w:rsid w:val="4AC42881"/>
    <w:rsid w:val="4AC46D25"/>
    <w:rsid w:val="4AC5484B"/>
    <w:rsid w:val="4AC72371"/>
    <w:rsid w:val="4AC7411F"/>
    <w:rsid w:val="4AC7433A"/>
    <w:rsid w:val="4ACB00B3"/>
    <w:rsid w:val="4ACC3E2B"/>
    <w:rsid w:val="4ACE087A"/>
    <w:rsid w:val="4ACE1952"/>
    <w:rsid w:val="4ACE54AE"/>
    <w:rsid w:val="4ACF1226"/>
    <w:rsid w:val="4AD00929"/>
    <w:rsid w:val="4AD35E1A"/>
    <w:rsid w:val="4AD5073A"/>
    <w:rsid w:val="4AD625B4"/>
    <w:rsid w:val="4AD66A58"/>
    <w:rsid w:val="4AD75C2B"/>
    <w:rsid w:val="4AD8457E"/>
    <w:rsid w:val="4AD868A6"/>
    <w:rsid w:val="4ADA20A4"/>
    <w:rsid w:val="4ADA311C"/>
    <w:rsid w:val="4ADA45AC"/>
    <w:rsid w:val="4ADA6548"/>
    <w:rsid w:val="4ADD1A9D"/>
    <w:rsid w:val="4ADE7385"/>
    <w:rsid w:val="4ADF590D"/>
    <w:rsid w:val="4AE118AE"/>
    <w:rsid w:val="4AE271AB"/>
    <w:rsid w:val="4AE41175"/>
    <w:rsid w:val="4AE41970"/>
    <w:rsid w:val="4AE50A49"/>
    <w:rsid w:val="4AE7656F"/>
    <w:rsid w:val="4AE922E8"/>
    <w:rsid w:val="4AE92C11"/>
    <w:rsid w:val="4AE9678B"/>
    <w:rsid w:val="4AEC1DD8"/>
    <w:rsid w:val="4AEC627C"/>
    <w:rsid w:val="4AED14B6"/>
    <w:rsid w:val="4AEE5B50"/>
    <w:rsid w:val="4AEE6832"/>
    <w:rsid w:val="4AEE78FE"/>
    <w:rsid w:val="4AF018C8"/>
    <w:rsid w:val="4AF07B1A"/>
    <w:rsid w:val="4AF15640"/>
    <w:rsid w:val="4AF313B8"/>
    <w:rsid w:val="4AF33166"/>
    <w:rsid w:val="4AF55130"/>
    <w:rsid w:val="4AF561A9"/>
    <w:rsid w:val="4AF56EDE"/>
    <w:rsid w:val="4AFB026D"/>
    <w:rsid w:val="4AFC64BF"/>
    <w:rsid w:val="4AFF7D5D"/>
    <w:rsid w:val="4B005883"/>
    <w:rsid w:val="4B007631"/>
    <w:rsid w:val="4B013AD5"/>
    <w:rsid w:val="4B0233A9"/>
    <w:rsid w:val="4B0435C5"/>
    <w:rsid w:val="4B045373"/>
    <w:rsid w:val="4B047121"/>
    <w:rsid w:val="4B06733D"/>
    <w:rsid w:val="4B071B1E"/>
    <w:rsid w:val="4B076C12"/>
    <w:rsid w:val="4B090BDC"/>
    <w:rsid w:val="4B0B1EC1"/>
    <w:rsid w:val="4B0C4228"/>
    <w:rsid w:val="4B0C5FD6"/>
    <w:rsid w:val="4B0C67B3"/>
    <w:rsid w:val="4B0F492C"/>
    <w:rsid w:val="4B101F6A"/>
    <w:rsid w:val="4B105DBC"/>
    <w:rsid w:val="4B121E1D"/>
    <w:rsid w:val="4B132D06"/>
    <w:rsid w:val="4B133808"/>
    <w:rsid w:val="4B137364"/>
    <w:rsid w:val="4B1530DD"/>
    <w:rsid w:val="4B1650A7"/>
    <w:rsid w:val="4B1732F9"/>
    <w:rsid w:val="4B1A4B97"/>
    <w:rsid w:val="4B1A6945"/>
    <w:rsid w:val="4B1C090F"/>
    <w:rsid w:val="4B1F21AD"/>
    <w:rsid w:val="4B1F5D09"/>
    <w:rsid w:val="4B201A81"/>
    <w:rsid w:val="4B2058B1"/>
    <w:rsid w:val="4B221C9D"/>
    <w:rsid w:val="4B26353C"/>
    <w:rsid w:val="4B2652EA"/>
    <w:rsid w:val="4B266B52"/>
    <w:rsid w:val="4B285784"/>
    <w:rsid w:val="4B294DDA"/>
    <w:rsid w:val="4B296B88"/>
    <w:rsid w:val="4B2B6DA4"/>
    <w:rsid w:val="4B2C0426"/>
    <w:rsid w:val="4B2E0642"/>
    <w:rsid w:val="4B2E419E"/>
    <w:rsid w:val="4B2F1345"/>
    <w:rsid w:val="4B307F16"/>
    <w:rsid w:val="4B313C8F"/>
    <w:rsid w:val="4B315A3D"/>
    <w:rsid w:val="4B320132"/>
    <w:rsid w:val="4B35552D"/>
    <w:rsid w:val="4B3814C1"/>
    <w:rsid w:val="4B38326F"/>
    <w:rsid w:val="4B396E76"/>
    <w:rsid w:val="4B3A0D95"/>
    <w:rsid w:val="4B3A6FE7"/>
    <w:rsid w:val="4B3C4B0D"/>
    <w:rsid w:val="4B3D0885"/>
    <w:rsid w:val="4B3D651A"/>
    <w:rsid w:val="4B3D6AD7"/>
    <w:rsid w:val="4B413ED2"/>
    <w:rsid w:val="4B441C14"/>
    <w:rsid w:val="4B447E66"/>
    <w:rsid w:val="4B481EEC"/>
    <w:rsid w:val="4B4A0B1E"/>
    <w:rsid w:val="4B4B11F4"/>
    <w:rsid w:val="4B4C086D"/>
    <w:rsid w:val="4B4E4840"/>
    <w:rsid w:val="4B4E749F"/>
    <w:rsid w:val="4B5300A9"/>
    <w:rsid w:val="4B553E21"/>
    <w:rsid w:val="4B5644F0"/>
    <w:rsid w:val="4B5A31E5"/>
    <w:rsid w:val="4B5A4F93"/>
    <w:rsid w:val="4B5C0D0B"/>
    <w:rsid w:val="4B5C2648"/>
    <w:rsid w:val="4B5C6F5D"/>
    <w:rsid w:val="4B5F6A4E"/>
    <w:rsid w:val="4B6127C6"/>
    <w:rsid w:val="4B614574"/>
    <w:rsid w:val="4B616322"/>
    <w:rsid w:val="4B62516E"/>
    <w:rsid w:val="4B645E12"/>
    <w:rsid w:val="4B685902"/>
    <w:rsid w:val="4B6A43CE"/>
    <w:rsid w:val="4B6A5537"/>
    <w:rsid w:val="4B6A69C7"/>
    <w:rsid w:val="4B6B7E57"/>
    <w:rsid w:val="4B6C4CC7"/>
    <w:rsid w:val="4B6E0A3F"/>
    <w:rsid w:val="4B700C5B"/>
    <w:rsid w:val="4B702A09"/>
    <w:rsid w:val="4B7047B7"/>
    <w:rsid w:val="4B7342A7"/>
    <w:rsid w:val="4B736055"/>
    <w:rsid w:val="4B7818BD"/>
    <w:rsid w:val="4B7D0C82"/>
    <w:rsid w:val="4B7D6ED4"/>
    <w:rsid w:val="4B7E36FC"/>
    <w:rsid w:val="4B7F0E9E"/>
    <w:rsid w:val="4B7F49FA"/>
    <w:rsid w:val="4B814C16"/>
    <w:rsid w:val="4B8244EA"/>
    <w:rsid w:val="4B83098E"/>
    <w:rsid w:val="4B83273C"/>
    <w:rsid w:val="4B84756E"/>
    <w:rsid w:val="4B865D88"/>
    <w:rsid w:val="4B877630"/>
    <w:rsid w:val="4B887D52"/>
    <w:rsid w:val="4B8B15F1"/>
    <w:rsid w:val="4B8B339F"/>
    <w:rsid w:val="4B8D35BB"/>
    <w:rsid w:val="4B904E59"/>
    <w:rsid w:val="4B906C07"/>
    <w:rsid w:val="4B9304A5"/>
    <w:rsid w:val="4B935BD3"/>
    <w:rsid w:val="4B9366F7"/>
    <w:rsid w:val="4B9506C1"/>
    <w:rsid w:val="4B95421D"/>
    <w:rsid w:val="4B955F8C"/>
    <w:rsid w:val="4B964554"/>
    <w:rsid w:val="4B9759E4"/>
    <w:rsid w:val="4B9805B5"/>
    <w:rsid w:val="4B991F60"/>
    <w:rsid w:val="4B9A1834"/>
    <w:rsid w:val="4B9C37FE"/>
    <w:rsid w:val="4B9D30D2"/>
    <w:rsid w:val="4B9E1324"/>
    <w:rsid w:val="4B9E19F4"/>
    <w:rsid w:val="4B9E7576"/>
    <w:rsid w:val="4B9F4176"/>
    <w:rsid w:val="4BA206E8"/>
    <w:rsid w:val="4BA34B8C"/>
    <w:rsid w:val="4BA3693A"/>
    <w:rsid w:val="4BA40904"/>
    <w:rsid w:val="4BA426B2"/>
    <w:rsid w:val="4BA44460"/>
    <w:rsid w:val="4BA601D9"/>
    <w:rsid w:val="4BA803F5"/>
    <w:rsid w:val="4BA83F51"/>
    <w:rsid w:val="4BA95F1B"/>
    <w:rsid w:val="4BA97CC9"/>
    <w:rsid w:val="4BAB3A41"/>
    <w:rsid w:val="4BAD1567"/>
    <w:rsid w:val="4BAD5A0B"/>
    <w:rsid w:val="4BAE52DF"/>
    <w:rsid w:val="4BB072A9"/>
    <w:rsid w:val="4BB27A1B"/>
    <w:rsid w:val="4BB32923"/>
    <w:rsid w:val="4BB52B12"/>
    <w:rsid w:val="4BB723E6"/>
    <w:rsid w:val="4BB74194"/>
    <w:rsid w:val="4BB97E25"/>
    <w:rsid w:val="4BBA1DAC"/>
    <w:rsid w:val="4BBA3C84"/>
    <w:rsid w:val="4BBE3774"/>
    <w:rsid w:val="4BC0573E"/>
    <w:rsid w:val="4BC13264"/>
    <w:rsid w:val="4BC36FDC"/>
    <w:rsid w:val="4BC468B1"/>
    <w:rsid w:val="4BC6087B"/>
    <w:rsid w:val="4BC845F3"/>
    <w:rsid w:val="4BC92119"/>
    <w:rsid w:val="4BC93EC7"/>
    <w:rsid w:val="4BC973E3"/>
    <w:rsid w:val="4BCB7C3F"/>
    <w:rsid w:val="4BCD7E5B"/>
    <w:rsid w:val="4BCF5981"/>
    <w:rsid w:val="4BD20FCE"/>
    <w:rsid w:val="4BD25472"/>
    <w:rsid w:val="4BD33066"/>
    <w:rsid w:val="4BD56D10"/>
    <w:rsid w:val="4BD765E4"/>
    <w:rsid w:val="4BDC3BFA"/>
    <w:rsid w:val="4BDE5BC4"/>
    <w:rsid w:val="4BDF36EB"/>
    <w:rsid w:val="4BE041DA"/>
    <w:rsid w:val="4BE17463"/>
    <w:rsid w:val="4BE331DB"/>
    <w:rsid w:val="4BE62CCB"/>
    <w:rsid w:val="4BE807F1"/>
    <w:rsid w:val="4BEA4569"/>
    <w:rsid w:val="4BEA7E5D"/>
    <w:rsid w:val="4BEB02E1"/>
    <w:rsid w:val="4BED4059"/>
    <w:rsid w:val="4BEE4235"/>
    <w:rsid w:val="4BEE7C6E"/>
    <w:rsid w:val="4BF03B4A"/>
    <w:rsid w:val="4BF058F8"/>
    <w:rsid w:val="4BF076A6"/>
    <w:rsid w:val="4BF21670"/>
    <w:rsid w:val="4BF52F0E"/>
    <w:rsid w:val="4BF54F6F"/>
    <w:rsid w:val="4BF61160"/>
    <w:rsid w:val="4BF63CBE"/>
    <w:rsid w:val="4BF74ED8"/>
    <w:rsid w:val="4BF76C86"/>
    <w:rsid w:val="4BF90C50"/>
    <w:rsid w:val="4BF929FE"/>
    <w:rsid w:val="4BF947AC"/>
    <w:rsid w:val="4BFB76A0"/>
    <w:rsid w:val="4BFE0015"/>
    <w:rsid w:val="4BFE1DC3"/>
    <w:rsid w:val="4C0118B3"/>
    <w:rsid w:val="4C0647B3"/>
    <w:rsid w:val="4C065EF4"/>
    <w:rsid w:val="4C080E93"/>
    <w:rsid w:val="4C0A0767"/>
    <w:rsid w:val="4C0B2731"/>
    <w:rsid w:val="4C0D0258"/>
    <w:rsid w:val="4C0D4686"/>
    <w:rsid w:val="4C0F06E7"/>
    <w:rsid w:val="4C101AF6"/>
    <w:rsid w:val="4C1030AD"/>
    <w:rsid w:val="4C111E3E"/>
    <w:rsid w:val="4C13549C"/>
    <w:rsid w:val="4C137523"/>
    <w:rsid w:val="4C143394"/>
    <w:rsid w:val="4C147838"/>
    <w:rsid w:val="4C15535E"/>
    <w:rsid w:val="4C166E79"/>
    <w:rsid w:val="4C1710D6"/>
    <w:rsid w:val="4C172E84"/>
    <w:rsid w:val="4C196BFC"/>
    <w:rsid w:val="4C1A533E"/>
    <w:rsid w:val="4C1C049B"/>
    <w:rsid w:val="4C1C2CEB"/>
    <w:rsid w:val="4C1E4213"/>
    <w:rsid w:val="4C20166C"/>
    <w:rsid w:val="4C207F2B"/>
    <w:rsid w:val="4C2113BB"/>
    <w:rsid w:val="4C2537F3"/>
    <w:rsid w:val="4C2630C7"/>
    <w:rsid w:val="4C2757BD"/>
    <w:rsid w:val="4C2832E3"/>
    <w:rsid w:val="4C2A2BB8"/>
    <w:rsid w:val="4C2A705C"/>
    <w:rsid w:val="4C2C109F"/>
    <w:rsid w:val="4C2C7C0F"/>
    <w:rsid w:val="4C2D08FA"/>
    <w:rsid w:val="4C2D26A8"/>
    <w:rsid w:val="4C2D4456"/>
    <w:rsid w:val="4C2F01CE"/>
    <w:rsid w:val="4C2F4672"/>
    <w:rsid w:val="4C303F46"/>
    <w:rsid w:val="4C327CBE"/>
    <w:rsid w:val="4C341C88"/>
    <w:rsid w:val="4C343A36"/>
    <w:rsid w:val="4C35155C"/>
    <w:rsid w:val="4C371778"/>
    <w:rsid w:val="4C392DFB"/>
    <w:rsid w:val="4C3C5020"/>
    <w:rsid w:val="4C3D6D8F"/>
    <w:rsid w:val="4C3D7A90"/>
    <w:rsid w:val="4C3E6663"/>
    <w:rsid w:val="4C3F6085"/>
    <w:rsid w:val="4C416153"/>
    <w:rsid w:val="4C417F01"/>
    <w:rsid w:val="4C421E35"/>
    <w:rsid w:val="4C453E95"/>
    <w:rsid w:val="4C455C43"/>
    <w:rsid w:val="4C481290"/>
    <w:rsid w:val="4C485734"/>
    <w:rsid w:val="4C4905C7"/>
    <w:rsid w:val="4C4A0649"/>
    <w:rsid w:val="4C4B0D80"/>
    <w:rsid w:val="4C4C5224"/>
    <w:rsid w:val="4C4D2D4A"/>
    <w:rsid w:val="4C4D68A6"/>
    <w:rsid w:val="4C5145E8"/>
    <w:rsid w:val="4C52210E"/>
    <w:rsid w:val="4C5639AD"/>
    <w:rsid w:val="4C59524B"/>
    <w:rsid w:val="4C5B5467"/>
    <w:rsid w:val="4C5B7215"/>
    <w:rsid w:val="4C5C2F8D"/>
    <w:rsid w:val="4C5C4D3B"/>
    <w:rsid w:val="4C5E4F57"/>
    <w:rsid w:val="4C6205A3"/>
    <w:rsid w:val="4C633D3F"/>
    <w:rsid w:val="4C6360CA"/>
    <w:rsid w:val="4C6562E6"/>
    <w:rsid w:val="4C673E0C"/>
    <w:rsid w:val="4C6836E0"/>
    <w:rsid w:val="4C6B4F7E"/>
    <w:rsid w:val="4C6C31D0"/>
    <w:rsid w:val="4C6D6F48"/>
    <w:rsid w:val="4C6F2CC0"/>
    <w:rsid w:val="4C7223A4"/>
    <w:rsid w:val="4C7402D7"/>
    <w:rsid w:val="4C7622A1"/>
    <w:rsid w:val="4C76404F"/>
    <w:rsid w:val="4C765DFD"/>
    <w:rsid w:val="4C771B75"/>
    <w:rsid w:val="4C793B3F"/>
    <w:rsid w:val="4C7958ED"/>
    <w:rsid w:val="4C7B3413"/>
    <w:rsid w:val="4C7B78B7"/>
    <w:rsid w:val="4C7D362F"/>
    <w:rsid w:val="4C7D53DD"/>
    <w:rsid w:val="4C7E1155"/>
    <w:rsid w:val="4C7E2F03"/>
    <w:rsid w:val="4C7E5ECA"/>
    <w:rsid w:val="4C83051A"/>
    <w:rsid w:val="4C8449BE"/>
    <w:rsid w:val="4C8524E4"/>
    <w:rsid w:val="4C854292"/>
    <w:rsid w:val="4C856040"/>
    <w:rsid w:val="4C87000A"/>
    <w:rsid w:val="4C871CAA"/>
    <w:rsid w:val="4C876AA5"/>
    <w:rsid w:val="4C883D82"/>
    <w:rsid w:val="4C884F69"/>
    <w:rsid w:val="4C885B30"/>
    <w:rsid w:val="4C8A18A8"/>
    <w:rsid w:val="4C8A5D4C"/>
    <w:rsid w:val="4C8C5620"/>
    <w:rsid w:val="4C8C73CE"/>
    <w:rsid w:val="4C8D1398"/>
    <w:rsid w:val="4C8D3147"/>
    <w:rsid w:val="4C8F5111"/>
    <w:rsid w:val="4C8F6EBF"/>
    <w:rsid w:val="4C9170DB"/>
    <w:rsid w:val="4C9269AF"/>
    <w:rsid w:val="4C9444D5"/>
    <w:rsid w:val="4C96649F"/>
    <w:rsid w:val="4C994BE1"/>
    <w:rsid w:val="4C997D3D"/>
    <w:rsid w:val="4C9A69DF"/>
    <w:rsid w:val="4C9B5863"/>
    <w:rsid w:val="4C9D5A7F"/>
    <w:rsid w:val="4C9D782D"/>
    <w:rsid w:val="4C9E5354"/>
    <w:rsid w:val="4CA13CE1"/>
    <w:rsid w:val="4CA311D2"/>
    <w:rsid w:val="4CA502B0"/>
    <w:rsid w:val="4CA55233"/>
    <w:rsid w:val="4CA87F80"/>
    <w:rsid w:val="4CA95044"/>
    <w:rsid w:val="4CA960C3"/>
    <w:rsid w:val="4CAA3CF8"/>
    <w:rsid w:val="4CAD5597"/>
    <w:rsid w:val="4CAE1A3B"/>
    <w:rsid w:val="4CAF130F"/>
    <w:rsid w:val="4CAF7561"/>
    <w:rsid w:val="4CB137D6"/>
    <w:rsid w:val="4CB15087"/>
    <w:rsid w:val="4CB16E35"/>
    <w:rsid w:val="4CB37051"/>
    <w:rsid w:val="4CB42DC9"/>
    <w:rsid w:val="4CB608EF"/>
    <w:rsid w:val="4CB6269D"/>
    <w:rsid w:val="4CB64A77"/>
    <w:rsid w:val="4CB80AD8"/>
    <w:rsid w:val="4CB84667"/>
    <w:rsid w:val="4CB93F3C"/>
    <w:rsid w:val="4CBB5F06"/>
    <w:rsid w:val="4CBB7459"/>
    <w:rsid w:val="4CBB7CB4"/>
    <w:rsid w:val="4CBD1D79"/>
    <w:rsid w:val="4CBE0FB6"/>
    <w:rsid w:val="4CC02644"/>
    <w:rsid w:val="4CC21042"/>
    <w:rsid w:val="4CC2732C"/>
    <w:rsid w:val="4CC34DBA"/>
    <w:rsid w:val="4CC528E0"/>
    <w:rsid w:val="4CC56D84"/>
    <w:rsid w:val="4CC71EE8"/>
    <w:rsid w:val="4CC748AA"/>
    <w:rsid w:val="4CCA439B"/>
    <w:rsid w:val="4CCC1EC1"/>
    <w:rsid w:val="4CCD186E"/>
    <w:rsid w:val="4CCF19B1"/>
    <w:rsid w:val="4CCF375F"/>
    <w:rsid w:val="4CCF550D"/>
    <w:rsid w:val="4CD07C03"/>
    <w:rsid w:val="4CD174D7"/>
    <w:rsid w:val="4CD314A1"/>
    <w:rsid w:val="4CD3324F"/>
    <w:rsid w:val="4CD34FFD"/>
    <w:rsid w:val="4CD36B70"/>
    <w:rsid w:val="4CD75326"/>
    <w:rsid w:val="4CD80866"/>
    <w:rsid w:val="4CD929E2"/>
    <w:rsid w:val="4CD9638C"/>
    <w:rsid w:val="4CDA2830"/>
    <w:rsid w:val="4CDA3E72"/>
    <w:rsid w:val="4CDB65A8"/>
    <w:rsid w:val="4CDD7C2A"/>
    <w:rsid w:val="4CE03BBE"/>
    <w:rsid w:val="4CE0771A"/>
    <w:rsid w:val="4CE40C32"/>
    <w:rsid w:val="4CE4545C"/>
    <w:rsid w:val="4CE63B56"/>
    <w:rsid w:val="4CE70AA9"/>
    <w:rsid w:val="4CE74FE6"/>
    <w:rsid w:val="4CE76CFB"/>
    <w:rsid w:val="4CE81047"/>
    <w:rsid w:val="4CE865CF"/>
    <w:rsid w:val="4CE92A73"/>
    <w:rsid w:val="4CE97906"/>
    <w:rsid w:val="4CEA67EB"/>
    <w:rsid w:val="4CEC60BF"/>
    <w:rsid w:val="4CEE1E37"/>
    <w:rsid w:val="4CEE62DB"/>
    <w:rsid w:val="4CF03E01"/>
    <w:rsid w:val="4CF136D5"/>
    <w:rsid w:val="4CF3569F"/>
    <w:rsid w:val="4CF3744D"/>
    <w:rsid w:val="4CF61F0A"/>
    <w:rsid w:val="4CF82CB6"/>
    <w:rsid w:val="4CF91FCC"/>
    <w:rsid w:val="4CFA4C80"/>
    <w:rsid w:val="4CFB27A6"/>
    <w:rsid w:val="4CFC72F4"/>
    <w:rsid w:val="4CFD1DDD"/>
    <w:rsid w:val="4CFD207A"/>
    <w:rsid w:val="4CFD651E"/>
    <w:rsid w:val="4CFF2296"/>
    <w:rsid w:val="4CFF46FD"/>
    <w:rsid w:val="4D007DBC"/>
    <w:rsid w:val="4D016CED"/>
    <w:rsid w:val="4D023B34"/>
    <w:rsid w:val="4D0258E3"/>
    <w:rsid w:val="4D035C4F"/>
    <w:rsid w:val="4D057181"/>
    <w:rsid w:val="4D063625"/>
    <w:rsid w:val="4D07114B"/>
    <w:rsid w:val="4D095121"/>
    <w:rsid w:val="4D0A29E9"/>
    <w:rsid w:val="4D0B2CA0"/>
    <w:rsid w:val="4D0C050F"/>
    <w:rsid w:val="4D0C6761"/>
    <w:rsid w:val="4D0E00FB"/>
    <w:rsid w:val="4D0E4287"/>
    <w:rsid w:val="4D111FCA"/>
    <w:rsid w:val="4D116B12"/>
    <w:rsid w:val="4D135D42"/>
    <w:rsid w:val="4D137AF0"/>
    <w:rsid w:val="4D1473C4"/>
    <w:rsid w:val="4D16138E"/>
    <w:rsid w:val="4D175555"/>
    <w:rsid w:val="4D176606"/>
    <w:rsid w:val="4D1D096E"/>
    <w:rsid w:val="4D1D1C5D"/>
    <w:rsid w:val="4D1D44CA"/>
    <w:rsid w:val="4D203FBB"/>
    <w:rsid w:val="4D21569F"/>
    <w:rsid w:val="4D225F85"/>
    <w:rsid w:val="4D227D33"/>
    <w:rsid w:val="4D241CFD"/>
    <w:rsid w:val="4D245859"/>
    <w:rsid w:val="4D2515D1"/>
    <w:rsid w:val="4D256418"/>
    <w:rsid w:val="4D2910C1"/>
    <w:rsid w:val="4D292E6F"/>
    <w:rsid w:val="4D2B4E39"/>
    <w:rsid w:val="4D2C295F"/>
    <w:rsid w:val="4D2E0486"/>
    <w:rsid w:val="4D2E2B7B"/>
    <w:rsid w:val="4D2F41FE"/>
    <w:rsid w:val="4D3161C8"/>
    <w:rsid w:val="4D344A7D"/>
    <w:rsid w:val="4D36558C"/>
    <w:rsid w:val="4D36739D"/>
    <w:rsid w:val="4D371A30"/>
    <w:rsid w:val="4D3A507C"/>
    <w:rsid w:val="4D3D2DBF"/>
    <w:rsid w:val="4D3D4B6D"/>
    <w:rsid w:val="4D3F03B7"/>
    <w:rsid w:val="4D3F08E5"/>
    <w:rsid w:val="4D3F2693"/>
    <w:rsid w:val="4D4001B9"/>
    <w:rsid w:val="4D4052E5"/>
    <w:rsid w:val="4D4203D5"/>
    <w:rsid w:val="4D422183"/>
    <w:rsid w:val="4D44414D"/>
    <w:rsid w:val="4D445EFB"/>
    <w:rsid w:val="4D48113A"/>
    <w:rsid w:val="4D495813"/>
    <w:rsid w:val="4D4C4DB0"/>
    <w:rsid w:val="4D4F6AB4"/>
    <w:rsid w:val="4D502AF2"/>
    <w:rsid w:val="4D5123C6"/>
    <w:rsid w:val="4D52686A"/>
    <w:rsid w:val="4D5325E2"/>
    <w:rsid w:val="4D550108"/>
    <w:rsid w:val="4D554464"/>
    <w:rsid w:val="4D5679DC"/>
    <w:rsid w:val="4D583754"/>
    <w:rsid w:val="4D5C3245"/>
    <w:rsid w:val="4D5D2548"/>
    <w:rsid w:val="4D5D520F"/>
    <w:rsid w:val="4D5F0F87"/>
    <w:rsid w:val="4D5F4AE3"/>
    <w:rsid w:val="4D602609"/>
    <w:rsid w:val="4D61085B"/>
    <w:rsid w:val="4D6245D3"/>
    <w:rsid w:val="4D64034B"/>
    <w:rsid w:val="4D6420F9"/>
    <w:rsid w:val="4D64659D"/>
    <w:rsid w:val="4D662315"/>
    <w:rsid w:val="4D665E71"/>
    <w:rsid w:val="4D673998"/>
    <w:rsid w:val="4D6B792C"/>
    <w:rsid w:val="4D6C68F4"/>
    <w:rsid w:val="4D6C7200"/>
    <w:rsid w:val="4D6D5452"/>
    <w:rsid w:val="4D6E11CA"/>
    <w:rsid w:val="4D6E34CC"/>
    <w:rsid w:val="4D6F752D"/>
    <w:rsid w:val="4D706CF0"/>
    <w:rsid w:val="4D714816"/>
    <w:rsid w:val="4D722090"/>
    <w:rsid w:val="4D7367E0"/>
    <w:rsid w:val="4D73771A"/>
    <w:rsid w:val="4D754306"/>
    <w:rsid w:val="4D783DF7"/>
    <w:rsid w:val="4D7A191D"/>
    <w:rsid w:val="4D7D31BB"/>
    <w:rsid w:val="4D7E765F"/>
    <w:rsid w:val="4D812CAB"/>
    <w:rsid w:val="4D834C75"/>
    <w:rsid w:val="4D8602C2"/>
    <w:rsid w:val="4D880385"/>
    <w:rsid w:val="4D891B60"/>
    <w:rsid w:val="4D896004"/>
    <w:rsid w:val="4D8B1D7C"/>
    <w:rsid w:val="4D8C1650"/>
    <w:rsid w:val="4D8D78A2"/>
    <w:rsid w:val="4D8E361A"/>
    <w:rsid w:val="4D907392"/>
    <w:rsid w:val="4D92310A"/>
    <w:rsid w:val="4D930C30"/>
    <w:rsid w:val="4D93478D"/>
    <w:rsid w:val="4D956757"/>
    <w:rsid w:val="4D981DA3"/>
    <w:rsid w:val="4D9A3D6D"/>
    <w:rsid w:val="4D9C5D37"/>
    <w:rsid w:val="4DA150FB"/>
    <w:rsid w:val="4DA60964"/>
    <w:rsid w:val="4DA644C0"/>
    <w:rsid w:val="4DA67EC1"/>
    <w:rsid w:val="4DA7365D"/>
    <w:rsid w:val="4DA846DC"/>
    <w:rsid w:val="4DA92202"/>
    <w:rsid w:val="4DA93FB0"/>
    <w:rsid w:val="4DAB5F7A"/>
    <w:rsid w:val="4DAC603F"/>
    <w:rsid w:val="4DAD1CF2"/>
    <w:rsid w:val="4DAE7818"/>
    <w:rsid w:val="4DAF3530"/>
    <w:rsid w:val="4DB017E2"/>
    <w:rsid w:val="4DB03590"/>
    <w:rsid w:val="4DB0533F"/>
    <w:rsid w:val="4DB12E65"/>
    <w:rsid w:val="4DB34E2F"/>
    <w:rsid w:val="4DB56DF9"/>
    <w:rsid w:val="4DB841F3"/>
    <w:rsid w:val="4DBA440F"/>
    <w:rsid w:val="4DBB2F63"/>
    <w:rsid w:val="4DBB46A4"/>
    <w:rsid w:val="4DBC1F35"/>
    <w:rsid w:val="4DBE0454"/>
    <w:rsid w:val="4DBE1B32"/>
    <w:rsid w:val="4DBE5CAD"/>
    <w:rsid w:val="4DC1579E"/>
    <w:rsid w:val="4DC1754C"/>
    <w:rsid w:val="4DC25072"/>
    <w:rsid w:val="4DC4528E"/>
    <w:rsid w:val="4DC85818"/>
    <w:rsid w:val="4DCB2178"/>
    <w:rsid w:val="4DCD7C9F"/>
    <w:rsid w:val="4DD21759"/>
    <w:rsid w:val="4DD252B5"/>
    <w:rsid w:val="4DD3727F"/>
    <w:rsid w:val="4DD51249"/>
    <w:rsid w:val="4DD52DC8"/>
    <w:rsid w:val="4DD52FF7"/>
    <w:rsid w:val="4DD612AC"/>
    <w:rsid w:val="4DD728CB"/>
    <w:rsid w:val="4DDA685F"/>
    <w:rsid w:val="4DDB6BFF"/>
    <w:rsid w:val="4DDE110F"/>
    <w:rsid w:val="4DDE1EAC"/>
    <w:rsid w:val="4DDF5C24"/>
    <w:rsid w:val="4DDF79D2"/>
    <w:rsid w:val="4DE04F2F"/>
    <w:rsid w:val="4DE17BEE"/>
    <w:rsid w:val="4DE33966"/>
    <w:rsid w:val="4DE35714"/>
    <w:rsid w:val="4DE4323A"/>
    <w:rsid w:val="4DE44FE8"/>
    <w:rsid w:val="4DE65204"/>
    <w:rsid w:val="4DE82D2A"/>
    <w:rsid w:val="4DEB281B"/>
    <w:rsid w:val="4DEB45C9"/>
    <w:rsid w:val="4DEC4FB0"/>
    <w:rsid w:val="4DF01BDF"/>
    <w:rsid w:val="4DF06083"/>
    <w:rsid w:val="4DF07E31"/>
    <w:rsid w:val="4DF27705"/>
    <w:rsid w:val="4DF30C68"/>
    <w:rsid w:val="4DF3347D"/>
    <w:rsid w:val="4DF53699"/>
    <w:rsid w:val="4DF55CC5"/>
    <w:rsid w:val="4DF72F6D"/>
    <w:rsid w:val="4DF74D1B"/>
    <w:rsid w:val="4DF94F37"/>
    <w:rsid w:val="4DFC4A28"/>
    <w:rsid w:val="4DFC67D6"/>
    <w:rsid w:val="4DFE42FC"/>
    <w:rsid w:val="4DFE60AA"/>
    <w:rsid w:val="4DFF6D77"/>
    <w:rsid w:val="4E0062C6"/>
    <w:rsid w:val="4E01203E"/>
    <w:rsid w:val="4E014268"/>
    <w:rsid w:val="4E031912"/>
    <w:rsid w:val="4E075509"/>
    <w:rsid w:val="4E075D8A"/>
    <w:rsid w:val="4E0833CC"/>
    <w:rsid w:val="4E08517B"/>
    <w:rsid w:val="4E086A24"/>
    <w:rsid w:val="4E094A4F"/>
    <w:rsid w:val="4E0A3E8A"/>
    <w:rsid w:val="4E0B07C7"/>
    <w:rsid w:val="4E0D09E3"/>
    <w:rsid w:val="4E0D2791"/>
    <w:rsid w:val="4E0F02B7"/>
    <w:rsid w:val="4E0F686C"/>
    <w:rsid w:val="4E105DDD"/>
    <w:rsid w:val="4E121B55"/>
    <w:rsid w:val="4E125FF9"/>
    <w:rsid w:val="4E141D71"/>
    <w:rsid w:val="4E151645"/>
    <w:rsid w:val="4E157897"/>
    <w:rsid w:val="4E165AE9"/>
    <w:rsid w:val="4E173610"/>
    <w:rsid w:val="4E17716C"/>
    <w:rsid w:val="4E191136"/>
    <w:rsid w:val="4E192EE4"/>
    <w:rsid w:val="4E1A4EAE"/>
    <w:rsid w:val="4E1B3100"/>
    <w:rsid w:val="4E1B4E0F"/>
    <w:rsid w:val="4E1D4C2D"/>
    <w:rsid w:val="4E1E04FA"/>
    <w:rsid w:val="4E210C81"/>
    <w:rsid w:val="4E231FB4"/>
    <w:rsid w:val="4E257ADB"/>
    <w:rsid w:val="4E281379"/>
    <w:rsid w:val="4E296E9F"/>
    <w:rsid w:val="4E2A6045"/>
    <w:rsid w:val="4E2B70BB"/>
    <w:rsid w:val="4E2D2907"/>
    <w:rsid w:val="4E2D698F"/>
    <w:rsid w:val="4E2F4715"/>
    <w:rsid w:val="4E2F6BAB"/>
    <w:rsid w:val="4E3046D1"/>
    <w:rsid w:val="4E30647F"/>
    <w:rsid w:val="4E320449"/>
    <w:rsid w:val="4E3715BC"/>
    <w:rsid w:val="4E375A60"/>
    <w:rsid w:val="4E37780E"/>
    <w:rsid w:val="4E3A10AC"/>
    <w:rsid w:val="4E3C6BD2"/>
    <w:rsid w:val="4E3E0B9C"/>
    <w:rsid w:val="4E3F66C2"/>
    <w:rsid w:val="4E41243B"/>
    <w:rsid w:val="4E4168DE"/>
    <w:rsid w:val="4E45007C"/>
    <w:rsid w:val="4E451F2B"/>
    <w:rsid w:val="4E465CA3"/>
    <w:rsid w:val="4E4A5793"/>
    <w:rsid w:val="4E4A7541"/>
    <w:rsid w:val="4E4B5A59"/>
    <w:rsid w:val="4E4C150B"/>
    <w:rsid w:val="4E4D0DDF"/>
    <w:rsid w:val="4E4D7031"/>
    <w:rsid w:val="4E4F4B57"/>
    <w:rsid w:val="4E5008D0"/>
    <w:rsid w:val="4E5263F6"/>
    <w:rsid w:val="4E54216E"/>
    <w:rsid w:val="4E546612"/>
    <w:rsid w:val="4E557C94"/>
    <w:rsid w:val="4E571C5E"/>
    <w:rsid w:val="4E577EB0"/>
    <w:rsid w:val="4E5864F2"/>
    <w:rsid w:val="4E5959D6"/>
    <w:rsid w:val="4E597784"/>
    <w:rsid w:val="4E597982"/>
    <w:rsid w:val="4E5A0E12"/>
    <w:rsid w:val="4E5B79A0"/>
    <w:rsid w:val="4E5C5F00"/>
    <w:rsid w:val="4E5C7274"/>
    <w:rsid w:val="4E5E2FEC"/>
    <w:rsid w:val="4E600B13"/>
    <w:rsid w:val="4E604FB7"/>
    <w:rsid w:val="4E610CE5"/>
    <w:rsid w:val="4E630603"/>
    <w:rsid w:val="4E6323B1"/>
    <w:rsid w:val="4E656129"/>
    <w:rsid w:val="4E683E6B"/>
    <w:rsid w:val="4E6A373F"/>
    <w:rsid w:val="4E6C395B"/>
    <w:rsid w:val="4E6D1482"/>
    <w:rsid w:val="4E6F6FA8"/>
    <w:rsid w:val="4E704ACE"/>
    <w:rsid w:val="4E721C6A"/>
    <w:rsid w:val="4E724CEA"/>
    <w:rsid w:val="4E726A98"/>
    <w:rsid w:val="4E742810"/>
    <w:rsid w:val="4E7445BE"/>
    <w:rsid w:val="4E760336"/>
    <w:rsid w:val="4E772300"/>
    <w:rsid w:val="4E796078"/>
    <w:rsid w:val="4E796713"/>
    <w:rsid w:val="4E7B188C"/>
    <w:rsid w:val="4E7B594C"/>
    <w:rsid w:val="4E7E543D"/>
    <w:rsid w:val="4E7E71EB"/>
    <w:rsid w:val="4E8056FE"/>
    <w:rsid w:val="4E824F2D"/>
    <w:rsid w:val="4E854A1D"/>
    <w:rsid w:val="4E861570"/>
    <w:rsid w:val="4E8642F1"/>
    <w:rsid w:val="4E870795"/>
    <w:rsid w:val="4E872543"/>
    <w:rsid w:val="4E872A00"/>
    <w:rsid w:val="4E8862BB"/>
    <w:rsid w:val="4E8A3DE2"/>
    <w:rsid w:val="4E8B1863"/>
    <w:rsid w:val="4E8C5DAC"/>
    <w:rsid w:val="4E8D38D2"/>
    <w:rsid w:val="4E93713A"/>
    <w:rsid w:val="4E962786"/>
    <w:rsid w:val="4E964534"/>
    <w:rsid w:val="4E9702AC"/>
    <w:rsid w:val="4E9764FE"/>
    <w:rsid w:val="4E994025"/>
    <w:rsid w:val="4E9B1B4B"/>
    <w:rsid w:val="4E9C0BC5"/>
    <w:rsid w:val="4E9E163B"/>
    <w:rsid w:val="4E9E5ADF"/>
    <w:rsid w:val="4E9E788D"/>
    <w:rsid w:val="4EA01857"/>
    <w:rsid w:val="4EA053B3"/>
    <w:rsid w:val="4EA14414"/>
    <w:rsid w:val="4EA30A98"/>
    <w:rsid w:val="4EA330F5"/>
    <w:rsid w:val="4EA56E6D"/>
    <w:rsid w:val="4EA60C58"/>
    <w:rsid w:val="4EAA4484"/>
    <w:rsid w:val="4EAA6232"/>
    <w:rsid w:val="4EAB1DFB"/>
    <w:rsid w:val="4EAC01FC"/>
    <w:rsid w:val="4EAF1A9A"/>
    <w:rsid w:val="4EB1136E"/>
    <w:rsid w:val="4EB3158A"/>
    <w:rsid w:val="4EB40E5E"/>
    <w:rsid w:val="4EB470B0"/>
    <w:rsid w:val="4EB52EAD"/>
    <w:rsid w:val="4EB5333D"/>
    <w:rsid w:val="4EB62E28"/>
    <w:rsid w:val="4EB66F0E"/>
    <w:rsid w:val="4EB726FD"/>
    <w:rsid w:val="4EB943FF"/>
    <w:rsid w:val="4EB946C7"/>
    <w:rsid w:val="4EB96475"/>
    <w:rsid w:val="4EBC7D13"/>
    <w:rsid w:val="4EBD41B7"/>
    <w:rsid w:val="4EBD5F65"/>
    <w:rsid w:val="4EBE1CDD"/>
    <w:rsid w:val="4EC00FAD"/>
    <w:rsid w:val="4EC015B1"/>
    <w:rsid w:val="4EC07803"/>
    <w:rsid w:val="4EC11450"/>
    <w:rsid w:val="4EC2357B"/>
    <w:rsid w:val="4EC36941"/>
    <w:rsid w:val="4EC47DD1"/>
    <w:rsid w:val="4EC512BE"/>
    <w:rsid w:val="4EC5306C"/>
    <w:rsid w:val="4EC54E1A"/>
    <w:rsid w:val="4EC56BC8"/>
    <w:rsid w:val="4EC70B92"/>
    <w:rsid w:val="4EC72940"/>
    <w:rsid w:val="4EC8490A"/>
    <w:rsid w:val="4EC866B8"/>
    <w:rsid w:val="4ECA2430"/>
    <w:rsid w:val="4ECA3FCB"/>
    <w:rsid w:val="4ECA5384"/>
    <w:rsid w:val="4ECC43FA"/>
    <w:rsid w:val="4ECC61A8"/>
    <w:rsid w:val="4ECD1F20"/>
    <w:rsid w:val="4ECF3EEA"/>
    <w:rsid w:val="4ECF4EE4"/>
    <w:rsid w:val="4ECF69F1"/>
    <w:rsid w:val="4ED10F45"/>
    <w:rsid w:val="4ED27537"/>
    <w:rsid w:val="4ED432AF"/>
    <w:rsid w:val="4ED50D56"/>
    <w:rsid w:val="4ED80FF1"/>
    <w:rsid w:val="4ED876D7"/>
    <w:rsid w:val="4ED92673"/>
    <w:rsid w:val="4ED96B17"/>
    <w:rsid w:val="4EDB288F"/>
    <w:rsid w:val="4EDB463D"/>
    <w:rsid w:val="4EDB63EB"/>
    <w:rsid w:val="4EDD6607"/>
    <w:rsid w:val="4EDE412D"/>
    <w:rsid w:val="4EE2358D"/>
    <w:rsid w:val="4EE37492"/>
    <w:rsid w:val="4EE5726A"/>
    <w:rsid w:val="4EE71234"/>
    <w:rsid w:val="4EE75D3B"/>
    <w:rsid w:val="4EE77910"/>
    <w:rsid w:val="4EEA0D24"/>
    <w:rsid w:val="4EEC05F8"/>
    <w:rsid w:val="4EEC23A6"/>
    <w:rsid w:val="4EEC684A"/>
    <w:rsid w:val="4EED611E"/>
    <w:rsid w:val="4EEE7C9D"/>
    <w:rsid w:val="4EEF633A"/>
    <w:rsid w:val="4EF120B3"/>
    <w:rsid w:val="4EF15C0F"/>
    <w:rsid w:val="4EF179BD"/>
    <w:rsid w:val="4EF474AD"/>
    <w:rsid w:val="4EF676C9"/>
    <w:rsid w:val="4EF92D15"/>
    <w:rsid w:val="4EFB083B"/>
    <w:rsid w:val="4EFD0A57"/>
    <w:rsid w:val="4EFE032C"/>
    <w:rsid w:val="4F0168E2"/>
    <w:rsid w:val="4F021BCA"/>
    <w:rsid w:val="4F022BC1"/>
    <w:rsid w:val="4F027E1C"/>
    <w:rsid w:val="4F0C47F7"/>
    <w:rsid w:val="4F0E056F"/>
    <w:rsid w:val="4F0E2627"/>
    <w:rsid w:val="4F0E4A13"/>
    <w:rsid w:val="4F10078B"/>
    <w:rsid w:val="4F111758"/>
    <w:rsid w:val="4F1418FD"/>
    <w:rsid w:val="4F147B4F"/>
    <w:rsid w:val="4F161B19"/>
    <w:rsid w:val="4F165675"/>
    <w:rsid w:val="4F1813ED"/>
    <w:rsid w:val="4F18226B"/>
    <w:rsid w:val="4F18763F"/>
    <w:rsid w:val="4F1A33B7"/>
    <w:rsid w:val="4F1B2C8C"/>
    <w:rsid w:val="4F1C34EA"/>
    <w:rsid w:val="4F1D07B2"/>
    <w:rsid w:val="4F1D4C56"/>
    <w:rsid w:val="4F1E452A"/>
    <w:rsid w:val="4F1F35AC"/>
    <w:rsid w:val="4F2002A2"/>
    <w:rsid w:val="4F204746"/>
    <w:rsid w:val="4F244236"/>
    <w:rsid w:val="4F251D5C"/>
    <w:rsid w:val="4F29184C"/>
    <w:rsid w:val="4F2935FA"/>
    <w:rsid w:val="4F2953A8"/>
    <w:rsid w:val="4F2C30EB"/>
    <w:rsid w:val="4F2E29BF"/>
    <w:rsid w:val="4F2F6737"/>
    <w:rsid w:val="4F310701"/>
    <w:rsid w:val="4F336227"/>
    <w:rsid w:val="4F365D17"/>
    <w:rsid w:val="4F38383D"/>
    <w:rsid w:val="4F3855EC"/>
    <w:rsid w:val="4F391364"/>
    <w:rsid w:val="4F3A6A73"/>
    <w:rsid w:val="4F3B332E"/>
    <w:rsid w:val="4F3F1455"/>
    <w:rsid w:val="4F3F2E1E"/>
    <w:rsid w:val="4F400944"/>
    <w:rsid w:val="4F4026F2"/>
    <w:rsid w:val="4F4421E2"/>
    <w:rsid w:val="4F443F90"/>
    <w:rsid w:val="4F473A81"/>
    <w:rsid w:val="4F4977F9"/>
    <w:rsid w:val="4F4C553B"/>
    <w:rsid w:val="4F4E3061"/>
    <w:rsid w:val="4F4E4E0F"/>
    <w:rsid w:val="4F4F0B87"/>
    <w:rsid w:val="4F50502B"/>
    <w:rsid w:val="4F506DD9"/>
    <w:rsid w:val="4F530D5B"/>
    <w:rsid w:val="4F5368C9"/>
    <w:rsid w:val="4F554DBC"/>
    <w:rsid w:val="4F560168"/>
    <w:rsid w:val="4F585C8E"/>
    <w:rsid w:val="4F59216A"/>
    <w:rsid w:val="4F5A0CD3"/>
    <w:rsid w:val="4F5A491C"/>
    <w:rsid w:val="4F5A7C58"/>
    <w:rsid w:val="4F5B577E"/>
    <w:rsid w:val="4F5C39D0"/>
    <w:rsid w:val="4F5D14F6"/>
    <w:rsid w:val="4F5D32A4"/>
    <w:rsid w:val="4F5F701C"/>
    <w:rsid w:val="4F602D94"/>
    <w:rsid w:val="4F610FE6"/>
    <w:rsid w:val="4F6208BA"/>
    <w:rsid w:val="4F626B0C"/>
    <w:rsid w:val="4F644633"/>
    <w:rsid w:val="4F6603AB"/>
    <w:rsid w:val="4F672375"/>
    <w:rsid w:val="4F697E9B"/>
    <w:rsid w:val="4F6B3C13"/>
    <w:rsid w:val="4F6C34E7"/>
    <w:rsid w:val="4F6C798B"/>
    <w:rsid w:val="4F6E725F"/>
    <w:rsid w:val="4F6F1F1D"/>
    <w:rsid w:val="4F716D4F"/>
    <w:rsid w:val="4F730D1A"/>
    <w:rsid w:val="4F732AC8"/>
    <w:rsid w:val="4F734876"/>
    <w:rsid w:val="4F754A92"/>
    <w:rsid w:val="4F766114"/>
    <w:rsid w:val="4F7725B8"/>
    <w:rsid w:val="4F7A20A8"/>
    <w:rsid w:val="4F7A3E56"/>
    <w:rsid w:val="4F7C7BCE"/>
    <w:rsid w:val="4F7D56F4"/>
    <w:rsid w:val="4F7D74A2"/>
    <w:rsid w:val="4F820F5D"/>
    <w:rsid w:val="4F822D0B"/>
    <w:rsid w:val="4F824AB9"/>
    <w:rsid w:val="4F840831"/>
    <w:rsid w:val="4F843A4C"/>
    <w:rsid w:val="4F846A83"/>
    <w:rsid w:val="4F8545A9"/>
    <w:rsid w:val="4F8627FB"/>
    <w:rsid w:val="4F87507A"/>
    <w:rsid w:val="4F876573"/>
    <w:rsid w:val="4F8847C5"/>
    <w:rsid w:val="4F894099"/>
    <w:rsid w:val="4F8C3B89"/>
    <w:rsid w:val="4F8C5937"/>
    <w:rsid w:val="4F8D1DDB"/>
    <w:rsid w:val="4F8E16AF"/>
    <w:rsid w:val="4F952A3E"/>
    <w:rsid w:val="4F9547EC"/>
    <w:rsid w:val="4F980780"/>
    <w:rsid w:val="4F9843DC"/>
    <w:rsid w:val="4F9A0054"/>
    <w:rsid w:val="4F9A62A6"/>
    <w:rsid w:val="4F9B5B7A"/>
    <w:rsid w:val="4F9C201E"/>
    <w:rsid w:val="4F9D5D96"/>
    <w:rsid w:val="4F9F566B"/>
    <w:rsid w:val="4FA2515B"/>
    <w:rsid w:val="4FA26F09"/>
    <w:rsid w:val="4FA40ED3"/>
    <w:rsid w:val="4FA47125"/>
    <w:rsid w:val="4FA64C4B"/>
    <w:rsid w:val="4FA72771"/>
    <w:rsid w:val="4FA72F23"/>
    <w:rsid w:val="4FA7451F"/>
    <w:rsid w:val="4FA964E9"/>
    <w:rsid w:val="4FAE58AE"/>
    <w:rsid w:val="4FB102E7"/>
    <w:rsid w:val="4FB31116"/>
    <w:rsid w:val="4FB569B7"/>
    <w:rsid w:val="4FB70C06"/>
    <w:rsid w:val="4FB76E58"/>
    <w:rsid w:val="4FB8672C"/>
    <w:rsid w:val="4FB95338"/>
    <w:rsid w:val="4FBA24A4"/>
    <w:rsid w:val="4FBA4253"/>
    <w:rsid w:val="4FBC446F"/>
    <w:rsid w:val="4FBD1F95"/>
    <w:rsid w:val="4FBD3D43"/>
    <w:rsid w:val="4FC11A85"/>
    <w:rsid w:val="4FC13833"/>
    <w:rsid w:val="4FC33B8C"/>
    <w:rsid w:val="4FC37066"/>
    <w:rsid w:val="4FC41575"/>
    <w:rsid w:val="4FC60E49"/>
    <w:rsid w:val="4FC62A8C"/>
    <w:rsid w:val="4FC7250D"/>
    <w:rsid w:val="4FC74BC1"/>
    <w:rsid w:val="4FCB231E"/>
    <w:rsid w:val="4FCB46B2"/>
    <w:rsid w:val="4FCC21D8"/>
    <w:rsid w:val="4FCC4EEF"/>
    <w:rsid w:val="4FD01CC8"/>
    <w:rsid w:val="4FD035BF"/>
    <w:rsid w:val="4FD07F1A"/>
    <w:rsid w:val="4FD25A40"/>
    <w:rsid w:val="4FD33566"/>
    <w:rsid w:val="4FD5108C"/>
    <w:rsid w:val="4FD55530"/>
    <w:rsid w:val="4FD55FA1"/>
    <w:rsid w:val="4FD749A5"/>
    <w:rsid w:val="4FD80B7D"/>
    <w:rsid w:val="4FD95020"/>
    <w:rsid w:val="4FD974F3"/>
    <w:rsid w:val="4FDB48F5"/>
    <w:rsid w:val="4FDD43E5"/>
    <w:rsid w:val="4FDE2637"/>
    <w:rsid w:val="4FDF1F0B"/>
    <w:rsid w:val="4FE13ED5"/>
    <w:rsid w:val="4FE15C83"/>
    <w:rsid w:val="4FE20F0D"/>
    <w:rsid w:val="4FE237A9"/>
    <w:rsid w:val="4FE30927"/>
    <w:rsid w:val="4FE45773"/>
    <w:rsid w:val="4FE47521"/>
    <w:rsid w:val="4FE51552"/>
    <w:rsid w:val="4FE614EB"/>
    <w:rsid w:val="4FE63299"/>
    <w:rsid w:val="4FEB08B0"/>
    <w:rsid w:val="4FEB6B02"/>
    <w:rsid w:val="4FEC63D6"/>
    <w:rsid w:val="4FF0236A"/>
    <w:rsid w:val="4FF04118"/>
    <w:rsid w:val="4FF27E90"/>
    <w:rsid w:val="4FF534DD"/>
    <w:rsid w:val="4FF73115"/>
    <w:rsid w:val="4FF754A7"/>
    <w:rsid w:val="4FF82FCD"/>
    <w:rsid w:val="4FF84D7B"/>
    <w:rsid w:val="4FF9121F"/>
    <w:rsid w:val="4FFA4F97"/>
    <w:rsid w:val="4FFC486B"/>
    <w:rsid w:val="4FFD7885"/>
    <w:rsid w:val="4FFF6842"/>
    <w:rsid w:val="500069A2"/>
    <w:rsid w:val="500100D3"/>
    <w:rsid w:val="50016325"/>
    <w:rsid w:val="50033E4B"/>
    <w:rsid w:val="5005393F"/>
    <w:rsid w:val="500656EA"/>
    <w:rsid w:val="50066510"/>
    <w:rsid w:val="50067498"/>
    <w:rsid w:val="5007625F"/>
    <w:rsid w:val="50081462"/>
    <w:rsid w:val="500876B4"/>
    <w:rsid w:val="50096F88"/>
    <w:rsid w:val="500B0F52"/>
    <w:rsid w:val="500B4BE0"/>
    <w:rsid w:val="500B71A4"/>
    <w:rsid w:val="500D6A78"/>
    <w:rsid w:val="500E2E45"/>
    <w:rsid w:val="50100316"/>
    <w:rsid w:val="50102193"/>
    <w:rsid w:val="501047BA"/>
    <w:rsid w:val="50106568"/>
    <w:rsid w:val="50120532"/>
    <w:rsid w:val="50137E07"/>
    <w:rsid w:val="50153B7F"/>
    <w:rsid w:val="50175B49"/>
    <w:rsid w:val="5019541D"/>
    <w:rsid w:val="501A1195"/>
    <w:rsid w:val="501B5B65"/>
    <w:rsid w:val="501C4F0D"/>
    <w:rsid w:val="501E0C85"/>
    <w:rsid w:val="501E6ED7"/>
    <w:rsid w:val="50212524"/>
    <w:rsid w:val="502142D2"/>
    <w:rsid w:val="5023004A"/>
    <w:rsid w:val="5023629C"/>
    <w:rsid w:val="50242014"/>
    <w:rsid w:val="50265D8C"/>
    <w:rsid w:val="50267B3A"/>
    <w:rsid w:val="502838B2"/>
    <w:rsid w:val="50285660"/>
    <w:rsid w:val="502A762A"/>
    <w:rsid w:val="502B33A2"/>
    <w:rsid w:val="502E69EF"/>
    <w:rsid w:val="502F3FDB"/>
    <w:rsid w:val="502F4C40"/>
    <w:rsid w:val="50306C0B"/>
    <w:rsid w:val="5032295C"/>
    <w:rsid w:val="50357E4D"/>
    <w:rsid w:val="50371D47"/>
    <w:rsid w:val="50373AF5"/>
    <w:rsid w:val="50377F99"/>
    <w:rsid w:val="5039139F"/>
    <w:rsid w:val="50395ABF"/>
    <w:rsid w:val="5039786D"/>
    <w:rsid w:val="503A3CBF"/>
    <w:rsid w:val="503C55AF"/>
    <w:rsid w:val="503C65DF"/>
    <w:rsid w:val="503E30D6"/>
    <w:rsid w:val="50406E4E"/>
    <w:rsid w:val="50416E46"/>
    <w:rsid w:val="504306EC"/>
    <w:rsid w:val="5043249A"/>
    <w:rsid w:val="5043693E"/>
    <w:rsid w:val="50446212"/>
    <w:rsid w:val="50447FC0"/>
    <w:rsid w:val="504601DC"/>
    <w:rsid w:val="504A1A7A"/>
    <w:rsid w:val="504A7CCC"/>
    <w:rsid w:val="504B75A0"/>
    <w:rsid w:val="504D3319"/>
    <w:rsid w:val="504D50C7"/>
    <w:rsid w:val="504F7091"/>
    <w:rsid w:val="50504C4B"/>
    <w:rsid w:val="50505EE5"/>
    <w:rsid w:val="5052092F"/>
    <w:rsid w:val="505226DD"/>
    <w:rsid w:val="50526B81"/>
    <w:rsid w:val="505428F9"/>
    <w:rsid w:val="50546455"/>
    <w:rsid w:val="50593A6B"/>
    <w:rsid w:val="50597248"/>
    <w:rsid w:val="50597F0F"/>
    <w:rsid w:val="505A1632"/>
    <w:rsid w:val="505A77E4"/>
    <w:rsid w:val="505C355C"/>
    <w:rsid w:val="505D7058"/>
    <w:rsid w:val="505E72D4"/>
    <w:rsid w:val="5060304C"/>
    <w:rsid w:val="50616DC4"/>
    <w:rsid w:val="50631789"/>
    <w:rsid w:val="506348EA"/>
    <w:rsid w:val="506643DA"/>
    <w:rsid w:val="50666188"/>
    <w:rsid w:val="5067010A"/>
    <w:rsid w:val="506863A4"/>
    <w:rsid w:val="506A211C"/>
    <w:rsid w:val="506A3ECB"/>
    <w:rsid w:val="506B19F1"/>
    <w:rsid w:val="506B2AEC"/>
    <w:rsid w:val="506C3F7C"/>
    <w:rsid w:val="506D7517"/>
    <w:rsid w:val="50707007"/>
    <w:rsid w:val="5075581E"/>
    <w:rsid w:val="50757EB0"/>
    <w:rsid w:val="50770396"/>
    <w:rsid w:val="507765E7"/>
    <w:rsid w:val="507B081A"/>
    <w:rsid w:val="507C1E50"/>
    <w:rsid w:val="507C59AC"/>
    <w:rsid w:val="507C775A"/>
    <w:rsid w:val="507E7976"/>
    <w:rsid w:val="507F724A"/>
    <w:rsid w:val="508036EE"/>
    <w:rsid w:val="50810E77"/>
    <w:rsid w:val="50812FC2"/>
    <w:rsid w:val="50830D73"/>
    <w:rsid w:val="50870B84"/>
    <w:rsid w:val="50874A7C"/>
    <w:rsid w:val="508807F5"/>
    <w:rsid w:val="508A00C9"/>
    <w:rsid w:val="508A0C46"/>
    <w:rsid w:val="508C2093"/>
    <w:rsid w:val="508D5E0B"/>
    <w:rsid w:val="508F1B83"/>
    <w:rsid w:val="508F3931"/>
    <w:rsid w:val="508F56DF"/>
    <w:rsid w:val="50901457"/>
    <w:rsid w:val="50903205"/>
    <w:rsid w:val="50923421"/>
    <w:rsid w:val="50925C97"/>
    <w:rsid w:val="50926F7D"/>
    <w:rsid w:val="50947199"/>
    <w:rsid w:val="50955D59"/>
    <w:rsid w:val="50966A6E"/>
    <w:rsid w:val="5098335B"/>
    <w:rsid w:val="5099030C"/>
    <w:rsid w:val="509A5B6A"/>
    <w:rsid w:val="509B22D6"/>
    <w:rsid w:val="509C1E4D"/>
    <w:rsid w:val="509C604E"/>
    <w:rsid w:val="509C6E7C"/>
    <w:rsid w:val="509C7DFC"/>
    <w:rsid w:val="509D44EB"/>
    <w:rsid w:val="509D65E9"/>
    <w:rsid w:val="50A0169A"/>
    <w:rsid w:val="50A05B3E"/>
    <w:rsid w:val="50A06D12"/>
    <w:rsid w:val="50A13664"/>
    <w:rsid w:val="50A32F39"/>
    <w:rsid w:val="50A373DC"/>
    <w:rsid w:val="50A56CB1"/>
    <w:rsid w:val="50A70C7B"/>
    <w:rsid w:val="50A867A1"/>
    <w:rsid w:val="50AB003F"/>
    <w:rsid w:val="50AD3DB7"/>
    <w:rsid w:val="50AF4E94"/>
    <w:rsid w:val="50B05655"/>
    <w:rsid w:val="50B138A7"/>
    <w:rsid w:val="50B25281"/>
    <w:rsid w:val="50B60EBE"/>
    <w:rsid w:val="50B73A69"/>
    <w:rsid w:val="50B9275C"/>
    <w:rsid w:val="50B96C00"/>
    <w:rsid w:val="50BB0282"/>
    <w:rsid w:val="50BB4726"/>
    <w:rsid w:val="50BC3FFA"/>
    <w:rsid w:val="50BD3AD5"/>
    <w:rsid w:val="50BE5FC4"/>
    <w:rsid w:val="50C02456"/>
    <w:rsid w:val="50C03AEB"/>
    <w:rsid w:val="50C17863"/>
    <w:rsid w:val="50C3182D"/>
    <w:rsid w:val="50C36206"/>
    <w:rsid w:val="50C7131D"/>
    <w:rsid w:val="50C730CB"/>
    <w:rsid w:val="50CD4459"/>
    <w:rsid w:val="50CD6207"/>
    <w:rsid w:val="50CE3319"/>
    <w:rsid w:val="50CF1F80"/>
    <w:rsid w:val="50CF3D2E"/>
    <w:rsid w:val="50D15CF8"/>
    <w:rsid w:val="50D17AA6"/>
    <w:rsid w:val="50D5061B"/>
    <w:rsid w:val="50D70E34"/>
    <w:rsid w:val="50D91050"/>
    <w:rsid w:val="50DB0924"/>
    <w:rsid w:val="50DB26D2"/>
    <w:rsid w:val="50DE180B"/>
    <w:rsid w:val="50DE21C3"/>
    <w:rsid w:val="50DE6667"/>
    <w:rsid w:val="50E05F3B"/>
    <w:rsid w:val="50E1178F"/>
    <w:rsid w:val="50E13A61"/>
    <w:rsid w:val="50E579F5"/>
    <w:rsid w:val="50E61077"/>
    <w:rsid w:val="50E7551B"/>
    <w:rsid w:val="50E772C9"/>
    <w:rsid w:val="50E81293"/>
    <w:rsid w:val="50E83041"/>
    <w:rsid w:val="50EA0B67"/>
    <w:rsid w:val="50EA6DB9"/>
    <w:rsid w:val="50EC48E0"/>
    <w:rsid w:val="50ED0658"/>
    <w:rsid w:val="50EE4AFC"/>
    <w:rsid w:val="50EF2622"/>
    <w:rsid w:val="50EF43D0"/>
    <w:rsid w:val="50EF617E"/>
    <w:rsid w:val="50F32112"/>
    <w:rsid w:val="50F419E6"/>
    <w:rsid w:val="50FE0AB7"/>
    <w:rsid w:val="50FE4613"/>
    <w:rsid w:val="5100038B"/>
    <w:rsid w:val="51002139"/>
    <w:rsid w:val="5100482F"/>
    <w:rsid w:val="51025EB1"/>
    <w:rsid w:val="51031C29"/>
    <w:rsid w:val="51037E7B"/>
    <w:rsid w:val="51053BF3"/>
    <w:rsid w:val="510559A1"/>
    <w:rsid w:val="51060B8A"/>
    <w:rsid w:val="51064A9D"/>
    <w:rsid w:val="51071719"/>
    <w:rsid w:val="510734C7"/>
    <w:rsid w:val="5107796B"/>
    <w:rsid w:val="510843F7"/>
    <w:rsid w:val="510D0C3A"/>
    <w:rsid w:val="510D4856"/>
    <w:rsid w:val="510D731C"/>
    <w:rsid w:val="510E0CFA"/>
    <w:rsid w:val="510F05CE"/>
    <w:rsid w:val="510F6820"/>
    <w:rsid w:val="511107EA"/>
    <w:rsid w:val="5112712D"/>
    <w:rsid w:val="51134562"/>
    <w:rsid w:val="5116195C"/>
    <w:rsid w:val="5119144D"/>
    <w:rsid w:val="511A2107"/>
    <w:rsid w:val="511D0F3D"/>
    <w:rsid w:val="511D718F"/>
    <w:rsid w:val="511E6A63"/>
    <w:rsid w:val="511F1731"/>
    <w:rsid w:val="51200A2D"/>
    <w:rsid w:val="512027DB"/>
    <w:rsid w:val="51216C22"/>
    <w:rsid w:val="51220301"/>
    <w:rsid w:val="512247A5"/>
    <w:rsid w:val="51271DBC"/>
    <w:rsid w:val="51274B95"/>
    <w:rsid w:val="51281690"/>
    <w:rsid w:val="512A18AC"/>
    <w:rsid w:val="51312C3A"/>
    <w:rsid w:val="51330760"/>
    <w:rsid w:val="5133250E"/>
    <w:rsid w:val="51380E48"/>
    <w:rsid w:val="5139389D"/>
    <w:rsid w:val="513A1AEF"/>
    <w:rsid w:val="513B13C3"/>
    <w:rsid w:val="513D15DF"/>
    <w:rsid w:val="513E0EB3"/>
    <w:rsid w:val="513E788B"/>
    <w:rsid w:val="513F7105"/>
    <w:rsid w:val="51402E7D"/>
    <w:rsid w:val="51404C2B"/>
    <w:rsid w:val="514069D9"/>
    <w:rsid w:val="5141363B"/>
    <w:rsid w:val="514364CA"/>
    <w:rsid w:val="51450494"/>
    <w:rsid w:val="51452242"/>
    <w:rsid w:val="514566E6"/>
    <w:rsid w:val="5147420C"/>
    <w:rsid w:val="51475FBA"/>
    <w:rsid w:val="51477D68"/>
    <w:rsid w:val="51491D32"/>
    <w:rsid w:val="51493AE0"/>
    <w:rsid w:val="514A5AAA"/>
    <w:rsid w:val="514B3CFC"/>
    <w:rsid w:val="514C537E"/>
    <w:rsid w:val="514E559A"/>
    <w:rsid w:val="51501312"/>
    <w:rsid w:val="5151508A"/>
    <w:rsid w:val="51532BB1"/>
    <w:rsid w:val="5153670D"/>
    <w:rsid w:val="515406D7"/>
    <w:rsid w:val="51581F75"/>
    <w:rsid w:val="51583D23"/>
    <w:rsid w:val="51586419"/>
    <w:rsid w:val="51595CED"/>
    <w:rsid w:val="51597A9B"/>
    <w:rsid w:val="515B1A65"/>
    <w:rsid w:val="515B3813"/>
    <w:rsid w:val="515B7CB7"/>
    <w:rsid w:val="515D57DD"/>
    <w:rsid w:val="515D758B"/>
    <w:rsid w:val="51600E2A"/>
    <w:rsid w:val="5160707C"/>
    <w:rsid w:val="5162104E"/>
    <w:rsid w:val="51624BA2"/>
    <w:rsid w:val="51644DBE"/>
    <w:rsid w:val="51656440"/>
    <w:rsid w:val="5167040A"/>
    <w:rsid w:val="5167665C"/>
    <w:rsid w:val="51677F27"/>
    <w:rsid w:val="516923D4"/>
    <w:rsid w:val="516A04AA"/>
    <w:rsid w:val="516A1CA8"/>
    <w:rsid w:val="516A3A56"/>
    <w:rsid w:val="516A7EFA"/>
    <w:rsid w:val="516C5A20"/>
    <w:rsid w:val="51705511"/>
    <w:rsid w:val="51714DE5"/>
    <w:rsid w:val="51736DAF"/>
    <w:rsid w:val="51752A0B"/>
    <w:rsid w:val="51763FC2"/>
    <w:rsid w:val="51786173"/>
    <w:rsid w:val="51791EEB"/>
    <w:rsid w:val="517A013D"/>
    <w:rsid w:val="517A638F"/>
    <w:rsid w:val="517E4D1E"/>
    <w:rsid w:val="517F39A6"/>
    <w:rsid w:val="51824B2F"/>
    <w:rsid w:val="51825244"/>
    <w:rsid w:val="51842D6A"/>
    <w:rsid w:val="51856AE2"/>
    <w:rsid w:val="51890380"/>
    <w:rsid w:val="518A40F8"/>
    <w:rsid w:val="518A6B82"/>
    <w:rsid w:val="518D1C42"/>
    <w:rsid w:val="518E1E3B"/>
    <w:rsid w:val="518E3BE9"/>
    <w:rsid w:val="51907961"/>
    <w:rsid w:val="51907CB7"/>
    <w:rsid w:val="51954F77"/>
    <w:rsid w:val="519A258E"/>
    <w:rsid w:val="519C4558"/>
    <w:rsid w:val="519E2BC7"/>
    <w:rsid w:val="519F7BA4"/>
    <w:rsid w:val="51A04E60"/>
    <w:rsid w:val="51A100B8"/>
    <w:rsid w:val="51A258E6"/>
    <w:rsid w:val="51A60F32"/>
    <w:rsid w:val="51A927D1"/>
    <w:rsid w:val="51AB6549"/>
    <w:rsid w:val="51AC0513"/>
    <w:rsid w:val="51AC22C1"/>
    <w:rsid w:val="51AC406F"/>
    <w:rsid w:val="51AE428B"/>
    <w:rsid w:val="51AE6039"/>
    <w:rsid w:val="51AE7DE7"/>
    <w:rsid w:val="51B03B5F"/>
    <w:rsid w:val="51B1646C"/>
    <w:rsid w:val="51B25298"/>
    <w:rsid w:val="51B318A1"/>
    <w:rsid w:val="51B3395D"/>
    <w:rsid w:val="51B55619"/>
    <w:rsid w:val="51B573C7"/>
    <w:rsid w:val="51B722DE"/>
    <w:rsid w:val="51B82A14"/>
    <w:rsid w:val="51BB20EF"/>
    <w:rsid w:val="51BC0756"/>
    <w:rsid w:val="51BC1C05"/>
    <w:rsid w:val="51BD627C"/>
    <w:rsid w:val="51BF0246"/>
    <w:rsid w:val="51BF3DA2"/>
    <w:rsid w:val="51C13FBE"/>
    <w:rsid w:val="51C15D6C"/>
    <w:rsid w:val="51C27D36"/>
    <w:rsid w:val="51C70EA9"/>
    <w:rsid w:val="51C770FB"/>
    <w:rsid w:val="51C94C21"/>
    <w:rsid w:val="51C969CF"/>
    <w:rsid w:val="51D11D27"/>
    <w:rsid w:val="51D27F79"/>
    <w:rsid w:val="51D33CF1"/>
    <w:rsid w:val="51D35A9F"/>
    <w:rsid w:val="51D57A6A"/>
    <w:rsid w:val="51D610EC"/>
    <w:rsid w:val="51D81308"/>
    <w:rsid w:val="51D830B6"/>
    <w:rsid w:val="51D84E64"/>
    <w:rsid w:val="51DA6E2E"/>
    <w:rsid w:val="51DC2BA6"/>
    <w:rsid w:val="51DD691E"/>
    <w:rsid w:val="51DD6BC9"/>
    <w:rsid w:val="51E101BC"/>
    <w:rsid w:val="51E11F6A"/>
    <w:rsid w:val="51E25CE3"/>
    <w:rsid w:val="51E27A91"/>
    <w:rsid w:val="51E27E6A"/>
    <w:rsid w:val="51E333FD"/>
    <w:rsid w:val="51E43809"/>
    <w:rsid w:val="51E63A25"/>
    <w:rsid w:val="51E667EB"/>
    <w:rsid w:val="51E67581"/>
    <w:rsid w:val="51E8779D"/>
    <w:rsid w:val="51E90E1F"/>
    <w:rsid w:val="51EB2DE9"/>
    <w:rsid w:val="51ED4DB3"/>
    <w:rsid w:val="51EE0B2B"/>
    <w:rsid w:val="51F06651"/>
    <w:rsid w:val="51F138FE"/>
    <w:rsid w:val="51F2193E"/>
    <w:rsid w:val="51F53C68"/>
    <w:rsid w:val="51F55A16"/>
    <w:rsid w:val="51F577C4"/>
    <w:rsid w:val="51F7178E"/>
    <w:rsid w:val="51F80C00"/>
    <w:rsid w:val="51F872B4"/>
    <w:rsid w:val="51FA302C"/>
    <w:rsid w:val="51FD48CA"/>
    <w:rsid w:val="51FE3978"/>
    <w:rsid w:val="51FF18A4"/>
    <w:rsid w:val="51FF6894"/>
    <w:rsid w:val="52021EE1"/>
    <w:rsid w:val="520619D1"/>
    <w:rsid w:val="52065E75"/>
    <w:rsid w:val="520774F7"/>
    <w:rsid w:val="52081BED"/>
    <w:rsid w:val="52097713"/>
    <w:rsid w:val="520B5239"/>
    <w:rsid w:val="520B6FE7"/>
    <w:rsid w:val="520D1996"/>
    <w:rsid w:val="520D7203"/>
    <w:rsid w:val="520E0886"/>
    <w:rsid w:val="520E5D83"/>
    <w:rsid w:val="520F42B6"/>
    <w:rsid w:val="52102850"/>
    <w:rsid w:val="521045FE"/>
    <w:rsid w:val="5212481A"/>
    <w:rsid w:val="521340EE"/>
    <w:rsid w:val="52151C14"/>
    <w:rsid w:val="521560B8"/>
    <w:rsid w:val="5217598C"/>
    <w:rsid w:val="5218167A"/>
    <w:rsid w:val="52181704"/>
    <w:rsid w:val="521A1920"/>
    <w:rsid w:val="521A3F9A"/>
    <w:rsid w:val="521A547C"/>
    <w:rsid w:val="521A722A"/>
    <w:rsid w:val="521C11F4"/>
    <w:rsid w:val="521D4F6D"/>
    <w:rsid w:val="521D6D1B"/>
    <w:rsid w:val="521E31BF"/>
    <w:rsid w:val="522105B9"/>
    <w:rsid w:val="5221680B"/>
    <w:rsid w:val="5224454D"/>
    <w:rsid w:val="52262073"/>
    <w:rsid w:val="52271947"/>
    <w:rsid w:val="52293911"/>
    <w:rsid w:val="522B58DB"/>
    <w:rsid w:val="522D1B25"/>
    <w:rsid w:val="522D51B0"/>
    <w:rsid w:val="522E2410"/>
    <w:rsid w:val="522E717A"/>
    <w:rsid w:val="52304CA0"/>
    <w:rsid w:val="52306A4E"/>
    <w:rsid w:val="52307901"/>
    <w:rsid w:val="52326C6A"/>
    <w:rsid w:val="5233653E"/>
    <w:rsid w:val="523429E2"/>
    <w:rsid w:val="52350508"/>
    <w:rsid w:val="523522B6"/>
    <w:rsid w:val="52374280"/>
    <w:rsid w:val="523C53F3"/>
    <w:rsid w:val="523F76C1"/>
    <w:rsid w:val="52426781"/>
    <w:rsid w:val="52432C25"/>
    <w:rsid w:val="524349D3"/>
    <w:rsid w:val="52455A56"/>
    <w:rsid w:val="52462715"/>
    <w:rsid w:val="52481FEA"/>
    <w:rsid w:val="52493560"/>
    <w:rsid w:val="524B3888"/>
    <w:rsid w:val="524B4509"/>
    <w:rsid w:val="524D5852"/>
    <w:rsid w:val="524E3378"/>
    <w:rsid w:val="524F15CA"/>
    <w:rsid w:val="52500E9E"/>
    <w:rsid w:val="52505342"/>
    <w:rsid w:val="525210BA"/>
    <w:rsid w:val="5253273C"/>
    <w:rsid w:val="5256161C"/>
    <w:rsid w:val="5257222D"/>
    <w:rsid w:val="52574038"/>
    <w:rsid w:val="525766D1"/>
    <w:rsid w:val="52592449"/>
    <w:rsid w:val="525941F7"/>
    <w:rsid w:val="525A0C27"/>
    <w:rsid w:val="525A1D1D"/>
    <w:rsid w:val="525A7F6F"/>
    <w:rsid w:val="525E35BB"/>
    <w:rsid w:val="525E5C7E"/>
    <w:rsid w:val="525E7A5F"/>
    <w:rsid w:val="525F5585"/>
    <w:rsid w:val="526130AB"/>
    <w:rsid w:val="52627BBF"/>
    <w:rsid w:val="52636E23"/>
    <w:rsid w:val="52657C81"/>
    <w:rsid w:val="526B5CD8"/>
    <w:rsid w:val="526D37FE"/>
    <w:rsid w:val="526F57C8"/>
    <w:rsid w:val="527032EE"/>
    <w:rsid w:val="52703653"/>
    <w:rsid w:val="52732285"/>
    <w:rsid w:val="52734B8D"/>
    <w:rsid w:val="52741030"/>
    <w:rsid w:val="52756B57"/>
    <w:rsid w:val="5277467D"/>
    <w:rsid w:val="527A416D"/>
    <w:rsid w:val="527C7EE5"/>
    <w:rsid w:val="527E1EAF"/>
    <w:rsid w:val="52804889"/>
    <w:rsid w:val="52817508"/>
    <w:rsid w:val="5285323E"/>
    <w:rsid w:val="52854FEC"/>
    <w:rsid w:val="52855B2A"/>
    <w:rsid w:val="52880638"/>
    <w:rsid w:val="528943B0"/>
    <w:rsid w:val="528B1ED6"/>
    <w:rsid w:val="528D161E"/>
    <w:rsid w:val="528E574C"/>
    <w:rsid w:val="528F19C6"/>
    <w:rsid w:val="528F5E6A"/>
    <w:rsid w:val="528F7C18"/>
    <w:rsid w:val="52902C3D"/>
    <w:rsid w:val="529214B7"/>
    <w:rsid w:val="5294522F"/>
    <w:rsid w:val="52990A97"/>
    <w:rsid w:val="529945F3"/>
    <w:rsid w:val="529A65BD"/>
    <w:rsid w:val="529C40E3"/>
    <w:rsid w:val="529F5982"/>
    <w:rsid w:val="52A31916"/>
    <w:rsid w:val="52A336C4"/>
    <w:rsid w:val="52A35472"/>
    <w:rsid w:val="52A37C23"/>
    <w:rsid w:val="52A42543"/>
    <w:rsid w:val="52A762F3"/>
    <w:rsid w:val="52A82A88"/>
    <w:rsid w:val="52AA6800"/>
    <w:rsid w:val="52AB07CA"/>
    <w:rsid w:val="52AD009F"/>
    <w:rsid w:val="52AD2165"/>
    <w:rsid w:val="52AD4542"/>
    <w:rsid w:val="52AF02BB"/>
    <w:rsid w:val="52AF3E17"/>
    <w:rsid w:val="52B07656"/>
    <w:rsid w:val="52B23907"/>
    <w:rsid w:val="52B4767F"/>
    <w:rsid w:val="52B633F7"/>
    <w:rsid w:val="52B70F1D"/>
    <w:rsid w:val="52B73C12"/>
    <w:rsid w:val="52B94C95"/>
    <w:rsid w:val="52BB0A0D"/>
    <w:rsid w:val="52BC4786"/>
    <w:rsid w:val="52BD77B8"/>
    <w:rsid w:val="52BE405A"/>
    <w:rsid w:val="52BF7DD2"/>
    <w:rsid w:val="52C04276"/>
    <w:rsid w:val="52C11D9C"/>
    <w:rsid w:val="52C33D66"/>
    <w:rsid w:val="52C8312A"/>
    <w:rsid w:val="52C84ED8"/>
    <w:rsid w:val="52CA0C50"/>
    <w:rsid w:val="52CA50F4"/>
    <w:rsid w:val="52CD0741"/>
    <w:rsid w:val="52CD24EF"/>
    <w:rsid w:val="52CD2918"/>
    <w:rsid w:val="52CD6993"/>
    <w:rsid w:val="52D229F0"/>
    <w:rsid w:val="52D25D57"/>
    <w:rsid w:val="52D27B05"/>
    <w:rsid w:val="52D715BF"/>
    <w:rsid w:val="52D7336D"/>
    <w:rsid w:val="52D90E94"/>
    <w:rsid w:val="52DB10B0"/>
    <w:rsid w:val="52DB4C0C"/>
    <w:rsid w:val="52DE294E"/>
    <w:rsid w:val="52DE64AA"/>
    <w:rsid w:val="52E15F9A"/>
    <w:rsid w:val="52E57838"/>
    <w:rsid w:val="52E635B0"/>
    <w:rsid w:val="52E74EC7"/>
    <w:rsid w:val="52E837CD"/>
    <w:rsid w:val="52EA0C77"/>
    <w:rsid w:val="52EA12F3"/>
    <w:rsid w:val="52EA30A1"/>
    <w:rsid w:val="52EC506B"/>
    <w:rsid w:val="52EC6E19"/>
    <w:rsid w:val="52ED0DE3"/>
    <w:rsid w:val="52EF6909"/>
    <w:rsid w:val="52F1442F"/>
    <w:rsid w:val="52F201A7"/>
    <w:rsid w:val="52F61A46"/>
    <w:rsid w:val="52F61A4E"/>
    <w:rsid w:val="52F65EE9"/>
    <w:rsid w:val="52F7756C"/>
    <w:rsid w:val="52F91536"/>
    <w:rsid w:val="52FB705C"/>
    <w:rsid w:val="52FC308C"/>
    <w:rsid w:val="52FC4B82"/>
    <w:rsid w:val="52FD1026"/>
    <w:rsid w:val="52FE057D"/>
    <w:rsid w:val="53000485"/>
    <w:rsid w:val="53000B16"/>
    <w:rsid w:val="53004672"/>
    <w:rsid w:val="530103EA"/>
    <w:rsid w:val="53034162"/>
    <w:rsid w:val="5305612D"/>
    <w:rsid w:val="53061C45"/>
    <w:rsid w:val="53065A01"/>
    <w:rsid w:val="53073C53"/>
    <w:rsid w:val="53081779"/>
    <w:rsid w:val="53083527"/>
    <w:rsid w:val="53095C1D"/>
    <w:rsid w:val="530A3743"/>
    <w:rsid w:val="530A434B"/>
    <w:rsid w:val="530A54F1"/>
    <w:rsid w:val="530C3017"/>
    <w:rsid w:val="53130849"/>
    <w:rsid w:val="5314011E"/>
    <w:rsid w:val="531445C2"/>
    <w:rsid w:val="53146370"/>
    <w:rsid w:val="531719BC"/>
    <w:rsid w:val="53177C0E"/>
    <w:rsid w:val="53185E60"/>
    <w:rsid w:val="531A6615"/>
    <w:rsid w:val="531B5950"/>
    <w:rsid w:val="531D3476"/>
    <w:rsid w:val="531E0F9C"/>
    <w:rsid w:val="531E71EE"/>
    <w:rsid w:val="531F0FF7"/>
    <w:rsid w:val="53202F66"/>
    <w:rsid w:val="53204D14"/>
    <w:rsid w:val="53226CDE"/>
    <w:rsid w:val="532365B3"/>
    <w:rsid w:val="532A16EF"/>
    <w:rsid w:val="532A5B93"/>
    <w:rsid w:val="532A7941"/>
    <w:rsid w:val="532C36B9"/>
    <w:rsid w:val="532E5683"/>
    <w:rsid w:val="532E7431"/>
    <w:rsid w:val="532F4F57"/>
    <w:rsid w:val="53301F7C"/>
    <w:rsid w:val="53312A7E"/>
    <w:rsid w:val="5331340C"/>
    <w:rsid w:val="533407C0"/>
    <w:rsid w:val="5334256E"/>
    <w:rsid w:val="533662E6"/>
    <w:rsid w:val="53395DD6"/>
    <w:rsid w:val="53397B84"/>
    <w:rsid w:val="533B387E"/>
    <w:rsid w:val="533D7674"/>
    <w:rsid w:val="533E519B"/>
    <w:rsid w:val="534327B1"/>
    <w:rsid w:val="534641A2"/>
    <w:rsid w:val="534704F3"/>
    <w:rsid w:val="534722A1"/>
    <w:rsid w:val="53475632"/>
    <w:rsid w:val="53492516"/>
    <w:rsid w:val="534A3B3F"/>
    <w:rsid w:val="534C5B09"/>
    <w:rsid w:val="534F73A8"/>
    <w:rsid w:val="53513E85"/>
    <w:rsid w:val="535350EA"/>
    <w:rsid w:val="53536E98"/>
    <w:rsid w:val="5354676C"/>
    <w:rsid w:val="53566988"/>
    <w:rsid w:val="53582700"/>
    <w:rsid w:val="535844AE"/>
    <w:rsid w:val="53590226"/>
    <w:rsid w:val="53592617"/>
    <w:rsid w:val="535A3AA7"/>
    <w:rsid w:val="535A6478"/>
    <w:rsid w:val="535A6678"/>
    <w:rsid w:val="535D7D17"/>
    <w:rsid w:val="53605111"/>
    <w:rsid w:val="53620E89"/>
    <w:rsid w:val="53642E53"/>
    <w:rsid w:val="53650979"/>
    <w:rsid w:val="53654E1D"/>
    <w:rsid w:val="53656BCB"/>
    <w:rsid w:val="53682217"/>
    <w:rsid w:val="53690469"/>
    <w:rsid w:val="536A616D"/>
    <w:rsid w:val="536C1D08"/>
    <w:rsid w:val="536C1ECE"/>
    <w:rsid w:val="536C4488"/>
    <w:rsid w:val="536C7F5A"/>
    <w:rsid w:val="536E5A80"/>
    <w:rsid w:val="5371089E"/>
    <w:rsid w:val="537312E8"/>
    <w:rsid w:val="5373753A"/>
    <w:rsid w:val="53744C5E"/>
    <w:rsid w:val="53746E0E"/>
    <w:rsid w:val="537506AF"/>
    <w:rsid w:val="53755060"/>
    <w:rsid w:val="53760DD8"/>
    <w:rsid w:val="53762B86"/>
    <w:rsid w:val="53764934"/>
    <w:rsid w:val="537806AC"/>
    <w:rsid w:val="53784B50"/>
    <w:rsid w:val="53791C01"/>
    <w:rsid w:val="537F5EDF"/>
    <w:rsid w:val="53852D75"/>
    <w:rsid w:val="53874D93"/>
    <w:rsid w:val="53881CBB"/>
    <w:rsid w:val="538A03E0"/>
    <w:rsid w:val="538C0077"/>
    <w:rsid w:val="538C05FC"/>
    <w:rsid w:val="538C23AA"/>
    <w:rsid w:val="538E7ED0"/>
    <w:rsid w:val="53980D4F"/>
    <w:rsid w:val="53984ED9"/>
    <w:rsid w:val="53986FA1"/>
    <w:rsid w:val="53997AAA"/>
    <w:rsid w:val="539B25ED"/>
    <w:rsid w:val="539B439B"/>
    <w:rsid w:val="539B5D2F"/>
    <w:rsid w:val="539D45B7"/>
    <w:rsid w:val="539F20DD"/>
    <w:rsid w:val="539F3E8B"/>
    <w:rsid w:val="53A039CC"/>
    <w:rsid w:val="53A13825"/>
    <w:rsid w:val="53A1505A"/>
    <w:rsid w:val="53A21BCD"/>
    <w:rsid w:val="53A2397B"/>
    <w:rsid w:val="53A5346C"/>
    <w:rsid w:val="53A5521A"/>
    <w:rsid w:val="53A616BE"/>
    <w:rsid w:val="53A67A8A"/>
    <w:rsid w:val="53A72D40"/>
    <w:rsid w:val="53A849CE"/>
    <w:rsid w:val="53AB6CD4"/>
    <w:rsid w:val="53AE0572"/>
    <w:rsid w:val="53B10062"/>
    <w:rsid w:val="53B20651"/>
    <w:rsid w:val="53B271C1"/>
    <w:rsid w:val="53B316E5"/>
    <w:rsid w:val="53B84F4D"/>
    <w:rsid w:val="53B86CFB"/>
    <w:rsid w:val="53B95953"/>
    <w:rsid w:val="53BB4A3D"/>
    <w:rsid w:val="53BC2C8F"/>
    <w:rsid w:val="53C102A5"/>
    <w:rsid w:val="53C15826"/>
    <w:rsid w:val="53C2401E"/>
    <w:rsid w:val="53C25DCC"/>
    <w:rsid w:val="53C27B7A"/>
    <w:rsid w:val="53C438F2"/>
    <w:rsid w:val="53C441A7"/>
    <w:rsid w:val="53C5766A"/>
    <w:rsid w:val="53C61698"/>
    <w:rsid w:val="53C658BC"/>
    <w:rsid w:val="53C66AC7"/>
    <w:rsid w:val="53C77F57"/>
    <w:rsid w:val="53C953AC"/>
    <w:rsid w:val="53C9715A"/>
    <w:rsid w:val="53CB1124"/>
    <w:rsid w:val="53CB2ED2"/>
    <w:rsid w:val="53CC6C4A"/>
    <w:rsid w:val="53CE651E"/>
    <w:rsid w:val="53CE6C2D"/>
    <w:rsid w:val="53D004E8"/>
    <w:rsid w:val="53D02297"/>
    <w:rsid w:val="53D14261"/>
    <w:rsid w:val="53D1600F"/>
    <w:rsid w:val="53D310CB"/>
    <w:rsid w:val="53D33B35"/>
    <w:rsid w:val="53D53D51"/>
    <w:rsid w:val="53D578AD"/>
    <w:rsid w:val="53D665BC"/>
    <w:rsid w:val="53D8739D"/>
    <w:rsid w:val="53DA1367"/>
    <w:rsid w:val="53DA3115"/>
    <w:rsid w:val="53DD2C05"/>
    <w:rsid w:val="53DD49B3"/>
    <w:rsid w:val="53DD4D4E"/>
    <w:rsid w:val="53DF072C"/>
    <w:rsid w:val="53DF697E"/>
    <w:rsid w:val="53E21FCA"/>
    <w:rsid w:val="53E30BC0"/>
    <w:rsid w:val="53E43F94"/>
    <w:rsid w:val="53E45D42"/>
    <w:rsid w:val="53E47AF0"/>
    <w:rsid w:val="53E534E0"/>
    <w:rsid w:val="53E775E0"/>
    <w:rsid w:val="53E77BDF"/>
    <w:rsid w:val="53E93358"/>
    <w:rsid w:val="53E93EEC"/>
    <w:rsid w:val="53EC4BF7"/>
    <w:rsid w:val="53EE0A95"/>
    <w:rsid w:val="53F1220D"/>
    <w:rsid w:val="53F266B1"/>
    <w:rsid w:val="53F35F85"/>
    <w:rsid w:val="53F36F74"/>
    <w:rsid w:val="53F65A75"/>
    <w:rsid w:val="53F73CC7"/>
    <w:rsid w:val="53FA7313"/>
    <w:rsid w:val="53FB308C"/>
    <w:rsid w:val="53FC752F"/>
    <w:rsid w:val="53FD0BB2"/>
    <w:rsid w:val="53FD4338"/>
    <w:rsid w:val="53FD6E04"/>
    <w:rsid w:val="53FF492A"/>
    <w:rsid w:val="54063E08"/>
    <w:rsid w:val="54077C82"/>
    <w:rsid w:val="540957A8"/>
    <w:rsid w:val="540C5299"/>
    <w:rsid w:val="540C5497"/>
    <w:rsid w:val="540C7047"/>
    <w:rsid w:val="540E1011"/>
    <w:rsid w:val="541008E5"/>
    <w:rsid w:val="5411465D"/>
    <w:rsid w:val="541274AF"/>
    <w:rsid w:val="541303D5"/>
    <w:rsid w:val="54177AB0"/>
    <w:rsid w:val="54177EC5"/>
    <w:rsid w:val="54181E8F"/>
    <w:rsid w:val="5418636F"/>
    <w:rsid w:val="541A1764"/>
    <w:rsid w:val="541A2FDA"/>
    <w:rsid w:val="541A79B6"/>
    <w:rsid w:val="541C0D51"/>
    <w:rsid w:val="541C54DC"/>
    <w:rsid w:val="541D1254"/>
    <w:rsid w:val="541F6D7A"/>
    <w:rsid w:val="54212AF2"/>
    <w:rsid w:val="54216F96"/>
    <w:rsid w:val="54244390"/>
    <w:rsid w:val="5426635A"/>
    <w:rsid w:val="54280A35"/>
    <w:rsid w:val="542924D4"/>
    <w:rsid w:val="5429409D"/>
    <w:rsid w:val="542B3971"/>
    <w:rsid w:val="542C0846"/>
    <w:rsid w:val="542C1497"/>
    <w:rsid w:val="542D593B"/>
    <w:rsid w:val="542E16B3"/>
    <w:rsid w:val="542E3461"/>
    <w:rsid w:val="542F45F6"/>
    <w:rsid w:val="54310657"/>
    <w:rsid w:val="54322F51"/>
    <w:rsid w:val="54324CFF"/>
    <w:rsid w:val="54330A77"/>
    <w:rsid w:val="543437E8"/>
    <w:rsid w:val="543547EF"/>
    <w:rsid w:val="54372316"/>
    <w:rsid w:val="543842E0"/>
    <w:rsid w:val="543C16DA"/>
    <w:rsid w:val="543C3DD0"/>
    <w:rsid w:val="543C792C"/>
    <w:rsid w:val="543F151A"/>
    <w:rsid w:val="543F566E"/>
    <w:rsid w:val="543F741C"/>
    <w:rsid w:val="54413194"/>
    <w:rsid w:val="54435BDD"/>
    <w:rsid w:val="54462AAE"/>
    <w:rsid w:val="544667B3"/>
    <w:rsid w:val="54493DF7"/>
    <w:rsid w:val="544D38E7"/>
    <w:rsid w:val="544D66EF"/>
    <w:rsid w:val="544D7D8B"/>
    <w:rsid w:val="54501629"/>
    <w:rsid w:val="545033D7"/>
    <w:rsid w:val="54521413"/>
    <w:rsid w:val="545253A1"/>
    <w:rsid w:val="54527990"/>
    <w:rsid w:val="54544E81"/>
    <w:rsid w:val="54550178"/>
    <w:rsid w:val="545509EE"/>
    <w:rsid w:val="54554E92"/>
    <w:rsid w:val="5458228C"/>
    <w:rsid w:val="54594C92"/>
    <w:rsid w:val="54596730"/>
    <w:rsid w:val="545C3B2A"/>
    <w:rsid w:val="545C7FCE"/>
    <w:rsid w:val="545E3D46"/>
    <w:rsid w:val="545F186C"/>
    <w:rsid w:val="545F7ABE"/>
    <w:rsid w:val="54613836"/>
    <w:rsid w:val="54646E83"/>
    <w:rsid w:val="546724CF"/>
    <w:rsid w:val="54684BC5"/>
    <w:rsid w:val="54686246"/>
    <w:rsid w:val="546926EB"/>
    <w:rsid w:val="54696247"/>
    <w:rsid w:val="546B1FBF"/>
    <w:rsid w:val="546C5CD9"/>
    <w:rsid w:val="547075D6"/>
    <w:rsid w:val="547370C6"/>
    <w:rsid w:val="5474356A"/>
    <w:rsid w:val="547558FB"/>
    <w:rsid w:val="547846DC"/>
    <w:rsid w:val="547B0D29"/>
    <w:rsid w:val="547C241E"/>
    <w:rsid w:val="547F5A6B"/>
    <w:rsid w:val="54813E9E"/>
    <w:rsid w:val="54837309"/>
    <w:rsid w:val="5486504B"/>
    <w:rsid w:val="54866DF9"/>
    <w:rsid w:val="548A6691"/>
    <w:rsid w:val="548B440F"/>
    <w:rsid w:val="548D462B"/>
    <w:rsid w:val="548E3F00"/>
    <w:rsid w:val="548E5012"/>
    <w:rsid w:val="548E5CAE"/>
    <w:rsid w:val="548F2152"/>
    <w:rsid w:val="54924E23"/>
    <w:rsid w:val="549332C4"/>
    <w:rsid w:val="5495703C"/>
    <w:rsid w:val="54971006"/>
    <w:rsid w:val="54972DB4"/>
    <w:rsid w:val="54994D7E"/>
    <w:rsid w:val="549C03CB"/>
    <w:rsid w:val="549C0AA6"/>
    <w:rsid w:val="549C377F"/>
    <w:rsid w:val="549C661D"/>
    <w:rsid w:val="549F610D"/>
    <w:rsid w:val="54A11E85"/>
    <w:rsid w:val="54A23A0B"/>
    <w:rsid w:val="54A379AB"/>
    <w:rsid w:val="54A454D1"/>
    <w:rsid w:val="54A47238"/>
    <w:rsid w:val="54A51975"/>
    <w:rsid w:val="54A84FC1"/>
    <w:rsid w:val="54AA0D3A"/>
    <w:rsid w:val="54AA7D70"/>
    <w:rsid w:val="54AB2D04"/>
    <w:rsid w:val="54AB4AB2"/>
    <w:rsid w:val="54AB6860"/>
    <w:rsid w:val="54AD082A"/>
    <w:rsid w:val="54B1183C"/>
    <w:rsid w:val="54B24092"/>
    <w:rsid w:val="54B35714"/>
    <w:rsid w:val="54B43966"/>
    <w:rsid w:val="54BA27E7"/>
    <w:rsid w:val="54BB23D1"/>
    <w:rsid w:val="54BC0A6D"/>
    <w:rsid w:val="54BE2A37"/>
    <w:rsid w:val="54BE47E5"/>
    <w:rsid w:val="54C0055D"/>
    <w:rsid w:val="54C052D0"/>
    <w:rsid w:val="54C11331"/>
    <w:rsid w:val="54C16083"/>
    <w:rsid w:val="54C42E34"/>
    <w:rsid w:val="54C52883"/>
    <w:rsid w:val="54C57451"/>
    <w:rsid w:val="54C6369A"/>
    <w:rsid w:val="54C85664"/>
    <w:rsid w:val="54C87412"/>
    <w:rsid w:val="54CA13DC"/>
    <w:rsid w:val="54CB0CB0"/>
    <w:rsid w:val="54CC15C4"/>
    <w:rsid w:val="54CC5154"/>
    <w:rsid w:val="54CD2C7A"/>
    <w:rsid w:val="54CD67D6"/>
    <w:rsid w:val="54CF07A0"/>
    <w:rsid w:val="54D24E86"/>
    <w:rsid w:val="54D264E2"/>
    <w:rsid w:val="54D44008"/>
    <w:rsid w:val="54D51B2F"/>
    <w:rsid w:val="54D73AF9"/>
    <w:rsid w:val="54D758A7"/>
    <w:rsid w:val="54D9161F"/>
    <w:rsid w:val="54D9517B"/>
    <w:rsid w:val="54DA0EF3"/>
    <w:rsid w:val="54DA7145"/>
    <w:rsid w:val="54DB1ED7"/>
    <w:rsid w:val="54DB4AA8"/>
    <w:rsid w:val="54DC110F"/>
    <w:rsid w:val="54DC4C6B"/>
    <w:rsid w:val="54DE3429"/>
    <w:rsid w:val="54E16725"/>
    <w:rsid w:val="54E21DAA"/>
    <w:rsid w:val="54E51D72"/>
    <w:rsid w:val="54E57FC4"/>
    <w:rsid w:val="54E63D3C"/>
    <w:rsid w:val="54E7304B"/>
    <w:rsid w:val="54E9053C"/>
    <w:rsid w:val="54EA310D"/>
    <w:rsid w:val="54EA382C"/>
    <w:rsid w:val="54EA7388"/>
    <w:rsid w:val="54EB1352"/>
    <w:rsid w:val="54EC5A2D"/>
    <w:rsid w:val="54EC75A4"/>
    <w:rsid w:val="54ED0C26"/>
    <w:rsid w:val="54ED50CA"/>
    <w:rsid w:val="54EE2F1E"/>
    <w:rsid w:val="54EF0E42"/>
    <w:rsid w:val="54EF6A0B"/>
    <w:rsid w:val="54F14BBA"/>
    <w:rsid w:val="54F41596"/>
    <w:rsid w:val="54F56ADF"/>
    <w:rsid w:val="54F71AA5"/>
    <w:rsid w:val="54F73313"/>
    <w:rsid w:val="54F77CF7"/>
    <w:rsid w:val="54F80955"/>
    <w:rsid w:val="54F90031"/>
    <w:rsid w:val="54F93A6F"/>
    <w:rsid w:val="54FB1595"/>
    <w:rsid w:val="54FB77E7"/>
    <w:rsid w:val="54FC355F"/>
    <w:rsid w:val="54FF095A"/>
    <w:rsid w:val="55004DFD"/>
    <w:rsid w:val="550146D2"/>
    <w:rsid w:val="55050666"/>
    <w:rsid w:val="55067F3A"/>
    <w:rsid w:val="550769C8"/>
    <w:rsid w:val="55083CB2"/>
    <w:rsid w:val="550A5C7C"/>
    <w:rsid w:val="550A7A2A"/>
    <w:rsid w:val="550D12C8"/>
    <w:rsid w:val="550E0AB7"/>
    <w:rsid w:val="550E7937"/>
    <w:rsid w:val="550F3292"/>
    <w:rsid w:val="551008FC"/>
    <w:rsid w:val="55102B67"/>
    <w:rsid w:val="55105BFD"/>
    <w:rsid w:val="551408A9"/>
    <w:rsid w:val="55144405"/>
    <w:rsid w:val="5516017D"/>
    <w:rsid w:val="55164621"/>
    <w:rsid w:val="551663CF"/>
    <w:rsid w:val="55191A1B"/>
    <w:rsid w:val="55195EBF"/>
    <w:rsid w:val="551B1C37"/>
    <w:rsid w:val="551C150B"/>
    <w:rsid w:val="551C775D"/>
    <w:rsid w:val="551D59AF"/>
    <w:rsid w:val="551E08BC"/>
    <w:rsid w:val="551E7032"/>
    <w:rsid w:val="55202DAA"/>
    <w:rsid w:val="55214D74"/>
    <w:rsid w:val="55230AEC"/>
    <w:rsid w:val="55236D3E"/>
    <w:rsid w:val="552503C0"/>
    <w:rsid w:val="55253A96"/>
    <w:rsid w:val="5527238A"/>
    <w:rsid w:val="55284354"/>
    <w:rsid w:val="552B174F"/>
    <w:rsid w:val="552B1A30"/>
    <w:rsid w:val="552C4242"/>
    <w:rsid w:val="55306D65"/>
    <w:rsid w:val="55320D2F"/>
    <w:rsid w:val="55336A81"/>
    <w:rsid w:val="55343CEE"/>
    <w:rsid w:val="5536081F"/>
    <w:rsid w:val="55363F72"/>
    <w:rsid w:val="55366A71"/>
    <w:rsid w:val="55376345"/>
    <w:rsid w:val="55382BA4"/>
    <w:rsid w:val="55384597"/>
    <w:rsid w:val="553B4087"/>
    <w:rsid w:val="553D1BAE"/>
    <w:rsid w:val="553E5926"/>
    <w:rsid w:val="5540169E"/>
    <w:rsid w:val="5540344C"/>
    <w:rsid w:val="554051FA"/>
    <w:rsid w:val="55432F3C"/>
    <w:rsid w:val="55452810"/>
    <w:rsid w:val="55466588"/>
    <w:rsid w:val="554A42CB"/>
    <w:rsid w:val="554A6079"/>
    <w:rsid w:val="554A7E27"/>
    <w:rsid w:val="554C0043"/>
    <w:rsid w:val="555111B5"/>
    <w:rsid w:val="555170A7"/>
    <w:rsid w:val="55517407"/>
    <w:rsid w:val="55540CA5"/>
    <w:rsid w:val="55545149"/>
    <w:rsid w:val="55562C6F"/>
    <w:rsid w:val="55572544"/>
    <w:rsid w:val="555A336D"/>
    <w:rsid w:val="555B0286"/>
    <w:rsid w:val="555B64D8"/>
    <w:rsid w:val="555C7AB1"/>
    <w:rsid w:val="555D2250"/>
    <w:rsid w:val="555E1B24"/>
    <w:rsid w:val="555E7D76"/>
    <w:rsid w:val="555F460E"/>
    <w:rsid w:val="5563713A"/>
    <w:rsid w:val="55652EB2"/>
    <w:rsid w:val="556709D9"/>
    <w:rsid w:val="55676C2B"/>
    <w:rsid w:val="556A04C9"/>
    <w:rsid w:val="556C0353"/>
    <w:rsid w:val="556C2493"/>
    <w:rsid w:val="556F1F83"/>
    <w:rsid w:val="556F6CD4"/>
    <w:rsid w:val="5572737D"/>
    <w:rsid w:val="557355CF"/>
    <w:rsid w:val="557430F6"/>
    <w:rsid w:val="55746AE5"/>
    <w:rsid w:val="557650C0"/>
    <w:rsid w:val="5579070C"/>
    <w:rsid w:val="557B0928"/>
    <w:rsid w:val="557B26D6"/>
    <w:rsid w:val="557D644E"/>
    <w:rsid w:val="557E3F74"/>
    <w:rsid w:val="557E5D22"/>
    <w:rsid w:val="55807CEC"/>
    <w:rsid w:val="558275C0"/>
    <w:rsid w:val="5583158B"/>
    <w:rsid w:val="558550FE"/>
    <w:rsid w:val="55860025"/>
    <w:rsid w:val="55872E29"/>
    <w:rsid w:val="5587536D"/>
    <w:rsid w:val="558772CD"/>
    <w:rsid w:val="558A2919"/>
    <w:rsid w:val="558C043F"/>
    <w:rsid w:val="558C6691"/>
    <w:rsid w:val="558C762A"/>
    <w:rsid w:val="558D41B7"/>
    <w:rsid w:val="558E065B"/>
    <w:rsid w:val="558E2409"/>
    <w:rsid w:val="558F1CDD"/>
    <w:rsid w:val="558F6181"/>
    <w:rsid w:val="55911EF9"/>
    <w:rsid w:val="55915A56"/>
    <w:rsid w:val="559317CE"/>
    <w:rsid w:val="55933948"/>
    <w:rsid w:val="55935C72"/>
    <w:rsid w:val="55945546"/>
    <w:rsid w:val="559519EA"/>
    <w:rsid w:val="55983288"/>
    <w:rsid w:val="55985036"/>
    <w:rsid w:val="559B174B"/>
    <w:rsid w:val="559B2B61"/>
    <w:rsid w:val="55A0038E"/>
    <w:rsid w:val="55A13269"/>
    <w:rsid w:val="55A20422"/>
    <w:rsid w:val="55A362D0"/>
    <w:rsid w:val="55A41C2D"/>
    <w:rsid w:val="55A559A5"/>
    <w:rsid w:val="55A65C2A"/>
    <w:rsid w:val="55A90FF1"/>
    <w:rsid w:val="55A97243"/>
    <w:rsid w:val="55AA4D69"/>
    <w:rsid w:val="55AB1785"/>
    <w:rsid w:val="55AD03B6"/>
    <w:rsid w:val="55AE4859"/>
    <w:rsid w:val="55AE6607"/>
    <w:rsid w:val="55B13EB6"/>
    <w:rsid w:val="55B1434A"/>
    <w:rsid w:val="55B26E68"/>
    <w:rsid w:val="55B300C2"/>
    <w:rsid w:val="55B31E70"/>
    <w:rsid w:val="55B33C1E"/>
    <w:rsid w:val="55B55408"/>
    <w:rsid w:val="55B81234"/>
    <w:rsid w:val="55BA1450"/>
    <w:rsid w:val="55BB6F76"/>
    <w:rsid w:val="55BD684B"/>
    <w:rsid w:val="55BE25C3"/>
    <w:rsid w:val="55BE7BFB"/>
    <w:rsid w:val="55BF0815"/>
    <w:rsid w:val="55C027DF"/>
    <w:rsid w:val="55C220B3"/>
    <w:rsid w:val="55C23E61"/>
    <w:rsid w:val="55C71477"/>
    <w:rsid w:val="55C93441"/>
    <w:rsid w:val="55CA0F67"/>
    <w:rsid w:val="55CC2F32"/>
    <w:rsid w:val="55CE0CF4"/>
    <w:rsid w:val="55CF47D0"/>
    <w:rsid w:val="55D02010"/>
    <w:rsid w:val="55D10548"/>
    <w:rsid w:val="55D27501"/>
    <w:rsid w:val="55D30766"/>
    <w:rsid w:val="55D83684"/>
    <w:rsid w:val="55D911AB"/>
    <w:rsid w:val="55DA38A0"/>
    <w:rsid w:val="55DA564E"/>
    <w:rsid w:val="55DD0C9B"/>
    <w:rsid w:val="55DD4614"/>
    <w:rsid w:val="55DF0675"/>
    <w:rsid w:val="55DF4A13"/>
    <w:rsid w:val="55E0078B"/>
    <w:rsid w:val="55E173F6"/>
    <w:rsid w:val="55E22755"/>
    <w:rsid w:val="55E262B1"/>
    <w:rsid w:val="55E36D45"/>
    <w:rsid w:val="55E4027B"/>
    <w:rsid w:val="55E464CD"/>
    <w:rsid w:val="55E81465"/>
    <w:rsid w:val="55EA33B8"/>
    <w:rsid w:val="55EB6C18"/>
    <w:rsid w:val="55EB785C"/>
    <w:rsid w:val="55EC7130"/>
    <w:rsid w:val="55ED29C8"/>
    <w:rsid w:val="55EE2EA8"/>
    <w:rsid w:val="55F06C20"/>
    <w:rsid w:val="55F12998"/>
    <w:rsid w:val="55F253AA"/>
    <w:rsid w:val="55F45776"/>
    <w:rsid w:val="55F84AFC"/>
    <w:rsid w:val="55FA7A9F"/>
    <w:rsid w:val="55FB7B9D"/>
    <w:rsid w:val="55FC102D"/>
    <w:rsid w:val="55FD133D"/>
    <w:rsid w:val="55FD2D5A"/>
    <w:rsid w:val="55FF3307"/>
    <w:rsid w:val="56004989"/>
    <w:rsid w:val="56051FA0"/>
    <w:rsid w:val="56091A90"/>
    <w:rsid w:val="56097CE2"/>
    <w:rsid w:val="560D1216"/>
    <w:rsid w:val="56101070"/>
    <w:rsid w:val="561072C2"/>
    <w:rsid w:val="56110933"/>
    <w:rsid w:val="56114DE8"/>
    <w:rsid w:val="56117769"/>
    <w:rsid w:val="5612303A"/>
    <w:rsid w:val="561346BC"/>
    <w:rsid w:val="561455C8"/>
    <w:rsid w:val="56150435"/>
    <w:rsid w:val="56156687"/>
    <w:rsid w:val="561623FF"/>
    <w:rsid w:val="561641AD"/>
    <w:rsid w:val="56170651"/>
    <w:rsid w:val="561778CE"/>
    <w:rsid w:val="56180806"/>
    <w:rsid w:val="56186177"/>
    <w:rsid w:val="56191DCE"/>
    <w:rsid w:val="561A5A4B"/>
    <w:rsid w:val="561C0617"/>
    <w:rsid w:val="5621327D"/>
    <w:rsid w:val="5621502B"/>
    <w:rsid w:val="56220DA3"/>
    <w:rsid w:val="56224489"/>
    <w:rsid w:val="56242D6E"/>
    <w:rsid w:val="56260894"/>
    <w:rsid w:val="56271C40"/>
    <w:rsid w:val="5627460C"/>
    <w:rsid w:val="56290384"/>
    <w:rsid w:val="56293EE0"/>
    <w:rsid w:val="56296B2A"/>
    <w:rsid w:val="562B40FC"/>
    <w:rsid w:val="562B5EAA"/>
    <w:rsid w:val="562B7C58"/>
    <w:rsid w:val="56310FE7"/>
    <w:rsid w:val="56333CCD"/>
    <w:rsid w:val="56352885"/>
    <w:rsid w:val="563611BE"/>
    <w:rsid w:val="563665FD"/>
    <w:rsid w:val="5637264E"/>
    <w:rsid w:val="56372AA1"/>
    <w:rsid w:val="56384123"/>
    <w:rsid w:val="563C18C4"/>
    <w:rsid w:val="563C1E65"/>
    <w:rsid w:val="563F226F"/>
    <w:rsid w:val="56404E40"/>
    <w:rsid w:val="564156CE"/>
    <w:rsid w:val="5641747C"/>
    <w:rsid w:val="56440D1A"/>
    <w:rsid w:val="56446F6C"/>
    <w:rsid w:val="56462CE4"/>
    <w:rsid w:val="56466840"/>
    <w:rsid w:val="564927D4"/>
    <w:rsid w:val="564C7BCE"/>
    <w:rsid w:val="56503B63"/>
    <w:rsid w:val="56525F2C"/>
    <w:rsid w:val="565371AF"/>
    <w:rsid w:val="56551179"/>
    <w:rsid w:val="56576C9F"/>
    <w:rsid w:val="56586573"/>
    <w:rsid w:val="565C2507"/>
    <w:rsid w:val="565D6F39"/>
    <w:rsid w:val="565F400E"/>
    <w:rsid w:val="565F4EB3"/>
    <w:rsid w:val="565F7902"/>
    <w:rsid w:val="5661367A"/>
    <w:rsid w:val="56614179"/>
    <w:rsid w:val="56625644"/>
    <w:rsid w:val="566273F2"/>
    <w:rsid w:val="56633316"/>
    <w:rsid w:val="56644F18"/>
    <w:rsid w:val="56665134"/>
    <w:rsid w:val="56674A08"/>
    <w:rsid w:val="56682C5A"/>
    <w:rsid w:val="56694C24"/>
    <w:rsid w:val="566A00AD"/>
    <w:rsid w:val="566A066C"/>
    <w:rsid w:val="566B44F9"/>
    <w:rsid w:val="566C201F"/>
    <w:rsid w:val="566D64C3"/>
    <w:rsid w:val="566E223B"/>
    <w:rsid w:val="566E3FE9"/>
    <w:rsid w:val="56705FB3"/>
    <w:rsid w:val="56713C6E"/>
    <w:rsid w:val="56725887"/>
    <w:rsid w:val="567551C0"/>
    <w:rsid w:val="56772E9D"/>
    <w:rsid w:val="56775791"/>
    <w:rsid w:val="56777341"/>
    <w:rsid w:val="56777AE0"/>
    <w:rsid w:val="56794E67"/>
    <w:rsid w:val="567A473C"/>
    <w:rsid w:val="567D4DE2"/>
    <w:rsid w:val="567D5FDA"/>
    <w:rsid w:val="567F61F6"/>
    <w:rsid w:val="56813D1C"/>
    <w:rsid w:val="568455BA"/>
    <w:rsid w:val="56847368"/>
    <w:rsid w:val="56853574"/>
    <w:rsid w:val="56867584"/>
    <w:rsid w:val="568832FC"/>
    <w:rsid w:val="56890E23"/>
    <w:rsid w:val="568B1FB7"/>
    <w:rsid w:val="568B6949"/>
    <w:rsid w:val="568D0913"/>
    <w:rsid w:val="568E01E7"/>
    <w:rsid w:val="56905D0D"/>
    <w:rsid w:val="56921A85"/>
    <w:rsid w:val="56925F29"/>
    <w:rsid w:val="56927CD7"/>
    <w:rsid w:val="569577C7"/>
    <w:rsid w:val="5697353F"/>
    <w:rsid w:val="5697709C"/>
    <w:rsid w:val="569A6B8C"/>
    <w:rsid w:val="569C0B56"/>
    <w:rsid w:val="569F41A2"/>
    <w:rsid w:val="56A0017C"/>
    <w:rsid w:val="56A33C92"/>
    <w:rsid w:val="56A416CE"/>
    <w:rsid w:val="56A619D5"/>
    <w:rsid w:val="56A874FB"/>
    <w:rsid w:val="56A93273"/>
    <w:rsid w:val="56AB6FEB"/>
    <w:rsid w:val="56AD12F0"/>
    <w:rsid w:val="56AE2780"/>
    <w:rsid w:val="56AF6ADB"/>
    <w:rsid w:val="56B0015D"/>
    <w:rsid w:val="56B22A9C"/>
    <w:rsid w:val="56B37C4E"/>
    <w:rsid w:val="56B55774"/>
    <w:rsid w:val="56B75990"/>
    <w:rsid w:val="56B7773E"/>
    <w:rsid w:val="56B9052D"/>
    <w:rsid w:val="56BA0FDC"/>
    <w:rsid w:val="56BA5480"/>
    <w:rsid w:val="56BA722E"/>
    <w:rsid w:val="56BC2FA6"/>
    <w:rsid w:val="56BC7955"/>
    <w:rsid w:val="56BD287A"/>
    <w:rsid w:val="56BE0ACC"/>
    <w:rsid w:val="56BE3705"/>
    <w:rsid w:val="56C105BC"/>
    <w:rsid w:val="56C1236A"/>
    <w:rsid w:val="56C22086"/>
    <w:rsid w:val="56C24ED0"/>
    <w:rsid w:val="56C65BD3"/>
    <w:rsid w:val="56C854A7"/>
    <w:rsid w:val="56C87B9D"/>
    <w:rsid w:val="56C9121F"/>
    <w:rsid w:val="56CB31E9"/>
    <w:rsid w:val="56CB4F97"/>
    <w:rsid w:val="56CC08DA"/>
    <w:rsid w:val="56CE4A87"/>
    <w:rsid w:val="56CF2CD9"/>
    <w:rsid w:val="56D05B1A"/>
    <w:rsid w:val="56D24578"/>
    <w:rsid w:val="56D54068"/>
    <w:rsid w:val="56D57BC4"/>
    <w:rsid w:val="56D71B8E"/>
    <w:rsid w:val="56D737F9"/>
    <w:rsid w:val="56D7393C"/>
    <w:rsid w:val="56D7455D"/>
    <w:rsid w:val="56D77DE0"/>
    <w:rsid w:val="56D87AF5"/>
    <w:rsid w:val="56D95906"/>
    <w:rsid w:val="56DC53F6"/>
    <w:rsid w:val="56DC71A4"/>
    <w:rsid w:val="56DE116E"/>
    <w:rsid w:val="56DF0A43"/>
    <w:rsid w:val="56DF6C95"/>
    <w:rsid w:val="56E12A0D"/>
    <w:rsid w:val="56E16569"/>
    <w:rsid w:val="56E322E1"/>
    <w:rsid w:val="56E46059"/>
    <w:rsid w:val="56E524FD"/>
    <w:rsid w:val="56E542AB"/>
    <w:rsid w:val="56E72CFA"/>
    <w:rsid w:val="56E85B49"/>
    <w:rsid w:val="56E878F7"/>
    <w:rsid w:val="56EA7B13"/>
    <w:rsid w:val="56EB388B"/>
    <w:rsid w:val="56EB73E7"/>
    <w:rsid w:val="56ED7603"/>
    <w:rsid w:val="56F05104"/>
    <w:rsid w:val="56F24C1A"/>
    <w:rsid w:val="56F444EE"/>
    <w:rsid w:val="56F72406"/>
    <w:rsid w:val="56F75D8C"/>
    <w:rsid w:val="56F91B04"/>
    <w:rsid w:val="56F95FA8"/>
    <w:rsid w:val="56FC15F5"/>
    <w:rsid w:val="56FC33A3"/>
    <w:rsid w:val="56FC4DE8"/>
    <w:rsid w:val="56FC7846"/>
    <w:rsid w:val="56FE35BF"/>
    <w:rsid w:val="56FF2E93"/>
    <w:rsid w:val="570010E5"/>
    <w:rsid w:val="57014E5D"/>
    <w:rsid w:val="570309A9"/>
    <w:rsid w:val="57034731"/>
    <w:rsid w:val="570404A9"/>
    <w:rsid w:val="57075C8F"/>
    <w:rsid w:val="57081F8A"/>
    <w:rsid w:val="570A3D11"/>
    <w:rsid w:val="570A5ABF"/>
    <w:rsid w:val="570C5CDB"/>
    <w:rsid w:val="570D462C"/>
    <w:rsid w:val="570D735E"/>
    <w:rsid w:val="57120E18"/>
    <w:rsid w:val="5713049E"/>
    <w:rsid w:val="57166E1F"/>
    <w:rsid w:val="5717642E"/>
    <w:rsid w:val="57193F55"/>
    <w:rsid w:val="571A1A7B"/>
    <w:rsid w:val="571B7CCD"/>
    <w:rsid w:val="571C57F3"/>
    <w:rsid w:val="571D6CF2"/>
    <w:rsid w:val="571E156B"/>
    <w:rsid w:val="57201787"/>
    <w:rsid w:val="5721105B"/>
    <w:rsid w:val="57226B03"/>
    <w:rsid w:val="57233025"/>
    <w:rsid w:val="572528F9"/>
    <w:rsid w:val="57266671"/>
    <w:rsid w:val="572752A3"/>
    <w:rsid w:val="572823EA"/>
    <w:rsid w:val="572A285B"/>
    <w:rsid w:val="572A43B4"/>
    <w:rsid w:val="572B1EDA"/>
    <w:rsid w:val="572C012C"/>
    <w:rsid w:val="572C1045"/>
    <w:rsid w:val="572F3778"/>
    <w:rsid w:val="572F5526"/>
    <w:rsid w:val="57312105"/>
    <w:rsid w:val="573174F0"/>
    <w:rsid w:val="573214BA"/>
    <w:rsid w:val="57323268"/>
    <w:rsid w:val="573568B4"/>
    <w:rsid w:val="57362D58"/>
    <w:rsid w:val="5737262D"/>
    <w:rsid w:val="57392849"/>
    <w:rsid w:val="573B036F"/>
    <w:rsid w:val="573C40E7"/>
    <w:rsid w:val="573E1C0D"/>
    <w:rsid w:val="573E7E5F"/>
    <w:rsid w:val="57405985"/>
    <w:rsid w:val="57454D4A"/>
    <w:rsid w:val="5748483A"/>
    <w:rsid w:val="574865E8"/>
    <w:rsid w:val="57487AA4"/>
    <w:rsid w:val="574A05B2"/>
    <w:rsid w:val="574A6804"/>
    <w:rsid w:val="574C257C"/>
    <w:rsid w:val="574F5BC8"/>
    <w:rsid w:val="574F7976"/>
    <w:rsid w:val="57501B81"/>
    <w:rsid w:val="57511940"/>
    <w:rsid w:val="575136EE"/>
    <w:rsid w:val="57517B92"/>
    <w:rsid w:val="57521214"/>
    <w:rsid w:val="575256B8"/>
    <w:rsid w:val="57527466"/>
    <w:rsid w:val="5753390A"/>
    <w:rsid w:val="57544F8D"/>
    <w:rsid w:val="57560D05"/>
    <w:rsid w:val="575651A9"/>
    <w:rsid w:val="57566F57"/>
    <w:rsid w:val="57574A7D"/>
    <w:rsid w:val="57580F21"/>
    <w:rsid w:val="575925A3"/>
    <w:rsid w:val="575B27BF"/>
    <w:rsid w:val="575B631B"/>
    <w:rsid w:val="575E22AF"/>
    <w:rsid w:val="57601B83"/>
    <w:rsid w:val="57603931"/>
    <w:rsid w:val="57623B4D"/>
    <w:rsid w:val="576378C6"/>
    <w:rsid w:val="57664CC0"/>
    <w:rsid w:val="57675237"/>
    <w:rsid w:val="576A0C54"/>
    <w:rsid w:val="576B493D"/>
    <w:rsid w:val="576D24F2"/>
    <w:rsid w:val="576F0018"/>
    <w:rsid w:val="576F39C9"/>
    <w:rsid w:val="57711FE2"/>
    <w:rsid w:val="57723665"/>
    <w:rsid w:val="57743881"/>
    <w:rsid w:val="5774562F"/>
    <w:rsid w:val="577613A7"/>
    <w:rsid w:val="57763155"/>
    <w:rsid w:val="57770C7B"/>
    <w:rsid w:val="577754A5"/>
    <w:rsid w:val="57776ECD"/>
    <w:rsid w:val="57792C45"/>
    <w:rsid w:val="577949F3"/>
    <w:rsid w:val="577B69BD"/>
    <w:rsid w:val="577D0B9E"/>
    <w:rsid w:val="577E025B"/>
    <w:rsid w:val="577E46FF"/>
    <w:rsid w:val="57805D82"/>
    <w:rsid w:val="57831D16"/>
    <w:rsid w:val="57835872"/>
    <w:rsid w:val="578735B4"/>
    <w:rsid w:val="57875362"/>
    <w:rsid w:val="578A6C00"/>
    <w:rsid w:val="578D3476"/>
    <w:rsid w:val="578F06BB"/>
    <w:rsid w:val="578F4217"/>
    <w:rsid w:val="57911D3D"/>
    <w:rsid w:val="5794182D"/>
    <w:rsid w:val="57947A7F"/>
    <w:rsid w:val="57947C21"/>
    <w:rsid w:val="579655A5"/>
    <w:rsid w:val="5798756F"/>
    <w:rsid w:val="579B0E0D"/>
    <w:rsid w:val="579D2DD8"/>
    <w:rsid w:val="579D6934"/>
    <w:rsid w:val="57A04676"/>
    <w:rsid w:val="57A31178"/>
    <w:rsid w:val="57A31A70"/>
    <w:rsid w:val="57A43D49"/>
    <w:rsid w:val="57A71560"/>
    <w:rsid w:val="57A777B2"/>
    <w:rsid w:val="57A852D8"/>
    <w:rsid w:val="57AA2DFF"/>
    <w:rsid w:val="57AC4DC9"/>
    <w:rsid w:val="57AC50AC"/>
    <w:rsid w:val="57AD28EF"/>
    <w:rsid w:val="57AE6D93"/>
    <w:rsid w:val="57AF2B0B"/>
    <w:rsid w:val="57AF48B9"/>
    <w:rsid w:val="57B10631"/>
    <w:rsid w:val="57B123DF"/>
    <w:rsid w:val="57B1634D"/>
    <w:rsid w:val="57B27F05"/>
    <w:rsid w:val="57B40121"/>
    <w:rsid w:val="57B43C7D"/>
    <w:rsid w:val="57B63E99"/>
    <w:rsid w:val="57B65C47"/>
    <w:rsid w:val="57B679F5"/>
    <w:rsid w:val="57B72A76"/>
    <w:rsid w:val="57B7551B"/>
    <w:rsid w:val="57B81411"/>
    <w:rsid w:val="57B8376D"/>
    <w:rsid w:val="57BB14B0"/>
    <w:rsid w:val="57BE4AFC"/>
    <w:rsid w:val="57C06AC6"/>
    <w:rsid w:val="57C245EC"/>
    <w:rsid w:val="57C2639A"/>
    <w:rsid w:val="57C33EC0"/>
    <w:rsid w:val="57C3426C"/>
    <w:rsid w:val="57C57C38"/>
    <w:rsid w:val="57C670E2"/>
    <w:rsid w:val="57C71C02"/>
    <w:rsid w:val="57C93BCD"/>
    <w:rsid w:val="57CC546B"/>
    <w:rsid w:val="57CD4D3F"/>
    <w:rsid w:val="57CE1F93"/>
    <w:rsid w:val="57CE5874"/>
    <w:rsid w:val="57CF0AB7"/>
    <w:rsid w:val="57D00194"/>
    <w:rsid w:val="57D04F5B"/>
    <w:rsid w:val="57D12A81"/>
    <w:rsid w:val="57D4431F"/>
    <w:rsid w:val="57D52571"/>
    <w:rsid w:val="57D85BBE"/>
    <w:rsid w:val="57D91936"/>
    <w:rsid w:val="57DB3900"/>
    <w:rsid w:val="57DB56AE"/>
    <w:rsid w:val="57DE0CFA"/>
    <w:rsid w:val="57DF519E"/>
    <w:rsid w:val="57E207EA"/>
    <w:rsid w:val="57E575F1"/>
    <w:rsid w:val="57E654C3"/>
    <w:rsid w:val="57E722A5"/>
    <w:rsid w:val="57E91B79"/>
    <w:rsid w:val="57E9247C"/>
    <w:rsid w:val="57E9504D"/>
    <w:rsid w:val="57EC3417"/>
    <w:rsid w:val="57ED06D1"/>
    <w:rsid w:val="57EE53E1"/>
    <w:rsid w:val="57F14ED1"/>
    <w:rsid w:val="57F16C7F"/>
    <w:rsid w:val="57F329F7"/>
    <w:rsid w:val="57F549C2"/>
    <w:rsid w:val="57F624E8"/>
    <w:rsid w:val="57F64296"/>
    <w:rsid w:val="57F8000E"/>
    <w:rsid w:val="57F81DBC"/>
    <w:rsid w:val="57F86260"/>
    <w:rsid w:val="57FB7462"/>
    <w:rsid w:val="57FF139C"/>
    <w:rsid w:val="58003366"/>
    <w:rsid w:val="58006EC2"/>
    <w:rsid w:val="580132D4"/>
    <w:rsid w:val="580805D6"/>
    <w:rsid w:val="58091A66"/>
    <w:rsid w:val="58093FC9"/>
    <w:rsid w:val="580A1AEF"/>
    <w:rsid w:val="580A7D41"/>
    <w:rsid w:val="580B5F93"/>
    <w:rsid w:val="580C5867"/>
    <w:rsid w:val="580E15DF"/>
    <w:rsid w:val="581035A9"/>
    <w:rsid w:val="58124259"/>
    <w:rsid w:val="58152BDA"/>
    <w:rsid w:val="58156E12"/>
    <w:rsid w:val="58160494"/>
    <w:rsid w:val="581666E6"/>
    <w:rsid w:val="581B5AAA"/>
    <w:rsid w:val="581D7A74"/>
    <w:rsid w:val="581F1A3E"/>
    <w:rsid w:val="58201313"/>
    <w:rsid w:val="58207565"/>
    <w:rsid w:val="582157B7"/>
    <w:rsid w:val="58264BC9"/>
    <w:rsid w:val="5827444F"/>
    <w:rsid w:val="58276B45"/>
    <w:rsid w:val="582901C7"/>
    <w:rsid w:val="582B03E3"/>
    <w:rsid w:val="582C7CB7"/>
    <w:rsid w:val="582E22F1"/>
    <w:rsid w:val="582E3A30"/>
    <w:rsid w:val="582F1556"/>
    <w:rsid w:val="58310C72"/>
    <w:rsid w:val="58311772"/>
    <w:rsid w:val="58327CB8"/>
    <w:rsid w:val="583354EA"/>
    <w:rsid w:val="58337298"/>
    <w:rsid w:val="58344BA2"/>
    <w:rsid w:val="58354DBE"/>
    <w:rsid w:val="58360B36"/>
    <w:rsid w:val="58383267"/>
    <w:rsid w:val="5838665C"/>
    <w:rsid w:val="583B48F5"/>
    <w:rsid w:val="583C439E"/>
    <w:rsid w:val="583D1EC5"/>
    <w:rsid w:val="583F5C3D"/>
    <w:rsid w:val="583F79EB"/>
    <w:rsid w:val="58405511"/>
    <w:rsid w:val="584414A5"/>
    <w:rsid w:val="58443253"/>
    <w:rsid w:val="58445001"/>
    <w:rsid w:val="58461A08"/>
    <w:rsid w:val="5846521D"/>
    <w:rsid w:val="58474AF1"/>
    <w:rsid w:val="5847689F"/>
    <w:rsid w:val="58492617"/>
    <w:rsid w:val="584C4139"/>
    <w:rsid w:val="584E40D2"/>
    <w:rsid w:val="585039A6"/>
    <w:rsid w:val="5851771E"/>
    <w:rsid w:val="58523BC2"/>
    <w:rsid w:val="5853143B"/>
    <w:rsid w:val="585316E8"/>
    <w:rsid w:val="58533496"/>
    <w:rsid w:val="58535244"/>
    <w:rsid w:val="5853793A"/>
    <w:rsid w:val="5854400C"/>
    <w:rsid w:val="58564D34"/>
    <w:rsid w:val="58577DBC"/>
    <w:rsid w:val="58584F50"/>
    <w:rsid w:val="58586CFE"/>
    <w:rsid w:val="585A2A77"/>
    <w:rsid w:val="585A4825"/>
    <w:rsid w:val="585B7E33"/>
    <w:rsid w:val="585D4315"/>
    <w:rsid w:val="585F21FD"/>
    <w:rsid w:val="585F62DF"/>
    <w:rsid w:val="586236D9"/>
    <w:rsid w:val="58630F30"/>
    <w:rsid w:val="586456A3"/>
    <w:rsid w:val="586475A6"/>
    <w:rsid w:val="586B6A32"/>
    <w:rsid w:val="586E02D0"/>
    <w:rsid w:val="58704048"/>
    <w:rsid w:val="58727DC0"/>
    <w:rsid w:val="58733B38"/>
    <w:rsid w:val="58737694"/>
    <w:rsid w:val="58753345"/>
    <w:rsid w:val="5875340D"/>
    <w:rsid w:val="58767185"/>
    <w:rsid w:val="58773629"/>
    <w:rsid w:val="5878114F"/>
    <w:rsid w:val="587873A1"/>
    <w:rsid w:val="587A159C"/>
    <w:rsid w:val="587C29ED"/>
    <w:rsid w:val="587D49B7"/>
    <w:rsid w:val="587D6765"/>
    <w:rsid w:val="58823D7B"/>
    <w:rsid w:val="58845D45"/>
    <w:rsid w:val="58845D9E"/>
    <w:rsid w:val="58847AF3"/>
    <w:rsid w:val="5886386C"/>
    <w:rsid w:val="588743D1"/>
    <w:rsid w:val="5887701A"/>
    <w:rsid w:val="58877EFF"/>
    <w:rsid w:val="58892C4B"/>
    <w:rsid w:val="5889510A"/>
    <w:rsid w:val="58896EB8"/>
    <w:rsid w:val="588A40DB"/>
    <w:rsid w:val="588C0756"/>
    <w:rsid w:val="588E44CE"/>
    <w:rsid w:val="58920462"/>
    <w:rsid w:val="58935F89"/>
    <w:rsid w:val="58951D01"/>
    <w:rsid w:val="58953AAF"/>
    <w:rsid w:val="589715D5"/>
    <w:rsid w:val="58977827"/>
    <w:rsid w:val="589870FB"/>
    <w:rsid w:val="589A10C5"/>
    <w:rsid w:val="589B5060"/>
    <w:rsid w:val="589C308F"/>
    <w:rsid w:val="589F66DB"/>
    <w:rsid w:val="58A12453"/>
    <w:rsid w:val="58A14202"/>
    <w:rsid w:val="58A40F94"/>
    <w:rsid w:val="58A65CBC"/>
    <w:rsid w:val="58A67A6A"/>
    <w:rsid w:val="58A761D4"/>
    <w:rsid w:val="58A837E2"/>
    <w:rsid w:val="58A9755A"/>
    <w:rsid w:val="58AA6296"/>
    <w:rsid w:val="58AB32D2"/>
    <w:rsid w:val="58AB6E2E"/>
    <w:rsid w:val="58AC2BA6"/>
    <w:rsid w:val="58AD704A"/>
    <w:rsid w:val="58B008E9"/>
    <w:rsid w:val="58B01CDE"/>
    <w:rsid w:val="58B06B3A"/>
    <w:rsid w:val="58B101BD"/>
    <w:rsid w:val="58B232E7"/>
    <w:rsid w:val="58B242BD"/>
    <w:rsid w:val="58B2672F"/>
    <w:rsid w:val="58B273DC"/>
    <w:rsid w:val="58B32187"/>
    <w:rsid w:val="58B55EFF"/>
    <w:rsid w:val="58B65AA2"/>
    <w:rsid w:val="58B75CC9"/>
    <w:rsid w:val="58BC103B"/>
    <w:rsid w:val="58BC728D"/>
    <w:rsid w:val="58BD1B3B"/>
    <w:rsid w:val="58BD4DB3"/>
    <w:rsid w:val="58BD6B62"/>
    <w:rsid w:val="58BF0B2C"/>
    <w:rsid w:val="58BF28DA"/>
    <w:rsid w:val="58C12AF6"/>
    <w:rsid w:val="58C2451D"/>
    <w:rsid w:val="58C425E6"/>
    <w:rsid w:val="58C44394"/>
    <w:rsid w:val="58C63C68"/>
    <w:rsid w:val="58C757BE"/>
    <w:rsid w:val="58C779E0"/>
    <w:rsid w:val="58C93537"/>
    <w:rsid w:val="58CB74D0"/>
    <w:rsid w:val="58CD6A5F"/>
    <w:rsid w:val="58CE0D6F"/>
    <w:rsid w:val="58CF5213"/>
    <w:rsid w:val="58D02D39"/>
    <w:rsid w:val="58D06B21"/>
    <w:rsid w:val="58D2085F"/>
    <w:rsid w:val="58D24374"/>
    <w:rsid w:val="58D26AB1"/>
    <w:rsid w:val="58D345D7"/>
    <w:rsid w:val="58D5034F"/>
    <w:rsid w:val="58D520FD"/>
    <w:rsid w:val="58D72319"/>
    <w:rsid w:val="58D77C23"/>
    <w:rsid w:val="58D81BED"/>
    <w:rsid w:val="58D83B72"/>
    <w:rsid w:val="58D85002"/>
    <w:rsid w:val="58D86743"/>
    <w:rsid w:val="58D97E3F"/>
    <w:rsid w:val="58DC16DE"/>
    <w:rsid w:val="58DC6554"/>
    <w:rsid w:val="58DF11CE"/>
    <w:rsid w:val="58DF2304"/>
    <w:rsid w:val="58DF2F7C"/>
    <w:rsid w:val="58DF3A45"/>
    <w:rsid w:val="58E06213"/>
    <w:rsid w:val="58E14F46"/>
    <w:rsid w:val="58E16CF4"/>
    <w:rsid w:val="58E30CBE"/>
    <w:rsid w:val="58E3481A"/>
    <w:rsid w:val="58E467E4"/>
    <w:rsid w:val="58E578B7"/>
    <w:rsid w:val="58E60D47"/>
    <w:rsid w:val="58E81E30"/>
    <w:rsid w:val="58E93DFA"/>
    <w:rsid w:val="58E97957"/>
    <w:rsid w:val="58EA204C"/>
    <w:rsid w:val="58EB3729"/>
    <w:rsid w:val="58F00CE5"/>
    <w:rsid w:val="58F20F01"/>
    <w:rsid w:val="58F220E6"/>
    <w:rsid w:val="58F22CAF"/>
    <w:rsid w:val="58F5454D"/>
    <w:rsid w:val="58F670FB"/>
    <w:rsid w:val="58F85DEC"/>
    <w:rsid w:val="58F9403E"/>
    <w:rsid w:val="58FA7DB6"/>
    <w:rsid w:val="58FC706B"/>
    <w:rsid w:val="58FF717A"/>
    <w:rsid w:val="5903310E"/>
    <w:rsid w:val="59036C6A"/>
    <w:rsid w:val="590429E2"/>
    <w:rsid w:val="590442D0"/>
    <w:rsid w:val="5906675A"/>
    <w:rsid w:val="59077600"/>
    <w:rsid w:val="59080725"/>
    <w:rsid w:val="59091DA7"/>
    <w:rsid w:val="590B1FC3"/>
    <w:rsid w:val="590E560F"/>
    <w:rsid w:val="590F1AB3"/>
    <w:rsid w:val="590F3861"/>
    <w:rsid w:val="591075D9"/>
    <w:rsid w:val="59117F40"/>
    <w:rsid w:val="591470C9"/>
    <w:rsid w:val="59177B75"/>
    <w:rsid w:val="591B0458"/>
    <w:rsid w:val="591C41D0"/>
    <w:rsid w:val="591E5852"/>
    <w:rsid w:val="591E7A48"/>
    <w:rsid w:val="591F15CA"/>
    <w:rsid w:val="591F15E6"/>
    <w:rsid w:val="591F781C"/>
    <w:rsid w:val="59205A6E"/>
    <w:rsid w:val="592117E6"/>
    <w:rsid w:val="59215342"/>
    <w:rsid w:val="592163C9"/>
    <w:rsid w:val="59284923"/>
    <w:rsid w:val="592866D1"/>
    <w:rsid w:val="592B61C1"/>
    <w:rsid w:val="592F5CB1"/>
    <w:rsid w:val="592F7A5F"/>
    <w:rsid w:val="59352B9C"/>
    <w:rsid w:val="59360232"/>
    <w:rsid w:val="59376914"/>
    <w:rsid w:val="593908DE"/>
    <w:rsid w:val="59396B30"/>
    <w:rsid w:val="593A5116"/>
    <w:rsid w:val="593A6404"/>
    <w:rsid w:val="593B28A8"/>
    <w:rsid w:val="593C03CE"/>
    <w:rsid w:val="593D4460"/>
    <w:rsid w:val="593E5EF4"/>
    <w:rsid w:val="593E7CA2"/>
    <w:rsid w:val="593F3A1A"/>
    <w:rsid w:val="59401C6C"/>
    <w:rsid w:val="594029DA"/>
    <w:rsid w:val="59413C36"/>
    <w:rsid w:val="594159E5"/>
    <w:rsid w:val="59417793"/>
    <w:rsid w:val="59452BF2"/>
    <w:rsid w:val="59464DA9"/>
    <w:rsid w:val="5947124D"/>
    <w:rsid w:val="59484FC5"/>
    <w:rsid w:val="59486D73"/>
    <w:rsid w:val="594A2AEB"/>
    <w:rsid w:val="594A3E93"/>
    <w:rsid w:val="594B0611"/>
    <w:rsid w:val="594C6863"/>
    <w:rsid w:val="594C7EF4"/>
    <w:rsid w:val="594D25DB"/>
    <w:rsid w:val="594D4389"/>
    <w:rsid w:val="595079D6"/>
    <w:rsid w:val="59521250"/>
    <w:rsid w:val="5954396A"/>
    <w:rsid w:val="59547B16"/>
    <w:rsid w:val="595526E7"/>
    <w:rsid w:val="5955323E"/>
    <w:rsid w:val="59554FEC"/>
    <w:rsid w:val="59561490"/>
    <w:rsid w:val="59570D64"/>
    <w:rsid w:val="59575007"/>
    <w:rsid w:val="59594ADC"/>
    <w:rsid w:val="595A2602"/>
    <w:rsid w:val="595C637A"/>
    <w:rsid w:val="595E4EDA"/>
    <w:rsid w:val="5960230F"/>
    <w:rsid w:val="596077FA"/>
    <w:rsid w:val="59611BE3"/>
    <w:rsid w:val="596146A3"/>
    <w:rsid w:val="59635291"/>
    <w:rsid w:val="59637709"/>
    <w:rsid w:val="59637797"/>
    <w:rsid w:val="596521DC"/>
    <w:rsid w:val="59653481"/>
    <w:rsid w:val="59657925"/>
    <w:rsid w:val="596733BB"/>
    <w:rsid w:val="596811C3"/>
    <w:rsid w:val="59685F8C"/>
    <w:rsid w:val="596B480F"/>
    <w:rsid w:val="596B490D"/>
    <w:rsid w:val="596D0588"/>
    <w:rsid w:val="596D67DA"/>
    <w:rsid w:val="596F4300"/>
    <w:rsid w:val="597072EF"/>
    <w:rsid w:val="59725B9E"/>
    <w:rsid w:val="5973309F"/>
    <w:rsid w:val="5973600B"/>
    <w:rsid w:val="59741916"/>
    <w:rsid w:val="597436C4"/>
    <w:rsid w:val="5975743C"/>
    <w:rsid w:val="59766234"/>
    <w:rsid w:val="59772EB0"/>
    <w:rsid w:val="59777658"/>
    <w:rsid w:val="597A1831"/>
    <w:rsid w:val="597B2CA5"/>
    <w:rsid w:val="597D4C6F"/>
    <w:rsid w:val="597E09E7"/>
    <w:rsid w:val="597E4543"/>
    <w:rsid w:val="5980475F"/>
    <w:rsid w:val="59822285"/>
    <w:rsid w:val="59831B59"/>
    <w:rsid w:val="59837DAB"/>
    <w:rsid w:val="598454B4"/>
    <w:rsid w:val="598558D1"/>
    <w:rsid w:val="59855F80"/>
    <w:rsid w:val="59861649"/>
    <w:rsid w:val="59875AED"/>
    <w:rsid w:val="5987789B"/>
    <w:rsid w:val="5988716F"/>
    <w:rsid w:val="598A5B73"/>
    <w:rsid w:val="598B6C60"/>
    <w:rsid w:val="598C3104"/>
    <w:rsid w:val="598C3C46"/>
    <w:rsid w:val="598D29D8"/>
    <w:rsid w:val="598F6750"/>
    <w:rsid w:val="59905198"/>
    <w:rsid w:val="599124C8"/>
    <w:rsid w:val="59913D84"/>
    <w:rsid w:val="59914276"/>
    <w:rsid w:val="599205F7"/>
    <w:rsid w:val="59926240"/>
    <w:rsid w:val="599315A9"/>
    <w:rsid w:val="59941FB8"/>
    <w:rsid w:val="59944FA9"/>
    <w:rsid w:val="59956439"/>
    <w:rsid w:val="5996188C"/>
    <w:rsid w:val="59967ADE"/>
    <w:rsid w:val="59975605"/>
    <w:rsid w:val="5999137D"/>
    <w:rsid w:val="599B1691"/>
    <w:rsid w:val="599B6EA3"/>
    <w:rsid w:val="599C4E7C"/>
    <w:rsid w:val="59A0270B"/>
    <w:rsid w:val="59A10231"/>
    <w:rsid w:val="59A321FB"/>
    <w:rsid w:val="59A541C5"/>
    <w:rsid w:val="59A55F73"/>
    <w:rsid w:val="59A7084E"/>
    <w:rsid w:val="59A87812"/>
    <w:rsid w:val="59AA358A"/>
    <w:rsid w:val="59AC5554"/>
    <w:rsid w:val="59AC5E01"/>
    <w:rsid w:val="59AF6DF2"/>
    <w:rsid w:val="59B13B9B"/>
    <w:rsid w:val="59B166C6"/>
    <w:rsid w:val="59B2243E"/>
    <w:rsid w:val="59B241EC"/>
    <w:rsid w:val="59B30690"/>
    <w:rsid w:val="59B368E2"/>
    <w:rsid w:val="59B91A1F"/>
    <w:rsid w:val="59B937CD"/>
    <w:rsid w:val="59BB5797"/>
    <w:rsid w:val="59BB7545"/>
    <w:rsid w:val="59BC1D1A"/>
    <w:rsid w:val="59BC506B"/>
    <w:rsid w:val="59BE5287"/>
    <w:rsid w:val="59BF67D8"/>
    <w:rsid w:val="59C02DAD"/>
    <w:rsid w:val="59C0439F"/>
    <w:rsid w:val="59C04B5B"/>
    <w:rsid w:val="59C12681"/>
    <w:rsid w:val="59C208D3"/>
    <w:rsid w:val="59C4289D"/>
    <w:rsid w:val="59C53F20"/>
    <w:rsid w:val="59C7413C"/>
    <w:rsid w:val="59C949AE"/>
    <w:rsid w:val="59CC3500"/>
    <w:rsid w:val="59CD1026"/>
    <w:rsid w:val="59CE54CA"/>
    <w:rsid w:val="59CF1242"/>
    <w:rsid w:val="59D14FBA"/>
    <w:rsid w:val="59D16D68"/>
    <w:rsid w:val="59D2488F"/>
    <w:rsid w:val="59D2663D"/>
    <w:rsid w:val="59D27B1C"/>
    <w:rsid w:val="59D32AE1"/>
    <w:rsid w:val="59D40607"/>
    <w:rsid w:val="59DC0BCE"/>
    <w:rsid w:val="59DD395F"/>
    <w:rsid w:val="59DD570D"/>
    <w:rsid w:val="59DD74BB"/>
    <w:rsid w:val="59E3084A"/>
    <w:rsid w:val="59E545C2"/>
    <w:rsid w:val="59E7307A"/>
    <w:rsid w:val="59E77422"/>
    <w:rsid w:val="59EA7E2A"/>
    <w:rsid w:val="59EE16C8"/>
    <w:rsid w:val="59F111B9"/>
    <w:rsid w:val="59F12F67"/>
    <w:rsid w:val="59F14D15"/>
    <w:rsid w:val="59F36CDF"/>
    <w:rsid w:val="59F42A57"/>
    <w:rsid w:val="59F44805"/>
    <w:rsid w:val="59F6057D"/>
    <w:rsid w:val="59F71524"/>
    <w:rsid w:val="59F82547"/>
    <w:rsid w:val="59FB2037"/>
    <w:rsid w:val="59FB5B93"/>
    <w:rsid w:val="59FD190B"/>
    <w:rsid w:val="59FD5DAF"/>
    <w:rsid w:val="59FD7B5D"/>
    <w:rsid w:val="59FF38D6"/>
    <w:rsid w:val="5A0233C6"/>
    <w:rsid w:val="5A04694A"/>
    <w:rsid w:val="5A04713E"/>
    <w:rsid w:val="5A05126A"/>
    <w:rsid w:val="5A0802B0"/>
    <w:rsid w:val="5A096502"/>
    <w:rsid w:val="5A0A227A"/>
    <w:rsid w:val="5A0C7DA1"/>
    <w:rsid w:val="5A0E58C7"/>
    <w:rsid w:val="5A0F163F"/>
    <w:rsid w:val="5A105AE3"/>
    <w:rsid w:val="5A113609"/>
    <w:rsid w:val="5A1153B7"/>
    <w:rsid w:val="5A13112F"/>
    <w:rsid w:val="5A144EA7"/>
    <w:rsid w:val="5A1530F9"/>
    <w:rsid w:val="5A167D13"/>
    <w:rsid w:val="5A171C7F"/>
    <w:rsid w:val="5A184997"/>
    <w:rsid w:val="5A1A070F"/>
    <w:rsid w:val="5A1A0A02"/>
    <w:rsid w:val="5A1B4488"/>
    <w:rsid w:val="5A1B6236"/>
    <w:rsid w:val="5A1D0200"/>
    <w:rsid w:val="5A1E1882"/>
    <w:rsid w:val="5A2055FA"/>
    <w:rsid w:val="5A24333C"/>
    <w:rsid w:val="5A250E62"/>
    <w:rsid w:val="5A274BDA"/>
    <w:rsid w:val="5A2A6479"/>
    <w:rsid w:val="5A2C3F9F"/>
    <w:rsid w:val="5A2E0476"/>
    <w:rsid w:val="5A2E41BB"/>
    <w:rsid w:val="5A2E5F69"/>
    <w:rsid w:val="5A2E7D17"/>
    <w:rsid w:val="5A307F33"/>
    <w:rsid w:val="5A317807"/>
    <w:rsid w:val="5A33532D"/>
    <w:rsid w:val="5A3410A5"/>
    <w:rsid w:val="5A355549"/>
    <w:rsid w:val="5A3612C1"/>
    <w:rsid w:val="5A3A2B60"/>
    <w:rsid w:val="5A3A490E"/>
    <w:rsid w:val="5A3A6E19"/>
    <w:rsid w:val="5A3B2434"/>
    <w:rsid w:val="5A3B68D8"/>
    <w:rsid w:val="5A3C4FC7"/>
    <w:rsid w:val="5A3C75BC"/>
    <w:rsid w:val="5A3D61AC"/>
    <w:rsid w:val="5A3D7F5A"/>
    <w:rsid w:val="5A407A4A"/>
    <w:rsid w:val="5A421A14"/>
    <w:rsid w:val="5A427C66"/>
    <w:rsid w:val="5A44578C"/>
    <w:rsid w:val="5A455061"/>
    <w:rsid w:val="5A470DD9"/>
    <w:rsid w:val="5A47702B"/>
    <w:rsid w:val="5A4867BF"/>
    <w:rsid w:val="5A4968FF"/>
    <w:rsid w:val="5A4A08C9"/>
    <w:rsid w:val="5A4A2677"/>
    <w:rsid w:val="5A4A650E"/>
    <w:rsid w:val="5A4B6B1B"/>
    <w:rsid w:val="5A4C1F31"/>
    <w:rsid w:val="5A4C2893"/>
    <w:rsid w:val="5A4C63EF"/>
    <w:rsid w:val="5A4E03B9"/>
    <w:rsid w:val="5A4F5EDF"/>
    <w:rsid w:val="5A504131"/>
    <w:rsid w:val="5A533C21"/>
    <w:rsid w:val="5A551748"/>
    <w:rsid w:val="5A56726E"/>
    <w:rsid w:val="5A5A0B0C"/>
    <w:rsid w:val="5A5A6D5E"/>
    <w:rsid w:val="5A5B2AD6"/>
    <w:rsid w:val="5A5B4884"/>
    <w:rsid w:val="5A5D05FC"/>
    <w:rsid w:val="5A5F6122"/>
    <w:rsid w:val="5A61633E"/>
    <w:rsid w:val="5A625C12"/>
    <w:rsid w:val="5A627599"/>
    <w:rsid w:val="5A6279C1"/>
    <w:rsid w:val="5A655CE7"/>
    <w:rsid w:val="5A6574B1"/>
    <w:rsid w:val="5A663955"/>
    <w:rsid w:val="5A690D4F"/>
    <w:rsid w:val="5A696FA1"/>
    <w:rsid w:val="5A6A4AC7"/>
    <w:rsid w:val="5A6B0F6B"/>
    <w:rsid w:val="5A6C083F"/>
    <w:rsid w:val="5A6E5909"/>
    <w:rsid w:val="5A6F20DD"/>
    <w:rsid w:val="5A715E56"/>
    <w:rsid w:val="5A74177B"/>
    <w:rsid w:val="5A76552B"/>
    <w:rsid w:val="5A785436"/>
    <w:rsid w:val="5A7A2F5C"/>
    <w:rsid w:val="5A7A55ED"/>
    <w:rsid w:val="5A7B0A82"/>
    <w:rsid w:val="5A7B7338"/>
    <w:rsid w:val="5A7D2A4C"/>
    <w:rsid w:val="5A7D47FA"/>
    <w:rsid w:val="5A7F0572"/>
    <w:rsid w:val="5A7F67C4"/>
    <w:rsid w:val="5A8042EB"/>
    <w:rsid w:val="5A81078E"/>
    <w:rsid w:val="5A81253D"/>
    <w:rsid w:val="5A8262B5"/>
    <w:rsid w:val="5A843DDB"/>
    <w:rsid w:val="5A845B89"/>
    <w:rsid w:val="5A851901"/>
    <w:rsid w:val="5A852E29"/>
    <w:rsid w:val="5A865020"/>
    <w:rsid w:val="5A865DA5"/>
    <w:rsid w:val="5A871B1D"/>
    <w:rsid w:val="5A8738CB"/>
    <w:rsid w:val="5A89319F"/>
    <w:rsid w:val="5A897643"/>
    <w:rsid w:val="5A8A6572"/>
    <w:rsid w:val="5A8B33BB"/>
    <w:rsid w:val="5A8C2C8F"/>
    <w:rsid w:val="5A8C73C9"/>
    <w:rsid w:val="5A8E4C59"/>
    <w:rsid w:val="5A8E6A07"/>
    <w:rsid w:val="5A9009D2"/>
    <w:rsid w:val="5A90452E"/>
    <w:rsid w:val="5A932270"/>
    <w:rsid w:val="5A93401E"/>
    <w:rsid w:val="5A9658BC"/>
    <w:rsid w:val="5A9776E6"/>
    <w:rsid w:val="5A981634"/>
    <w:rsid w:val="5A987886"/>
    <w:rsid w:val="5A9A1850"/>
    <w:rsid w:val="5A9B2ED2"/>
    <w:rsid w:val="5A9C7376"/>
    <w:rsid w:val="5A9F6E67"/>
    <w:rsid w:val="5AA20705"/>
    <w:rsid w:val="5AA224B3"/>
    <w:rsid w:val="5AA505A9"/>
    <w:rsid w:val="5AA601F5"/>
    <w:rsid w:val="5AA77AC9"/>
    <w:rsid w:val="5AA85FCD"/>
    <w:rsid w:val="5AAA2F8A"/>
    <w:rsid w:val="5AAB580B"/>
    <w:rsid w:val="5AAB58AA"/>
    <w:rsid w:val="5AAC047B"/>
    <w:rsid w:val="5AAC3332"/>
    <w:rsid w:val="5AAC50E0"/>
    <w:rsid w:val="5AAD1584"/>
    <w:rsid w:val="5AAE0E58"/>
    <w:rsid w:val="5AAE2C06"/>
    <w:rsid w:val="5AB26B9A"/>
    <w:rsid w:val="5AB32912"/>
    <w:rsid w:val="5AB6152D"/>
    <w:rsid w:val="5AB75F5E"/>
    <w:rsid w:val="5AB81CD6"/>
    <w:rsid w:val="5AB83A84"/>
    <w:rsid w:val="5AB87F28"/>
    <w:rsid w:val="5ABA77FD"/>
    <w:rsid w:val="5ABD109B"/>
    <w:rsid w:val="5ABD5454"/>
    <w:rsid w:val="5ABE2233"/>
    <w:rsid w:val="5AC026DB"/>
    <w:rsid w:val="5AC4067B"/>
    <w:rsid w:val="5AC62645"/>
    <w:rsid w:val="5AC643F3"/>
    <w:rsid w:val="5AC661A1"/>
    <w:rsid w:val="5AC73CC7"/>
    <w:rsid w:val="5AC8016B"/>
    <w:rsid w:val="5AC95C92"/>
    <w:rsid w:val="5ACB1A0A"/>
    <w:rsid w:val="5ACC6324"/>
    <w:rsid w:val="5ACD0EF5"/>
    <w:rsid w:val="5ACD39D4"/>
    <w:rsid w:val="5ACE32A8"/>
    <w:rsid w:val="5ACE5056"/>
    <w:rsid w:val="5AD00DCE"/>
    <w:rsid w:val="5AD07020"/>
    <w:rsid w:val="5AD20FEA"/>
    <w:rsid w:val="5AD3266C"/>
    <w:rsid w:val="5AD33626"/>
    <w:rsid w:val="5AD52888"/>
    <w:rsid w:val="5AD54636"/>
    <w:rsid w:val="5AD84127"/>
    <w:rsid w:val="5AD85ED5"/>
    <w:rsid w:val="5ADA39FB"/>
    <w:rsid w:val="5ADB1DB8"/>
    <w:rsid w:val="5ADC5652"/>
    <w:rsid w:val="5ADC7773"/>
    <w:rsid w:val="5ADD173D"/>
    <w:rsid w:val="5ADD34EB"/>
    <w:rsid w:val="5ADE798F"/>
    <w:rsid w:val="5ADF1011"/>
    <w:rsid w:val="5ADF1BC9"/>
    <w:rsid w:val="5ADF3707"/>
    <w:rsid w:val="5ADF54B5"/>
    <w:rsid w:val="5AE1122D"/>
    <w:rsid w:val="5AE12FDB"/>
    <w:rsid w:val="5AE34FA5"/>
    <w:rsid w:val="5AE40D1D"/>
    <w:rsid w:val="5AE605F2"/>
    <w:rsid w:val="5AE66844"/>
    <w:rsid w:val="5AE725D9"/>
    <w:rsid w:val="5AE766F9"/>
    <w:rsid w:val="5AE90FC3"/>
    <w:rsid w:val="5AEB18AD"/>
    <w:rsid w:val="5AEB4E62"/>
    <w:rsid w:val="5AEE022E"/>
    <w:rsid w:val="5AEE394A"/>
    <w:rsid w:val="5AEE74A6"/>
    <w:rsid w:val="5AF0321E"/>
    <w:rsid w:val="5AF0571F"/>
    <w:rsid w:val="5AF076C2"/>
    <w:rsid w:val="5AF251E8"/>
    <w:rsid w:val="5AF26F96"/>
    <w:rsid w:val="5AF32D0E"/>
    <w:rsid w:val="5AF34ABD"/>
    <w:rsid w:val="5AF54CD9"/>
    <w:rsid w:val="5AF70A51"/>
    <w:rsid w:val="5AF80325"/>
    <w:rsid w:val="5AF820D3"/>
    <w:rsid w:val="5AFA22EF"/>
    <w:rsid w:val="5AFA5E4B"/>
    <w:rsid w:val="5AFA7F12"/>
    <w:rsid w:val="5AFF16B3"/>
    <w:rsid w:val="5B005214"/>
    <w:rsid w:val="5B013EA9"/>
    <w:rsid w:val="5B0311A3"/>
    <w:rsid w:val="5B0839A6"/>
    <w:rsid w:val="5B092532"/>
    <w:rsid w:val="5B0942E0"/>
    <w:rsid w:val="5B0A0784"/>
    <w:rsid w:val="5B0B62AA"/>
    <w:rsid w:val="5B0D3DD0"/>
    <w:rsid w:val="5B0D5B7E"/>
    <w:rsid w:val="5B0E18F6"/>
    <w:rsid w:val="5B0E6DA3"/>
    <w:rsid w:val="5B0E7818"/>
    <w:rsid w:val="5B0F5D9A"/>
    <w:rsid w:val="5B10566E"/>
    <w:rsid w:val="5B117888"/>
    <w:rsid w:val="5B141F49"/>
    <w:rsid w:val="5B150ED7"/>
    <w:rsid w:val="5B182775"/>
    <w:rsid w:val="5B184523"/>
    <w:rsid w:val="5B19553C"/>
    <w:rsid w:val="5B1A029B"/>
    <w:rsid w:val="5B1A64ED"/>
    <w:rsid w:val="5B1E7D8B"/>
    <w:rsid w:val="5B1F1D55"/>
    <w:rsid w:val="5B1F58B2"/>
    <w:rsid w:val="5B1F705C"/>
    <w:rsid w:val="5B21787C"/>
    <w:rsid w:val="5B2335F4"/>
    <w:rsid w:val="5B242EC8"/>
    <w:rsid w:val="5B2555BE"/>
    <w:rsid w:val="5B2630E4"/>
    <w:rsid w:val="5B2829B8"/>
    <w:rsid w:val="5B286E5C"/>
    <w:rsid w:val="5B2B06FA"/>
    <w:rsid w:val="5B2C2DA1"/>
    <w:rsid w:val="5B2D7FCE"/>
    <w:rsid w:val="5B2E3D47"/>
    <w:rsid w:val="5B2F01EA"/>
    <w:rsid w:val="5B314834"/>
    <w:rsid w:val="5B323837"/>
    <w:rsid w:val="5B3255E5"/>
    <w:rsid w:val="5B3550D5"/>
    <w:rsid w:val="5B370E4D"/>
    <w:rsid w:val="5B394BC5"/>
    <w:rsid w:val="5B3A6B8F"/>
    <w:rsid w:val="5B3C6463"/>
    <w:rsid w:val="5B411CCC"/>
    <w:rsid w:val="5B445318"/>
    <w:rsid w:val="5B4517BC"/>
    <w:rsid w:val="5B4812AC"/>
    <w:rsid w:val="5B4A5024"/>
    <w:rsid w:val="5B4B66A7"/>
    <w:rsid w:val="5B4C0C4A"/>
    <w:rsid w:val="5B4C22C4"/>
    <w:rsid w:val="5B4D0671"/>
    <w:rsid w:val="5B4E356A"/>
    <w:rsid w:val="5B4E6197"/>
    <w:rsid w:val="5B501F0F"/>
    <w:rsid w:val="5B503CBD"/>
    <w:rsid w:val="5B510A5B"/>
    <w:rsid w:val="5B527A35"/>
    <w:rsid w:val="5B5437AD"/>
    <w:rsid w:val="5B547C51"/>
    <w:rsid w:val="5B5544AA"/>
    <w:rsid w:val="5B555777"/>
    <w:rsid w:val="5B57329D"/>
    <w:rsid w:val="5B5A4B3C"/>
    <w:rsid w:val="5B5E287E"/>
    <w:rsid w:val="5B5E63DA"/>
    <w:rsid w:val="5B5F03A4"/>
    <w:rsid w:val="5B61236E"/>
    <w:rsid w:val="5B622E70"/>
    <w:rsid w:val="5B6339F0"/>
    <w:rsid w:val="5B646ED1"/>
    <w:rsid w:val="5B6559BA"/>
    <w:rsid w:val="5B667984"/>
    <w:rsid w:val="5B6836FC"/>
    <w:rsid w:val="5B6854AA"/>
    <w:rsid w:val="5B6A2FD1"/>
    <w:rsid w:val="5B6A7475"/>
    <w:rsid w:val="5B6D486F"/>
    <w:rsid w:val="5B7025B1"/>
    <w:rsid w:val="5B70610D"/>
    <w:rsid w:val="5B722965"/>
    <w:rsid w:val="5B735536"/>
    <w:rsid w:val="5B74034D"/>
    <w:rsid w:val="5B756EAF"/>
    <w:rsid w:val="5B765E19"/>
    <w:rsid w:val="5B77749C"/>
    <w:rsid w:val="5B7A2D2A"/>
    <w:rsid w:val="5B7A6F8C"/>
    <w:rsid w:val="5B7C71A8"/>
    <w:rsid w:val="5B807B3A"/>
    <w:rsid w:val="5B8147BE"/>
    <w:rsid w:val="5B830D19"/>
    <w:rsid w:val="5B8322E4"/>
    <w:rsid w:val="5B841BB9"/>
    <w:rsid w:val="5B857E0A"/>
    <w:rsid w:val="5B863B83"/>
    <w:rsid w:val="5B874E3C"/>
    <w:rsid w:val="5B885B4D"/>
    <w:rsid w:val="5B8862CC"/>
    <w:rsid w:val="5B8A3673"/>
    <w:rsid w:val="5B8B1199"/>
    <w:rsid w:val="5B8B6CF3"/>
    <w:rsid w:val="5B8F2A37"/>
    <w:rsid w:val="5B8F47E5"/>
    <w:rsid w:val="5B8F6EDB"/>
    <w:rsid w:val="5B90055D"/>
    <w:rsid w:val="5B9067AF"/>
    <w:rsid w:val="5B9242D5"/>
    <w:rsid w:val="5B92462C"/>
    <w:rsid w:val="5B953DC6"/>
    <w:rsid w:val="5B955B74"/>
    <w:rsid w:val="5B962018"/>
    <w:rsid w:val="5B9825E8"/>
    <w:rsid w:val="5B9927E7"/>
    <w:rsid w:val="5B9938B6"/>
    <w:rsid w:val="5B9B5880"/>
    <w:rsid w:val="5B9B76D0"/>
    <w:rsid w:val="5BA02E12"/>
    <w:rsid w:val="5BA04C44"/>
    <w:rsid w:val="5BA159E3"/>
    <w:rsid w:val="5BA2386D"/>
    <w:rsid w:val="5BA26C0E"/>
    <w:rsid w:val="5BA468D4"/>
    <w:rsid w:val="5BA54009"/>
    <w:rsid w:val="5BA87F9D"/>
    <w:rsid w:val="5BAA161F"/>
    <w:rsid w:val="5BAC183B"/>
    <w:rsid w:val="5BAD110F"/>
    <w:rsid w:val="5BAD619A"/>
    <w:rsid w:val="5BAD7361"/>
    <w:rsid w:val="5BAF30D9"/>
    <w:rsid w:val="5BAF6C35"/>
    <w:rsid w:val="5BB10BFF"/>
    <w:rsid w:val="5BB24978"/>
    <w:rsid w:val="5BB552E9"/>
    <w:rsid w:val="5BB57FC4"/>
    <w:rsid w:val="5BB60AB1"/>
    <w:rsid w:val="5BB64468"/>
    <w:rsid w:val="5BB66216"/>
    <w:rsid w:val="5BB701E0"/>
    <w:rsid w:val="5BB71F8E"/>
    <w:rsid w:val="5BB92529"/>
    <w:rsid w:val="5BB97AB4"/>
    <w:rsid w:val="5BBA55DA"/>
    <w:rsid w:val="5BBB1A7E"/>
    <w:rsid w:val="5BBC1352"/>
    <w:rsid w:val="5BBE331C"/>
    <w:rsid w:val="5BBE50CA"/>
    <w:rsid w:val="5BC00E43"/>
    <w:rsid w:val="5BC24D1C"/>
    <w:rsid w:val="5BC30933"/>
    <w:rsid w:val="5BC326E1"/>
    <w:rsid w:val="5BC36B85"/>
    <w:rsid w:val="5BC528FD"/>
    <w:rsid w:val="5BC546AB"/>
    <w:rsid w:val="5BC56459"/>
    <w:rsid w:val="5BC621D1"/>
    <w:rsid w:val="5BC8375F"/>
    <w:rsid w:val="5BC85F49"/>
    <w:rsid w:val="5BCA1CC1"/>
    <w:rsid w:val="5BCA7F13"/>
    <w:rsid w:val="5BCB750F"/>
    <w:rsid w:val="5BCB77E7"/>
    <w:rsid w:val="5BCE7A03"/>
    <w:rsid w:val="5BCF022B"/>
    <w:rsid w:val="5BD112A2"/>
    <w:rsid w:val="5BD13050"/>
    <w:rsid w:val="5BD14DFE"/>
    <w:rsid w:val="5BD20B76"/>
    <w:rsid w:val="5BD4669C"/>
    <w:rsid w:val="5BD60666"/>
    <w:rsid w:val="5BD668B8"/>
    <w:rsid w:val="5BD963A8"/>
    <w:rsid w:val="5BDB7A2A"/>
    <w:rsid w:val="5BDC37A3"/>
    <w:rsid w:val="5BDF5D95"/>
    <w:rsid w:val="5BE07737"/>
    <w:rsid w:val="5BE2525D"/>
    <w:rsid w:val="5BE2700B"/>
    <w:rsid w:val="5BE34B31"/>
    <w:rsid w:val="5BE54D4D"/>
    <w:rsid w:val="5BE70AC5"/>
    <w:rsid w:val="5BE74621"/>
    <w:rsid w:val="5BEA4111"/>
    <w:rsid w:val="5BEC60DC"/>
    <w:rsid w:val="5BEC760C"/>
    <w:rsid w:val="5BED59B0"/>
    <w:rsid w:val="5BEF1728"/>
    <w:rsid w:val="5BEF690A"/>
    <w:rsid w:val="5BEF797A"/>
    <w:rsid w:val="5BF136F2"/>
    <w:rsid w:val="5BF26FE5"/>
    <w:rsid w:val="5BF60D08"/>
    <w:rsid w:val="5BF62AB6"/>
    <w:rsid w:val="5BF64864"/>
    <w:rsid w:val="5BF705DC"/>
    <w:rsid w:val="5BF768E4"/>
    <w:rsid w:val="5BF84A80"/>
    <w:rsid w:val="5BF8682E"/>
    <w:rsid w:val="5BF9258D"/>
    <w:rsid w:val="5BFB3A80"/>
    <w:rsid w:val="5BFD239E"/>
    <w:rsid w:val="5BFD3E45"/>
    <w:rsid w:val="5BFE7528"/>
    <w:rsid w:val="5C0009AC"/>
    <w:rsid w:val="5C02145B"/>
    <w:rsid w:val="5C0351D3"/>
    <w:rsid w:val="5C042255"/>
    <w:rsid w:val="5C052CF9"/>
    <w:rsid w:val="5C05719D"/>
    <w:rsid w:val="5C090A3C"/>
    <w:rsid w:val="5C0A0310"/>
    <w:rsid w:val="5C0A1DD1"/>
    <w:rsid w:val="5C0A47B4"/>
    <w:rsid w:val="5C0C052C"/>
    <w:rsid w:val="5C0C22DA"/>
    <w:rsid w:val="5C0C4088"/>
    <w:rsid w:val="5C0D1BAE"/>
    <w:rsid w:val="5C0D7E00"/>
    <w:rsid w:val="5C105C43"/>
    <w:rsid w:val="5C11169E"/>
    <w:rsid w:val="5C1178F0"/>
    <w:rsid w:val="5C14118E"/>
    <w:rsid w:val="5C163158"/>
    <w:rsid w:val="5C166CB5"/>
    <w:rsid w:val="5C174686"/>
    <w:rsid w:val="5C186ED1"/>
    <w:rsid w:val="5C1967A5"/>
    <w:rsid w:val="5C1D6295"/>
    <w:rsid w:val="5C1E200D"/>
    <w:rsid w:val="5C1E3DBB"/>
    <w:rsid w:val="5C1F025F"/>
    <w:rsid w:val="5C207B33"/>
    <w:rsid w:val="5C225659"/>
    <w:rsid w:val="5C2515ED"/>
    <w:rsid w:val="5C25514A"/>
    <w:rsid w:val="5C270EC2"/>
    <w:rsid w:val="5C272C70"/>
    <w:rsid w:val="5C277114"/>
    <w:rsid w:val="5C2869E8"/>
    <w:rsid w:val="5C292E8C"/>
    <w:rsid w:val="5C2957D7"/>
    <w:rsid w:val="5C2C297C"/>
    <w:rsid w:val="5C2D3FFE"/>
    <w:rsid w:val="5C3166BC"/>
    <w:rsid w:val="5C361105"/>
    <w:rsid w:val="5C381321"/>
    <w:rsid w:val="5C3830CF"/>
    <w:rsid w:val="5C390BF5"/>
    <w:rsid w:val="5C3B2BBF"/>
    <w:rsid w:val="5C3D2493"/>
    <w:rsid w:val="5C3E7830"/>
    <w:rsid w:val="5C3F26AF"/>
    <w:rsid w:val="5C401F83"/>
    <w:rsid w:val="5C425CFC"/>
    <w:rsid w:val="5C451348"/>
    <w:rsid w:val="5C471564"/>
    <w:rsid w:val="5C473312"/>
    <w:rsid w:val="5C480E38"/>
    <w:rsid w:val="5C4B1054"/>
    <w:rsid w:val="5C4C26D6"/>
    <w:rsid w:val="5C4E28F2"/>
    <w:rsid w:val="5C4E644E"/>
    <w:rsid w:val="5C50666A"/>
    <w:rsid w:val="5C5123E2"/>
    <w:rsid w:val="5C545A2F"/>
    <w:rsid w:val="5C594DF3"/>
    <w:rsid w:val="5C5B1929"/>
    <w:rsid w:val="5C5B47CF"/>
    <w:rsid w:val="5C5B500F"/>
    <w:rsid w:val="5C5B6DBD"/>
    <w:rsid w:val="5C5D0D87"/>
    <w:rsid w:val="5C5D2B35"/>
    <w:rsid w:val="5C5F065B"/>
    <w:rsid w:val="5C5F173A"/>
    <w:rsid w:val="5C602626"/>
    <w:rsid w:val="5C602BCA"/>
    <w:rsid w:val="5C606182"/>
    <w:rsid w:val="5C62014C"/>
    <w:rsid w:val="5C621EFA"/>
    <w:rsid w:val="5C626C2B"/>
    <w:rsid w:val="5C6519EA"/>
    <w:rsid w:val="5C653798"/>
    <w:rsid w:val="5C693288"/>
    <w:rsid w:val="5C6953BD"/>
    <w:rsid w:val="5C69772C"/>
    <w:rsid w:val="5C6C0FCA"/>
    <w:rsid w:val="5C6C2D78"/>
    <w:rsid w:val="5C6E089F"/>
    <w:rsid w:val="5C6E4D42"/>
    <w:rsid w:val="5C6E6AF1"/>
    <w:rsid w:val="5C6F665E"/>
    <w:rsid w:val="5C734107"/>
    <w:rsid w:val="5C741C2D"/>
    <w:rsid w:val="5C753960"/>
    <w:rsid w:val="5C7560D1"/>
    <w:rsid w:val="5C757E7F"/>
    <w:rsid w:val="5C763BF7"/>
    <w:rsid w:val="5C78171D"/>
    <w:rsid w:val="5C7B120D"/>
    <w:rsid w:val="5C7B2FBB"/>
    <w:rsid w:val="5C7D428F"/>
    <w:rsid w:val="5C7E485A"/>
    <w:rsid w:val="5C8005D2"/>
    <w:rsid w:val="5C814A76"/>
    <w:rsid w:val="5C8207EE"/>
    <w:rsid w:val="5C824AD4"/>
    <w:rsid w:val="5C8400C2"/>
    <w:rsid w:val="5C841FC5"/>
    <w:rsid w:val="5C844566"/>
    <w:rsid w:val="5C846314"/>
    <w:rsid w:val="5C853455"/>
    <w:rsid w:val="5C853E3A"/>
    <w:rsid w:val="5C855BE8"/>
    <w:rsid w:val="5C875E04"/>
    <w:rsid w:val="5C891B7C"/>
    <w:rsid w:val="5C89392A"/>
    <w:rsid w:val="5C8B76A2"/>
    <w:rsid w:val="5C8C6F77"/>
    <w:rsid w:val="5C8E2CEF"/>
    <w:rsid w:val="5C8E7193"/>
    <w:rsid w:val="5C904CB9"/>
    <w:rsid w:val="5C935A59"/>
    <w:rsid w:val="5C936557"/>
    <w:rsid w:val="5C9522CF"/>
    <w:rsid w:val="5C961BA3"/>
    <w:rsid w:val="5C966047"/>
    <w:rsid w:val="5C974299"/>
    <w:rsid w:val="5C983B6D"/>
    <w:rsid w:val="5C9918CB"/>
    <w:rsid w:val="5C9D1184"/>
    <w:rsid w:val="5C9D16DC"/>
    <w:rsid w:val="5C9D2A24"/>
    <w:rsid w:val="5C9D2F32"/>
    <w:rsid w:val="5CA0005D"/>
    <w:rsid w:val="5CA0764D"/>
    <w:rsid w:val="5CA42512"/>
    <w:rsid w:val="5CA442C0"/>
    <w:rsid w:val="5CA50038"/>
    <w:rsid w:val="5CA6628A"/>
    <w:rsid w:val="5CA72002"/>
    <w:rsid w:val="5CAB1AF3"/>
    <w:rsid w:val="5CAB38A1"/>
    <w:rsid w:val="5CAC586B"/>
    <w:rsid w:val="5CB0535B"/>
    <w:rsid w:val="5CB12E81"/>
    <w:rsid w:val="5CB14C2F"/>
    <w:rsid w:val="5CB309A7"/>
    <w:rsid w:val="5CB32C58"/>
    <w:rsid w:val="5CB364D3"/>
    <w:rsid w:val="5CB52971"/>
    <w:rsid w:val="5CB85FBE"/>
    <w:rsid w:val="5CC04E72"/>
    <w:rsid w:val="5CC22998"/>
    <w:rsid w:val="5CC2508E"/>
    <w:rsid w:val="5CC26E3C"/>
    <w:rsid w:val="5CC33A21"/>
    <w:rsid w:val="5CC46711"/>
    <w:rsid w:val="5CC606DB"/>
    <w:rsid w:val="5CC6692D"/>
    <w:rsid w:val="5CC76201"/>
    <w:rsid w:val="5CC826A5"/>
    <w:rsid w:val="5CC901CB"/>
    <w:rsid w:val="5CC91F79"/>
    <w:rsid w:val="5CCA06F9"/>
    <w:rsid w:val="5CCB3F43"/>
    <w:rsid w:val="5CCD7CBB"/>
    <w:rsid w:val="5CD03307"/>
    <w:rsid w:val="5CD050B5"/>
    <w:rsid w:val="5CD1707F"/>
    <w:rsid w:val="5CD32DF8"/>
    <w:rsid w:val="5CD41A33"/>
    <w:rsid w:val="5CD43EAD"/>
    <w:rsid w:val="5CD5091E"/>
    <w:rsid w:val="5CD526CC"/>
    <w:rsid w:val="5CD8040E"/>
    <w:rsid w:val="5CD821BC"/>
    <w:rsid w:val="5CDA4186"/>
    <w:rsid w:val="5CDC6150"/>
    <w:rsid w:val="5CDC7EFE"/>
    <w:rsid w:val="5CDD3C76"/>
    <w:rsid w:val="5CDD5A24"/>
    <w:rsid w:val="5CDE7FFF"/>
    <w:rsid w:val="5CDF148F"/>
    <w:rsid w:val="5CDF79EE"/>
    <w:rsid w:val="5CE2128D"/>
    <w:rsid w:val="5CE45005"/>
    <w:rsid w:val="5CE46DB3"/>
    <w:rsid w:val="5CE6025C"/>
    <w:rsid w:val="5CE60A5C"/>
    <w:rsid w:val="5CE61362"/>
    <w:rsid w:val="5CE62B2B"/>
    <w:rsid w:val="5CE639D8"/>
    <w:rsid w:val="5CE96177"/>
    <w:rsid w:val="5CEB0141"/>
    <w:rsid w:val="5CEC5C67"/>
    <w:rsid w:val="5CEE5E83"/>
    <w:rsid w:val="5CEE7C31"/>
    <w:rsid w:val="5CF1327E"/>
    <w:rsid w:val="5CF30D95"/>
    <w:rsid w:val="5CF3349A"/>
    <w:rsid w:val="5CF36FF6"/>
    <w:rsid w:val="5CF91C5E"/>
    <w:rsid w:val="5CFA0384"/>
    <w:rsid w:val="5CFA4828"/>
    <w:rsid w:val="5CFB5EAA"/>
    <w:rsid w:val="5CFF1E3E"/>
    <w:rsid w:val="5CFF599B"/>
    <w:rsid w:val="5D0134C1"/>
    <w:rsid w:val="5D015BB7"/>
    <w:rsid w:val="5D02548B"/>
    <w:rsid w:val="5D027239"/>
    <w:rsid w:val="5D03088A"/>
    <w:rsid w:val="5D041203"/>
    <w:rsid w:val="5D042FB1"/>
    <w:rsid w:val="5D072AA1"/>
    <w:rsid w:val="5D086F45"/>
    <w:rsid w:val="5D094A6B"/>
    <w:rsid w:val="5D096819"/>
    <w:rsid w:val="5D0B433F"/>
    <w:rsid w:val="5D0C7404"/>
    <w:rsid w:val="5D0D6309"/>
    <w:rsid w:val="5D0E2082"/>
    <w:rsid w:val="5D0E3E30"/>
    <w:rsid w:val="5D101956"/>
    <w:rsid w:val="5D107BA8"/>
    <w:rsid w:val="5D1256CE"/>
    <w:rsid w:val="5D137698"/>
    <w:rsid w:val="5D1458EA"/>
    <w:rsid w:val="5D153410"/>
    <w:rsid w:val="5D156F6C"/>
    <w:rsid w:val="5D1622EC"/>
    <w:rsid w:val="5D170190"/>
    <w:rsid w:val="5D170F36"/>
    <w:rsid w:val="5D172CE4"/>
    <w:rsid w:val="5D184CAE"/>
    <w:rsid w:val="5D1A27D4"/>
    <w:rsid w:val="5D1C02FB"/>
    <w:rsid w:val="5D1D4073"/>
    <w:rsid w:val="5D1F428F"/>
    <w:rsid w:val="5D206D71"/>
    <w:rsid w:val="5D213B63"/>
    <w:rsid w:val="5D2278CA"/>
    <w:rsid w:val="5D23054D"/>
    <w:rsid w:val="5D2378DB"/>
    <w:rsid w:val="5D243653"/>
    <w:rsid w:val="5D252A99"/>
    <w:rsid w:val="5D254981"/>
    <w:rsid w:val="5D284EF1"/>
    <w:rsid w:val="5D296EBB"/>
    <w:rsid w:val="5D2B49E2"/>
    <w:rsid w:val="5D2D075A"/>
    <w:rsid w:val="5D2E002E"/>
    <w:rsid w:val="5D2E44D2"/>
    <w:rsid w:val="5D301FF8"/>
    <w:rsid w:val="5D3078A7"/>
    <w:rsid w:val="5D327B1E"/>
    <w:rsid w:val="5D340DF9"/>
    <w:rsid w:val="5D380EAD"/>
    <w:rsid w:val="5D3C099D"/>
    <w:rsid w:val="5D3C6BEF"/>
    <w:rsid w:val="5D3E4715"/>
    <w:rsid w:val="5D3F5F0C"/>
    <w:rsid w:val="5D414205"/>
    <w:rsid w:val="5D423AD9"/>
    <w:rsid w:val="5D4635C9"/>
    <w:rsid w:val="5D465377"/>
    <w:rsid w:val="5D467A6D"/>
    <w:rsid w:val="5D4B5084"/>
    <w:rsid w:val="5D4D4958"/>
    <w:rsid w:val="5D4E06D0"/>
    <w:rsid w:val="5D4F6A60"/>
    <w:rsid w:val="5D5061F6"/>
    <w:rsid w:val="5D506D8D"/>
    <w:rsid w:val="5D51723D"/>
    <w:rsid w:val="5D543F38"/>
    <w:rsid w:val="5D55380D"/>
    <w:rsid w:val="5D557EC3"/>
    <w:rsid w:val="5D564193"/>
    <w:rsid w:val="5D573A29"/>
    <w:rsid w:val="5D577585"/>
    <w:rsid w:val="5D586AB3"/>
    <w:rsid w:val="5D5B2957"/>
    <w:rsid w:val="5D5D5096"/>
    <w:rsid w:val="5D5E0913"/>
    <w:rsid w:val="5D5E6B65"/>
    <w:rsid w:val="5D5F468B"/>
    <w:rsid w:val="5D5F6439"/>
    <w:rsid w:val="5D6323CD"/>
    <w:rsid w:val="5D63417B"/>
    <w:rsid w:val="5D635F29"/>
    <w:rsid w:val="5D641CA2"/>
    <w:rsid w:val="5D6677C8"/>
    <w:rsid w:val="5D69550A"/>
    <w:rsid w:val="5D6972B8"/>
    <w:rsid w:val="5D6A375C"/>
    <w:rsid w:val="5D6B1282"/>
    <w:rsid w:val="5D6B3030"/>
    <w:rsid w:val="5D6F2B20"/>
    <w:rsid w:val="5D706898"/>
    <w:rsid w:val="5D725C2E"/>
    <w:rsid w:val="5D731EE5"/>
    <w:rsid w:val="5D744B4B"/>
    <w:rsid w:val="5D76203C"/>
    <w:rsid w:val="5D7874FB"/>
    <w:rsid w:val="5D7C348F"/>
    <w:rsid w:val="5D7C523D"/>
    <w:rsid w:val="5D7E07CE"/>
    <w:rsid w:val="5D7E2D63"/>
    <w:rsid w:val="5D7F0889"/>
    <w:rsid w:val="5D7F1C5E"/>
    <w:rsid w:val="5D7F6ADB"/>
    <w:rsid w:val="5D810890"/>
    <w:rsid w:val="5D812854"/>
    <w:rsid w:val="5D83481E"/>
    <w:rsid w:val="5D852344"/>
    <w:rsid w:val="5D8660BC"/>
    <w:rsid w:val="5D867E6A"/>
    <w:rsid w:val="5D883BE2"/>
    <w:rsid w:val="5D885990"/>
    <w:rsid w:val="5D8A5F57"/>
    <w:rsid w:val="5D8A795A"/>
    <w:rsid w:val="5D8B5480"/>
    <w:rsid w:val="5D8D11F8"/>
    <w:rsid w:val="5D8D2FA6"/>
    <w:rsid w:val="5D916C44"/>
    <w:rsid w:val="5D942587"/>
    <w:rsid w:val="5D9562FF"/>
    <w:rsid w:val="5D964551"/>
    <w:rsid w:val="5D966A55"/>
    <w:rsid w:val="5D972077"/>
    <w:rsid w:val="5D977EE5"/>
    <w:rsid w:val="5D997B9D"/>
    <w:rsid w:val="5D9B1B67"/>
    <w:rsid w:val="5D9C58DF"/>
    <w:rsid w:val="5D9E058D"/>
    <w:rsid w:val="5D9E1657"/>
    <w:rsid w:val="5D9E3405"/>
    <w:rsid w:val="5D9F0F2C"/>
    <w:rsid w:val="5DA0717E"/>
    <w:rsid w:val="5DA402F0"/>
    <w:rsid w:val="5DA44B5A"/>
    <w:rsid w:val="5DA5144D"/>
    <w:rsid w:val="5DA545D2"/>
    <w:rsid w:val="5DA550B9"/>
    <w:rsid w:val="5DA6111A"/>
    <w:rsid w:val="5DA638C6"/>
    <w:rsid w:val="5DA64068"/>
    <w:rsid w:val="5DA70E69"/>
    <w:rsid w:val="5DA76C8C"/>
    <w:rsid w:val="5DA86032"/>
    <w:rsid w:val="5DAA63D0"/>
    <w:rsid w:val="5DAA7A9B"/>
    <w:rsid w:val="5DAD189A"/>
    <w:rsid w:val="5DAD53F7"/>
    <w:rsid w:val="5DAF116F"/>
    <w:rsid w:val="5DAF5613"/>
    <w:rsid w:val="5DAF73C1"/>
    <w:rsid w:val="5DB03139"/>
    <w:rsid w:val="5DB06C95"/>
    <w:rsid w:val="5DB1138B"/>
    <w:rsid w:val="5DB524FD"/>
    <w:rsid w:val="5DB91FED"/>
    <w:rsid w:val="5DBB1EB0"/>
    <w:rsid w:val="5DBE7604"/>
    <w:rsid w:val="5DC015CE"/>
    <w:rsid w:val="5DC15346"/>
    <w:rsid w:val="5DC310BE"/>
    <w:rsid w:val="5DC32E6C"/>
    <w:rsid w:val="5DC6470A"/>
    <w:rsid w:val="5DC664B8"/>
    <w:rsid w:val="5DC80482"/>
    <w:rsid w:val="5DC92D73"/>
    <w:rsid w:val="5DCA41FA"/>
    <w:rsid w:val="5DCA5FA9"/>
    <w:rsid w:val="5DCB1D21"/>
    <w:rsid w:val="5DCD3CEB"/>
    <w:rsid w:val="5DCD5A99"/>
    <w:rsid w:val="5DCF7A63"/>
    <w:rsid w:val="5DD5494D"/>
    <w:rsid w:val="5DD706C5"/>
    <w:rsid w:val="5DDB01B6"/>
    <w:rsid w:val="5DDB1F64"/>
    <w:rsid w:val="5DE057CC"/>
    <w:rsid w:val="5DE132F2"/>
    <w:rsid w:val="5DE2248A"/>
    <w:rsid w:val="5DE27796"/>
    <w:rsid w:val="5DE352BC"/>
    <w:rsid w:val="5DE51034"/>
    <w:rsid w:val="5DE52DE2"/>
    <w:rsid w:val="5DE74DAC"/>
    <w:rsid w:val="5DE80B25"/>
    <w:rsid w:val="5DEB5F1F"/>
    <w:rsid w:val="5DEF5A0F"/>
    <w:rsid w:val="5DF03535"/>
    <w:rsid w:val="5DF11787"/>
    <w:rsid w:val="5DF52041"/>
    <w:rsid w:val="5DF748C4"/>
    <w:rsid w:val="5DF82358"/>
    <w:rsid w:val="5DFC012C"/>
    <w:rsid w:val="5DFC1EDA"/>
    <w:rsid w:val="5DFC2FFA"/>
    <w:rsid w:val="5DFE5C52"/>
    <w:rsid w:val="5E015742"/>
    <w:rsid w:val="5E022F04"/>
    <w:rsid w:val="5E023994"/>
    <w:rsid w:val="5E0314BA"/>
    <w:rsid w:val="5E034394"/>
    <w:rsid w:val="5E053485"/>
    <w:rsid w:val="5E08087F"/>
    <w:rsid w:val="5E084D23"/>
    <w:rsid w:val="5E0D2339"/>
    <w:rsid w:val="5E0D40E7"/>
    <w:rsid w:val="5E0F60B1"/>
    <w:rsid w:val="5E0F7E5F"/>
    <w:rsid w:val="5E113BD7"/>
    <w:rsid w:val="5E116998"/>
    <w:rsid w:val="5E133E89"/>
    <w:rsid w:val="5E1436C8"/>
    <w:rsid w:val="5E145476"/>
    <w:rsid w:val="5E162F9C"/>
    <w:rsid w:val="5E167440"/>
    <w:rsid w:val="5E176D14"/>
    <w:rsid w:val="5E1831B8"/>
    <w:rsid w:val="5E183C9A"/>
    <w:rsid w:val="5E196F30"/>
    <w:rsid w:val="5E197CFB"/>
    <w:rsid w:val="5E1A28CC"/>
    <w:rsid w:val="5E1B4A56"/>
    <w:rsid w:val="5E1D07CE"/>
    <w:rsid w:val="5E1D124D"/>
    <w:rsid w:val="5E207A91"/>
    <w:rsid w:val="5E225DE5"/>
    <w:rsid w:val="5E2356B9"/>
    <w:rsid w:val="5E2467F1"/>
    <w:rsid w:val="5E27164D"/>
    <w:rsid w:val="5E2733FB"/>
    <w:rsid w:val="5E2751A9"/>
    <w:rsid w:val="5E2960AF"/>
    <w:rsid w:val="5E2C0A11"/>
    <w:rsid w:val="5E2C4717"/>
    <w:rsid w:val="5E2F405E"/>
    <w:rsid w:val="5E316028"/>
    <w:rsid w:val="5E343D6A"/>
    <w:rsid w:val="5E3478C6"/>
    <w:rsid w:val="5E361890"/>
    <w:rsid w:val="5E36363E"/>
    <w:rsid w:val="5E385608"/>
    <w:rsid w:val="5E39312E"/>
    <w:rsid w:val="5E3D0154"/>
    <w:rsid w:val="5E3D4525"/>
    <w:rsid w:val="5E3E0745"/>
    <w:rsid w:val="5E3E6996"/>
    <w:rsid w:val="5E4129DB"/>
    <w:rsid w:val="5E413D91"/>
    <w:rsid w:val="5E415A77"/>
    <w:rsid w:val="5E457D25"/>
    <w:rsid w:val="5E465A3C"/>
    <w:rsid w:val="5E4A533B"/>
    <w:rsid w:val="5E4C4C10"/>
    <w:rsid w:val="5E4D0988"/>
    <w:rsid w:val="5E4F150B"/>
    <w:rsid w:val="5E4F2952"/>
    <w:rsid w:val="5E525F9E"/>
    <w:rsid w:val="5E5341F0"/>
    <w:rsid w:val="5E541D16"/>
    <w:rsid w:val="5E547F68"/>
    <w:rsid w:val="5E563CE0"/>
    <w:rsid w:val="5E59557E"/>
    <w:rsid w:val="5E59732C"/>
    <w:rsid w:val="5E5B11EF"/>
    <w:rsid w:val="5E5D506F"/>
    <w:rsid w:val="5E5D6E1D"/>
    <w:rsid w:val="5E5E2B95"/>
    <w:rsid w:val="5E5E642F"/>
    <w:rsid w:val="5E5F0DE7"/>
    <w:rsid w:val="5E6006BB"/>
    <w:rsid w:val="5E604B5F"/>
    <w:rsid w:val="5E624433"/>
    <w:rsid w:val="5E627981"/>
    <w:rsid w:val="5E631F59"/>
    <w:rsid w:val="5E653731"/>
    <w:rsid w:val="5E671A49"/>
    <w:rsid w:val="5E6B00A7"/>
    <w:rsid w:val="5E6D4B86"/>
    <w:rsid w:val="5E6F08FE"/>
    <w:rsid w:val="5E6F73B4"/>
    <w:rsid w:val="5E735D35"/>
    <w:rsid w:val="5E7646B6"/>
    <w:rsid w:val="5E767EDE"/>
    <w:rsid w:val="5E783C56"/>
    <w:rsid w:val="5E79177D"/>
    <w:rsid w:val="5E794778"/>
    <w:rsid w:val="5E7B54F5"/>
    <w:rsid w:val="5E7D126D"/>
    <w:rsid w:val="5E7D74BF"/>
    <w:rsid w:val="5E7E6D93"/>
    <w:rsid w:val="5E7F3237"/>
    <w:rsid w:val="5E802B0B"/>
    <w:rsid w:val="5E824AD5"/>
    <w:rsid w:val="5E826883"/>
    <w:rsid w:val="5E8343A9"/>
    <w:rsid w:val="5E83582A"/>
    <w:rsid w:val="5E853022"/>
    <w:rsid w:val="5E8545C5"/>
    <w:rsid w:val="5E8720EC"/>
    <w:rsid w:val="5E877030"/>
    <w:rsid w:val="5E897C12"/>
    <w:rsid w:val="5E8A398A"/>
    <w:rsid w:val="5E8A5738"/>
    <w:rsid w:val="5E8B1BDC"/>
    <w:rsid w:val="5E8C14B0"/>
    <w:rsid w:val="5E8C325E"/>
    <w:rsid w:val="5E8F0FA0"/>
    <w:rsid w:val="5E914D18"/>
    <w:rsid w:val="5E9345EC"/>
    <w:rsid w:val="5E9528CA"/>
    <w:rsid w:val="5E9865C0"/>
    <w:rsid w:val="5E987E55"/>
    <w:rsid w:val="5E993BCD"/>
    <w:rsid w:val="5E9A5958"/>
    <w:rsid w:val="5E9B16F3"/>
    <w:rsid w:val="5E9D3DC2"/>
    <w:rsid w:val="5E9F5687"/>
    <w:rsid w:val="5E9F7435"/>
    <w:rsid w:val="5EA04F5B"/>
    <w:rsid w:val="5EA06D09"/>
    <w:rsid w:val="5EA20CD3"/>
    <w:rsid w:val="5EA44A4C"/>
    <w:rsid w:val="5EA734E4"/>
    <w:rsid w:val="5EA7453C"/>
    <w:rsid w:val="5EA74C25"/>
    <w:rsid w:val="5EA92062"/>
    <w:rsid w:val="5EA94901"/>
    <w:rsid w:val="5EAA6F51"/>
    <w:rsid w:val="5EAC1B52"/>
    <w:rsid w:val="5EAC3900"/>
    <w:rsid w:val="5EAF2683"/>
    <w:rsid w:val="5EAF4847"/>
    <w:rsid w:val="5EB033F0"/>
    <w:rsid w:val="5EB153BA"/>
    <w:rsid w:val="5EB17168"/>
    <w:rsid w:val="5EB32EE1"/>
    <w:rsid w:val="5EB50A07"/>
    <w:rsid w:val="5EB629D1"/>
    <w:rsid w:val="5EB63635"/>
    <w:rsid w:val="5EB6652D"/>
    <w:rsid w:val="5EBB7FE7"/>
    <w:rsid w:val="5EBF3633"/>
    <w:rsid w:val="5EC155FD"/>
    <w:rsid w:val="5EC16736"/>
    <w:rsid w:val="5EC23124"/>
    <w:rsid w:val="5EC24ED2"/>
    <w:rsid w:val="5EC62C14"/>
    <w:rsid w:val="5EC724E8"/>
    <w:rsid w:val="5EC7446D"/>
    <w:rsid w:val="5ECA1FD8"/>
    <w:rsid w:val="5ECB022A"/>
    <w:rsid w:val="5ECF75EF"/>
    <w:rsid w:val="5ED370DF"/>
    <w:rsid w:val="5ED52E57"/>
    <w:rsid w:val="5ED54C05"/>
    <w:rsid w:val="5ED57437"/>
    <w:rsid w:val="5ED6097D"/>
    <w:rsid w:val="5ED83A53"/>
    <w:rsid w:val="5ED846F5"/>
    <w:rsid w:val="5EDA046D"/>
    <w:rsid w:val="5EDA66BF"/>
    <w:rsid w:val="5EDD6435"/>
    <w:rsid w:val="5EDF7832"/>
    <w:rsid w:val="5EE017FC"/>
    <w:rsid w:val="5EE035AA"/>
    <w:rsid w:val="5EE17A4E"/>
    <w:rsid w:val="5EE237C6"/>
    <w:rsid w:val="5EE25574"/>
    <w:rsid w:val="5EE276D6"/>
    <w:rsid w:val="5EE412EC"/>
    <w:rsid w:val="5EE4309A"/>
    <w:rsid w:val="5EE44BC7"/>
    <w:rsid w:val="5EE44E48"/>
    <w:rsid w:val="5EE65064"/>
    <w:rsid w:val="5EE72B8A"/>
    <w:rsid w:val="5EEC1F4F"/>
    <w:rsid w:val="5EEE3F19"/>
    <w:rsid w:val="5EF048AB"/>
    <w:rsid w:val="5EF05EE3"/>
    <w:rsid w:val="5EF07C91"/>
    <w:rsid w:val="5EF14839"/>
    <w:rsid w:val="5EF17565"/>
    <w:rsid w:val="5EF332DD"/>
    <w:rsid w:val="5EF552A7"/>
    <w:rsid w:val="5EF62DCD"/>
    <w:rsid w:val="5EF716B5"/>
    <w:rsid w:val="5EF77271"/>
    <w:rsid w:val="5EF818FC"/>
    <w:rsid w:val="5EFA0B0F"/>
    <w:rsid w:val="5EFB03E4"/>
    <w:rsid w:val="5EFC4888"/>
    <w:rsid w:val="5EFD0600"/>
    <w:rsid w:val="5EFD23AE"/>
    <w:rsid w:val="5EFD415C"/>
    <w:rsid w:val="5F002C5F"/>
    <w:rsid w:val="5F011E9E"/>
    <w:rsid w:val="5F021772"/>
    <w:rsid w:val="5F02557F"/>
    <w:rsid w:val="5F0279C4"/>
    <w:rsid w:val="5F04373C"/>
    <w:rsid w:val="5F0454EA"/>
    <w:rsid w:val="5F045E54"/>
    <w:rsid w:val="5F053F00"/>
    <w:rsid w:val="5F061262"/>
    <w:rsid w:val="5F0674B4"/>
    <w:rsid w:val="5F076D88"/>
    <w:rsid w:val="5F08322C"/>
    <w:rsid w:val="5F090D52"/>
    <w:rsid w:val="5F092B01"/>
    <w:rsid w:val="5F0C439F"/>
    <w:rsid w:val="5F0D0843"/>
    <w:rsid w:val="5F0E0117"/>
    <w:rsid w:val="5F100333"/>
    <w:rsid w:val="5F103E8F"/>
    <w:rsid w:val="5F105C3D"/>
    <w:rsid w:val="5F125E59"/>
    <w:rsid w:val="5F131BD1"/>
    <w:rsid w:val="5F1539F4"/>
    <w:rsid w:val="5F155949"/>
    <w:rsid w:val="5F16521D"/>
    <w:rsid w:val="5F180F96"/>
    <w:rsid w:val="5F1A2B43"/>
    <w:rsid w:val="5F1A6ABC"/>
    <w:rsid w:val="5F1D035A"/>
    <w:rsid w:val="5F1D38C7"/>
    <w:rsid w:val="5F1F40D2"/>
    <w:rsid w:val="5F2142EE"/>
    <w:rsid w:val="5F217E4A"/>
    <w:rsid w:val="5F221E14"/>
    <w:rsid w:val="5F230BC9"/>
    <w:rsid w:val="5F245B8C"/>
    <w:rsid w:val="5F24793A"/>
    <w:rsid w:val="5F2636B2"/>
    <w:rsid w:val="5F2711D9"/>
    <w:rsid w:val="5F27742B"/>
    <w:rsid w:val="5F2913F5"/>
    <w:rsid w:val="5F2A478A"/>
    <w:rsid w:val="5F2E07B9"/>
    <w:rsid w:val="5F2E28C1"/>
    <w:rsid w:val="5F313E05"/>
    <w:rsid w:val="5F351B48"/>
    <w:rsid w:val="5F3538F6"/>
    <w:rsid w:val="5F357D99"/>
    <w:rsid w:val="5F386667"/>
    <w:rsid w:val="5F3A0F0C"/>
    <w:rsid w:val="5F3A715E"/>
    <w:rsid w:val="5F3C2ED6"/>
    <w:rsid w:val="5F3F29C6"/>
    <w:rsid w:val="5F3F4774"/>
    <w:rsid w:val="5F3F6522"/>
    <w:rsid w:val="5F41229A"/>
    <w:rsid w:val="5F41673E"/>
    <w:rsid w:val="5F416C1F"/>
    <w:rsid w:val="5F424152"/>
    <w:rsid w:val="5F426012"/>
    <w:rsid w:val="5F434264"/>
    <w:rsid w:val="5F463D55"/>
    <w:rsid w:val="5F48187B"/>
    <w:rsid w:val="5F4973A1"/>
    <w:rsid w:val="5F4D1265"/>
    <w:rsid w:val="5F4E6765"/>
    <w:rsid w:val="5F4F0E5B"/>
    <w:rsid w:val="5F526256"/>
    <w:rsid w:val="5F546472"/>
    <w:rsid w:val="5F5521EA"/>
    <w:rsid w:val="5F57386C"/>
    <w:rsid w:val="5F585836"/>
    <w:rsid w:val="5F5A15AE"/>
    <w:rsid w:val="5F5A335C"/>
    <w:rsid w:val="5F5B2128"/>
    <w:rsid w:val="5F5C0E82"/>
    <w:rsid w:val="5F5C70D4"/>
    <w:rsid w:val="5F5D22E6"/>
    <w:rsid w:val="5F5E109E"/>
    <w:rsid w:val="5F5F0972"/>
    <w:rsid w:val="5F5F4E16"/>
    <w:rsid w:val="5F610B8F"/>
    <w:rsid w:val="5F6146EB"/>
    <w:rsid w:val="5F622E25"/>
    <w:rsid w:val="5F630463"/>
    <w:rsid w:val="5F645F89"/>
    <w:rsid w:val="5F677827"/>
    <w:rsid w:val="5F683CCB"/>
    <w:rsid w:val="5F6B16ED"/>
    <w:rsid w:val="5F6B5569"/>
    <w:rsid w:val="5F6D12E1"/>
    <w:rsid w:val="5F6D308F"/>
    <w:rsid w:val="5F6E5059"/>
    <w:rsid w:val="5F6E6E08"/>
    <w:rsid w:val="5F702B80"/>
    <w:rsid w:val="5F70492E"/>
    <w:rsid w:val="5F7206A6"/>
    <w:rsid w:val="5F732F80"/>
    <w:rsid w:val="5F73441E"/>
    <w:rsid w:val="5F7408C2"/>
    <w:rsid w:val="5F7563E8"/>
    <w:rsid w:val="5F761901"/>
    <w:rsid w:val="5F772160"/>
    <w:rsid w:val="5F773F0E"/>
    <w:rsid w:val="5F785962"/>
    <w:rsid w:val="5F797C86"/>
    <w:rsid w:val="5F7A1C50"/>
    <w:rsid w:val="5F7E529D"/>
    <w:rsid w:val="5F7F2DC3"/>
    <w:rsid w:val="5F8108E9"/>
    <w:rsid w:val="5F814D8D"/>
    <w:rsid w:val="5F827EA4"/>
    <w:rsid w:val="5F8403D9"/>
    <w:rsid w:val="5F85487D"/>
    <w:rsid w:val="5F887EB9"/>
    <w:rsid w:val="5F893C41"/>
    <w:rsid w:val="5F8A1E93"/>
    <w:rsid w:val="5F8B2F9F"/>
    <w:rsid w:val="5F8B5C0B"/>
    <w:rsid w:val="5F8B79B9"/>
    <w:rsid w:val="5F8D54E0"/>
    <w:rsid w:val="5F8D5D9B"/>
    <w:rsid w:val="5F920D48"/>
    <w:rsid w:val="5F92323B"/>
    <w:rsid w:val="5F926F9A"/>
    <w:rsid w:val="5F93686E"/>
    <w:rsid w:val="5F942D12"/>
    <w:rsid w:val="5F97635E"/>
    <w:rsid w:val="5F9A612B"/>
    <w:rsid w:val="5F9B75BB"/>
    <w:rsid w:val="5F9C3975"/>
    <w:rsid w:val="5FA16C56"/>
    <w:rsid w:val="5FA171DD"/>
    <w:rsid w:val="5FA240F7"/>
    <w:rsid w:val="5FA42829"/>
    <w:rsid w:val="5FA665A1"/>
    <w:rsid w:val="5FA82319"/>
    <w:rsid w:val="5FA840C8"/>
    <w:rsid w:val="5FAA42E4"/>
    <w:rsid w:val="5FAB3BB8"/>
    <w:rsid w:val="5FAE5A31"/>
    <w:rsid w:val="5FAF18FA"/>
    <w:rsid w:val="5FB143B2"/>
    <w:rsid w:val="5FB32A6C"/>
    <w:rsid w:val="5FB46799"/>
    <w:rsid w:val="5FB46F10"/>
    <w:rsid w:val="5FB76A00"/>
    <w:rsid w:val="5FB816B4"/>
    <w:rsid w:val="5FB837BB"/>
    <w:rsid w:val="5FBC7B73"/>
    <w:rsid w:val="5FBE1B3D"/>
    <w:rsid w:val="5FC058B5"/>
    <w:rsid w:val="5FC1162D"/>
    <w:rsid w:val="5FC133DB"/>
    <w:rsid w:val="5FC30F01"/>
    <w:rsid w:val="5FC47C57"/>
    <w:rsid w:val="5FC609F2"/>
    <w:rsid w:val="5FC66889"/>
    <w:rsid w:val="5FC93D7A"/>
    <w:rsid w:val="5FCC24AC"/>
    <w:rsid w:val="5FCD244A"/>
    <w:rsid w:val="5FCD3B2E"/>
    <w:rsid w:val="5FCD7FD2"/>
    <w:rsid w:val="5FCF5AF8"/>
    <w:rsid w:val="5FCF78A6"/>
    <w:rsid w:val="5FD01870"/>
    <w:rsid w:val="5FD15E8C"/>
    <w:rsid w:val="5FD21144"/>
    <w:rsid w:val="5FD2383A"/>
    <w:rsid w:val="5FD255E8"/>
    <w:rsid w:val="5FD27396"/>
    <w:rsid w:val="5FD44EBD"/>
    <w:rsid w:val="5FD72BFF"/>
    <w:rsid w:val="5FD924D3"/>
    <w:rsid w:val="5FDA449D"/>
    <w:rsid w:val="5FDC1FC3"/>
    <w:rsid w:val="5FDE3F8D"/>
    <w:rsid w:val="5FE00D6D"/>
    <w:rsid w:val="5FE01AB3"/>
    <w:rsid w:val="5FE1582B"/>
    <w:rsid w:val="5FE315A4"/>
    <w:rsid w:val="5FE33352"/>
    <w:rsid w:val="5FE3356B"/>
    <w:rsid w:val="5FE377F5"/>
    <w:rsid w:val="5FE532A2"/>
    <w:rsid w:val="5FE5531C"/>
    <w:rsid w:val="5FE62E42"/>
    <w:rsid w:val="5FE80968"/>
    <w:rsid w:val="5FE86BBA"/>
    <w:rsid w:val="5FE87052"/>
    <w:rsid w:val="5FED5F7E"/>
    <w:rsid w:val="5FEE760B"/>
    <w:rsid w:val="5FEF1CF6"/>
    <w:rsid w:val="5FEF619A"/>
    <w:rsid w:val="5FF05A6E"/>
    <w:rsid w:val="5FF4730D"/>
    <w:rsid w:val="5FF53085"/>
    <w:rsid w:val="5FF94923"/>
    <w:rsid w:val="5FFE1F39"/>
    <w:rsid w:val="5FFE63DD"/>
    <w:rsid w:val="60031C46"/>
    <w:rsid w:val="600357A2"/>
    <w:rsid w:val="6005151A"/>
    <w:rsid w:val="6005776C"/>
    <w:rsid w:val="60063D1C"/>
    <w:rsid w:val="600734E4"/>
    <w:rsid w:val="60082DB8"/>
    <w:rsid w:val="600A2FD4"/>
    <w:rsid w:val="600A4D82"/>
    <w:rsid w:val="600A6B30"/>
    <w:rsid w:val="600C0AFA"/>
    <w:rsid w:val="600D4872"/>
    <w:rsid w:val="600D5D21"/>
    <w:rsid w:val="600D6620"/>
    <w:rsid w:val="600D78DD"/>
    <w:rsid w:val="600E24AE"/>
    <w:rsid w:val="600F4A8D"/>
    <w:rsid w:val="60104DCE"/>
    <w:rsid w:val="601259E5"/>
    <w:rsid w:val="6013374F"/>
    <w:rsid w:val="601856F1"/>
    <w:rsid w:val="60194FC5"/>
    <w:rsid w:val="60196D73"/>
    <w:rsid w:val="601B2AEB"/>
    <w:rsid w:val="602045A6"/>
    <w:rsid w:val="602048C3"/>
    <w:rsid w:val="60206354"/>
    <w:rsid w:val="602120CC"/>
    <w:rsid w:val="6022031E"/>
    <w:rsid w:val="60234096"/>
    <w:rsid w:val="60251BBC"/>
    <w:rsid w:val="60261490"/>
    <w:rsid w:val="60275934"/>
    <w:rsid w:val="602A2D2E"/>
    <w:rsid w:val="602C2E66"/>
    <w:rsid w:val="602D42F6"/>
    <w:rsid w:val="602F47E9"/>
    <w:rsid w:val="602F6597"/>
    <w:rsid w:val="60326087"/>
    <w:rsid w:val="60340051"/>
    <w:rsid w:val="60365B77"/>
    <w:rsid w:val="603718EF"/>
    <w:rsid w:val="6037369D"/>
    <w:rsid w:val="6037544B"/>
    <w:rsid w:val="60397415"/>
    <w:rsid w:val="603C0CB4"/>
    <w:rsid w:val="603C3DEB"/>
    <w:rsid w:val="603D5158"/>
    <w:rsid w:val="603E67DA"/>
    <w:rsid w:val="604069F6"/>
    <w:rsid w:val="60432042"/>
    <w:rsid w:val="6043282E"/>
    <w:rsid w:val="60433DF0"/>
    <w:rsid w:val="60455DBA"/>
    <w:rsid w:val="604C0D0F"/>
    <w:rsid w:val="604C539B"/>
    <w:rsid w:val="604D2EC1"/>
    <w:rsid w:val="604E1113"/>
    <w:rsid w:val="605204D7"/>
    <w:rsid w:val="60536729"/>
    <w:rsid w:val="6054424F"/>
    <w:rsid w:val="60545FFD"/>
    <w:rsid w:val="60563B24"/>
    <w:rsid w:val="605660D3"/>
    <w:rsid w:val="60566219"/>
    <w:rsid w:val="60567FC7"/>
    <w:rsid w:val="60583D40"/>
    <w:rsid w:val="60593313"/>
    <w:rsid w:val="605B738C"/>
    <w:rsid w:val="605C4EB2"/>
    <w:rsid w:val="605E50CE"/>
    <w:rsid w:val="60636F96"/>
    <w:rsid w:val="60651FB9"/>
    <w:rsid w:val="60663A3F"/>
    <w:rsid w:val="606721D5"/>
    <w:rsid w:val="60673F83"/>
    <w:rsid w:val="60687CFB"/>
    <w:rsid w:val="60695E09"/>
    <w:rsid w:val="60695F4D"/>
    <w:rsid w:val="606B6E69"/>
    <w:rsid w:val="606C1599"/>
    <w:rsid w:val="606C3347"/>
    <w:rsid w:val="606D5311"/>
    <w:rsid w:val="606F2E37"/>
    <w:rsid w:val="6071416B"/>
    <w:rsid w:val="60762418"/>
    <w:rsid w:val="60765F74"/>
    <w:rsid w:val="607B17DC"/>
    <w:rsid w:val="607C7302"/>
    <w:rsid w:val="607D270E"/>
    <w:rsid w:val="607E12CC"/>
    <w:rsid w:val="60805044"/>
    <w:rsid w:val="60822B6A"/>
    <w:rsid w:val="60830691"/>
    <w:rsid w:val="608368E3"/>
    <w:rsid w:val="60863A71"/>
    <w:rsid w:val="60870181"/>
    <w:rsid w:val="608763D3"/>
    <w:rsid w:val="608A7C71"/>
    <w:rsid w:val="608C0D72"/>
    <w:rsid w:val="608C39E9"/>
    <w:rsid w:val="608D150F"/>
    <w:rsid w:val="608F34D9"/>
    <w:rsid w:val="608F7035"/>
    <w:rsid w:val="60911000"/>
    <w:rsid w:val="60917251"/>
    <w:rsid w:val="60932FCA"/>
    <w:rsid w:val="60934D78"/>
    <w:rsid w:val="60936B26"/>
    <w:rsid w:val="60956D42"/>
    <w:rsid w:val="60957760"/>
    <w:rsid w:val="60961E24"/>
    <w:rsid w:val="60964868"/>
    <w:rsid w:val="60966616"/>
    <w:rsid w:val="609805E0"/>
    <w:rsid w:val="6098238E"/>
    <w:rsid w:val="6098413C"/>
    <w:rsid w:val="609A0DC3"/>
    <w:rsid w:val="609A4358"/>
    <w:rsid w:val="609B00D0"/>
    <w:rsid w:val="609B4806"/>
    <w:rsid w:val="609B73D7"/>
    <w:rsid w:val="609C0867"/>
    <w:rsid w:val="609D79A4"/>
    <w:rsid w:val="609E3187"/>
    <w:rsid w:val="60A05AA7"/>
    <w:rsid w:val="60A2320D"/>
    <w:rsid w:val="60A24FBB"/>
    <w:rsid w:val="60A26D69"/>
    <w:rsid w:val="60A30D33"/>
    <w:rsid w:val="60A52CFD"/>
    <w:rsid w:val="60A800F7"/>
    <w:rsid w:val="60A86E0A"/>
    <w:rsid w:val="60A919DB"/>
    <w:rsid w:val="60AC5E39"/>
    <w:rsid w:val="60AC7BE7"/>
    <w:rsid w:val="60AD570E"/>
    <w:rsid w:val="60AE3960"/>
    <w:rsid w:val="60AE7E03"/>
    <w:rsid w:val="60AF1486"/>
    <w:rsid w:val="60B06CDD"/>
    <w:rsid w:val="60B116A2"/>
    <w:rsid w:val="60B46A9C"/>
    <w:rsid w:val="60B63FDF"/>
    <w:rsid w:val="60B7289E"/>
    <w:rsid w:val="60B82249"/>
    <w:rsid w:val="60B82A30"/>
    <w:rsid w:val="60B91720"/>
    <w:rsid w:val="60BA0556"/>
    <w:rsid w:val="60BA121F"/>
    <w:rsid w:val="60BB7E2A"/>
    <w:rsid w:val="60BD0047"/>
    <w:rsid w:val="60BE1030"/>
    <w:rsid w:val="60BF3DBF"/>
    <w:rsid w:val="60C018E5"/>
    <w:rsid w:val="60C03693"/>
    <w:rsid w:val="60C07B37"/>
    <w:rsid w:val="60C16521"/>
    <w:rsid w:val="60C21CA5"/>
    <w:rsid w:val="60C43183"/>
    <w:rsid w:val="60C54233"/>
    <w:rsid w:val="60C5514D"/>
    <w:rsid w:val="60C56EFB"/>
    <w:rsid w:val="60C72393"/>
    <w:rsid w:val="60C74A21"/>
    <w:rsid w:val="60C82547"/>
    <w:rsid w:val="60C90ECE"/>
    <w:rsid w:val="60C969EB"/>
    <w:rsid w:val="60CA4511"/>
    <w:rsid w:val="60CA62C0"/>
    <w:rsid w:val="60CB2763"/>
    <w:rsid w:val="60CC405A"/>
    <w:rsid w:val="60CC64DC"/>
    <w:rsid w:val="60CE7B5E"/>
    <w:rsid w:val="60CF1B28"/>
    <w:rsid w:val="60D07D7A"/>
    <w:rsid w:val="60D13AF2"/>
    <w:rsid w:val="60D16016"/>
    <w:rsid w:val="60D1764E"/>
    <w:rsid w:val="60D31618"/>
    <w:rsid w:val="60D333C6"/>
    <w:rsid w:val="60D37589"/>
    <w:rsid w:val="60D40EEC"/>
    <w:rsid w:val="60D55390"/>
    <w:rsid w:val="60D61108"/>
    <w:rsid w:val="60D62EB6"/>
    <w:rsid w:val="60D64C64"/>
    <w:rsid w:val="60D809DC"/>
    <w:rsid w:val="60DB671F"/>
    <w:rsid w:val="60DD4245"/>
    <w:rsid w:val="60DD45B9"/>
    <w:rsid w:val="60DF620F"/>
    <w:rsid w:val="60DF7FBD"/>
    <w:rsid w:val="60E03D35"/>
    <w:rsid w:val="60E05AE3"/>
    <w:rsid w:val="60E27AAD"/>
    <w:rsid w:val="60E43825"/>
    <w:rsid w:val="60E455D3"/>
    <w:rsid w:val="60E5134B"/>
    <w:rsid w:val="60E530F9"/>
    <w:rsid w:val="60E6759D"/>
    <w:rsid w:val="60E70C20"/>
    <w:rsid w:val="60E76E71"/>
    <w:rsid w:val="60E8429D"/>
    <w:rsid w:val="60E90E3C"/>
    <w:rsid w:val="60E92BEA"/>
    <w:rsid w:val="60EA0710"/>
    <w:rsid w:val="60EA6962"/>
    <w:rsid w:val="60EC092C"/>
    <w:rsid w:val="60EC26DA"/>
    <w:rsid w:val="60EC4488"/>
    <w:rsid w:val="60F13EBF"/>
    <w:rsid w:val="60F31CBA"/>
    <w:rsid w:val="60F35816"/>
    <w:rsid w:val="60F3608D"/>
    <w:rsid w:val="60F5158E"/>
    <w:rsid w:val="60F53CD0"/>
    <w:rsid w:val="60F872D1"/>
    <w:rsid w:val="60FD48E7"/>
    <w:rsid w:val="60FF240D"/>
    <w:rsid w:val="61007F33"/>
    <w:rsid w:val="61047A23"/>
    <w:rsid w:val="610572F8"/>
    <w:rsid w:val="610619ED"/>
    <w:rsid w:val="6106379C"/>
    <w:rsid w:val="61065D50"/>
    <w:rsid w:val="610744EA"/>
    <w:rsid w:val="6108329D"/>
    <w:rsid w:val="6109328C"/>
    <w:rsid w:val="610A2B60"/>
    <w:rsid w:val="610C0686"/>
    <w:rsid w:val="610C0AC7"/>
    <w:rsid w:val="610F0176"/>
    <w:rsid w:val="611042FA"/>
    <w:rsid w:val="611063C8"/>
    <w:rsid w:val="61112140"/>
    <w:rsid w:val="61120392"/>
    <w:rsid w:val="61124939"/>
    <w:rsid w:val="611514FC"/>
    <w:rsid w:val="61151C31"/>
    <w:rsid w:val="611539DF"/>
    <w:rsid w:val="6115578D"/>
    <w:rsid w:val="61161505"/>
    <w:rsid w:val="61167757"/>
    <w:rsid w:val="611807AB"/>
    <w:rsid w:val="6118527D"/>
    <w:rsid w:val="611A7247"/>
    <w:rsid w:val="61202383"/>
    <w:rsid w:val="612105D5"/>
    <w:rsid w:val="61212F9E"/>
    <w:rsid w:val="612358BE"/>
    <w:rsid w:val="61243C22"/>
    <w:rsid w:val="61271964"/>
    <w:rsid w:val="612754C0"/>
    <w:rsid w:val="612C2AD6"/>
    <w:rsid w:val="612C6F7A"/>
    <w:rsid w:val="61311352"/>
    <w:rsid w:val="6131633F"/>
    <w:rsid w:val="613227E3"/>
    <w:rsid w:val="61323F23"/>
    <w:rsid w:val="61330309"/>
    <w:rsid w:val="613320B7"/>
    <w:rsid w:val="61333E65"/>
    <w:rsid w:val="61363955"/>
    <w:rsid w:val="61377DF9"/>
    <w:rsid w:val="6138147B"/>
    <w:rsid w:val="613876CD"/>
    <w:rsid w:val="613A1697"/>
    <w:rsid w:val="613C71BD"/>
    <w:rsid w:val="613D4CE3"/>
    <w:rsid w:val="613F0A5C"/>
    <w:rsid w:val="613F280A"/>
    <w:rsid w:val="614147D4"/>
    <w:rsid w:val="61442516"/>
    <w:rsid w:val="614477C8"/>
    <w:rsid w:val="6146003C"/>
    <w:rsid w:val="61461DEA"/>
    <w:rsid w:val="61493688"/>
    <w:rsid w:val="614A363A"/>
    <w:rsid w:val="614B540A"/>
    <w:rsid w:val="614B7400"/>
    <w:rsid w:val="614C3178"/>
    <w:rsid w:val="614E087A"/>
    <w:rsid w:val="614E0C9F"/>
    <w:rsid w:val="614F48DB"/>
    <w:rsid w:val="61500EBB"/>
    <w:rsid w:val="61502C69"/>
    <w:rsid w:val="6151253D"/>
    <w:rsid w:val="61521DCC"/>
    <w:rsid w:val="6155027F"/>
    <w:rsid w:val="615564D1"/>
    <w:rsid w:val="61573FF7"/>
    <w:rsid w:val="61581B1D"/>
    <w:rsid w:val="615838CB"/>
    <w:rsid w:val="61587D6F"/>
    <w:rsid w:val="615A7643"/>
    <w:rsid w:val="615C785F"/>
    <w:rsid w:val="615E036F"/>
    <w:rsid w:val="615E6E3F"/>
    <w:rsid w:val="615F10FE"/>
    <w:rsid w:val="61620180"/>
    <w:rsid w:val="6162299C"/>
    <w:rsid w:val="616404C2"/>
    <w:rsid w:val="61642270"/>
    <w:rsid w:val="6166423A"/>
    <w:rsid w:val="61675733"/>
    <w:rsid w:val="616B1851"/>
    <w:rsid w:val="616B7AA3"/>
    <w:rsid w:val="616C4DE5"/>
    <w:rsid w:val="616D6A24"/>
    <w:rsid w:val="616E30EF"/>
    <w:rsid w:val="6170330B"/>
    <w:rsid w:val="61706E67"/>
    <w:rsid w:val="6171498D"/>
    <w:rsid w:val="61727C75"/>
    <w:rsid w:val="61734BA9"/>
    <w:rsid w:val="61750921"/>
    <w:rsid w:val="617565F6"/>
    <w:rsid w:val="61774699"/>
    <w:rsid w:val="617A1A94"/>
    <w:rsid w:val="617B0D75"/>
    <w:rsid w:val="617C1CB0"/>
    <w:rsid w:val="617C580C"/>
    <w:rsid w:val="617D1968"/>
    <w:rsid w:val="617F354E"/>
    <w:rsid w:val="61811074"/>
    <w:rsid w:val="618172C6"/>
    <w:rsid w:val="61842912"/>
    <w:rsid w:val="618446C0"/>
    <w:rsid w:val="618648DC"/>
    <w:rsid w:val="618741B1"/>
    <w:rsid w:val="61894A6C"/>
    <w:rsid w:val="61897F29"/>
    <w:rsid w:val="618B5A4F"/>
    <w:rsid w:val="618C17C7"/>
    <w:rsid w:val="618D5C6B"/>
    <w:rsid w:val="618E553F"/>
    <w:rsid w:val="61907509"/>
    <w:rsid w:val="61915DCF"/>
    <w:rsid w:val="61923281"/>
    <w:rsid w:val="61926DDD"/>
    <w:rsid w:val="61954B1F"/>
    <w:rsid w:val="619A0388"/>
    <w:rsid w:val="619A3EE4"/>
    <w:rsid w:val="619C1A0A"/>
    <w:rsid w:val="619C4100"/>
    <w:rsid w:val="619C45C7"/>
    <w:rsid w:val="619C7C5C"/>
    <w:rsid w:val="619D39D4"/>
    <w:rsid w:val="619D4372"/>
    <w:rsid w:val="619D6F43"/>
    <w:rsid w:val="619E1C26"/>
    <w:rsid w:val="619F14FA"/>
    <w:rsid w:val="619F599E"/>
    <w:rsid w:val="61A03DE4"/>
    <w:rsid w:val="61A15272"/>
    <w:rsid w:val="61A30FEA"/>
    <w:rsid w:val="61A44D62"/>
    <w:rsid w:val="61A46B11"/>
    <w:rsid w:val="61A62889"/>
    <w:rsid w:val="61A86601"/>
    <w:rsid w:val="61A905CB"/>
    <w:rsid w:val="61A94127"/>
    <w:rsid w:val="61AE798F"/>
    <w:rsid w:val="61AF6787"/>
    <w:rsid w:val="61B01959"/>
    <w:rsid w:val="61B054B5"/>
    <w:rsid w:val="61B07C17"/>
    <w:rsid w:val="61B13C78"/>
    <w:rsid w:val="61B256D1"/>
    <w:rsid w:val="61B2747F"/>
    <w:rsid w:val="61B50D1E"/>
    <w:rsid w:val="61B52ACC"/>
    <w:rsid w:val="61B56F70"/>
    <w:rsid w:val="61B64F19"/>
    <w:rsid w:val="61B6665A"/>
    <w:rsid w:val="61B74A96"/>
    <w:rsid w:val="61BD395C"/>
    <w:rsid w:val="61BF1B9C"/>
    <w:rsid w:val="61BF394A"/>
    <w:rsid w:val="61C13B66"/>
    <w:rsid w:val="61C243C9"/>
    <w:rsid w:val="61C251E9"/>
    <w:rsid w:val="61C3608D"/>
    <w:rsid w:val="61C471B3"/>
    <w:rsid w:val="61C55405"/>
    <w:rsid w:val="61C6117D"/>
    <w:rsid w:val="61C64CD9"/>
    <w:rsid w:val="61CA2054"/>
    <w:rsid w:val="61CB22EF"/>
    <w:rsid w:val="61CB6793"/>
    <w:rsid w:val="61CD42B9"/>
    <w:rsid w:val="61D27B22"/>
    <w:rsid w:val="61D373F6"/>
    <w:rsid w:val="61D54F1C"/>
    <w:rsid w:val="61D70C94"/>
    <w:rsid w:val="61D75993"/>
    <w:rsid w:val="61D770D4"/>
    <w:rsid w:val="61D919F4"/>
    <w:rsid w:val="61D92C5E"/>
    <w:rsid w:val="61DA69D6"/>
    <w:rsid w:val="61DB4C28"/>
    <w:rsid w:val="61DB57A4"/>
    <w:rsid w:val="61DF30AE"/>
    <w:rsid w:val="61E0223F"/>
    <w:rsid w:val="61E15FB7"/>
    <w:rsid w:val="61E17D65"/>
    <w:rsid w:val="61E215D8"/>
    <w:rsid w:val="61E37639"/>
    <w:rsid w:val="61E57F97"/>
    <w:rsid w:val="61E82EA1"/>
    <w:rsid w:val="61EA496C"/>
    <w:rsid w:val="61EB473F"/>
    <w:rsid w:val="61ED04B8"/>
    <w:rsid w:val="61EF3C1A"/>
    <w:rsid w:val="61EF4230"/>
    <w:rsid w:val="61F03C1F"/>
    <w:rsid w:val="61F061FA"/>
    <w:rsid w:val="61F23D20"/>
    <w:rsid w:val="61F33A2B"/>
    <w:rsid w:val="61F41846"/>
    <w:rsid w:val="61F53810"/>
    <w:rsid w:val="61FA4982"/>
    <w:rsid w:val="61FB0E26"/>
    <w:rsid w:val="61FC4B9F"/>
    <w:rsid w:val="62013F63"/>
    <w:rsid w:val="62037CDB"/>
    <w:rsid w:val="62061579"/>
    <w:rsid w:val="62092E18"/>
    <w:rsid w:val="620A33F2"/>
    <w:rsid w:val="620B4DE2"/>
    <w:rsid w:val="620B6B90"/>
    <w:rsid w:val="620C3034"/>
    <w:rsid w:val="620D0B5A"/>
    <w:rsid w:val="620D46B6"/>
    <w:rsid w:val="620D6DAC"/>
    <w:rsid w:val="620E1D73"/>
    <w:rsid w:val="6211064A"/>
    <w:rsid w:val="621243C2"/>
    <w:rsid w:val="62150505"/>
    <w:rsid w:val="62183101"/>
    <w:rsid w:val="621859F6"/>
    <w:rsid w:val="621912AD"/>
    <w:rsid w:val="62195745"/>
    <w:rsid w:val="62195750"/>
    <w:rsid w:val="621974FF"/>
    <w:rsid w:val="621A5025"/>
    <w:rsid w:val="621B3775"/>
    <w:rsid w:val="621B4377"/>
    <w:rsid w:val="621C0D9D"/>
    <w:rsid w:val="621E2D67"/>
    <w:rsid w:val="621E68C3"/>
    <w:rsid w:val="621F43E9"/>
    <w:rsid w:val="62210161"/>
    <w:rsid w:val="62214605"/>
    <w:rsid w:val="62227F38"/>
    <w:rsid w:val="6223037D"/>
    <w:rsid w:val="6223212B"/>
    <w:rsid w:val="62261C1B"/>
    <w:rsid w:val="622639C9"/>
    <w:rsid w:val="6227291A"/>
    <w:rsid w:val="62285994"/>
    <w:rsid w:val="622A170C"/>
    <w:rsid w:val="622A5268"/>
    <w:rsid w:val="622F0AD0"/>
    <w:rsid w:val="622F6D22"/>
    <w:rsid w:val="623065F6"/>
    <w:rsid w:val="62312A9A"/>
    <w:rsid w:val="62344338"/>
    <w:rsid w:val="62353C0D"/>
    <w:rsid w:val="62364782"/>
    <w:rsid w:val="62373E29"/>
    <w:rsid w:val="62377985"/>
    <w:rsid w:val="6239194F"/>
    <w:rsid w:val="62397BA1"/>
    <w:rsid w:val="623A1223"/>
    <w:rsid w:val="623B56C7"/>
    <w:rsid w:val="623B7475"/>
    <w:rsid w:val="623E51B7"/>
    <w:rsid w:val="623F0248"/>
    <w:rsid w:val="62404A8B"/>
    <w:rsid w:val="624125B1"/>
    <w:rsid w:val="62426A55"/>
    <w:rsid w:val="624327CD"/>
    <w:rsid w:val="62456545"/>
    <w:rsid w:val="62467BC8"/>
    <w:rsid w:val="624A3B5C"/>
    <w:rsid w:val="624B51DE"/>
    <w:rsid w:val="624C1682"/>
    <w:rsid w:val="624C78D4"/>
    <w:rsid w:val="624D0F56"/>
    <w:rsid w:val="624E5AC5"/>
    <w:rsid w:val="62500A46"/>
    <w:rsid w:val="625247BE"/>
    <w:rsid w:val="62541937"/>
    <w:rsid w:val="62571A33"/>
    <w:rsid w:val="625B00C9"/>
    <w:rsid w:val="625B180A"/>
    <w:rsid w:val="625B3673"/>
    <w:rsid w:val="625C563D"/>
    <w:rsid w:val="625D388F"/>
    <w:rsid w:val="625D70B2"/>
    <w:rsid w:val="625E13B5"/>
    <w:rsid w:val="625E3163"/>
    <w:rsid w:val="625E7607"/>
    <w:rsid w:val="62600C89"/>
    <w:rsid w:val="6260512D"/>
    <w:rsid w:val="62614A02"/>
    <w:rsid w:val="62620EA5"/>
    <w:rsid w:val="6263077A"/>
    <w:rsid w:val="6267026A"/>
    <w:rsid w:val="626A5FAC"/>
    <w:rsid w:val="626A7D5A"/>
    <w:rsid w:val="626B4FED"/>
    <w:rsid w:val="626D33A6"/>
    <w:rsid w:val="627079CF"/>
    <w:rsid w:val="627110E9"/>
    <w:rsid w:val="6271733B"/>
    <w:rsid w:val="627222EF"/>
    <w:rsid w:val="627269A1"/>
    <w:rsid w:val="62742987"/>
    <w:rsid w:val="62744735"/>
    <w:rsid w:val="627477E0"/>
    <w:rsid w:val="627666FF"/>
    <w:rsid w:val="62774225"/>
    <w:rsid w:val="62775FD3"/>
    <w:rsid w:val="627806C9"/>
    <w:rsid w:val="627B1F67"/>
    <w:rsid w:val="627B3D15"/>
    <w:rsid w:val="627B5AC3"/>
    <w:rsid w:val="627D5DC5"/>
    <w:rsid w:val="627D7A8D"/>
    <w:rsid w:val="627E3805"/>
    <w:rsid w:val="627E7362"/>
    <w:rsid w:val="628250A4"/>
    <w:rsid w:val="62830E1C"/>
    <w:rsid w:val="62841EA6"/>
    <w:rsid w:val="628506F0"/>
    <w:rsid w:val="628801E0"/>
    <w:rsid w:val="62886432"/>
    <w:rsid w:val="628974AE"/>
    <w:rsid w:val="628A21AA"/>
    <w:rsid w:val="628A3F58"/>
    <w:rsid w:val="628C1A7E"/>
    <w:rsid w:val="628C7CD0"/>
    <w:rsid w:val="628F156F"/>
    <w:rsid w:val="6291178B"/>
    <w:rsid w:val="62913539"/>
    <w:rsid w:val="6292105F"/>
    <w:rsid w:val="62943029"/>
    <w:rsid w:val="62946B85"/>
    <w:rsid w:val="629628FD"/>
    <w:rsid w:val="629673D7"/>
    <w:rsid w:val="62976675"/>
    <w:rsid w:val="629848C7"/>
    <w:rsid w:val="6299063F"/>
    <w:rsid w:val="629923ED"/>
    <w:rsid w:val="6299419B"/>
    <w:rsid w:val="629B43B7"/>
    <w:rsid w:val="62A212A2"/>
    <w:rsid w:val="62A36DC8"/>
    <w:rsid w:val="62A36FB4"/>
    <w:rsid w:val="62A414BE"/>
    <w:rsid w:val="62A50D92"/>
    <w:rsid w:val="62A52B40"/>
    <w:rsid w:val="62A56FE4"/>
    <w:rsid w:val="62A82630"/>
    <w:rsid w:val="62A866D0"/>
    <w:rsid w:val="62A96AD4"/>
    <w:rsid w:val="62AF1C11"/>
    <w:rsid w:val="62B114E5"/>
    <w:rsid w:val="62B17737"/>
    <w:rsid w:val="62B31701"/>
    <w:rsid w:val="62B463B4"/>
    <w:rsid w:val="62B60CD4"/>
    <w:rsid w:val="62B611F1"/>
    <w:rsid w:val="62B627E4"/>
    <w:rsid w:val="62B65974"/>
    <w:rsid w:val="62B80AC5"/>
    <w:rsid w:val="62B84A84"/>
    <w:rsid w:val="62BA0AE5"/>
    <w:rsid w:val="62BB2364"/>
    <w:rsid w:val="62BC7E8A"/>
    <w:rsid w:val="62BD2580"/>
    <w:rsid w:val="62BE08F6"/>
    <w:rsid w:val="62BE1E54"/>
    <w:rsid w:val="62C03E1E"/>
    <w:rsid w:val="62C05BCC"/>
    <w:rsid w:val="62C3746A"/>
    <w:rsid w:val="62C465A1"/>
    <w:rsid w:val="62C51434"/>
    <w:rsid w:val="62C67088"/>
    <w:rsid w:val="62C751AC"/>
    <w:rsid w:val="62C84A81"/>
    <w:rsid w:val="62C92CD3"/>
    <w:rsid w:val="62CA25A7"/>
    <w:rsid w:val="62CC1D25"/>
    <w:rsid w:val="62CC4571"/>
    <w:rsid w:val="62CD4018"/>
    <w:rsid w:val="62CE02E9"/>
    <w:rsid w:val="62CE653B"/>
    <w:rsid w:val="62CF5E0F"/>
    <w:rsid w:val="62D022B3"/>
    <w:rsid w:val="62D11B87"/>
    <w:rsid w:val="62D26604"/>
    <w:rsid w:val="62D6719E"/>
    <w:rsid w:val="62D96C3F"/>
    <w:rsid w:val="62DA6E65"/>
    <w:rsid w:val="62DB0C58"/>
    <w:rsid w:val="62DD052C"/>
    <w:rsid w:val="62DD22DA"/>
    <w:rsid w:val="62DD677E"/>
    <w:rsid w:val="62E0001C"/>
    <w:rsid w:val="62E053D1"/>
    <w:rsid w:val="62E0626E"/>
    <w:rsid w:val="62E21FE6"/>
    <w:rsid w:val="62E23D94"/>
    <w:rsid w:val="62E25B42"/>
    <w:rsid w:val="62E278F0"/>
    <w:rsid w:val="62E33669"/>
    <w:rsid w:val="62E526DD"/>
    <w:rsid w:val="62E53885"/>
    <w:rsid w:val="62E551E2"/>
    <w:rsid w:val="62E55633"/>
    <w:rsid w:val="62E96ED1"/>
    <w:rsid w:val="62EA0E9B"/>
    <w:rsid w:val="62EB24E4"/>
    <w:rsid w:val="62EC4C13"/>
    <w:rsid w:val="62EE4B17"/>
    <w:rsid w:val="62EF64B1"/>
    <w:rsid w:val="62F01942"/>
    <w:rsid w:val="62F04EC6"/>
    <w:rsid w:val="62F35FA1"/>
    <w:rsid w:val="62F45876"/>
    <w:rsid w:val="62F51D1A"/>
    <w:rsid w:val="62F53AC8"/>
    <w:rsid w:val="62F6339C"/>
    <w:rsid w:val="62F67840"/>
    <w:rsid w:val="62F87114"/>
    <w:rsid w:val="62F977F1"/>
    <w:rsid w:val="62FA10DE"/>
    <w:rsid w:val="62FB09B2"/>
    <w:rsid w:val="62FB4E56"/>
    <w:rsid w:val="62FC0898"/>
    <w:rsid w:val="62FD0BCE"/>
    <w:rsid w:val="62FE04A2"/>
    <w:rsid w:val="62FF34D7"/>
    <w:rsid w:val="62FF4946"/>
    <w:rsid w:val="62FF6C15"/>
    <w:rsid w:val="6300246C"/>
    <w:rsid w:val="6301332E"/>
    <w:rsid w:val="63021D41"/>
    <w:rsid w:val="6302470A"/>
    <w:rsid w:val="630755A9"/>
    <w:rsid w:val="630A6E47"/>
    <w:rsid w:val="630C2BBF"/>
    <w:rsid w:val="630C7063"/>
    <w:rsid w:val="630E06E5"/>
    <w:rsid w:val="630E2DDB"/>
    <w:rsid w:val="630E6937"/>
    <w:rsid w:val="630F6D0E"/>
    <w:rsid w:val="63100901"/>
    <w:rsid w:val="631018DF"/>
    <w:rsid w:val="631321A0"/>
    <w:rsid w:val="63133F4E"/>
    <w:rsid w:val="63150C8C"/>
    <w:rsid w:val="63155F18"/>
    <w:rsid w:val="63181564"/>
    <w:rsid w:val="631A52DC"/>
    <w:rsid w:val="631B1054"/>
    <w:rsid w:val="631B69F2"/>
    <w:rsid w:val="631B72A6"/>
    <w:rsid w:val="632048BD"/>
    <w:rsid w:val="6320666B"/>
    <w:rsid w:val="63207C93"/>
    <w:rsid w:val="63212B0F"/>
    <w:rsid w:val="63231B1E"/>
    <w:rsid w:val="63251ED3"/>
    <w:rsid w:val="63253C81"/>
    <w:rsid w:val="63275C4B"/>
    <w:rsid w:val="63277B66"/>
    <w:rsid w:val="63293771"/>
    <w:rsid w:val="632B573B"/>
    <w:rsid w:val="632C14B3"/>
    <w:rsid w:val="632C3261"/>
    <w:rsid w:val="632F68AE"/>
    <w:rsid w:val="63301F64"/>
    <w:rsid w:val="63302D52"/>
    <w:rsid w:val="63310878"/>
    <w:rsid w:val="63332842"/>
    <w:rsid w:val="63343EC4"/>
    <w:rsid w:val="63367C3C"/>
    <w:rsid w:val="63387E58"/>
    <w:rsid w:val="633914DA"/>
    <w:rsid w:val="633B16F7"/>
    <w:rsid w:val="633D1D8C"/>
    <w:rsid w:val="633F2F95"/>
    <w:rsid w:val="633F4D43"/>
    <w:rsid w:val="63405062"/>
    <w:rsid w:val="634265E1"/>
    <w:rsid w:val="6343302D"/>
    <w:rsid w:val="63440544"/>
    <w:rsid w:val="634405AB"/>
    <w:rsid w:val="634630EF"/>
    <w:rsid w:val="63464323"/>
    <w:rsid w:val="63484B8D"/>
    <w:rsid w:val="63486902"/>
    <w:rsid w:val="634A36E8"/>
    <w:rsid w:val="634C56B2"/>
    <w:rsid w:val="635051A2"/>
    <w:rsid w:val="63512CC8"/>
    <w:rsid w:val="63516AC1"/>
    <w:rsid w:val="6353259C"/>
    <w:rsid w:val="63534C92"/>
    <w:rsid w:val="63536A40"/>
    <w:rsid w:val="635602DE"/>
    <w:rsid w:val="63581F09"/>
    <w:rsid w:val="63584057"/>
    <w:rsid w:val="63585E05"/>
    <w:rsid w:val="635D3976"/>
    <w:rsid w:val="635F53E5"/>
    <w:rsid w:val="63624ED5"/>
    <w:rsid w:val="6367429A"/>
    <w:rsid w:val="63690012"/>
    <w:rsid w:val="63691DC0"/>
    <w:rsid w:val="63697919"/>
    <w:rsid w:val="636B2239"/>
    <w:rsid w:val="636B4A26"/>
    <w:rsid w:val="636C18B0"/>
    <w:rsid w:val="636C2CA4"/>
    <w:rsid w:val="636E387A"/>
    <w:rsid w:val="636F36FE"/>
    <w:rsid w:val="63704C1B"/>
    <w:rsid w:val="637569B7"/>
    <w:rsid w:val="637644DD"/>
    <w:rsid w:val="637833AD"/>
    <w:rsid w:val="63785F7E"/>
    <w:rsid w:val="63795CCD"/>
    <w:rsid w:val="637A221F"/>
    <w:rsid w:val="637A3FCD"/>
    <w:rsid w:val="637D1D0F"/>
    <w:rsid w:val="637F3391"/>
    <w:rsid w:val="637F5A87"/>
    <w:rsid w:val="6381535B"/>
    <w:rsid w:val="63844E4C"/>
    <w:rsid w:val="63846BFA"/>
    <w:rsid w:val="63862972"/>
    <w:rsid w:val="63884331"/>
    <w:rsid w:val="63892462"/>
    <w:rsid w:val="638B442C"/>
    <w:rsid w:val="638C3D00"/>
    <w:rsid w:val="638C5AAE"/>
    <w:rsid w:val="638E5CCA"/>
    <w:rsid w:val="638E7A78"/>
    <w:rsid w:val="63901A42"/>
    <w:rsid w:val="63927568"/>
    <w:rsid w:val="6393508F"/>
    <w:rsid w:val="6394356A"/>
    <w:rsid w:val="63950E07"/>
    <w:rsid w:val="6397692D"/>
    <w:rsid w:val="639826A5"/>
    <w:rsid w:val="639A01CB"/>
    <w:rsid w:val="639C27A7"/>
    <w:rsid w:val="639D7CBB"/>
    <w:rsid w:val="639E6557"/>
    <w:rsid w:val="639F1C85"/>
    <w:rsid w:val="63A025B8"/>
    <w:rsid w:val="63A1155A"/>
    <w:rsid w:val="63A23524"/>
    <w:rsid w:val="63A252D2"/>
    <w:rsid w:val="63A31776"/>
    <w:rsid w:val="63A36368"/>
    <w:rsid w:val="63A4104A"/>
    <w:rsid w:val="63A423C9"/>
    <w:rsid w:val="63A64DC2"/>
    <w:rsid w:val="63A66B70"/>
    <w:rsid w:val="63A956A6"/>
    <w:rsid w:val="63AB23D8"/>
    <w:rsid w:val="63AD6150"/>
    <w:rsid w:val="63AE3C76"/>
    <w:rsid w:val="63B05C41"/>
    <w:rsid w:val="63B3128D"/>
    <w:rsid w:val="63B374DF"/>
    <w:rsid w:val="63B53257"/>
    <w:rsid w:val="63B76FCF"/>
    <w:rsid w:val="63B8083F"/>
    <w:rsid w:val="63B84AF5"/>
    <w:rsid w:val="63B868A3"/>
    <w:rsid w:val="63BA086D"/>
    <w:rsid w:val="63BC45E5"/>
    <w:rsid w:val="63BC6393"/>
    <w:rsid w:val="63BD210C"/>
    <w:rsid w:val="63BF5E84"/>
    <w:rsid w:val="63C118F1"/>
    <w:rsid w:val="63C27722"/>
    <w:rsid w:val="63C33BC6"/>
    <w:rsid w:val="63C35974"/>
    <w:rsid w:val="63C61B2C"/>
    <w:rsid w:val="63CA108D"/>
    <w:rsid w:val="63CB65D6"/>
    <w:rsid w:val="63CF256B"/>
    <w:rsid w:val="63D3192F"/>
    <w:rsid w:val="63D336DD"/>
    <w:rsid w:val="63D40BE9"/>
    <w:rsid w:val="63D46A06"/>
    <w:rsid w:val="63D52938"/>
    <w:rsid w:val="63D63DC8"/>
    <w:rsid w:val="63D7190C"/>
    <w:rsid w:val="63D866E8"/>
    <w:rsid w:val="63DC07E4"/>
    <w:rsid w:val="63DC6A36"/>
    <w:rsid w:val="63DD2B95"/>
    <w:rsid w:val="63DF2082"/>
    <w:rsid w:val="63DF4E7A"/>
    <w:rsid w:val="63DF6526"/>
    <w:rsid w:val="63E337FB"/>
    <w:rsid w:val="63E50CEC"/>
    <w:rsid w:val="63E61662"/>
    <w:rsid w:val="63E8362C"/>
    <w:rsid w:val="63E91153"/>
    <w:rsid w:val="63E9223E"/>
    <w:rsid w:val="63E92F01"/>
    <w:rsid w:val="63EB0A27"/>
    <w:rsid w:val="63EB4ECB"/>
    <w:rsid w:val="63ED29F1"/>
    <w:rsid w:val="63EE0517"/>
    <w:rsid w:val="63F024E1"/>
    <w:rsid w:val="63F0428F"/>
    <w:rsid w:val="63F0603D"/>
    <w:rsid w:val="63F20007"/>
    <w:rsid w:val="63F24A31"/>
    <w:rsid w:val="63F363D3"/>
    <w:rsid w:val="63F40B86"/>
    <w:rsid w:val="63F43D7F"/>
    <w:rsid w:val="63F507E1"/>
    <w:rsid w:val="63F518A5"/>
    <w:rsid w:val="63F773CC"/>
    <w:rsid w:val="63F83144"/>
    <w:rsid w:val="63F975E8"/>
    <w:rsid w:val="63FC2C34"/>
    <w:rsid w:val="63FC4AAB"/>
    <w:rsid w:val="63FE4BFE"/>
    <w:rsid w:val="63FF2724"/>
    <w:rsid w:val="63FF44D2"/>
    <w:rsid w:val="640104C5"/>
    <w:rsid w:val="6401649C"/>
    <w:rsid w:val="64032214"/>
    <w:rsid w:val="64041AE8"/>
    <w:rsid w:val="64061D04"/>
    <w:rsid w:val="64063AB3"/>
    <w:rsid w:val="64074337"/>
    <w:rsid w:val="640E2967"/>
    <w:rsid w:val="640F6E0B"/>
    <w:rsid w:val="6410048D"/>
    <w:rsid w:val="64102431"/>
    <w:rsid w:val="64104931"/>
    <w:rsid w:val="641066DF"/>
    <w:rsid w:val="64122457"/>
    <w:rsid w:val="64144421"/>
    <w:rsid w:val="641461CF"/>
    <w:rsid w:val="64155AA4"/>
    <w:rsid w:val="64177A6E"/>
    <w:rsid w:val="64195594"/>
    <w:rsid w:val="641A649B"/>
    <w:rsid w:val="641A755E"/>
    <w:rsid w:val="641C32D6"/>
    <w:rsid w:val="642108EC"/>
    <w:rsid w:val="6421269A"/>
    <w:rsid w:val="64243F39"/>
    <w:rsid w:val="64244CEF"/>
    <w:rsid w:val="64254882"/>
    <w:rsid w:val="64267CB1"/>
    <w:rsid w:val="64283A29"/>
    <w:rsid w:val="64287ECD"/>
    <w:rsid w:val="642A59F3"/>
    <w:rsid w:val="642C00A3"/>
    <w:rsid w:val="64300B2F"/>
    <w:rsid w:val="643248A8"/>
    <w:rsid w:val="64340620"/>
    <w:rsid w:val="64357EF4"/>
    <w:rsid w:val="64370110"/>
    <w:rsid w:val="643731D5"/>
    <w:rsid w:val="64373C6C"/>
    <w:rsid w:val="643945F5"/>
    <w:rsid w:val="643979E4"/>
    <w:rsid w:val="643A375C"/>
    <w:rsid w:val="643B7C00"/>
    <w:rsid w:val="643C1282"/>
    <w:rsid w:val="643C5726"/>
    <w:rsid w:val="643E4FFA"/>
    <w:rsid w:val="643F18F7"/>
    <w:rsid w:val="64405216"/>
    <w:rsid w:val="64436AB5"/>
    <w:rsid w:val="6445282D"/>
    <w:rsid w:val="64454028"/>
    <w:rsid w:val="644545DB"/>
    <w:rsid w:val="64460353"/>
    <w:rsid w:val="64470089"/>
    <w:rsid w:val="64482C5A"/>
    <w:rsid w:val="64485E79"/>
    <w:rsid w:val="6449399F"/>
    <w:rsid w:val="644A1BF1"/>
    <w:rsid w:val="644A6A0A"/>
    <w:rsid w:val="644A7E43"/>
    <w:rsid w:val="644B5969"/>
    <w:rsid w:val="644C132A"/>
    <w:rsid w:val="644D348F"/>
    <w:rsid w:val="644F0FB6"/>
    <w:rsid w:val="644F5459"/>
    <w:rsid w:val="644F681B"/>
    <w:rsid w:val="64502F80"/>
    <w:rsid w:val="64526CF8"/>
    <w:rsid w:val="6453662C"/>
    <w:rsid w:val="64550596"/>
    <w:rsid w:val="6457430E"/>
    <w:rsid w:val="64591E34"/>
    <w:rsid w:val="645962D8"/>
    <w:rsid w:val="645C7B76"/>
    <w:rsid w:val="645E569D"/>
    <w:rsid w:val="645E744B"/>
    <w:rsid w:val="645F77A0"/>
    <w:rsid w:val="646031C3"/>
    <w:rsid w:val="64630F05"/>
    <w:rsid w:val="64634A61"/>
    <w:rsid w:val="646475B1"/>
    <w:rsid w:val="646507D9"/>
    <w:rsid w:val="64653612"/>
    <w:rsid w:val="64656A2B"/>
    <w:rsid w:val="646709F5"/>
    <w:rsid w:val="64691F93"/>
    <w:rsid w:val="646A3423"/>
    <w:rsid w:val="646B1B68"/>
    <w:rsid w:val="646D1DA4"/>
    <w:rsid w:val="646D3B32"/>
    <w:rsid w:val="646D58E0"/>
    <w:rsid w:val="64701E66"/>
    <w:rsid w:val="647153D0"/>
    <w:rsid w:val="64722EF6"/>
    <w:rsid w:val="64754794"/>
    <w:rsid w:val="647629E6"/>
    <w:rsid w:val="647924D6"/>
    <w:rsid w:val="647B5FF0"/>
    <w:rsid w:val="647B7FFD"/>
    <w:rsid w:val="647D1899"/>
    <w:rsid w:val="647E58FA"/>
    <w:rsid w:val="64803865"/>
    <w:rsid w:val="64813139"/>
    <w:rsid w:val="64833355"/>
    <w:rsid w:val="64835103"/>
    <w:rsid w:val="64836EB1"/>
    <w:rsid w:val="648462E6"/>
    <w:rsid w:val="648475F1"/>
    <w:rsid w:val="64872E45"/>
    <w:rsid w:val="64874BF3"/>
    <w:rsid w:val="648A0240"/>
    <w:rsid w:val="648A2CCF"/>
    <w:rsid w:val="648E281E"/>
    <w:rsid w:val="649015CE"/>
    <w:rsid w:val="64923598"/>
    <w:rsid w:val="64925346"/>
    <w:rsid w:val="649410BE"/>
    <w:rsid w:val="64942E6C"/>
    <w:rsid w:val="6497295D"/>
    <w:rsid w:val="649738D0"/>
    <w:rsid w:val="649A3992"/>
    <w:rsid w:val="649C3669"/>
    <w:rsid w:val="649E1F3D"/>
    <w:rsid w:val="64A0404D"/>
    <w:rsid w:val="64A07A63"/>
    <w:rsid w:val="64A5151D"/>
    <w:rsid w:val="64A5243A"/>
    <w:rsid w:val="64A61F35"/>
    <w:rsid w:val="64A6459D"/>
    <w:rsid w:val="64A70DF2"/>
    <w:rsid w:val="64A77044"/>
    <w:rsid w:val="64AA2690"/>
    <w:rsid w:val="64AC465A"/>
    <w:rsid w:val="64AD03D2"/>
    <w:rsid w:val="64B140D9"/>
    <w:rsid w:val="64B27796"/>
    <w:rsid w:val="64B33618"/>
    <w:rsid w:val="64B41760"/>
    <w:rsid w:val="64B452BD"/>
    <w:rsid w:val="64B61035"/>
    <w:rsid w:val="64B61A2A"/>
    <w:rsid w:val="64B74DAD"/>
    <w:rsid w:val="64B81251"/>
    <w:rsid w:val="64B928D3"/>
    <w:rsid w:val="64BB22FB"/>
    <w:rsid w:val="64BD775D"/>
    <w:rsid w:val="64BE613B"/>
    <w:rsid w:val="64C2170E"/>
    <w:rsid w:val="64C23E7D"/>
    <w:rsid w:val="64C25C2B"/>
    <w:rsid w:val="64C3145D"/>
    <w:rsid w:val="64C319A4"/>
    <w:rsid w:val="64C33752"/>
    <w:rsid w:val="64C37BF6"/>
    <w:rsid w:val="64C5571C"/>
    <w:rsid w:val="64C67DDE"/>
    <w:rsid w:val="64C71494"/>
    <w:rsid w:val="64C80D68"/>
    <w:rsid w:val="64C86FBA"/>
    <w:rsid w:val="64C9520C"/>
    <w:rsid w:val="64CA2D32"/>
    <w:rsid w:val="64CC6AAA"/>
    <w:rsid w:val="64CD637E"/>
    <w:rsid w:val="64CE30A0"/>
    <w:rsid w:val="64CF20F6"/>
    <w:rsid w:val="64D12312"/>
    <w:rsid w:val="64D15E6F"/>
    <w:rsid w:val="64D54FB3"/>
    <w:rsid w:val="64D70D63"/>
    <w:rsid w:val="64D70FAB"/>
    <w:rsid w:val="64D8544F"/>
    <w:rsid w:val="64DB4F3F"/>
    <w:rsid w:val="64DB6CED"/>
    <w:rsid w:val="64DB76E4"/>
    <w:rsid w:val="64DD0CB7"/>
    <w:rsid w:val="64DD4813"/>
    <w:rsid w:val="64DE2339"/>
    <w:rsid w:val="64DE67DD"/>
    <w:rsid w:val="64DF4A2F"/>
    <w:rsid w:val="64E060B2"/>
    <w:rsid w:val="64E13556"/>
    <w:rsid w:val="64E2007C"/>
    <w:rsid w:val="64E42046"/>
    <w:rsid w:val="64E5191A"/>
    <w:rsid w:val="64E536C8"/>
    <w:rsid w:val="64E57B6C"/>
    <w:rsid w:val="64ED46CA"/>
    <w:rsid w:val="64EE4C72"/>
    <w:rsid w:val="64EE6A20"/>
    <w:rsid w:val="64EF2799"/>
    <w:rsid w:val="64EF6FEA"/>
    <w:rsid w:val="64F34037"/>
    <w:rsid w:val="64F41B5D"/>
    <w:rsid w:val="64F47DAF"/>
    <w:rsid w:val="64F531DE"/>
    <w:rsid w:val="64F8164D"/>
    <w:rsid w:val="64FB113D"/>
    <w:rsid w:val="64FB4DDA"/>
    <w:rsid w:val="64FB738F"/>
    <w:rsid w:val="64FD4EB5"/>
    <w:rsid w:val="65006754"/>
    <w:rsid w:val="65046244"/>
    <w:rsid w:val="65052950"/>
    <w:rsid w:val="65075D34"/>
    <w:rsid w:val="65077AE2"/>
    <w:rsid w:val="65085608"/>
    <w:rsid w:val="65091AAC"/>
    <w:rsid w:val="650A75D2"/>
    <w:rsid w:val="650F4BE9"/>
    <w:rsid w:val="65102E3B"/>
    <w:rsid w:val="65110961"/>
    <w:rsid w:val="6511270F"/>
    <w:rsid w:val="651144BD"/>
    <w:rsid w:val="651346D9"/>
    <w:rsid w:val="65137B25"/>
    <w:rsid w:val="65143FAD"/>
    <w:rsid w:val="65165F77"/>
    <w:rsid w:val="65183A9D"/>
    <w:rsid w:val="65197815"/>
    <w:rsid w:val="651D2E62"/>
    <w:rsid w:val="651D5558"/>
    <w:rsid w:val="651D7306"/>
    <w:rsid w:val="65206DF6"/>
    <w:rsid w:val="6522491C"/>
    <w:rsid w:val="65241F3A"/>
    <w:rsid w:val="65242442"/>
    <w:rsid w:val="65247369"/>
    <w:rsid w:val="65270184"/>
    <w:rsid w:val="65295CAB"/>
    <w:rsid w:val="652A2670"/>
    <w:rsid w:val="652C70D8"/>
    <w:rsid w:val="652D3B62"/>
    <w:rsid w:val="652E506F"/>
    <w:rsid w:val="652F0DE7"/>
    <w:rsid w:val="652F7039"/>
    <w:rsid w:val="65312DB1"/>
    <w:rsid w:val="6531690D"/>
    <w:rsid w:val="653308D7"/>
    <w:rsid w:val="653502EE"/>
    <w:rsid w:val="65373578"/>
    <w:rsid w:val="65384140"/>
    <w:rsid w:val="653A1C66"/>
    <w:rsid w:val="653B59DE"/>
    <w:rsid w:val="653B778C"/>
    <w:rsid w:val="653D1651"/>
    <w:rsid w:val="653D3504"/>
    <w:rsid w:val="653F727C"/>
    <w:rsid w:val="65402FF4"/>
    <w:rsid w:val="65420B1A"/>
    <w:rsid w:val="65426D6C"/>
    <w:rsid w:val="65442AE4"/>
    <w:rsid w:val="654C3747"/>
    <w:rsid w:val="654D7A05"/>
    <w:rsid w:val="654E74BF"/>
    <w:rsid w:val="654F3237"/>
    <w:rsid w:val="65501489"/>
    <w:rsid w:val="65510D5D"/>
    <w:rsid w:val="65511CBA"/>
    <w:rsid w:val="65515201"/>
    <w:rsid w:val="65556AA0"/>
    <w:rsid w:val="655621F8"/>
    <w:rsid w:val="65570BC6"/>
    <w:rsid w:val="65597F29"/>
    <w:rsid w:val="655A2EB6"/>
    <w:rsid w:val="655A40B6"/>
    <w:rsid w:val="655B1BDC"/>
    <w:rsid w:val="655D7702"/>
    <w:rsid w:val="655F1E1A"/>
    <w:rsid w:val="655F347A"/>
    <w:rsid w:val="656071F2"/>
    <w:rsid w:val="65613696"/>
    <w:rsid w:val="656211BC"/>
    <w:rsid w:val="6562740E"/>
    <w:rsid w:val="65660CAD"/>
    <w:rsid w:val="65670581"/>
    <w:rsid w:val="6569254B"/>
    <w:rsid w:val="656942F9"/>
    <w:rsid w:val="656B0071"/>
    <w:rsid w:val="656C3DE9"/>
    <w:rsid w:val="656C5B97"/>
    <w:rsid w:val="656D3445"/>
    <w:rsid w:val="656D6FEF"/>
    <w:rsid w:val="656E190F"/>
    <w:rsid w:val="65705687"/>
    <w:rsid w:val="657217B0"/>
    <w:rsid w:val="657333CA"/>
    <w:rsid w:val="65736F26"/>
    <w:rsid w:val="65750EF0"/>
    <w:rsid w:val="6578453C"/>
    <w:rsid w:val="657A02B4"/>
    <w:rsid w:val="657B6143"/>
    <w:rsid w:val="657C227E"/>
    <w:rsid w:val="657D5FF6"/>
    <w:rsid w:val="657F58CB"/>
    <w:rsid w:val="658729D1"/>
    <w:rsid w:val="65876E75"/>
    <w:rsid w:val="658A053C"/>
    <w:rsid w:val="658C0E37"/>
    <w:rsid w:val="658C6239"/>
    <w:rsid w:val="658D448B"/>
    <w:rsid w:val="658E1FB1"/>
    <w:rsid w:val="658E3D60"/>
    <w:rsid w:val="658F073C"/>
    <w:rsid w:val="65902389"/>
    <w:rsid w:val="65905D2A"/>
    <w:rsid w:val="659155FE"/>
    <w:rsid w:val="65982E30"/>
    <w:rsid w:val="65984BDE"/>
    <w:rsid w:val="659C46CE"/>
    <w:rsid w:val="659D0447"/>
    <w:rsid w:val="659D21F5"/>
    <w:rsid w:val="659F41BF"/>
    <w:rsid w:val="65A05841"/>
    <w:rsid w:val="65A11CE5"/>
    <w:rsid w:val="65A157A3"/>
    <w:rsid w:val="65A45331"/>
    <w:rsid w:val="65A56070"/>
    <w:rsid w:val="65A610A9"/>
    <w:rsid w:val="65A645AF"/>
    <w:rsid w:val="65A672FB"/>
    <w:rsid w:val="65A73073"/>
    <w:rsid w:val="65A92947"/>
    <w:rsid w:val="65A93335"/>
    <w:rsid w:val="65AB4911"/>
    <w:rsid w:val="65AB66C0"/>
    <w:rsid w:val="65AE7F5E"/>
    <w:rsid w:val="65B03CD6"/>
    <w:rsid w:val="65B337C6"/>
    <w:rsid w:val="65B35574"/>
    <w:rsid w:val="65B35604"/>
    <w:rsid w:val="65B512EC"/>
    <w:rsid w:val="65B55790"/>
    <w:rsid w:val="65BD2897"/>
    <w:rsid w:val="65BD63F3"/>
    <w:rsid w:val="65BE3CC6"/>
    <w:rsid w:val="65BF216B"/>
    <w:rsid w:val="65C15EE3"/>
    <w:rsid w:val="65C33931"/>
    <w:rsid w:val="65C43C25"/>
    <w:rsid w:val="65C6799D"/>
    <w:rsid w:val="65C71020"/>
    <w:rsid w:val="65C77271"/>
    <w:rsid w:val="65C854C3"/>
    <w:rsid w:val="65C92FEA"/>
    <w:rsid w:val="65C94D98"/>
    <w:rsid w:val="65CB0B10"/>
    <w:rsid w:val="65CC0E9B"/>
    <w:rsid w:val="65CC4888"/>
    <w:rsid w:val="65CE4EFC"/>
    <w:rsid w:val="65D04378"/>
    <w:rsid w:val="65D11E9E"/>
    <w:rsid w:val="65D24B51"/>
    <w:rsid w:val="65D24D0D"/>
    <w:rsid w:val="65D33E68"/>
    <w:rsid w:val="65D379C4"/>
    <w:rsid w:val="65D57BE0"/>
    <w:rsid w:val="65D75707"/>
    <w:rsid w:val="65D774B5"/>
    <w:rsid w:val="65D908CE"/>
    <w:rsid w:val="65DA51F7"/>
    <w:rsid w:val="65DA6FA5"/>
    <w:rsid w:val="65DC2D1D"/>
    <w:rsid w:val="65DC4ACB"/>
    <w:rsid w:val="65DD571B"/>
    <w:rsid w:val="65DD6A95"/>
    <w:rsid w:val="65DE4CE7"/>
    <w:rsid w:val="65DF0A5F"/>
    <w:rsid w:val="65DF280D"/>
    <w:rsid w:val="65DF6369"/>
    <w:rsid w:val="65E10333"/>
    <w:rsid w:val="65E120E1"/>
    <w:rsid w:val="65E21C31"/>
    <w:rsid w:val="65E46075"/>
    <w:rsid w:val="65E60BFD"/>
    <w:rsid w:val="65E61A42"/>
    <w:rsid w:val="65E676F8"/>
    <w:rsid w:val="65E73470"/>
    <w:rsid w:val="65E816C2"/>
    <w:rsid w:val="65E87914"/>
    <w:rsid w:val="65E91B04"/>
    <w:rsid w:val="65E9543A"/>
    <w:rsid w:val="65E971E8"/>
    <w:rsid w:val="65EB7404"/>
    <w:rsid w:val="65ED4F2A"/>
    <w:rsid w:val="65ED6CD8"/>
    <w:rsid w:val="65EE0CA2"/>
    <w:rsid w:val="65F04A1A"/>
    <w:rsid w:val="65F067C8"/>
    <w:rsid w:val="65F16595"/>
    <w:rsid w:val="65F20792"/>
    <w:rsid w:val="65F242EE"/>
    <w:rsid w:val="65F31E15"/>
    <w:rsid w:val="65F34046"/>
    <w:rsid w:val="65F46C17"/>
    <w:rsid w:val="65F75DA9"/>
    <w:rsid w:val="65F8742B"/>
    <w:rsid w:val="65FA31A3"/>
    <w:rsid w:val="65FC6F1B"/>
    <w:rsid w:val="65FE289A"/>
    <w:rsid w:val="65FE7137"/>
    <w:rsid w:val="65FF6A0B"/>
    <w:rsid w:val="66014531"/>
    <w:rsid w:val="660364FC"/>
    <w:rsid w:val="66067D9A"/>
    <w:rsid w:val="66091638"/>
    <w:rsid w:val="66094DDC"/>
    <w:rsid w:val="660B3602"/>
    <w:rsid w:val="660D1128"/>
    <w:rsid w:val="660D2590"/>
    <w:rsid w:val="660D2ED6"/>
    <w:rsid w:val="660D737A"/>
    <w:rsid w:val="66106E6A"/>
    <w:rsid w:val="661204ED"/>
    <w:rsid w:val="66124991"/>
    <w:rsid w:val="661324B7"/>
    <w:rsid w:val="66153976"/>
    <w:rsid w:val="66155F50"/>
    <w:rsid w:val="6615622F"/>
    <w:rsid w:val="661701F9"/>
    <w:rsid w:val="661F2C0A"/>
    <w:rsid w:val="66212E26"/>
    <w:rsid w:val="66214BD4"/>
    <w:rsid w:val="6623094C"/>
    <w:rsid w:val="662446C4"/>
    <w:rsid w:val="66246472"/>
    <w:rsid w:val="662621EA"/>
    <w:rsid w:val="66293A88"/>
    <w:rsid w:val="662B5A52"/>
    <w:rsid w:val="662D5327"/>
    <w:rsid w:val="662F1D0C"/>
    <w:rsid w:val="662F72F1"/>
    <w:rsid w:val="66304E17"/>
    <w:rsid w:val="66324D94"/>
    <w:rsid w:val="66325478"/>
    <w:rsid w:val="663366B5"/>
    <w:rsid w:val="66342B59"/>
    <w:rsid w:val="6635242D"/>
    <w:rsid w:val="663568D1"/>
    <w:rsid w:val="66372649"/>
    <w:rsid w:val="663761A5"/>
    <w:rsid w:val="663A3EE7"/>
    <w:rsid w:val="663A7A43"/>
    <w:rsid w:val="663C7C5F"/>
    <w:rsid w:val="663E7534"/>
    <w:rsid w:val="66410DD2"/>
    <w:rsid w:val="66415276"/>
    <w:rsid w:val="66432D9C"/>
    <w:rsid w:val="664408C2"/>
    <w:rsid w:val="66442670"/>
    <w:rsid w:val="6646288C"/>
    <w:rsid w:val="66482160"/>
    <w:rsid w:val="66486604"/>
    <w:rsid w:val="664D3C1B"/>
    <w:rsid w:val="664D59C9"/>
    <w:rsid w:val="664D7777"/>
    <w:rsid w:val="664E60E1"/>
    <w:rsid w:val="664F0CB2"/>
    <w:rsid w:val="664F7993"/>
    <w:rsid w:val="665054B9"/>
    <w:rsid w:val="66507267"/>
    <w:rsid w:val="6655487D"/>
    <w:rsid w:val="66560D21"/>
    <w:rsid w:val="6659611C"/>
    <w:rsid w:val="665B6338"/>
    <w:rsid w:val="665C06E5"/>
    <w:rsid w:val="665C3E5E"/>
    <w:rsid w:val="665C5C0C"/>
    <w:rsid w:val="665E1984"/>
    <w:rsid w:val="665E7BD6"/>
    <w:rsid w:val="66630D48"/>
    <w:rsid w:val="66636F9A"/>
    <w:rsid w:val="66641A48"/>
    <w:rsid w:val="66652D12"/>
    <w:rsid w:val="66660838"/>
    <w:rsid w:val="6666689C"/>
    <w:rsid w:val="66666A8A"/>
    <w:rsid w:val="66682803"/>
    <w:rsid w:val="66686502"/>
    <w:rsid w:val="66686C88"/>
    <w:rsid w:val="666A0EC2"/>
    <w:rsid w:val="666D1BC7"/>
    <w:rsid w:val="666D606B"/>
    <w:rsid w:val="666D7E19"/>
    <w:rsid w:val="666F1DE3"/>
    <w:rsid w:val="666F593F"/>
    <w:rsid w:val="66707909"/>
    <w:rsid w:val="6672718B"/>
    <w:rsid w:val="667271DD"/>
    <w:rsid w:val="66742F55"/>
    <w:rsid w:val="667B0788"/>
    <w:rsid w:val="667B2536"/>
    <w:rsid w:val="667F3A7E"/>
    <w:rsid w:val="66811B16"/>
    <w:rsid w:val="668313EA"/>
    <w:rsid w:val="668533B4"/>
    <w:rsid w:val="66855163"/>
    <w:rsid w:val="668A09CB"/>
    <w:rsid w:val="668A2779"/>
    <w:rsid w:val="668A4527"/>
    <w:rsid w:val="668C6082"/>
    <w:rsid w:val="668D04BB"/>
    <w:rsid w:val="668D4017"/>
    <w:rsid w:val="668D7512"/>
    <w:rsid w:val="668F6486"/>
    <w:rsid w:val="668F7D8F"/>
    <w:rsid w:val="66911D59"/>
    <w:rsid w:val="6694184A"/>
    <w:rsid w:val="669435F8"/>
    <w:rsid w:val="669453A6"/>
    <w:rsid w:val="6695111E"/>
    <w:rsid w:val="669730E8"/>
    <w:rsid w:val="66996E60"/>
    <w:rsid w:val="669B2BD8"/>
    <w:rsid w:val="669C06FE"/>
    <w:rsid w:val="669C22BD"/>
    <w:rsid w:val="669C425A"/>
    <w:rsid w:val="669F44F8"/>
    <w:rsid w:val="66A001EE"/>
    <w:rsid w:val="66A03D4A"/>
    <w:rsid w:val="66A17AC3"/>
    <w:rsid w:val="66A23F66"/>
    <w:rsid w:val="66A3383B"/>
    <w:rsid w:val="66A355E9"/>
    <w:rsid w:val="66A55805"/>
    <w:rsid w:val="66A575B3"/>
    <w:rsid w:val="66A617FA"/>
    <w:rsid w:val="66A6332B"/>
    <w:rsid w:val="66A852F5"/>
    <w:rsid w:val="66A870A3"/>
    <w:rsid w:val="66AA6977"/>
    <w:rsid w:val="66AC6B93"/>
    <w:rsid w:val="66AE2B5D"/>
    <w:rsid w:val="66AE577D"/>
    <w:rsid w:val="66AF21DF"/>
    <w:rsid w:val="66AF3F8D"/>
    <w:rsid w:val="66B07D06"/>
    <w:rsid w:val="66B141AA"/>
    <w:rsid w:val="66B1631A"/>
    <w:rsid w:val="66B477F6"/>
    <w:rsid w:val="66B617C0"/>
    <w:rsid w:val="66B912B0"/>
    <w:rsid w:val="66BC09E3"/>
    <w:rsid w:val="66BC48FC"/>
    <w:rsid w:val="66BE0674"/>
    <w:rsid w:val="66BE68C6"/>
    <w:rsid w:val="66C057B2"/>
    <w:rsid w:val="66C0619B"/>
    <w:rsid w:val="66C37A39"/>
    <w:rsid w:val="66C51A03"/>
    <w:rsid w:val="66C7577B"/>
    <w:rsid w:val="66CA526B"/>
    <w:rsid w:val="66CC0FE3"/>
    <w:rsid w:val="66CD2666"/>
    <w:rsid w:val="66CD6B09"/>
    <w:rsid w:val="66CF2882"/>
    <w:rsid w:val="66CF63DE"/>
    <w:rsid w:val="66D24120"/>
    <w:rsid w:val="66D25ECE"/>
    <w:rsid w:val="66D30C41"/>
    <w:rsid w:val="66D63C10"/>
    <w:rsid w:val="66D71D69"/>
    <w:rsid w:val="66D954AE"/>
    <w:rsid w:val="66DB2FD4"/>
    <w:rsid w:val="66DC0AFB"/>
    <w:rsid w:val="66DC6D4D"/>
    <w:rsid w:val="66DE0E55"/>
    <w:rsid w:val="66E005EB"/>
    <w:rsid w:val="66E63727"/>
    <w:rsid w:val="66E71979"/>
    <w:rsid w:val="66E75745"/>
    <w:rsid w:val="66E83943"/>
    <w:rsid w:val="66EA3218"/>
    <w:rsid w:val="66EC3434"/>
    <w:rsid w:val="66EC6F90"/>
    <w:rsid w:val="66EF4CD2"/>
    <w:rsid w:val="66F145A6"/>
    <w:rsid w:val="66F2031E"/>
    <w:rsid w:val="66F44096"/>
    <w:rsid w:val="66F83B86"/>
    <w:rsid w:val="66F916AD"/>
    <w:rsid w:val="66F9345B"/>
    <w:rsid w:val="66FB3677"/>
    <w:rsid w:val="66FD73EF"/>
    <w:rsid w:val="66FF098F"/>
    <w:rsid w:val="66FF63A4"/>
    <w:rsid w:val="67002A3B"/>
    <w:rsid w:val="67006EDF"/>
    <w:rsid w:val="67024A05"/>
    <w:rsid w:val="67072250"/>
    <w:rsid w:val="67073DC9"/>
    <w:rsid w:val="67077707"/>
    <w:rsid w:val="67080B97"/>
    <w:rsid w:val="670818F0"/>
    <w:rsid w:val="67081BBE"/>
    <w:rsid w:val="67087877"/>
    <w:rsid w:val="67095D94"/>
    <w:rsid w:val="670A1B0C"/>
    <w:rsid w:val="670B4947"/>
    <w:rsid w:val="670C5884"/>
    <w:rsid w:val="670C7632"/>
    <w:rsid w:val="670D5158"/>
    <w:rsid w:val="670E33AA"/>
    <w:rsid w:val="670F0ED0"/>
    <w:rsid w:val="67111C49"/>
    <w:rsid w:val="67112E9A"/>
    <w:rsid w:val="67114C48"/>
    <w:rsid w:val="6712276E"/>
    <w:rsid w:val="671309C0"/>
    <w:rsid w:val="67136C12"/>
    <w:rsid w:val="67140294"/>
    <w:rsid w:val="6714713A"/>
    <w:rsid w:val="671505CA"/>
    <w:rsid w:val="6716225F"/>
    <w:rsid w:val="67185FD7"/>
    <w:rsid w:val="671D183F"/>
    <w:rsid w:val="671F124A"/>
    <w:rsid w:val="671F6E1E"/>
    <w:rsid w:val="6722430F"/>
    <w:rsid w:val="67226E55"/>
    <w:rsid w:val="6723497B"/>
    <w:rsid w:val="672524A2"/>
    <w:rsid w:val="6727621A"/>
    <w:rsid w:val="67283D40"/>
    <w:rsid w:val="67297ED0"/>
    <w:rsid w:val="672A3F5C"/>
    <w:rsid w:val="672A5D0A"/>
    <w:rsid w:val="672C1A82"/>
    <w:rsid w:val="672C7CD4"/>
    <w:rsid w:val="672F1572"/>
    <w:rsid w:val="672F50CE"/>
    <w:rsid w:val="67310E46"/>
    <w:rsid w:val="673152EA"/>
    <w:rsid w:val="67316662"/>
    <w:rsid w:val="67317098"/>
    <w:rsid w:val="673226C3"/>
    <w:rsid w:val="67340937"/>
    <w:rsid w:val="673426E5"/>
    <w:rsid w:val="6736645D"/>
    <w:rsid w:val="6739419F"/>
    <w:rsid w:val="673B7F17"/>
    <w:rsid w:val="673D5A3D"/>
    <w:rsid w:val="673D77EB"/>
    <w:rsid w:val="673E3563"/>
    <w:rsid w:val="673E5311"/>
    <w:rsid w:val="673F17B5"/>
    <w:rsid w:val="673F38FE"/>
    <w:rsid w:val="673F7A07"/>
    <w:rsid w:val="67401089"/>
    <w:rsid w:val="674072DB"/>
    <w:rsid w:val="674175E7"/>
    <w:rsid w:val="67423054"/>
    <w:rsid w:val="67446DCC"/>
    <w:rsid w:val="674548F2"/>
    <w:rsid w:val="67472418"/>
    <w:rsid w:val="674768BC"/>
    <w:rsid w:val="67486190"/>
    <w:rsid w:val="67492634"/>
    <w:rsid w:val="674943E2"/>
    <w:rsid w:val="674C5C80"/>
    <w:rsid w:val="674C7A2E"/>
    <w:rsid w:val="675039C2"/>
    <w:rsid w:val="67515045"/>
    <w:rsid w:val="6753700F"/>
    <w:rsid w:val="67542D87"/>
    <w:rsid w:val="67544B35"/>
    <w:rsid w:val="675608AD"/>
    <w:rsid w:val="67561ABE"/>
    <w:rsid w:val="67564D51"/>
    <w:rsid w:val="67566AFF"/>
    <w:rsid w:val="675A043F"/>
    <w:rsid w:val="675A65EF"/>
    <w:rsid w:val="675B5EC3"/>
    <w:rsid w:val="675D1C3B"/>
    <w:rsid w:val="675D60DF"/>
    <w:rsid w:val="675D7E8D"/>
    <w:rsid w:val="675E0250"/>
    <w:rsid w:val="675F1167"/>
    <w:rsid w:val="675F3C06"/>
    <w:rsid w:val="6760172C"/>
    <w:rsid w:val="67602B70"/>
    <w:rsid w:val="6760797E"/>
    <w:rsid w:val="676254A4"/>
    <w:rsid w:val="67632C32"/>
    <w:rsid w:val="6764121C"/>
    <w:rsid w:val="6764746E"/>
    <w:rsid w:val="67656D42"/>
    <w:rsid w:val="6765794F"/>
    <w:rsid w:val="67667E72"/>
    <w:rsid w:val="67670D0C"/>
    <w:rsid w:val="676905E0"/>
    <w:rsid w:val="67694667"/>
    <w:rsid w:val="67696AA4"/>
    <w:rsid w:val="676B2854"/>
    <w:rsid w:val="676C00D0"/>
    <w:rsid w:val="676C1E7F"/>
    <w:rsid w:val="676E3E49"/>
    <w:rsid w:val="676E5BF7"/>
    <w:rsid w:val="676F7BC1"/>
    <w:rsid w:val="67702665"/>
    <w:rsid w:val="67753429"/>
    <w:rsid w:val="67762CFD"/>
    <w:rsid w:val="677671A1"/>
    <w:rsid w:val="6779459B"/>
    <w:rsid w:val="677A0EB9"/>
    <w:rsid w:val="677A33C6"/>
    <w:rsid w:val="677B0314"/>
    <w:rsid w:val="677D0530"/>
    <w:rsid w:val="67803B7C"/>
    <w:rsid w:val="678216A2"/>
    <w:rsid w:val="67825B46"/>
    <w:rsid w:val="678278F4"/>
    <w:rsid w:val="678418BE"/>
    <w:rsid w:val="6784541A"/>
    <w:rsid w:val="678708EC"/>
    <w:rsid w:val="678802FD"/>
    <w:rsid w:val="678834BD"/>
    <w:rsid w:val="678A67A9"/>
    <w:rsid w:val="678B726D"/>
    <w:rsid w:val="678C1233"/>
    <w:rsid w:val="678E44EB"/>
    <w:rsid w:val="679118E5"/>
    <w:rsid w:val="679305D0"/>
    <w:rsid w:val="679338AF"/>
    <w:rsid w:val="67957627"/>
    <w:rsid w:val="67980EC5"/>
    <w:rsid w:val="67982FB2"/>
    <w:rsid w:val="67992D01"/>
    <w:rsid w:val="679A4C3E"/>
    <w:rsid w:val="679A69EC"/>
    <w:rsid w:val="679B01F2"/>
    <w:rsid w:val="679B09B6"/>
    <w:rsid w:val="679B1933"/>
    <w:rsid w:val="679B2764"/>
    <w:rsid w:val="679B2D4E"/>
    <w:rsid w:val="679C6C08"/>
    <w:rsid w:val="679D472E"/>
    <w:rsid w:val="679F04A6"/>
    <w:rsid w:val="679F4002"/>
    <w:rsid w:val="67A02BD4"/>
    <w:rsid w:val="67A05FCC"/>
    <w:rsid w:val="67A07D7A"/>
    <w:rsid w:val="67A21D44"/>
    <w:rsid w:val="67A23AF2"/>
    <w:rsid w:val="67A254F4"/>
    <w:rsid w:val="67A41618"/>
    <w:rsid w:val="67A4786A"/>
    <w:rsid w:val="67A535E2"/>
    <w:rsid w:val="67A61834"/>
    <w:rsid w:val="67A77ED6"/>
    <w:rsid w:val="67A930D3"/>
    <w:rsid w:val="67A93F37"/>
    <w:rsid w:val="67AA29A7"/>
    <w:rsid w:val="67AA6857"/>
    <w:rsid w:val="67AB0BF9"/>
    <w:rsid w:val="67AC300C"/>
    <w:rsid w:val="67AE06E9"/>
    <w:rsid w:val="67AF6668"/>
    <w:rsid w:val="67B026C9"/>
    <w:rsid w:val="67B04461"/>
    <w:rsid w:val="67B101D9"/>
    <w:rsid w:val="67B11F87"/>
    <w:rsid w:val="67B35CFF"/>
    <w:rsid w:val="67B4591B"/>
    <w:rsid w:val="67B6396A"/>
    <w:rsid w:val="67B64B63"/>
    <w:rsid w:val="67B657F0"/>
    <w:rsid w:val="67B81568"/>
    <w:rsid w:val="67BA708E"/>
    <w:rsid w:val="67BB4BB4"/>
    <w:rsid w:val="67BB77DC"/>
    <w:rsid w:val="67BC1058"/>
    <w:rsid w:val="67BD6B7E"/>
    <w:rsid w:val="67BF46A4"/>
    <w:rsid w:val="67C1041C"/>
    <w:rsid w:val="67C10A7D"/>
    <w:rsid w:val="67C1666E"/>
    <w:rsid w:val="67C25F42"/>
    <w:rsid w:val="67C27CF0"/>
    <w:rsid w:val="67C41CBB"/>
    <w:rsid w:val="67C43A69"/>
    <w:rsid w:val="67C47F0C"/>
    <w:rsid w:val="67C717AB"/>
    <w:rsid w:val="67C9069F"/>
    <w:rsid w:val="67C9107F"/>
    <w:rsid w:val="67C95523"/>
    <w:rsid w:val="67C972D1"/>
    <w:rsid w:val="67CA27D4"/>
    <w:rsid w:val="67CA4DF7"/>
    <w:rsid w:val="67D143D7"/>
    <w:rsid w:val="67D16185"/>
    <w:rsid w:val="67D30150"/>
    <w:rsid w:val="67D55C76"/>
    <w:rsid w:val="67D619EE"/>
    <w:rsid w:val="67D77C40"/>
    <w:rsid w:val="67D839B8"/>
    <w:rsid w:val="67DA14DE"/>
    <w:rsid w:val="67DA328C"/>
    <w:rsid w:val="67DD2D7C"/>
    <w:rsid w:val="67DD4B2A"/>
    <w:rsid w:val="67E265E5"/>
    <w:rsid w:val="67E364E5"/>
    <w:rsid w:val="67E61C31"/>
    <w:rsid w:val="67E660D5"/>
    <w:rsid w:val="67E73BFB"/>
    <w:rsid w:val="67E91721"/>
    <w:rsid w:val="67EB36EB"/>
    <w:rsid w:val="67EB5499"/>
    <w:rsid w:val="67EC2FBF"/>
    <w:rsid w:val="67EC5312"/>
    <w:rsid w:val="67EE0AE5"/>
    <w:rsid w:val="67EE31DB"/>
    <w:rsid w:val="67EE4F89"/>
    <w:rsid w:val="67EE6D37"/>
    <w:rsid w:val="67F00D02"/>
    <w:rsid w:val="67F21A05"/>
    <w:rsid w:val="67F26828"/>
    <w:rsid w:val="67F3434E"/>
    <w:rsid w:val="67F73E3E"/>
    <w:rsid w:val="67F87BB6"/>
    <w:rsid w:val="67FA1B80"/>
    <w:rsid w:val="67FB4C6E"/>
    <w:rsid w:val="67FC76A6"/>
    <w:rsid w:val="67FD51CC"/>
    <w:rsid w:val="67FE215F"/>
    <w:rsid w:val="67FF2CF3"/>
    <w:rsid w:val="68000819"/>
    <w:rsid w:val="68014CBD"/>
    <w:rsid w:val="68030A35"/>
    <w:rsid w:val="68036BC2"/>
    <w:rsid w:val="68040309"/>
    <w:rsid w:val="68060525"/>
    <w:rsid w:val="680622D3"/>
    <w:rsid w:val="68077DF9"/>
    <w:rsid w:val="68091DC3"/>
    <w:rsid w:val="681349F0"/>
    <w:rsid w:val="6816444D"/>
    <w:rsid w:val="6817003C"/>
    <w:rsid w:val="68183DB4"/>
    <w:rsid w:val="68190088"/>
    <w:rsid w:val="68196D9E"/>
    <w:rsid w:val="681A5D7E"/>
    <w:rsid w:val="681D13CB"/>
    <w:rsid w:val="681D761D"/>
    <w:rsid w:val="681E591C"/>
    <w:rsid w:val="681F15E7"/>
    <w:rsid w:val="681F3395"/>
    <w:rsid w:val="681F5143"/>
    <w:rsid w:val="681F6961"/>
    <w:rsid w:val="68227E19"/>
    <w:rsid w:val="68232E85"/>
    <w:rsid w:val="68246BFD"/>
    <w:rsid w:val="68262975"/>
    <w:rsid w:val="68273FF7"/>
    <w:rsid w:val="68282249"/>
    <w:rsid w:val="68294213"/>
    <w:rsid w:val="682A65AB"/>
    <w:rsid w:val="682B1D3A"/>
    <w:rsid w:val="682B7F8C"/>
    <w:rsid w:val="682C160E"/>
    <w:rsid w:val="682D3D04"/>
    <w:rsid w:val="682E182A"/>
    <w:rsid w:val="683230C8"/>
    <w:rsid w:val="68324E76"/>
    <w:rsid w:val="6832790E"/>
    <w:rsid w:val="68330BEE"/>
    <w:rsid w:val="6833299C"/>
    <w:rsid w:val="68352BB8"/>
    <w:rsid w:val="68386205"/>
    <w:rsid w:val="68391019"/>
    <w:rsid w:val="683926A8"/>
    <w:rsid w:val="68394457"/>
    <w:rsid w:val="683C09C0"/>
    <w:rsid w:val="683E1A6D"/>
    <w:rsid w:val="683E2B75"/>
    <w:rsid w:val="683F7593"/>
    <w:rsid w:val="6841330B"/>
    <w:rsid w:val="68424832"/>
    <w:rsid w:val="68427403"/>
    <w:rsid w:val="68437083"/>
    <w:rsid w:val="6844104D"/>
    <w:rsid w:val="6848469A"/>
    <w:rsid w:val="684B23DC"/>
    <w:rsid w:val="684B5F38"/>
    <w:rsid w:val="684D1CB0"/>
    <w:rsid w:val="684D7F02"/>
    <w:rsid w:val="684E5A28"/>
    <w:rsid w:val="684E77D6"/>
    <w:rsid w:val="684F3C7A"/>
    <w:rsid w:val="6850354E"/>
    <w:rsid w:val="685079F2"/>
    <w:rsid w:val="6852376A"/>
    <w:rsid w:val="68525518"/>
    <w:rsid w:val="685257B7"/>
    <w:rsid w:val="68531C91"/>
    <w:rsid w:val="68541290"/>
    <w:rsid w:val="68556DB7"/>
    <w:rsid w:val="68572B2F"/>
    <w:rsid w:val="685A43CD"/>
    <w:rsid w:val="685D28CA"/>
    <w:rsid w:val="685E3D5A"/>
    <w:rsid w:val="685F19E3"/>
    <w:rsid w:val="685F7C35"/>
    <w:rsid w:val="68610A2F"/>
    <w:rsid w:val="68616BF2"/>
    <w:rsid w:val="68617509"/>
    <w:rsid w:val="686226DB"/>
    <w:rsid w:val="68633281"/>
    <w:rsid w:val="6865349E"/>
    <w:rsid w:val="68660FC4"/>
    <w:rsid w:val="68663C2D"/>
    <w:rsid w:val="686750BD"/>
    <w:rsid w:val="68680898"/>
    <w:rsid w:val="68684D3C"/>
    <w:rsid w:val="68686AEA"/>
    <w:rsid w:val="686B0388"/>
    <w:rsid w:val="686D2352"/>
    <w:rsid w:val="686E1C26"/>
    <w:rsid w:val="68701E42"/>
    <w:rsid w:val="68713461"/>
    <w:rsid w:val="68721717"/>
    <w:rsid w:val="6874548F"/>
    <w:rsid w:val="68751207"/>
    <w:rsid w:val="687731D1"/>
    <w:rsid w:val="68784853"/>
    <w:rsid w:val="68786042"/>
    <w:rsid w:val="68792AA5"/>
    <w:rsid w:val="687A05CB"/>
    <w:rsid w:val="687D1EB4"/>
    <w:rsid w:val="687E1E14"/>
    <w:rsid w:val="68802085"/>
    <w:rsid w:val="68805514"/>
    <w:rsid w:val="68805C64"/>
    <w:rsid w:val="68815DFE"/>
    <w:rsid w:val="68817BAC"/>
    <w:rsid w:val="68821CC5"/>
    <w:rsid w:val="68831B76"/>
    <w:rsid w:val="6884144A"/>
    <w:rsid w:val="68880F3A"/>
    <w:rsid w:val="68882CE8"/>
    <w:rsid w:val="688A4CB2"/>
    <w:rsid w:val="688B0A2A"/>
    <w:rsid w:val="688B27D8"/>
    <w:rsid w:val="688B4586"/>
    <w:rsid w:val="688C0519"/>
    <w:rsid w:val="688C5948"/>
    <w:rsid w:val="688D6550"/>
    <w:rsid w:val="688D6DD8"/>
    <w:rsid w:val="688E327E"/>
    <w:rsid w:val="688E4077"/>
    <w:rsid w:val="688F22C8"/>
    <w:rsid w:val="68914293"/>
    <w:rsid w:val="689217BA"/>
    <w:rsid w:val="6894168D"/>
    <w:rsid w:val="68975621"/>
    <w:rsid w:val="68993147"/>
    <w:rsid w:val="68994715"/>
    <w:rsid w:val="689C49E5"/>
    <w:rsid w:val="689E69AF"/>
    <w:rsid w:val="689F6284"/>
    <w:rsid w:val="68A044D6"/>
    <w:rsid w:val="68A11FFC"/>
    <w:rsid w:val="68A166DE"/>
    <w:rsid w:val="68A35D74"/>
    <w:rsid w:val="68A45648"/>
    <w:rsid w:val="68A564EF"/>
    <w:rsid w:val="68A815DC"/>
    <w:rsid w:val="68AA0EB0"/>
    <w:rsid w:val="68AA36E2"/>
    <w:rsid w:val="68AA7102"/>
    <w:rsid w:val="68AB2E7A"/>
    <w:rsid w:val="68AD274F"/>
    <w:rsid w:val="68AE0CE2"/>
    <w:rsid w:val="68AF296B"/>
    <w:rsid w:val="68AF38B3"/>
    <w:rsid w:val="68B00491"/>
    <w:rsid w:val="68B0223F"/>
    <w:rsid w:val="68B03FED"/>
    <w:rsid w:val="68B166E3"/>
    <w:rsid w:val="68B25FB7"/>
    <w:rsid w:val="68B31E9D"/>
    <w:rsid w:val="68B41D2F"/>
    <w:rsid w:val="68B47F81"/>
    <w:rsid w:val="68B57855"/>
    <w:rsid w:val="68B63CF9"/>
    <w:rsid w:val="68B72045"/>
    <w:rsid w:val="68B735CD"/>
    <w:rsid w:val="68BC0BE4"/>
    <w:rsid w:val="68BC6E36"/>
    <w:rsid w:val="68BD6E02"/>
    <w:rsid w:val="68BE2BAE"/>
    <w:rsid w:val="68BE670A"/>
    <w:rsid w:val="68BF2482"/>
    <w:rsid w:val="68C006D4"/>
    <w:rsid w:val="68C1269E"/>
    <w:rsid w:val="68C15CC8"/>
    <w:rsid w:val="68C217C3"/>
    <w:rsid w:val="68C31F72"/>
    <w:rsid w:val="68C33D20"/>
    <w:rsid w:val="68C77CB4"/>
    <w:rsid w:val="68C83A2C"/>
    <w:rsid w:val="68C9702B"/>
    <w:rsid w:val="68CA50AF"/>
    <w:rsid w:val="68CA77A4"/>
    <w:rsid w:val="68CB7079"/>
    <w:rsid w:val="68CD2DF1"/>
    <w:rsid w:val="68CE229C"/>
    <w:rsid w:val="68CF6B69"/>
    <w:rsid w:val="68D221B5"/>
    <w:rsid w:val="68D45F2D"/>
    <w:rsid w:val="68D66149"/>
    <w:rsid w:val="68D67EF7"/>
    <w:rsid w:val="68D73C6F"/>
    <w:rsid w:val="68D91796"/>
    <w:rsid w:val="68D93544"/>
    <w:rsid w:val="68DB3760"/>
    <w:rsid w:val="68DC1286"/>
    <w:rsid w:val="68DC4DE2"/>
    <w:rsid w:val="68DE6DAC"/>
    <w:rsid w:val="68DE7DC1"/>
    <w:rsid w:val="68E02B24"/>
    <w:rsid w:val="68E1064A"/>
    <w:rsid w:val="68E322A8"/>
    <w:rsid w:val="68E5638C"/>
    <w:rsid w:val="68E65C61"/>
    <w:rsid w:val="68E819D9"/>
    <w:rsid w:val="68EA39A3"/>
    <w:rsid w:val="68EB3277"/>
    <w:rsid w:val="68EC14C9"/>
    <w:rsid w:val="68EC2192"/>
    <w:rsid w:val="68EF0D46"/>
    <w:rsid w:val="68EF7605"/>
    <w:rsid w:val="68F20AA9"/>
    <w:rsid w:val="68F24605"/>
    <w:rsid w:val="68F30A82"/>
    <w:rsid w:val="68F42855"/>
    <w:rsid w:val="68F6059A"/>
    <w:rsid w:val="68F640F6"/>
    <w:rsid w:val="68F71C1C"/>
    <w:rsid w:val="68F826E8"/>
    <w:rsid w:val="68F93288"/>
    <w:rsid w:val="68FB5BB0"/>
    <w:rsid w:val="68FB72E9"/>
    <w:rsid w:val="68FD47DA"/>
    <w:rsid w:val="69020CEC"/>
    <w:rsid w:val="6903064C"/>
    <w:rsid w:val="69046F0B"/>
    <w:rsid w:val="6907588C"/>
    <w:rsid w:val="690802CD"/>
    <w:rsid w:val="69083E29"/>
    <w:rsid w:val="69085BD7"/>
    <w:rsid w:val="69097887"/>
    <w:rsid w:val="690B6DDE"/>
    <w:rsid w:val="690C3919"/>
    <w:rsid w:val="690E0AFE"/>
    <w:rsid w:val="69126A56"/>
    <w:rsid w:val="691427CE"/>
    <w:rsid w:val="69144529"/>
    <w:rsid w:val="69156B70"/>
    <w:rsid w:val="69164798"/>
    <w:rsid w:val="691722BE"/>
    <w:rsid w:val="6917406C"/>
    <w:rsid w:val="69180510"/>
    <w:rsid w:val="69194288"/>
    <w:rsid w:val="69197DE4"/>
    <w:rsid w:val="691B3B5C"/>
    <w:rsid w:val="691C5F90"/>
    <w:rsid w:val="691C78D4"/>
    <w:rsid w:val="691E53FA"/>
    <w:rsid w:val="69201173"/>
    <w:rsid w:val="69205616"/>
    <w:rsid w:val="692073C4"/>
    <w:rsid w:val="69207B74"/>
    <w:rsid w:val="69230C63"/>
    <w:rsid w:val="69272501"/>
    <w:rsid w:val="692A1FF1"/>
    <w:rsid w:val="692C7B17"/>
    <w:rsid w:val="692D1AE1"/>
    <w:rsid w:val="692E7D33"/>
    <w:rsid w:val="692F585A"/>
    <w:rsid w:val="692F7608"/>
    <w:rsid w:val="69310AF9"/>
    <w:rsid w:val="69316E2F"/>
    <w:rsid w:val="69320EA6"/>
    <w:rsid w:val="6933534A"/>
    <w:rsid w:val="693410C2"/>
    <w:rsid w:val="693469CC"/>
    <w:rsid w:val="69361D9A"/>
    <w:rsid w:val="69366BE8"/>
    <w:rsid w:val="693764BC"/>
    <w:rsid w:val="69390486"/>
    <w:rsid w:val="69392234"/>
    <w:rsid w:val="693966D8"/>
    <w:rsid w:val="693D1D24"/>
    <w:rsid w:val="693D7F76"/>
    <w:rsid w:val="693E052C"/>
    <w:rsid w:val="693E3CEF"/>
    <w:rsid w:val="693E5A9D"/>
    <w:rsid w:val="69401815"/>
    <w:rsid w:val="69407A67"/>
    <w:rsid w:val="694162D5"/>
    <w:rsid w:val="6942733B"/>
    <w:rsid w:val="69431305"/>
    <w:rsid w:val="6945507D"/>
    <w:rsid w:val="69456E2B"/>
    <w:rsid w:val="694766FF"/>
    <w:rsid w:val="69476824"/>
    <w:rsid w:val="694C1F68"/>
    <w:rsid w:val="694C640B"/>
    <w:rsid w:val="694D7A8E"/>
    <w:rsid w:val="694E2071"/>
    <w:rsid w:val="694E2184"/>
    <w:rsid w:val="69513396"/>
    <w:rsid w:val="69513A22"/>
    <w:rsid w:val="6951757E"/>
    <w:rsid w:val="69564B94"/>
    <w:rsid w:val="6958090C"/>
    <w:rsid w:val="695847ED"/>
    <w:rsid w:val="69586B5E"/>
    <w:rsid w:val="695928D6"/>
    <w:rsid w:val="69594684"/>
    <w:rsid w:val="69595134"/>
    <w:rsid w:val="695D23C7"/>
    <w:rsid w:val="695D4175"/>
    <w:rsid w:val="695D5F23"/>
    <w:rsid w:val="695E1C9B"/>
    <w:rsid w:val="695F613F"/>
    <w:rsid w:val="69605A13"/>
    <w:rsid w:val="696077C1"/>
    <w:rsid w:val="696279DD"/>
    <w:rsid w:val="69635503"/>
    <w:rsid w:val="69637127"/>
    <w:rsid w:val="696372B1"/>
    <w:rsid w:val="69643755"/>
    <w:rsid w:val="6965127B"/>
    <w:rsid w:val="696574CD"/>
    <w:rsid w:val="69670B4F"/>
    <w:rsid w:val="69673FE6"/>
    <w:rsid w:val="69674FF3"/>
    <w:rsid w:val="69676DA1"/>
    <w:rsid w:val="69683798"/>
    <w:rsid w:val="696A6892"/>
    <w:rsid w:val="697033BA"/>
    <w:rsid w:val="697119CE"/>
    <w:rsid w:val="69715E72"/>
    <w:rsid w:val="69717C20"/>
    <w:rsid w:val="69733998"/>
    <w:rsid w:val="697414BE"/>
    <w:rsid w:val="6974326C"/>
    <w:rsid w:val="69763488"/>
    <w:rsid w:val="69766163"/>
    <w:rsid w:val="69796AD5"/>
    <w:rsid w:val="697A3B33"/>
    <w:rsid w:val="697B0A9F"/>
    <w:rsid w:val="697C3159"/>
    <w:rsid w:val="697D65C5"/>
    <w:rsid w:val="697E59BE"/>
    <w:rsid w:val="697F058F"/>
    <w:rsid w:val="698060B5"/>
    <w:rsid w:val="69823BDB"/>
    <w:rsid w:val="69825989"/>
    <w:rsid w:val="69845BA5"/>
    <w:rsid w:val="69847953"/>
    <w:rsid w:val="6985242A"/>
    <w:rsid w:val="69855479"/>
    <w:rsid w:val="698A0CE2"/>
    <w:rsid w:val="698A2A90"/>
    <w:rsid w:val="698E0084"/>
    <w:rsid w:val="698E7C07"/>
    <w:rsid w:val="698F000C"/>
    <w:rsid w:val="6990454A"/>
    <w:rsid w:val="699102C2"/>
    <w:rsid w:val="69931944"/>
    <w:rsid w:val="69937B96"/>
    <w:rsid w:val="6994390F"/>
    <w:rsid w:val="699456BD"/>
    <w:rsid w:val="69981651"/>
    <w:rsid w:val="699833FF"/>
    <w:rsid w:val="69987F14"/>
    <w:rsid w:val="699B6A4B"/>
    <w:rsid w:val="699D0A15"/>
    <w:rsid w:val="699D27C3"/>
    <w:rsid w:val="699F29DF"/>
    <w:rsid w:val="69A00505"/>
    <w:rsid w:val="69A2602B"/>
    <w:rsid w:val="69A27DD9"/>
    <w:rsid w:val="69A30E1A"/>
    <w:rsid w:val="69A47FF6"/>
    <w:rsid w:val="69A578CA"/>
    <w:rsid w:val="69A70B49"/>
    <w:rsid w:val="69A73642"/>
    <w:rsid w:val="69A9560C"/>
    <w:rsid w:val="69AC6EAA"/>
    <w:rsid w:val="69AC7382"/>
    <w:rsid w:val="69AD360D"/>
    <w:rsid w:val="69AE2C22"/>
    <w:rsid w:val="69B144C0"/>
    <w:rsid w:val="69B1626F"/>
    <w:rsid w:val="69B4358D"/>
    <w:rsid w:val="69B63885"/>
    <w:rsid w:val="69B72684"/>
    <w:rsid w:val="69B82081"/>
    <w:rsid w:val="69BA3375"/>
    <w:rsid w:val="69BB533F"/>
    <w:rsid w:val="69BB70ED"/>
    <w:rsid w:val="69BD2E65"/>
    <w:rsid w:val="69BD4C13"/>
    <w:rsid w:val="69BE4811"/>
    <w:rsid w:val="69BF098B"/>
    <w:rsid w:val="69C02956"/>
    <w:rsid w:val="69C12F13"/>
    <w:rsid w:val="69C2047C"/>
    <w:rsid w:val="69C2222A"/>
    <w:rsid w:val="69C22990"/>
    <w:rsid w:val="69C266CE"/>
    <w:rsid w:val="69C37376"/>
    <w:rsid w:val="69C73CE4"/>
    <w:rsid w:val="69C97A5C"/>
    <w:rsid w:val="69CA7330"/>
    <w:rsid w:val="69CC30A8"/>
    <w:rsid w:val="69CE5072"/>
    <w:rsid w:val="69CF3DD6"/>
    <w:rsid w:val="69CF4947"/>
    <w:rsid w:val="69D00DEB"/>
    <w:rsid w:val="69D166F6"/>
    <w:rsid w:val="69D16911"/>
    <w:rsid w:val="69D34437"/>
    <w:rsid w:val="69D44760"/>
    <w:rsid w:val="69D501AF"/>
    <w:rsid w:val="69D52819"/>
    <w:rsid w:val="69D81A4D"/>
    <w:rsid w:val="69D837FB"/>
    <w:rsid w:val="69D97A59"/>
    <w:rsid w:val="69DA7573"/>
    <w:rsid w:val="69E20B1E"/>
    <w:rsid w:val="69E228CC"/>
    <w:rsid w:val="69E403F2"/>
    <w:rsid w:val="69E421A0"/>
    <w:rsid w:val="69E71C90"/>
    <w:rsid w:val="69E77EE2"/>
    <w:rsid w:val="69E95A08"/>
    <w:rsid w:val="69F078E4"/>
    <w:rsid w:val="69F30635"/>
    <w:rsid w:val="69F331D1"/>
    <w:rsid w:val="69F44661"/>
    <w:rsid w:val="69F60125"/>
    <w:rsid w:val="69F66377"/>
    <w:rsid w:val="69FA5E67"/>
    <w:rsid w:val="69FC398E"/>
    <w:rsid w:val="69FD14B4"/>
    <w:rsid w:val="69FD15C7"/>
    <w:rsid w:val="6A010FA4"/>
    <w:rsid w:val="6A026ACA"/>
    <w:rsid w:val="6A047FD5"/>
    <w:rsid w:val="6A050368"/>
    <w:rsid w:val="6A070584"/>
    <w:rsid w:val="6A0942FC"/>
    <w:rsid w:val="6A095347"/>
    <w:rsid w:val="6A0953F7"/>
    <w:rsid w:val="6A0A597F"/>
    <w:rsid w:val="6A0B1E23"/>
    <w:rsid w:val="6A0B3BD1"/>
    <w:rsid w:val="6A0D6949"/>
    <w:rsid w:val="6A0E1913"/>
    <w:rsid w:val="6A1011E7"/>
    <w:rsid w:val="6A1026F9"/>
    <w:rsid w:val="6A114F5F"/>
    <w:rsid w:val="6A116D0D"/>
    <w:rsid w:val="6A136F29"/>
    <w:rsid w:val="6A162806"/>
    <w:rsid w:val="6A16656B"/>
    <w:rsid w:val="6A18009C"/>
    <w:rsid w:val="6A184540"/>
    <w:rsid w:val="6A1862EE"/>
    <w:rsid w:val="6A1B7B8C"/>
    <w:rsid w:val="6A1C5DDE"/>
    <w:rsid w:val="6A1D1B56"/>
    <w:rsid w:val="6A1D3904"/>
    <w:rsid w:val="6A1D43F7"/>
    <w:rsid w:val="6A1F3163"/>
    <w:rsid w:val="6A1F58CE"/>
    <w:rsid w:val="6A1F669D"/>
    <w:rsid w:val="6A2021EE"/>
    <w:rsid w:val="6A211646"/>
    <w:rsid w:val="6A243740"/>
    <w:rsid w:val="6A246A40"/>
    <w:rsid w:val="6A274783"/>
    <w:rsid w:val="6A276531"/>
    <w:rsid w:val="6A2829D5"/>
    <w:rsid w:val="6A2904FB"/>
    <w:rsid w:val="6A2922A9"/>
    <w:rsid w:val="6A2B6021"/>
    <w:rsid w:val="6A2C3B47"/>
    <w:rsid w:val="6A2D7FEB"/>
    <w:rsid w:val="6A2E3D63"/>
    <w:rsid w:val="6A2E5B11"/>
    <w:rsid w:val="6A2E78BF"/>
    <w:rsid w:val="6A301889"/>
    <w:rsid w:val="6A303637"/>
    <w:rsid w:val="6A3053E5"/>
    <w:rsid w:val="6A31115D"/>
    <w:rsid w:val="6A333127"/>
    <w:rsid w:val="6A352F84"/>
    <w:rsid w:val="6A356EA0"/>
    <w:rsid w:val="6A357AB1"/>
    <w:rsid w:val="6A366774"/>
    <w:rsid w:val="6A372C18"/>
    <w:rsid w:val="6A3749C6"/>
    <w:rsid w:val="6A3C6480"/>
    <w:rsid w:val="6A3D5D54"/>
    <w:rsid w:val="6A3D7B02"/>
    <w:rsid w:val="6A3F1ACC"/>
    <w:rsid w:val="6A400097"/>
    <w:rsid w:val="6A413A96"/>
    <w:rsid w:val="6A42336B"/>
    <w:rsid w:val="6A436A18"/>
    <w:rsid w:val="6A4610AD"/>
    <w:rsid w:val="6A470981"/>
    <w:rsid w:val="6A486BD3"/>
    <w:rsid w:val="6A4B0471"/>
    <w:rsid w:val="6A4C3E1C"/>
    <w:rsid w:val="6A4D41E9"/>
    <w:rsid w:val="6A4E61B3"/>
    <w:rsid w:val="6A4E7F61"/>
    <w:rsid w:val="6A503CD9"/>
    <w:rsid w:val="6A507835"/>
    <w:rsid w:val="6A507B8C"/>
    <w:rsid w:val="6A515BCF"/>
    <w:rsid w:val="6A520EC7"/>
    <w:rsid w:val="6A52507D"/>
    <w:rsid w:val="6A537326"/>
    <w:rsid w:val="6A5437CA"/>
    <w:rsid w:val="6A5512F0"/>
    <w:rsid w:val="6A582B8E"/>
    <w:rsid w:val="6A58493C"/>
    <w:rsid w:val="6A5A06B4"/>
    <w:rsid w:val="6A5A4F50"/>
    <w:rsid w:val="6A5B4C9F"/>
    <w:rsid w:val="6A5C442C"/>
    <w:rsid w:val="6A5D01A4"/>
    <w:rsid w:val="6A5F3F1C"/>
    <w:rsid w:val="6A5F4521"/>
    <w:rsid w:val="6A5F4BF7"/>
    <w:rsid w:val="6A5F5CCB"/>
    <w:rsid w:val="6A623431"/>
    <w:rsid w:val="6A627569"/>
    <w:rsid w:val="6A636002"/>
    <w:rsid w:val="6A6652AB"/>
    <w:rsid w:val="6A667059"/>
    <w:rsid w:val="6A670B20"/>
    <w:rsid w:val="6A681023"/>
    <w:rsid w:val="6A682DD1"/>
    <w:rsid w:val="6A707ED8"/>
    <w:rsid w:val="6A7115D6"/>
    <w:rsid w:val="6A721EA2"/>
    <w:rsid w:val="6A723C50"/>
    <w:rsid w:val="6A731776"/>
    <w:rsid w:val="6A732A38"/>
    <w:rsid w:val="6A7379C8"/>
    <w:rsid w:val="6A745C1A"/>
    <w:rsid w:val="6A7554EE"/>
    <w:rsid w:val="6A764FD4"/>
    <w:rsid w:val="6A786D8C"/>
    <w:rsid w:val="6A793230"/>
    <w:rsid w:val="6A7A6FA8"/>
    <w:rsid w:val="6A7C4ACE"/>
    <w:rsid w:val="6A7C687C"/>
    <w:rsid w:val="6A7D0039"/>
    <w:rsid w:val="6A7E0847"/>
    <w:rsid w:val="6A7F45BF"/>
    <w:rsid w:val="6A7F636D"/>
    <w:rsid w:val="6A815C41"/>
    <w:rsid w:val="6A843983"/>
    <w:rsid w:val="6A845731"/>
    <w:rsid w:val="6A8676FB"/>
    <w:rsid w:val="6A885221"/>
    <w:rsid w:val="6A892D47"/>
    <w:rsid w:val="6A8B2F63"/>
    <w:rsid w:val="6A8B5C65"/>
    <w:rsid w:val="6A8B6AC0"/>
    <w:rsid w:val="6A8E65B0"/>
    <w:rsid w:val="6A8F3B8F"/>
    <w:rsid w:val="6A9164AF"/>
    <w:rsid w:val="6A9242F2"/>
    <w:rsid w:val="6A935974"/>
    <w:rsid w:val="6A94006A"/>
    <w:rsid w:val="6A941E18"/>
    <w:rsid w:val="6A9516EC"/>
    <w:rsid w:val="6A971908"/>
    <w:rsid w:val="6A972321"/>
    <w:rsid w:val="6A9736B6"/>
    <w:rsid w:val="6A995680"/>
    <w:rsid w:val="6A9C35C2"/>
    <w:rsid w:val="6A9D7623"/>
    <w:rsid w:val="6A9E67F3"/>
    <w:rsid w:val="6A9F07BD"/>
    <w:rsid w:val="6A9F1F43"/>
    <w:rsid w:val="6A9F256B"/>
    <w:rsid w:val="6AA06A0F"/>
    <w:rsid w:val="6AA07179"/>
    <w:rsid w:val="6AA10091"/>
    <w:rsid w:val="6AA47B81"/>
    <w:rsid w:val="6AA55DB5"/>
    <w:rsid w:val="6AA67D9D"/>
    <w:rsid w:val="6AA81420"/>
    <w:rsid w:val="6AA858C3"/>
    <w:rsid w:val="6AA95198"/>
    <w:rsid w:val="6AAB3712"/>
    <w:rsid w:val="6AAB53B4"/>
    <w:rsid w:val="6AAE27AE"/>
    <w:rsid w:val="6AAF1A38"/>
    <w:rsid w:val="6AB029CA"/>
    <w:rsid w:val="6AB06526"/>
    <w:rsid w:val="6AB11548"/>
    <w:rsid w:val="6AB204F0"/>
    <w:rsid w:val="6AB37DC4"/>
    <w:rsid w:val="6AB46016"/>
    <w:rsid w:val="6AB53B3C"/>
    <w:rsid w:val="6AB57FE0"/>
    <w:rsid w:val="6AB75B07"/>
    <w:rsid w:val="6AB9362D"/>
    <w:rsid w:val="6AB954A9"/>
    <w:rsid w:val="6AB956BB"/>
    <w:rsid w:val="6AB97AD1"/>
    <w:rsid w:val="6ABA55F7"/>
    <w:rsid w:val="6ABA73A5"/>
    <w:rsid w:val="6ABD6C0D"/>
    <w:rsid w:val="6ABE0C43"/>
    <w:rsid w:val="6ABE50E7"/>
    <w:rsid w:val="6AC02C0D"/>
    <w:rsid w:val="6AC10733"/>
    <w:rsid w:val="6AC16985"/>
    <w:rsid w:val="6AC50223"/>
    <w:rsid w:val="6AC56475"/>
    <w:rsid w:val="6AC62455"/>
    <w:rsid w:val="6AC67AF8"/>
    <w:rsid w:val="6AC83870"/>
    <w:rsid w:val="6ACA583A"/>
    <w:rsid w:val="6ACB15B2"/>
    <w:rsid w:val="6ACB3360"/>
    <w:rsid w:val="6ACD0E86"/>
    <w:rsid w:val="6ACD532A"/>
    <w:rsid w:val="6ACD6702"/>
    <w:rsid w:val="6ACF10A2"/>
    <w:rsid w:val="6AD00976"/>
    <w:rsid w:val="6AD05839"/>
    <w:rsid w:val="6AD06BC8"/>
    <w:rsid w:val="6AD20B92"/>
    <w:rsid w:val="6AD22940"/>
    <w:rsid w:val="6AD30E33"/>
    <w:rsid w:val="6AD466B8"/>
    <w:rsid w:val="6AD541DF"/>
    <w:rsid w:val="6AD55F8D"/>
    <w:rsid w:val="6AD64BE3"/>
    <w:rsid w:val="6AD70C43"/>
    <w:rsid w:val="6AD93CCF"/>
    <w:rsid w:val="6ADA17F5"/>
    <w:rsid w:val="6ADA35A3"/>
    <w:rsid w:val="6ADD4AB5"/>
    <w:rsid w:val="6ADE12E5"/>
    <w:rsid w:val="6ADF0BB9"/>
    <w:rsid w:val="6ADF73D5"/>
    <w:rsid w:val="6AE10DD5"/>
    <w:rsid w:val="6AE12B83"/>
    <w:rsid w:val="6AE306AA"/>
    <w:rsid w:val="6AE34B4E"/>
    <w:rsid w:val="6AE368FC"/>
    <w:rsid w:val="6AE52674"/>
    <w:rsid w:val="6AE61F48"/>
    <w:rsid w:val="6AE83F12"/>
    <w:rsid w:val="6AE85CC0"/>
    <w:rsid w:val="6AEA1A38"/>
    <w:rsid w:val="6AEC1C54"/>
    <w:rsid w:val="6AED32D6"/>
    <w:rsid w:val="6AED777A"/>
    <w:rsid w:val="6AEF6ECA"/>
    <w:rsid w:val="6AF12F2B"/>
    <w:rsid w:val="6AF26B3F"/>
    <w:rsid w:val="6AF3041C"/>
    <w:rsid w:val="6AF4472E"/>
    <w:rsid w:val="6AF705F9"/>
    <w:rsid w:val="6AF87E20"/>
    <w:rsid w:val="6AF91C7B"/>
    <w:rsid w:val="6AFA462A"/>
    <w:rsid w:val="6AFA59F3"/>
    <w:rsid w:val="6AFC5C0F"/>
    <w:rsid w:val="6AFC79BD"/>
    <w:rsid w:val="6AFE3735"/>
    <w:rsid w:val="6AFE7291"/>
    <w:rsid w:val="6B000F7C"/>
    <w:rsid w:val="6B00125C"/>
    <w:rsid w:val="6B00162A"/>
    <w:rsid w:val="6B013226"/>
    <w:rsid w:val="6B030D4C"/>
    <w:rsid w:val="6B032AFA"/>
    <w:rsid w:val="6B045001"/>
    <w:rsid w:val="6B0510F0"/>
    <w:rsid w:val="6B056872"/>
    <w:rsid w:val="6B075151"/>
    <w:rsid w:val="6B080110"/>
    <w:rsid w:val="6B086362"/>
    <w:rsid w:val="6B0B7C00"/>
    <w:rsid w:val="6B0D3978"/>
    <w:rsid w:val="6B0F149F"/>
    <w:rsid w:val="6B0F64B4"/>
    <w:rsid w:val="6B105217"/>
    <w:rsid w:val="6B1116BB"/>
    <w:rsid w:val="6B113469"/>
    <w:rsid w:val="6B1271E1"/>
    <w:rsid w:val="6B15282D"/>
    <w:rsid w:val="6B166CD1"/>
    <w:rsid w:val="6B170353"/>
    <w:rsid w:val="6B19231D"/>
    <w:rsid w:val="6B1B6095"/>
    <w:rsid w:val="6B1C3BBC"/>
    <w:rsid w:val="6B1C5EE7"/>
    <w:rsid w:val="6B1D005F"/>
    <w:rsid w:val="6B1E7934"/>
    <w:rsid w:val="6B2018FE"/>
    <w:rsid w:val="6B202B98"/>
    <w:rsid w:val="6B2036AC"/>
    <w:rsid w:val="6B20545A"/>
    <w:rsid w:val="6B207439"/>
    <w:rsid w:val="6B2111D2"/>
    <w:rsid w:val="6B217424"/>
    <w:rsid w:val="6B224F00"/>
    <w:rsid w:val="6B2313EE"/>
    <w:rsid w:val="6B2642C5"/>
    <w:rsid w:val="6B264A3A"/>
    <w:rsid w:val="6B293D9A"/>
    <w:rsid w:val="6B2A62D8"/>
    <w:rsid w:val="6B2C2051"/>
    <w:rsid w:val="6B306F2E"/>
    <w:rsid w:val="6B322639"/>
    <w:rsid w:val="6B32518D"/>
    <w:rsid w:val="6B362ECF"/>
    <w:rsid w:val="6B364C7D"/>
    <w:rsid w:val="6B3709F5"/>
    <w:rsid w:val="6B3B04E6"/>
    <w:rsid w:val="6B3C600C"/>
    <w:rsid w:val="6B3D24B0"/>
    <w:rsid w:val="6B3D425E"/>
    <w:rsid w:val="6B3E7FD6"/>
    <w:rsid w:val="6B43383E"/>
    <w:rsid w:val="6B451364"/>
    <w:rsid w:val="6B457CC4"/>
    <w:rsid w:val="6B460C38"/>
    <w:rsid w:val="6B476E8A"/>
    <w:rsid w:val="6B4849B1"/>
    <w:rsid w:val="6B4A0729"/>
    <w:rsid w:val="6B4B624F"/>
    <w:rsid w:val="6B4C26F3"/>
    <w:rsid w:val="6B4D11F5"/>
    <w:rsid w:val="6B52582F"/>
    <w:rsid w:val="6B5275DD"/>
    <w:rsid w:val="6B533758"/>
    <w:rsid w:val="6B543355"/>
    <w:rsid w:val="6B56531F"/>
    <w:rsid w:val="6B572A56"/>
    <w:rsid w:val="6B572E46"/>
    <w:rsid w:val="6B5949F9"/>
    <w:rsid w:val="6B5B46E4"/>
    <w:rsid w:val="6B5C220A"/>
    <w:rsid w:val="6B5E5F82"/>
    <w:rsid w:val="6B5F298E"/>
    <w:rsid w:val="6B607F4C"/>
    <w:rsid w:val="6B621F16"/>
    <w:rsid w:val="6B623CC4"/>
    <w:rsid w:val="6B655563"/>
    <w:rsid w:val="6B655B6D"/>
    <w:rsid w:val="6B666FFD"/>
    <w:rsid w:val="6B673089"/>
    <w:rsid w:val="6B6C069F"/>
    <w:rsid w:val="6B6E213C"/>
    <w:rsid w:val="6B6E578F"/>
    <w:rsid w:val="6B712159"/>
    <w:rsid w:val="6B713F07"/>
    <w:rsid w:val="6B726CE1"/>
    <w:rsid w:val="6B753F21"/>
    <w:rsid w:val="6B79100E"/>
    <w:rsid w:val="6B7B4D86"/>
    <w:rsid w:val="6B7D28AC"/>
    <w:rsid w:val="6B7E4876"/>
    <w:rsid w:val="6B7E5CE7"/>
    <w:rsid w:val="6B8005EE"/>
    <w:rsid w:val="6B811C71"/>
    <w:rsid w:val="6B8359E9"/>
    <w:rsid w:val="6B855C05"/>
    <w:rsid w:val="6B87197D"/>
    <w:rsid w:val="6B881251"/>
    <w:rsid w:val="6B8A321B"/>
    <w:rsid w:val="6B8A4FC9"/>
    <w:rsid w:val="6B8A6D77"/>
    <w:rsid w:val="6B8C0D18"/>
    <w:rsid w:val="6B8C0D41"/>
    <w:rsid w:val="6B8E2D0B"/>
    <w:rsid w:val="6B8F25DF"/>
    <w:rsid w:val="6B8F438D"/>
    <w:rsid w:val="6B910106"/>
    <w:rsid w:val="6B923E7E"/>
    <w:rsid w:val="6B930322"/>
    <w:rsid w:val="6B93461B"/>
    <w:rsid w:val="6B947BF6"/>
    <w:rsid w:val="6B981494"/>
    <w:rsid w:val="6B985938"/>
    <w:rsid w:val="6B9B71D6"/>
    <w:rsid w:val="6B9C01C8"/>
    <w:rsid w:val="6B9D2F4E"/>
    <w:rsid w:val="6BA240C1"/>
    <w:rsid w:val="6BA51E03"/>
    <w:rsid w:val="6BA73DCD"/>
    <w:rsid w:val="6BA75B7B"/>
    <w:rsid w:val="6BA77929"/>
    <w:rsid w:val="6BA918F3"/>
    <w:rsid w:val="6BAA11C7"/>
    <w:rsid w:val="6BAA566B"/>
    <w:rsid w:val="6BAC3191"/>
    <w:rsid w:val="6BAC4F3F"/>
    <w:rsid w:val="6BAD0D11"/>
    <w:rsid w:val="6BAE5D03"/>
    <w:rsid w:val="6BAF2C82"/>
    <w:rsid w:val="6BB107A8"/>
    <w:rsid w:val="6BB115A3"/>
    <w:rsid w:val="6BB32772"/>
    <w:rsid w:val="6BB35604"/>
    <w:rsid w:val="6BB42046"/>
    <w:rsid w:val="6BB81B36"/>
    <w:rsid w:val="6BB838E4"/>
    <w:rsid w:val="6BB9765C"/>
    <w:rsid w:val="6BBB1626"/>
    <w:rsid w:val="6BBB5183"/>
    <w:rsid w:val="6BBD0EFB"/>
    <w:rsid w:val="6BBD714D"/>
    <w:rsid w:val="6BC02799"/>
    <w:rsid w:val="6BC04E8F"/>
    <w:rsid w:val="6BC26ADC"/>
    <w:rsid w:val="6BC404DB"/>
    <w:rsid w:val="6BC4672D"/>
    <w:rsid w:val="6BC524A5"/>
    <w:rsid w:val="6BC525EA"/>
    <w:rsid w:val="6BC54253"/>
    <w:rsid w:val="6BC71D79"/>
    <w:rsid w:val="6BC73B27"/>
    <w:rsid w:val="6BCC55E2"/>
    <w:rsid w:val="6BCE3108"/>
    <w:rsid w:val="6BCF0C2E"/>
    <w:rsid w:val="6BD050D2"/>
    <w:rsid w:val="6BD526E8"/>
    <w:rsid w:val="6BD6020E"/>
    <w:rsid w:val="6BD821D8"/>
    <w:rsid w:val="6BD83F86"/>
    <w:rsid w:val="6BD91AAD"/>
    <w:rsid w:val="6BD9385B"/>
    <w:rsid w:val="6BDB75D3"/>
    <w:rsid w:val="6BDD1D01"/>
    <w:rsid w:val="6BDD77EF"/>
    <w:rsid w:val="6BDF3567"/>
    <w:rsid w:val="6BDF4621"/>
    <w:rsid w:val="6BE02E3B"/>
    <w:rsid w:val="6BE04BE9"/>
    <w:rsid w:val="6BE20961"/>
    <w:rsid w:val="6BE566A3"/>
    <w:rsid w:val="6BE648F5"/>
    <w:rsid w:val="6BE75F78"/>
    <w:rsid w:val="6BE82563"/>
    <w:rsid w:val="6BE85984"/>
    <w:rsid w:val="6BEA3CBA"/>
    <w:rsid w:val="6BEB1F0C"/>
    <w:rsid w:val="6BEC4054"/>
    <w:rsid w:val="6BEC5795"/>
    <w:rsid w:val="6BEC5C84"/>
    <w:rsid w:val="6BEC7A32"/>
    <w:rsid w:val="6BEE37AA"/>
    <w:rsid w:val="6BEE7306"/>
    <w:rsid w:val="6BEF307E"/>
    <w:rsid w:val="6BF15048"/>
    <w:rsid w:val="6BF16DF6"/>
    <w:rsid w:val="6BF30DC0"/>
    <w:rsid w:val="6BF31356"/>
    <w:rsid w:val="6BF568E6"/>
    <w:rsid w:val="6BF6265F"/>
    <w:rsid w:val="6BF80185"/>
    <w:rsid w:val="6BF905D1"/>
    <w:rsid w:val="6BF92453"/>
    <w:rsid w:val="6BFA214F"/>
    <w:rsid w:val="6BFA6658"/>
    <w:rsid w:val="6BFD39ED"/>
    <w:rsid w:val="6BFF1513"/>
    <w:rsid w:val="6C00528B"/>
    <w:rsid w:val="6C042FCD"/>
    <w:rsid w:val="6C054650"/>
    <w:rsid w:val="6C066D46"/>
    <w:rsid w:val="6C0A614D"/>
    <w:rsid w:val="6C0A7EB8"/>
    <w:rsid w:val="6C0B21AE"/>
    <w:rsid w:val="6C0B435C"/>
    <w:rsid w:val="6C0B610A"/>
    <w:rsid w:val="6C0C3C30"/>
    <w:rsid w:val="6C0E5BFA"/>
    <w:rsid w:val="6C0E6392"/>
    <w:rsid w:val="6C0F54CE"/>
    <w:rsid w:val="6C117498"/>
    <w:rsid w:val="6C1256EA"/>
    <w:rsid w:val="6C130940"/>
    <w:rsid w:val="6C134FBF"/>
    <w:rsid w:val="6C136D6D"/>
    <w:rsid w:val="6C1414F9"/>
    <w:rsid w:val="6C16685D"/>
    <w:rsid w:val="6C1A459F"/>
    <w:rsid w:val="6C1B3E73"/>
    <w:rsid w:val="6C1C0317"/>
    <w:rsid w:val="6C1D2824"/>
    <w:rsid w:val="6C1D408F"/>
    <w:rsid w:val="6C1F1BB5"/>
    <w:rsid w:val="6C1F5711"/>
    <w:rsid w:val="6C2076DB"/>
    <w:rsid w:val="6C215B15"/>
    <w:rsid w:val="6C215B5D"/>
    <w:rsid w:val="6C223454"/>
    <w:rsid w:val="6C240F7A"/>
    <w:rsid w:val="6C24541E"/>
    <w:rsid w:val="6C25251E"/>
    <w:rsid w:val="6C266DB6"/>
    <w:rsid w:val="6C292A34"/>
    <w:rsid w:val="6C2A6BC7"/>
    <w:rsid w:val="6C2B0057"/>
    <w:rsid w:val="6C2C14E7"/>
    <w:rsid w:val="6C2C7E2E"/>
    <w:rsid w:val="6C2E3BA6"/>
    <w:rsid w:val="6C313697"/>
    <w:rsid w:val="6C335661"/>
    <w:rsid w:val="6C33740F"/>
    <w:rsid w:val="6C3407CB"/>
    <w:rsid w:val="6C375151"/>
    <w:rsid w:val="6C3A254B"/>
    <w:rsid w:val="6C3C4515"/>
    <w:rsid w:val="6C3D028D"/>
    <w:rsid w:val="6C3D3BAD"/>
    <w:rsid w:val="6C404060"/>
    <w:rsid w:val="6C411B2C"/>
    <w:rsid w:val="6C423AF6"/>
    <w:rsid w:val="6C44161C"/>
    <w:rsid w:val="6C44776E"/>
    <w:rsid w:val="6C47110C"/>
    <w:rsid w:val="6C496C32"/>
    <w:rsid w:val="6C4C227F"/>
    <w:rsid w:val="6C4E249B"/>
    <w:rsid w:val="6C4E3951"/>
    <w:rsid w:val="6C4E4249"/>
    <w:rsid w:val="6C506213"/>
    <w:rsid w:val="6C515AE7"/>
    <w:rsid w:val="6C5309A3"/>
    <w:rsid w:val="6C537AB1"/>
    <w:rsid w:val="6C557385"/>
    <w:rsid w:val="6C5630FD"/>
    <w:rsid w:val="6C5A0E3F"/>
    <w:rsid w:val="6C5A2BED"/>
    <w:rsid w:val="6C5A499B"/>
    <w:rsid w:val="6C5C0714"/>
    <w:rsid w:val="6C5E0930"/>
    <w:rsid w:val="6C5F0204"/>
    <w:rsid w:val="6C621AA2"/>
    <w:rsid w:val="6C627CF4"/>
    <w:rsid w:val="6C636C38"/>
    <w:rsid w:val="6C643A6C"/>
    <w:rsid w:val="6C6475C8"/>
    <w:rsid w:val="6C663340"/>
    <w:rsid w:val="6C6677E4"/>
    <w:rsid w:val="6C67530A"/>
    <w:rsid w:val="6C686B68"/>
    <w:rsid w:val="6C687BD8"/>
    <w:rsid w:val="6C692E30"/>
    <w:rsid w:val="6C6A1488"/>
    <w:rsid w:val="6C6B6C2A"/>
    <w:rsid w:val="6C6E58B6"/>
    <w:rsid w:val="6C702411"/>
    <w:rsid w:val="6C705F6D"/>
    <w:rsid w:val="6C71135B"/>
    <w:rsid w:val="6C726189"/>
    <w:rsid w:val="6C727F37"/>
    <w:rsid w:val="6C7517D5"/>
    <w:rsid w:val="6C77379F"/>
    <w:rsid w:val="6C77554D"/>
    <w:rsid w:val="6C7C2B64"/>
    <w:rsid w:val="6C7C7BAF"/>
    <w:rsid w:val="6C7D4B2E"/>
    <w:rsid w:val="6C7D68DC"/>
    <w:rsid w:val="6C8201F8"/>
    <w:rsid w:val="6C823EF2"/>
    <w:rsid w:val="6C8639E2"/>
    <w:rsid w:val="6C874CC2"/>
    <w:rsid w:val="6C88775B"/>
    <w:rsid w:val="6C891725"/>
    <w:rsid w:val="6C895281"/>
    <w:rsid w:val="6C8B0FF9"/>
    <w:rsid w:val="6C8B724B"/>
    <w:rsid w:val="6C8C6B1F"/>
    <w:rsid w:val="6C8E2897"/>
    <w:rsid w:val="6C8E6D3B"/>
    <w:rsid w:val="6C9360FF"/>
    <w:rsid w:val="6C937EAD"/>
    <w:rsid w:val="6C9500C9"/>
    <w:rsid w:val="6C951E77"/>
    <w:rsid w:val="6C953C26"/>
    <w:rsid w:val="6C9A123C"/>
    <w:rsid w:val="6C9A748E"/>
    <w:rsid w:val="6C9C1458"/>
    <w:rsid w:val="6C9D2ADA"/>
    <w:rsid w:val="6C9E6F7E"/>
    <w:rsid w:val="6C9F4AA4"/>
    <w:rsid w:val="6CA0754A"/>
    <w:rsid w:val="6CA34594"/>
    <w:rsid w:val="6CA36342"/>
    <w:rsid w:val="6CA420BB"/>
    <w:rsid w:val="6CA532BC"/>
    <w:rsid w:val="6CA65E33"/>
    <w:rsid w:val="6CA81BAB"/>
    <w:rsid w:val="6CA95923"/>
    <w:rsid w:val="6CAB169B"/>
    <w:rsid w:val="6CAD0F6F"/>
    <w:rsid w:val="6CAD5413"/>
    <w:rsid w:val="6CAD6BDB"/>
    <w:rsid w:val="6CB26586"/>
    <w:rsid w:val="6CB27C7E"/>
    <w:rsid w:val="6CB322FE"/>
    <w:rsid w:val="6CB5251A"/>
    <w:rsid w:val="6CB71DEE"/>
    <w:rsid w:val="6CB93DB8"/>
    <w:rsid w:val="6CBA0FE1"/>
    <w:rsid w:val="6CBA368C"/>
    <w:rsid w:val="6CBC3901"/>
    <w:rsid w:val="6CBC7404"/>
    <w:rsid w:val="6CBD4D91"/>
    <w:rsid w:val="6CBE13CE"/>
    <w:rsid w:val="6CBE317C"/>
    <w:rsid w:val="6CBF0CA2"/>
    <w:rsid w:val="6CBF5146"/>
    <w:rsid w:val="6CC04E53"/>
    <w:rsid w:val="6CC14A1B"/>
    <w:rsid w:val="6CC24BA2"/>
    <w:rsid w:val="6CC30793"/>
    <w:rsid w:val="6CC30C03"/>
    <w:rsid w:val="6CC369E5"/>
    <w:rsid w:val="6CC4275D"/>
    <w:rsid w:val="6CC462B9"/>
    <w:rsid w:val="6CC664D5"/>
    <w:rsid w:val="6CC70A14"/>
    <w:rsid w:val="6CC72155"/>
    <w:rsid w:val="6CC91B21"/>
    <w:rsid w:val="6CCB3AEB"/>
    <w:rsid w:val="6CCB5899"/>
    <w:rsid w:val="6CCB7647"/>
    <w:rsid w:val="6CCD7863"/>
    <w:rsid w:val="6CD01102"/>
    <w:rsid w:val="6CD02EB0"/>
    <w:rsid w:val="6CD24E7A"/>
    <w:rsid w:val="6CD26C28"/>
    <w:rsid w:val="6CD27268"/>
    <w:rsid w:val="6CD3474E"/>
    <w:rsid w:val="6CD7423E"/>
    <w:rsid w:val="6CD81999"/>
    <w:rsid w:val="6CD97FB6"/>
    <w:rsid w:val="6CDA3D2E"/>
    <w:rsid w:val="6CDB1F80"/>
    <w:rsid w:val="6CDB5804"/>
    <w:rsid w:val="6CDC3602"/>
    <w:rsid w:val="6CDF30F3"/>
    <w:rsid w:val="6CE10C19"/>
    <w:rsid w:val="6CE1330F"/>
    <w:rsid w:val="6CE16E6B"/>
    <w:rsid w:val="6CE23EFF"/>
    <w:rsid w:val="6CE2561C"/>
    <w:rsid w:val="6CE4695B"/>
    <w:rsid w:val="6CE52B0D"/>
    <w:rsid w:val="6CE60925"/>
    <w:rsid w:val="6CE626D3"/>
    <w:rsid w:val="6CE81FA7"/>
    <w:rsid w:val="6CE93F71"/>
    <w:rsid w:val="6CEB5F3B"/>
    <w:rsid w:val="6CEB7E0F"/>
    <w:rsid w:val="6CED5810"/>
    <w:rsid w:val="6CEF1588"/>
    <w:rsid w:val="6CEF77DA"/>
    <w:rsid w:val="6CF272CA"/>
    <w:rsid w:val="6CF50B68"/>
    <w:rsid w:val="6CF61B3D"/>
    <w:rsid w:val="6CF6511F"/>
    <w:rsid w:val="6CF941B4"/>
    <w:rsid w:val="6CFA1CDB"/>
    <w:rsid w:val="6CFA617E"/>
    <w:rsid w:val="6CFC13C2"/>
    <w:rsid w:val="6CFC3CA5"/>
    <w:rsid w:val="6D0019E7"/>
    <w:rsid w:val="6D003795"/>
    <w:rsid w:val="6D01750D"/>
    <w:rsid w:val="6D0234C5"/>
    <w:rsid w:val="6D032F0F"/>
    <w:rsid w:val="6D033285"/>
    <w:rsid w:val="6D035033"/>
    <w:rsid w:val="6D036DE1"/>
    <w:rsid w:val="6D056FFD"/>
    <w:rsid w:val="6D06067F"/>
    <w:rsid w:val="6D064B23"/>
    <w:rsid w:val="6D080A78"/>
    <w:rsid w:val="6D090170"/>
    <w:rsid w:val="6D091F08"/>
    <w:rsid w:val="6D0A4613"/>
    <w:rsid w:val="6D0B3EE8"/>
    <w:rsid w:val="6D0D7C60"/>
    <w:rsid w:val="6D0E5DBA"/>
    <w:rsid w:val="6D1014FE"/>
    <w:rsid w:val="6D140FEE"/>
    <w:rsid w:val="6D147240"/>
    <w:rsid w:val="6D156B14"/>
    <w:rsid w:val="6D176D30"/>
    <w:rsid w:val="6D192AA9"/>
    <w:rsid w:val="6D194857"/>
    <w:rsid w:val="6D196605"/>
    <w:rsid w:val="6D1C60F5"/>
    <w:rsid w:val="6D1E2C9E"/>
    <w:rsid w:val="6D1E3C1B"/>
    <w:rsid w:val="6D1F1741"/>
    <w:rsid w:val="6D1F7993"/>
    <w:rsid w:val="6D203E37"/>
    <w:rsid w:val="6D21161F"/>
    <w:rsid w:val="6D2154B9"/>
    <w:rsid w:val="6D233F3F"/>
    <w:rsid w:val="6D254FA9"/>
    <w:rsid w:val="6D260D22"/>
    <w:rsid w:val="6D262AD0"/>
    <w:rsid w:val="6D2728C0"/>
    <w:rsid w:val="6D284A9A"/>
    <w:rsid w:val="6D2935DE"/>
    <w:rsid w:val="6D2A25C0"/>
    <w:rsid w:val="6D2B3E12"/>
    <w:rsid w:val="6D2C27DC"/>
    <w:rsid w:val="6D2D0302"/>
    <w:rsid w:val="6D2D3E5E"/>
    <w:rsid w:val="6D2F407A"/>
    <w:rsid w:val="6D2F5E28"/>
    <w:rsid w:val="6D2F7BD6"/>
    <w:rsid w:val="6D301BA0"/>
    <w:rsid w:val="6D30394E"/>
    <w:rsid w:val="6D34343E"/>
    <w:rsid w:val="6D346605"/>
    <w:rsid w:val="6D365409"/>
    <w:rsid w:val="6D3671B7"/>
    <w:rsid w:val="6D396CA7"/>
    <w:rsid w:val="6D3B2A1F"/>
    <w:rsid w:val="6D3B47CD"/>
    <w:rsid w:val="6D3C22F3"/>
    <w:rsid w:val="6D3D76B7"/>
    <w:rsid w:val="6D3E606B"/>
    <w:rsid w:val="6D480C98"/>
    <w:rsid w:val="6D486EEA"/>
    <w:rsid w:val="6D4A4A10"/>
    <w:rsid w:val="6D4B488C"/>
    <w:rsid w:val="6D4C69DA"/>
    <w:rsid w:val="6D4D2752"/>
    <w:rsid w:val="6D4D62AE"/>
    <w:rsid w:val="6D513FF0"/>
    <w:rsid w:val="6D543AE1"/>
    <w:rsid w:val="6D5533B5"/>
    <w:rsid w:val="6D567859"/>
    <w:rsid w:val="6D594C53"/>
    <w:rsid w:val="6D5A003F"/>
    <w:rsid w:val="6D5C2995"/>
    <w:rsid w:val="6D5C4743"/>
    <w:rsid w:val="6D5C5811"/>
    <w:rsid w:val="6D5E495F"/>
    <w:rsid w:val="6D604233"/>
    <w:rsid w:val="6D611D5A"/>
    <w:rsid w:val="6D611D62"/>
    <w:rsid w:val="6D6261FE"/>
    <w:rsid w:val="6D6313D2"/>
    <w:rsid w:val="6D655CEE"/>
    <w:rsid w:val="6D657A9C"/>
    <w:rsid w:val="6D673814"/>
    <w:rsid w:val="6D68133A"/>
    <w:rsid w:val="6D6A66D4"/>
    <w:rsid w:val="6D6E64E5"/>
    <w:rsid w:val="6D6F26C8"/>
    <w:rsid w:val="6D6F3E45"/>
    <w:rsid w:val="6D7101EF"/>
    <w:rsid w:val="6D716441"/>
    <w:rsid w:val="6D723F67"/>
    <w:rsid w:val="6D725D15"/>
    <w:rsid w:val="6D727A37"/>
    <w:rsid w:val="6D7550EA"/>
    <w:rsid w:val="6D761CA9"/>
    <w:rsid w:val="6D763A57"/>
    <w:rsid w:val="6D765805"/>
    <w:rsid w:val="6D77157D"/>
    <w:rsid w:val="6D785A21"/>
    <w:rsid w:val="6D793547"/>
    <w:rsid w:val="6D7970A3"/>
    <w:rsid w:val="6D7A61C9"/>
    <w:rsid w:val="6D7B2E1B"/>
    <w:rsid w:val="6D7C5096"/>
    <w:rsid w:val="6D7D4DE5"/>
    <w:rsid w:val="6D7E290C"/>
    <w:rsid w:val="6D800432"/>
    <w:rsid w:val="6D8141AA"/>
    <w:rsid w:val="6D821A44"/>
    <w:rsid w:val="6D837F22"/>
    <w:rsid w:val="6D841E4C"/>
    <w:rsid w:val="6D853C9A"/>
    <w:rsid w:val="6D855A48"/>
    <w:rsid w:val="6D86476C"/>
    <w:rsid w:val="6D866BA1"/>
    <w:rsid w:val="6D88378A"/>
    <w:rsid w:val="6D8A7502"/>
    <w:rsid w:val="6D8C5028"/>
    <w:rsid w:val="6D8D0DA1"/>
    <w:rsid w:val="6D8E2A1C"/>
    <w:rsid w:val="6D8F4B19"/>
    <w:rsid w:val="6D9263B7"/>
    <w:rsid w:val="6D967C55"/>
    <w:rsid w:val="6D97331C"/>
    <w:rsid w:val="6D9914F3"/>
    <w:rsid w:val="6D997745"/>
    <w:rsid w:val="6D9A4072"/>
    <w:rsid w:val="6D9B526C"/>
    <w:rsid w:val="6D9D7236"/>
    <w:rsid w:val="6D9E2FAE"/>
    <w:rsid w:val="6D9E4D5C"/>
    <w:rsid w:val="6D9E6B0A"/>
    <w:rsid w:val="6DA00AD4"/>
    <w:rsid w:val="6DA014DD"/>
    <w:rsid w:val="6DA253D5"/>
    <w:rsid w:val="6DA265FA"/>
    <w:rsid w:val="6DA305C4"/>
    <w:rsid w:val="6DA32372"/>
    <w:rsid w:val="6DA46816"/>
    <w:rsid w:val="6DA57E98"/>
    <w:rsid w:val="6DA71E62"/>
    <w:rsid w:val="6DA73C10"/>
    <w:rsid w:val="6DA85BDA"/>
    <w:rsid w:val="6DA87988"/>
    <w:rsid w:val="6DA93E2C"/>
    <w:rsid w:val="6DAB5BDF"/>
    <w:rsid w:val="6DAD31F1"/>
    <w:rsid w:val="6DAD4F9F"/>
    <w:rsid w:val="6DAE1443"/>
    <w:rsid w:val="6DB12CE1"/>
    <w:rsid w:val="6DB14A8F"/>
    <w:rsid w:val="6DB225B5"/>
    <w:rsid w:val="6DB24ECA"/>
    <w:rsid w:val="6DB34098"/>
    <w:rsid w:val="6DB4457F"/>
    <w:rsid w:val="6DB4632D"/>
    <w:rsid w:val="6DB545B6"/>
    <w:rsid w:val="6DB564F3"/>
    <w:rsid w:val="6DB620A5"/>
    <w:rsid w:val="6DB63E53"/>
    <w:rsid w:val="6DB66549"/>
    <w:rsid w:val="6DB77BCC"/>
    <w:rsid w:val="6DB80D3C"/>
    <w:rsid w:val="6DB8406F"/>
    <w:rsid w:val="6DB91B96"/>
    <w:rsid w:val="6DC01176"/>
    <w:rsid w:val="6DC02F24"/>
    <w:rsid w:val="6DC04CD2"/>
    <w:rsid w:val="6DC04D4B"/>
    <w:rsid w:val="6DC26C9C"/>
    <w:rsid w:val="6DC347C2"/>
    <w:rsid w:val="6DC36570"/>
    <w:rsid w:val="6DC61BFF"/>
    <w:rsid w:val="6DC76061"/>
    <w:rsid w:val="6DC81DD9"/>
    <w:rsid w:val="6DC9627D"/>
    <w:rsid w:val="6DCA5B51"/>
    <w:rsid w:val="6DCC18C9"/>
    <w:rsid w:val="6DCC3677"/>
    <w:rsid w:val="6DCD73EF"/>
    <w:rsid w:val="6DD30EA9"/>
    <w:rsid w:val="6DD32C57"/>
    <w:rsid w:val="6DD75754"/>
    <w:rsid w:val="6DDA2238"/>
    <w:rsid w:val="6DDB1B0C"/>
    <w:rsid w:val="6DDB5FB0"/>
    <w:rsid w:val="6DDD7632"/>
    <w:rsid w:val="6DE02FB4"/>
    <w:rsid w:val="6DE035C6"/>
    <w:rsid w:val="6DE309C1"/>
    <w:rsid w:val="6DE36C13"/>
    <w:rsid w:val="6DE76703"/>
    <w:rsid w:val="6DE9247B"/>
    <w:rsid w:val="6DEA7FA1"/>
    <w:rsid w:val="6DEC3D19"/>
    <w:rsid w:val="6DEE7A91"/>
    <w:rsid w:val="6DEF39DB"/>
    <w:rsid w:val="6DF130DE"/>
    <w:rsid w:val="6DF350A8"/>
    <w:rsid w:val="6DF42BCE"/>
    <w:rsid w:val="6DF606F4"/>
    <w:rsid w:val="6DF8446C"/>
    <w:rsid w:val="6DFA4688"/>
    <w:rsid w:val="6DFB3F5C"/>
    <w:rsid w:val="6DFD7CD4"/>
    <w:rsid w:val="6DFE57FA"/>
    <w:rsid w:val="6E005A16"/>
    <w:rsid w:val="6E0146AF"/>
    <w:rsid w:val="6E0252EB"/>
    <w:rsid w:val="6E027099"/>
    <w:rsid w:val="6E0472B5"/>
    <w:rsid w:val="6E054DDB"/>
    <w:rsid w:val="6E080427"/>
    <w:rsid w:val="6E095A12"/>
    <w:rsid w:val="6E0A23F1"/>
    <w:rsid w:val="6E0B4668"/>
    <w:rsid w:val="6E0C43BB"/>
    <w:rsid w:val="6E0E1EE1"/>
    <w:rsid w:val="6E0E5A3E"/>
    <w:rsid w:val="6E0E79B6"/>
    <w:rsid w:val="6E0F17B6"/>
    <w:rsid w:val="6E105C5A"/>
    <w:rsid w:val="6E113780"/>
    <w:rsid w:val="6E13574A"/>
    <w:rsid w:val="6E146DCC"/>
    <w:rsid w:val="6E153270"/>
    <w:rsid w:val="6E160D96"/>
    <w:rsid w:val="6E192634"/>
    <w:rsid w:val="6E1B45FE"/>
    <w:rsid w:val="6E1F3D1E"/>
    <w:rsid w:val="6E2039C3"/>
    <w:rsid w:val="6E22773B"/>
    <w:rsid w:val="6E241705"/>
    <w:rsid w:val="6E25722B"/>
    <w:rsid w:val="6E26547D"/>
    <w:rsid w:val="6E2711F5"/>
    <w:rsid w:val="6E272FA3"/>
    <w:rsid w:val="6E280F9B"/>
    <w:rsid w:val="6E290AC9"/>
    <w:rsid w:val="6E292877"/>
    <w:rsid w:val="6E2A4841"/>
    <w:rsid w:val="6E2A65EF"/>
    <w:rsid w:val="6E2B2A93"/>
    <w:rsid w:val="6E2C05BA"/>
    <w:rsid w:val="6E2C680B"/>
    <w:rsid w:val="6E3000AA"/>
    <w:rsid w:val="6E31797E"/>
    <w:rsid w:val="6E32177C"/>
    <w:rsid w:val="6E3378D7"/>
    <w:rsid w:val="6E35746E"/>
    <w:rsid w:val="6E3631E6"/>
    <w:rsid w:val="6E364F94"/>
    <w:rsid w:val="6E391F20"/>
    <w:rsid w:val="6E3A3A96"/>
    <w:rsid w:val="6E3B6A4F"/>
    <w:rsid w:val="6E3C6AFD"/>
    <w:rsid w:val="6E3D4575"/>
    <w:rsid w:val="6E3F653F"/>
    <w:rsid w:val="6E42704B"/>
    <w:rsid w:val="6E46167B"/>
    <w:rsid w:val="6E470F4F"/>
    <w:rsid w:val="6E49116B"/>
    <w:rsid w:val="6E4A5C33"/>
    <w:rsid w:val="6E4B6C92"/>
    <w:rsid w:val="6E4B6F06"/>
    <w:rsid w:val="6E511DCE"/>
    <w:rsid w:val="6E514CED"/>
    <w:rsid w:val="6E526272"/>
    <w:rsid w:val="6E565636"/>
    <w:rsid w:val="6E586939"/>
    <w:rsid w:val="6E5A0C83"/>
    <w:rsid w:val="6E5A3E2A"/>
    <w:rsid w:val="6E5C0E9F"/>
    <w:rsid w:val="6E5D0773"/>
    <w:rsid w:val="6E5F3C3B"/>
    <w:rsid w:val="6E602011"/>
    <w:rsid w:val="6E605222"/>
    <w:rsid w:val="6E63661D"/>
    <w:rsid w:val="6E647D14"/>
    <w:rsid w:val="6E663ACB"/>
    <w:rsid w:val="6E6715F2"/>
    <w:rsid w:val="6E6733A0"/>
    <w:rsid w:val="6E681042"/>
    <w:rsid w:val="6E68643F"/>
    <w:rsid w:val="6E69536A"/>
    <w:rsid w:val="6E6B2E90"/>
    <w:rsid w:val="6E6C6C08"/>
    <w:rsid w:val="6E6E22A0"/>
    <w:rsid w:val="6E70494A"/>
    <w:rsid w:val="6E734B3F"/>
    <w:rsid w:val="6E7361E8"/>
    <w:rsid w:val="6E737F96"/>
    <w:rsid w:val="6E755ABD"/>
    <w:rsid w:val="6E761835"/>
    <w:rsid w:val="6E781A51"/>
    <w:rsid w:val="6E7855AD"/>
    <w:rsid w:val="6E791F84"/>
    <w:rsid w:val="6E7A30D3"/>
    <w:rsid w:val="6E7C32EF"/>
    <w:rsid w:val="6E7C509D"/>
    <w:rsid w:val="6E7D0E15"/>
    <w:rsid w:val="6E7D2BC3"/>
    <w:rsid w:val="6E7F16D1"/>
    <w:rsid w:val="6E804461"/>
    <w:rsid w:val="6E8126B3"/>
    <w:rsid w:val="6E8201DA"/>
    <w:rsid w:val="6E82467D"/>
    <w:rsid w:val="6E82642B"/>
    <w:rsid w:val="6E8379F2"/>
    <w:rsid w:val="6E8421A4"/>
    <w:rsid w:val="6E843F52"/>
    <w:rsid w:val="6E867CCA"/>
    <w:rsid w:val="6E8842D7"/>
    <w:rsid w:val="6E8A6EA2"/>
    <w:rsid w:val="6E8B1784"/>
    <w:rsid w:val="6E8B4399"/>
    <w:rsid w:val="6E8B52E0"/>
    <w:rsid w:val="6E8E4DD0"/>
    <w:rsid w:val="6E91666F"/>
    <w:rsid w:val="6E922B12"/>
    <w:rsid w:val="6E9248C1"/>
    <w:rsid w:val="6E927F5A"/>
    <w:rsid w:val="6E930639"/>
    <w:rsid w:val="6E943FBB"/>
    <w:rsid w:val="6E9543B1"/>
    <w:rsid w:val="6E965D2E"/>
    <w:rsid w:val="6E9679C1"/>
    <w:rsid w:val="6E971ED7"/>
    <w:rsid w:val="6E983DCC"/>
    <w:rsid w:val="6E9879FD"/>
    <w:rsid w:val="6E9F0D8B"/>
    <w:rsid w:val="6E9F2B3A"/>
    <w:rsid w:val="6E9F6FDD"/>
    <w:rsid w:val="6EA12D56"/>
    <w:rsid w:val="6EA2262A"/>
    <w:rsid w:val="6EA27D46"/>
    <w:rsid w:val="6EA36ACE"/>
    <w:rsid w:val="6EA4236F"/>
    <w:rsid w:val="6EA445F4"/>
    <w:rsid w:val="6EA6036C"/>
    <w:rsid w:val="6EA6211A"/>
    <w:rsid w:val="6EA91C0A"/>
    <w:rsid w:val="6EAB3BD4"/>
    <w:rsid w:val="6EAB5982"/>
    <w:rsid w:val="6EAD16FA"/>
    <w:rsid w:val="6EAF0BC3"/>
    <w:rsid w:val="6EB04D47"/>
    <w:rsid w:val="6EB20ABF"/>
    <w:rsid w:val="6EB26D11"/>
    <w:rsid w:val="6EB34837"/>
    <w:rsid w:val="6EB563D5"/>
    <w:rsid w:val="6EB56801"/>
    <w:rsid w:val="6EB74327"/>
    <w:rsid w:val="6EB8009F"/>
    <w:rsid w:val="6EB81E4D"/>
    <w:rsid w:val="6EBA5BC5"/>
    <w:rsid w:val="6EBA5CD6"/>
    <w:rsid w:val="6EBB7AAC"/>
    <w:rsid w:val="6EBC193D"/>
    <w:rsid w:val="6EBC36EB"/>
    <w:rsid w:val="6EBC7B8F"/>
    <w:rsid w:val="6EBD1212"/>
    <w:rsid w:val="6EBD7464"/>
    <w:rsid w:val="6EBE3907"/>
    <w:rsid w:val="6EBE7228"/>
    <w:rsid w:val="6EBF31DC"/>
    <w:rsid w:val="6EBF4F8A"/>
    <w:rsid w:val="6EC02FD8"/>
    <w:rsid w:val="6EC41959"/>
    <w:rsid w:val="6EC46A44"/>
    <w:rsid w:val="6EC72090"/>
    <w:rsid w:val="6ECA6C5B"/>
    <w:rsid w:val="6ECB392F"/>
    <w:rsid w:val="6ECC76A7"/>
    <w:rsid w:val="6ECE341F"/>
    <w:rsid w:val="6ED048E4"/>
    <w:rsid w:val="6ED053E9"/>
    <w:rsid w:val="6ED07197"/>
    <w:rsid w:val="6ED24CBD"/>
    <w:rsid w:val="6ED30A35"/>
    <w:rsid w:val="6ED42B13"/>
    <w:rsid w:val="6ED44ED9"/>
    <w:rsid w:val="6ED50C51"/>
    <w:rsid w:val="6ED547AD"/>
    <w:rsid w:val="6ED554AF"/>
    <w:rsid w:val="6ED70525"/>
    <w:rsid w:val="6ED816BC"/>
    <w:rsid w:val="6ED92677"/>
    <w:rsid w:val="6EDA1DC4"/>
    <w:rsid w:val="6EDB7BE0"/>
    <w:rsid w:val="6EDC27B1"/>
    <w:rsid w:val="6EDC3D8E"/>
    <w:rsid w:val="6EDC5B3C"/>
    <w:rsid w:val="6EDD3662"/>
    <w:rsid w:val="6EDE7B06"/>
    <w:rsid w:val="6EDF562C"/>
    <w:rsid w:val="6EE13152"/>
    <w:rsid w:val="6EE13A52"/>
    <w:rsid w:val="6EE36ECA"/>
    <w:rsid w:val="6EE60768"/>
    <w:rsid w:val="6EE669BA"/>
    <w:rsid w:val="6EE964AB"/>
    <w:rsid w:val="6EEA3674"/>
    <w:rsid w:val="6EEA6245"/>
    <w:rsid w:val="6EEA72AC"/>
    <w:rsid w:val="6EEB2223"/>
    <w:rsid w:val="6EED1FF5"/>
    <w:rsid w:val="6EF015E7"/>
    <w:rsid w:val="6EF07839"/>
    <w:rsid w:val="6EF2535F"/>
    <w:rsid w:val="6EF32E85"/>
    <w:rsid w:val="6EF410D7"/>
    <w:rsid w:val="6EF47329"/>
    <w:rsid w:val="6EF530A1"/>
    <w:rsid w:val="6EF91CD9"/>
    <w:rsid w:val="6EF966EE"/>
    <w:rsid w:val="6EFA06B8"/>
    <w:rsid w:val="6EFA2466"/>
    <w:rsid w:val="6EFA4214"/>
    <w:rsid w:val="6EFC1D3A"/>
    <w:rsid w:val="6EFC61DE"/>
    <w:rsid w:val="6EFE3D04"/>
    <w:rsid w:val="6EFF182A"/>
    <w:rsid w:val="6F003BAD"/>
    <w:rsid w:val="6F03131A"/>
    <w:rsid w:val="6F045092"/>
    <w:rsid w:val="6F0642DD"/>
    <w:rsid w:val="6F0926A9"/>
    <w:rsid w:val="6F0B4673"/>
    <w:rsid w:val="6F0B6CBF"/>
    <w:rsid w:val="6F0D3F47"/>
    <w:rsid w:val="6F0F4163"/>
    <w:rsid w:val="6F0F5F11"/>
    <w:rsid w:val="6F101C89"/>
    <w:rsid w:val="6F102494"/>
    <w:rsid w:val="6F1057E5"/>
    <w:rsid w:val="6F145A57"/>
    <w:rsid w:val="6F152DFC"/>
    <w:rsid w:val="6F174DC6"/>
    <w:rsid w:val="6F1928EC"/>
    <w:rsid w:val="6F1A1012"/>
    <w:rsid w:val="6F1C062E"/>
    <w:rsid w:val="6F1E6154"/>
    <w:rsid w:val="6F1F1ECC"/>
    <w:rsid w:val="6F20011E"/>
    <w:rsid w:val="6F215C44"/>
    <w:rsid w:val="6F2179F2"/>
    <w:rsid w:val="6F225983"/>
    <w:rsid w:val="6F257866"/>
    <w:rsid w:val="6F26325B"/>
    <w:rsid w:val="6F282B2F"/>
    <w:rsid w:val="6F285225"/>
    <w:rsid w:val="6F286FD3"/>
    <w:rsid w:val="6F2968A7"/>
    <w:rsid w:val="6F2A4A07"/>
    <w:rsid w:val="6F2A4AF9"/>
    <w:rsid w:val="6F2B4B68"/>
    <w:rsid w:val="6F2D283B"/>
    <w:rsid w:val="6F2F210F"/>
    <w:rsid w:val="6F3040D9"/>
    <w:rsid w:val="6F321C00"/>
    <w:rsid w:val="6F35349E"/>
    <w:rsid w:val="6F3700F5"/>
    <w:rsid w:val="6F377216"/>
    <w:rsid w:val="6F3911E0"/>
    <w:rsid w:val="6F394169"/>
    <w:rsid w:val="6F3C2A7E"/>
    <w:rsid w:val="6F3C65DA"/>
    <w:rsid w:val="6F3E041D"/>
    <w:rsid w:val="6F3E2352"/>
    <w:rsid w:val="6F3F60CB"/>
    <w:rsid w:val="6F4002D6"/>
    <w:rsid w:val="6F40256E"/>
    <w:rsid w:val="6F40431D"/>
    <w:rsid w:val="6F405E34"/>
    <w:rsid w:val="6F411E43"/>
    <w:rsid w:val="6F44427E"/>
    <w:rsid w:val="6F4831D1"/>
    <w:rsid w:val="6F4A6F49"/>
    <w:rsid w:val="6F4B2CC1"/>
    <w:rsid w:val="6F4B4A6F"/>
    <w:rsid w:val="6F4C3EA0"/>
    <w:rsid w:val="6F4D07E7"/>
    <w:rsid w:val="6F4E3F0C"/>
    <w:rsid w:val="6F51652A"/>
    <w:rsid w:val="6F524050"/>
    <w:rsid w:val="6F543924"/>
    <w:rsid w:val="6F547DC8"/>
    <w:rsid w:val="6F5558EE"/>
    <w:rsid w:val="6F563B40"/>
    <w:rsid w:val="6F59718C"/>
    <w:rsid w:val="6F5A2F04"/>
    <w:rsid w:val="6F5B73A8"/>
    <w:rsid w:val="6F5C6C7D"/>
    <w:rsid w:val="6F5D4E25"/>
    <w:rsid w:val="6F5D7020"/>
    <w:rsid w:val="6F5E0C47"/>
    <w:rsid w:val="6F60051B"/>
    <w:rsid w:val="6F6035E8"/>
    <w:rsid w:val="6F616041"/>
    <w:rsid w:val="6F624C36"/>
    <w:rsid w:val="6F627807"/>
    <w:rsid w:val="6F63625D"/>
    <w:rsid w:val="6F643868"/>
    <w:rsid w:val="6F6638ED"/>
    <w:rsid w:val="6F6705CF"/>
    <w:rsid w:val="6F670AA8"/>
    <w:rsid w:val="6F672FA0"/>
    <w:rsid w:val="6F675D4D"/>
    <w:rsid w:val="6F683873"/>
    <w:rsid w:val="6F683B8E"/>
    <w:rsid w:val="6F6B6EC0"/>
    <w:rsid w:val="6F6F075E"/>
    <w:rsid w:val="6F7044D6"/>
    <w:rsid w:val="6F73240D"/>
    <w:rsid w:val="6F743FC6"/>
    <w:rsid w:val="6F7447ED"/>
    <w:rsid w:val="6F767D3E"/>
    <w:rsid w:val="6F7844E0"/>
    <w:rsid w:val="6F7915DC"/>
    <w:rsid w:val="6F795A80"/>
    <w:rsid w:val="6F7B5355"/>
    <w:rsid w:val="6F7C03AE"/>
    <w:rsid w:val="6F7C731F"/>
    <w:rsid w:val="6F7E4E45"/>
    <w:rsid w:val="6F7F4719"/>
    <w:rsid w:val="6F800BBD"/>
    <w:rsid w:val="6F802D90"/>
    <w:rsid w:val="6F810491"/>
    <w:rsid w:val="6F814935"/>
    <w:rsid w:val="6F8256B0"/>
    <w:rsid w:val="6F8306AD"/>
    <w:rsid w:val="6F865AA7"/>
    <w:rsid w:val="6F885CC3"/>
    <w:rsid w:val="6F8A5598"/>
    <w:rsid w:val="6F8B1310"/>
    <w:rsid w:val="6F8B6A13"/>
    <w:rsid w:val="6F8B7EA3"/>
    <w:rsid w:val="6F8C57B4"/>
    <w:rsid w:val="6F8F0E00"/>
    <w:rsid w:val="6F906926"/>
    <w:rsid w:val="6F9208F0"/>
    <w:rsid w:val="6F926B42"/>
    <w:rsid w:val="6F963F3C"/>
    <w:rsid w:val="6F9878D6"/>
    <w:rsid w:val="6F991C7F"/>
    <w:rsid w:val="6F9B3AFB"/>
    <w:rsid w:val="6F9B4DC7"/>
    <w:rsid w:val="6F9C0E28"/>
    <w:rsid w:val="6F9C52CB"/>
    <w:rsid w:val="6F9D22B8"/>
    <w:rsid w:val="6F9E00F8"/>
    <w:rsid w:val="6F9E54E7"/>
    <w:rsid w:val="6FA06B69"/>
    <w:rsid w:val="6FA10B33"/>
    <w:rsid w:val="6FA128E1"/>
    <w:rsid w:val="6FA26D85"/>
    <w:rsid w:val="6FA36659"/>
    <w:rsid w:val="6FA5448B"/>
    <w:rsid w:val="6FA67EF8"/>
    <w:rsid w:val="6FA7614A"/>
    <w:rsid w:val="6FAA79E8"/>
    <w:rsid w:val="6FAC5D4C"/>
    <w:rsid w:val="6FAD1286"/>
    <w:rsid w:val="6FB03FF6"/>
    <w:rsid w:val="6FB10D76"/>
    <w:rsid w:val="6FB22D40"/>
    <w:rsid w:val="6FB344DE"/>
    <w:rsid w:val="6FB72105"/>
    <w:rsid w:val="6FB97C2B"/>
    <w:rsid w:val="6FBC771B"/>
    <w:rsid w:val="6FBD0161"/>
    <w:rsid w:val="6FBD596D"/>
    <w:rsid w:val="6FC22F83"/>
    <w:rsid w:val="6FC30AAA"/>
    <w:rsid w:val="6FC34F4E"/>
    <w:rsid w:val="6FC41DF4"/>
    <w:rsid w:val="6FC52A74"/>
    <w:rsid w:val="6FC62348"/>
    <w:rsid w:val="6FC62FD9"/>
    <w:rsid w:val="6FC7059A"/>
    <w:rsid w:val="6FC72F18"/>
    <w:rsid w:val="6FC82564"/>
    <w:rsid w:val="6FCC5BB0"/>
    <w:rsid w:val="6FCC795E"/>
    <w:rsid w:val="6FCD1397"/>
    <w:rsid w:val="6FD131C7"/>
    <w:rsid w:val="6FD165D7"/>
    <w:rsid w:val="6FD22638"/>
    <w:rsid w:val="6FD40F09"/>
    <w:rsid w:val="6FD44A65"/>
    <w:rsid w:val="6FD607DD"/>
    <w:rsid w:val="6FD827A7"/>
    <w:rsid w:val="6FD9207B"/>
    <w:rsid w:val="6FDB14CE"/>
    <w:rsid w:val="6FDB2297"/>
    <w:rsid w:val="6FDB4045"/>
    <w:rsid w:val="6FDC1B6B"/>
    <w:rsid w:val="6FDC62BB"/>
    <w:rsid w:val="6FE0340A"/>
    <w:rsid w:val="6FE32EFA"/>
    <w:rsid w:val="6FE54EC4"/>
    <w:rsid w:val="6FE55EDD"/>
    <w:rsid w:val="6FE70C3C"/>
    <w:rsid w:val="6FE86762"/>
    <w:rsid w:val="6FE90163"/>
    <w:rsid w:val="6FE949B4"/>
    <w:rsid w:val="6FEB4A37"/>
    <w:rsid w:val="6FEC0000"/>
    <w:rsid w:val="6FED1F6E"/>
    <w:rsid w:val="6FEE06D0"/>
    <w:rsid w:val="6FEE2012"/>
    <w:rsid w:val="6FEF189F"/>
    <w:rsid w:val="6FF15617"/>
    <w:rsid w:val="6FF204E1"/>
    <w:rsid w:val="6FF2313D"/>
    <w:rsid w:val="6FF45107"/>
    <w:rsid w:val="6FF46EB5"/>
    <w:rsid w:val="6FF505A3"/>
    <w:rsid w:val="6FF62C2D"/>
    <w:rsid w:val="6FF715C6"/>
    <w:rsid w:val="6FF9271D"/>
    <w:rsid w:val="6FFB0243"/>
    <w:rsid w:val="6FFC0829"/>
    <w:rsid w:val="6FFC5590"/>
    <w:rsid w:val="6FFD220E"/>
    <w:rsid w:val="6FFD3FBC"/>
    <w:rsid w:val="6FFE5F86"/>
    <w:rsid w:val="70001CFE"/>
    <w:rsid w:val="70003AAC"/>
    <w:rsid w:val="700215D2"/>
    <w:rsid w:val="70025A76"/>
    <w:rsid w:val="70027824"/>
    <w:rsid w:val="700510C2"/>
    <w:rsid w:val="70076BE8"/>
    <w:rsid w:val="70082960"/>
    <w:rsid w:val="700C06A3"/>
    <w:rsid w:val="700E7CBA"/>
    <w:rsid w:val="700F1F41"/>
    <w:rsid w:val="70111815"/>
    <w:rsid w:val="70115CB9"/>
    <w:rsid w:val="7011663B"/>
    <w:rsid w:val="7015387B"/>
    <w:rsid w:val="70161521"/>
    <w:rsid w:val="7016507D"/>
    <w:rsid w:val="70187047"/>
    <w:rsid w:val="701A2DBF"/>
    <w:rsid w:val="701C0B7D"/>
    <w:rsid w:val="701E2184"/>
    <w:rsid w:val="701F03D6"/>
    <w:rsid w:val="701F58F4"/>
    <w:rsid w:val="7021355F"/>
    <w:rsid w:val="70216130"/>
    <w:rsid w:val="70230A50"/>
    <w:rsid w:val="70231548"/>
    <w:rsid w:val="7024730F"/>
    <w:rsid w:val="70251764"/>
    <w:rsid w:val="70271038"/>
    <w:rsid w:val="702754DC"/>
    <w:rsid w:val="70293003"/>
    <w:rsid w:val="70294DB1"/>
    <w:rsid w:val="702A28D7"/>
    <w:rsid w:val="702A6D7B"/>
    <w:rsid w:val="702C48A1"/>
    <w:rsid w:val="702E23C7"/>
    <w:rsid w:val="703025E3"/>
    <w:rsid w:val="70343755"/>
    <w:rsid w:val="70381498"/>
    <w:rsid w:val="70390D6C"/>
    <w:rsid w:val="703D085C"/>
    <w:rsid w:val="703D260A"/>
    <w:rsid w:val="703E6382"/>
    <w:rsid w:val="703F45D4"/>
    <w:rsid w:val="70412B49"/>
    <w:rsid w:val="70422316"/>
    <w:rsid w:val="70424037"/>
    <w:rsid w:val="70425E72"/>
    <w:rsid w:val="70433998"/>
    <w:rsid w:val="704414CA"/>
    <w:rsid w:val="70447695"/>
    <w:rsid w:val="70455963"/>
    <w:rsid w:val="70457711"/>
    <w:rsid w:val="70473489"/>
    <w:rsid w:val="70495453"/>
    <w:rsid w:val="704C4F43"/>
    <w:rsid w:val="704C651B"/>
    <w:rsid w:val="704D257C"/>
    <w:rsid w:val="704E2A69"/>
    <w:rsid w:val="704F233D"/>
    <w:rsid w:val="70526C08"/>
    <w:rsid w:val="7053007F"/>
    <w:rsid w:val="7055204A"/>
    <w:rsid w:val="705636CC"/>
    <w:rsid w:val="705838E8"/>
    <w:rsid w:val="70585696"/>
    <w:rsid w:val="70587444"/>
    <w:rsid w:val="705A7660"/>
    <w:rsid w:val="705B6F34"/>
    <w:rsid w:val="705C6010"/>
    <w:rsid w:val="705D2CAC"/>
    <w:rsid w:val="705D4A5A"/>
    <w:rsid w:val="705E3501"/>
    <w:rsid w:val="705E3AF7"/>
    <w:rsid w:val="705F07D2"/>
    <w:rsid w:val="70622071"/>
    <w:rsid w:val="7064403B"/>
    <w:rsid w:val="70666005"/>
    <w:rsid w:val="70671D7D"/>
    <w:rsid w:val="70673B2B"/>
    <w:rsid w:val="706C06D6"/>
    <w:rsid w:val="706C2EEF"/>
    <w:rsid w:val="706D1DD0"/>
    <w:rsid w:val="706D598E"/>
    <w:rsid w:val="706E4EB9"/>
    <w:rsid w:val="706E6C67"/>
    <w:rsid w:val="706F657C"/>
    <w:rsid w:val="70730722"/>
    <w:rsid w:val="70741DA4"/>
    <w:rsid w:val="7075449A"/>
    <w:rsid w:val="70756248"/>
    <w:rsid w:val="70774359"/>
    <w:rsid w:val="707833A9"/>
    <w:rsid w:val="707A1AB0"/>
    <w:rsid w:val="707B75D6"/>
    <w:rsid w:val="707D6EAA"/>
    <w:rsid w:val="70801293"/>
    <w:rsid w:val="70812E3F"/>
    <w:rsid w:val="708244C1"/>
    <w:rsid w:val="70853FB1"/>
    <w:rsid w:val="70856B87"/>
    <w:rsid w:val="70860455"/>
    <w:rsid w:val="70862203"/>
    <w:rsid w:val="70875F7B"/>
    <w:rsid w:val="70891CF3"/>
    <w:rsid w:val="708B7819"/>
    <w:rsid w:val="708C3591"/>
    <w:rsid w:val="708E0E9F"/>
    <w:rsid w:val="708E10B8"/>
    <w:rsid w:val="708F3A70"/>
    <w:rsid w:val="70912956"/>
    <w:rsid w:val="70926DFA"/>
    <w:rsid w:val="70927820"/>
    <w:rsid w:val="70950698"/>
    <w:rsid w:val="709541F4"/>
    <w:rsid w:val="70974410"/>
    <w:rsid w:val="70980D98"/>
    <w:rsid w:val="709A0B83"/>
    <w:rsid w:val="709A7A5C"/>
    <w:rsid w:val="709C1A26"/>
    <w:rsid w:val="70A00DEB"/>
    <w:rsid w:val="70A1703D"/>
    <w:rsid w:val="70A22DB5"/>
    <w:rsid w:val="70A307A5"/>
    <w:rsid w:val="70A705B6"/>
    <w:rsid w:val="70A73F27"/>
    <w:rsid w:val="70A95EF1"/>
    <w:rsid w:val="70A97C9F"/>
    <w:rsid w:val="70AD3C34"/>
    <w:rsid w:val="70AE175A"/>
    <w:rsid w:val="70B054D2"/>
    <w:rsid w:val="70B07280"/>
    <w:rsid w:val="70B1597A"/>
    <w:rsid w:val="70B2124A"/>
    <w:rsid w:val="70B30B1E"/>
    <w:rsid w:val="70B34FC2"/>
    <w:rsid w:val="70B36D70"/>
    <w:rsid w:val="70B54896"/>
    <w:rsid w:val="70B717EC"/>
    <w:rsid w:val="70B84386"/>
    <w:rsid w:val="70BB16AE"/>
    <w:rsid w:val="70BF74C3"/>
    <w:rsid w:val="70C04FE9"/>
    <w:rsid w:val="70C40F7D"/>
    <w:rsid w:val="70C44AD9"/>
    <w:rsid w:val="70C525FF"/>
    <w:rsid w:val="70C532AD"/>
    <w:rsid w:val="70C64CF5"/>
    <w:rsid w:val="70C96594"/>
    <w:rsid w:val="70CB230C"/>
    <w:rsid w:val="70CB40BA"/>
    <w:rsid w:val="70CE3BAA"/>
    <w:rsid w:val="70CE5958"/>
    <w:rsid w:val="70D13822"/>
    <w:rsid w:val="70D32F6E"/>
    <w:rsid w:val="70D50A94"/>
    <w:rsid w:val="70D527EE"/>
    <w:rsid w:val="70D6480D"/>
    <w:rsid w:val="70D64AC3"/>
    <w:rsid w:val="70D80585"/>
    <w:rsid w:val="70DA254F"/>
    <w:rsid w:val="70DC0075"/>
    <w:rsid w:val="70DC1E23"/>
    <w:rsid w:val="70DC62C7"/>
    <w:rsid w:val="70DD3DED"/>
    <w:rsid w:val="70DE3255"/>
    <w:rsid w:val="70DE5E26"/>
    <w:rsid w:val="70DF5DB7"/>
    <w:rsid w:val="70E11BD6"/>
    <w:rsid w:val="70E138DD"/>
    <w:rsid w:val="70E231B1"/>
    <w:rsid w:val="70E62CA2"/>
    <w:rsid w:val="70E64A50"/>
    <w:rsid w:val="70E75A48"/>
    <w:rsid w:val="70E76A1A"/>
    <w:rsid w:val="70EB02B8"/>
    <w:rsid w:val="70EB650A"/>
    <w:rsid w:val="70EC5DDE"/>
    <w:rsid w:val="70F25AEA"/>
    <w:rsid w:val="70F27898"/>
    <w:rsid w:val="70F3572C"/>
    <w:rsid w:val="70F73101"/>
    <w:rsid w:val="70F76C5D"/>
    <w:rsid w:val="70F80C27"/>
    <w:rsid w:val="70F96E79"/>
    <w:rsid w:val="70FA04FB"/>
    <w:rsid w:val="70FA674D"/>
    <w:rsid w:val="70FE25A4"/>
    <w:rsid w:val="70FE448F"/>
    <w:rsid w:val="70FE7B2A"/>
    <w:rsid w:val="70FF5B11"/>
    <w:rsid w:val="71017ADB"/>
    <w:rsid w:val="71025602"/>
    <w:rsid w:val="71033854"/>
    <w:rsid w:val="7104137A"/>
    <w:rsid w:val="71047B41"/>
    <w:rsid w:val="71063BA2"/>
    <w:rsid w:val="71096990"/>
    <w:rsid w:val="710A39B3"/>
    <w:rsid w:val="710B095A"/>
    <w:rsid w:val="710B2708"/>
    <w:rsid w:val="710B44B6"/>
    <w:rsid w:val="710B6BAC"/>
    <w:rsid w:val="710D46D2"/>
    <w:rsid w:val="71125845"/>
    <w:rsid w:val="71153587"/>
    <w:rsid w:val="71155335"/>
    <w:rsid w:val="71175551"/>
    <w:rsid w:val="711772FF"/>
    <w:rsid w:val="71185FB7"/>
    <w:rsid w:val="71186BD3"/>
    <w:rsid w:val="71197447"/>
    <w:rsid w:val="711B7BED"/>
    <w:rsid w:val="711C66C3"/>
    <w:rsid w:val="711E068D"/>
    <w:rsid w:val="711F4406"/>
    <w:rsid w:val="7121017E"/>
    <w:rsid w:val="71213CDA"/>
    <w:rsid w:val="71221C3A"/>
    <w:rsid w:val="71230669"/>
    <w:rsid w:val="712437CA"/>
    <w:rsid w:val="7124455A"/>
    <w:rsid w:val="71257C6E"/>
    <w:rsid w:val="712612F0"/>
    <w:rsid w:val="7126714A"/>
    <w:rsid w:val="71267542"/>
    <w:rsid w:val="7128150C"/>
    <w:rsid w:val="712832BA"/>
    <w:rsid w:val="71285068"/>
    <w:rsid w:val="71297032"/>
    <w:rsid w:val="712B2DAA"/>
    <w:rsid w:val="712E4649"/>
    <w:rsid w:val="71300B55"/>
    <w:rsid w:val="71324139"/>
    <w:rsid w:val="71346C20"/>
    <w:rsid w:val="71347EB1"/>
    <w:rsid w:val="713559D7"/>
    <w:rsid w:val="71357785"/>
    <w:rsid w:val="7137174F"/>
    <w:rsid w:val="713752AB"/>
    <w:rsid w:val="713A4D9B"/>
    <w:rsid w:val="713E488C"/>
    <w:rsid w:val="714125CE"/>
    <w:rsid w:val="714300F4"/>
    <w:rsid w:val="714326B4"/>
    <w:rsid w:val="71436346"/>
    <w:rsid w:val="7148570A"/>
    <w:rsid w:val="714A3317"/>
    <w:rsid w:val="714A76D4"/>
    <w:rsid w:val="714B0D57"/>
    <w:rsid w:val="714B637E"/>
    <w:rsid w:val="714D0F73"/>
    <w:rsid w:val="714E0847"/>
    <w:rsid w:val="714F0C57"/>
    <w:rsid w:val="714F6A99"/>
    <w:rsid w:val="71500A63"/>
    <w:rsid w:val="71520337"/>
    <w:rsid w:val="71526589"/>
    <w:rsid w:val="71542301"/>
    <w:rsid w:val="71566079"/>
    <w:rsid w:val="71573B9F"/>
    <w:rsid w:val="7157484C"/>
    <w:rsid w:val="715916C6"/>
    <w:rsid w:val="71597917"/>
    <w:rsid w:val="715B3690"/>
    <w:rsid w:val="715B5300"/>
    <w:rsid w:val="715C11B6"/>
    <w:rsid w:val="715C2F64"/>
    <w:rsid w:val="715C7408"/>
    <w:rsid w:val="715F2A54"/>
    <w:rsid w:val="715F4802"/>
    <w:rsid w:val="71632544"/>
    <w:rsid w:val="7164006A"/>
    <w:rsid w:val="716562BC"/>
    <w:rsid w:val="7166430D"/>
    <w:rsid w:val="71681909"/>
    <w:rsid w:val="71682F3F"/>
    <w:rsid w:val="71687B5B"/>
    <w:rsid w:val="716A5681"/>
    <w:rsid w:val="716B31A7"/>
    <w:rsid w:val="716D6F1F"/>
    <w:rsid w:val="716F2C97"/>
    <w:rsid w:val="717007BD"/>
    <w:rsid w:val="71724535"/>
    <w:rsid w:val="717464FF"/>
    <w:rsid w:val="71753A6F"/>
    <w:rsid w:val="71791D68"/>
    <w:rsid w:val="717958C4"/>
    <w:rsid w:val="717A163C"/>
    <w:rsid w:val="717A67E4"/>
    <w:rsid w:val="717C1858"/>
    <w:rsid w:val="717C3606"/>
    <w:rsid w:val="717E112C"/>
    <w:rsid w:val="717E737E"/>
    <w:rsid w:val="717F6C52"/>
    <w:rsid w:val="71816E6E"/>
    <w:rsid w:val="71837D25"/>
    <w:rsid w:val="718538F7"/>
    <w:rsid w:val="71867FE1"/>
    <w:rsid w:val="718801FD"/>
    <w:rsid w:val="718A5D23"/>
    <w:rsid w:val="718A7AD1"/>
    <w:rsid w:val="718F158B"/>
    <w:rsid w:val="718F50E7"/>
    <w:rsid w:val="718F6E95"/>
    <w:rsid w:val="71900E5F"/>
    <w:rsid w:val="71902C0D"/>
    <w:rsid w:val="71922E29"/>
    <w:rsid w:val="71924BD7"/>
    <w:rsid w:val="71935EFB"/>
    <w:rsid w:val="71940950"/>
    <w:rsid w:val="719426FE"/>
    <w:rsid w:val="71956476"/>
    <w:rsid w:val="719721EE"/>
    <w:rsid w:val="71973F9C"/>
    <w:rsid w:val="719B7F30"/>
    <w:rsid w:val="719E532A"/>
    <w:rsid w:val="71A072F4"/>
    <w:rsid w:val="71A130D0"/>
    <w:rsid w:val="71A30B93"/>
    <w:rsid w:val="71A5490B"/>
    <w:rsid w:val="71A55F82"/>
    <w:rsid w:val="71A62431"/>
    <w:rsid w:val="71AA0173"/>
    <w:rsid w:val="71AA1F21"/>
    <w:rsid w:val="71AD37BF"/>
    <w:rsid w:val="71AE2B03"/>
    <w:rsid w:val="71AF12E6"/>
    <w:rsid w:val="71AF5789"/>
    <w:rsid w:val="71B20DD6"/>
    <w:rsid w:val="71B2527A"/>
    <w:rsid w:val="71B354E5"/>
    <w:rsid w:val="71B44B4E"/>
    <w:rsid w:val="71B608C6"/>
    <w:rsid w:val="71B72890"/>
    <w:rsid w:val="71B927E7"/>
    <w:rsid w:val="71B97C16"/>
    <w:rsid w:val="71BA7C8A"/>
    <w:rsid w:val="71BB412E"/>
    <w:rsid w:val="71BB5107"/>
    <w:rsid w:val="71BC7EA6"/>
    <w:rsid w:val="71BD1168"/>
    <w:rsid w:val="71BE777B"/>
    <w:rsid w:val="71C034F3"/>
    <w:rsid w:val="71C07997"/>
    <w:rsid w:val="71C31235"/>
    <w:rsid w:val="71C54FAD"/>
    <w:rsid w:val="71C70D25"/>
    <w:rsid w:val="71C72AD3"/>
    <w:rsid w:val="71C942C6"/>
    <w:rsid w:val="71CA611F"/>
    <w:rsid w:val="71CC00E9"/>
    <w:rsid w:val="71CC633B"/>
    <w:rsid w:val="71CD20B4"/>
    <w:rsid w:val="71CD5C10"/>
    <w:rsid w:val="71CD79BE"/>
    <w:rsid w:val="71CF1988"/>
    <w:rsid w:val="71CF357D"/>
    <w:rsid w:val="71CF7BDA"/>
    <w:rsid w:val="71D074AE"/>
    <w:rsid w:val="71D15700"/>
    <w:rsid w:val="71D21478"/>
    <w:rsid w:val="71D27F8A"/>
    <w:rsid w:val="71D3338E"/>
    <w:rsid w:val="71D40D4C"/>
    <w:rsid w:val="71D62D16"/>
    <w:rsid w:val="71D7083C"/>
    <w:rsid w:val="71D70DAA"/>
    <w:rsid w:val="71D90A58"/>
    <w:rsid w:val="71D92806"/>
    <w:rsid w:val="71D945B4"/>
    <w:rsid w:val="71DB20DB"/>
    <w:rsid w:val="71DC40A5"/>
    <w:rsid w:val="71DC5E53"/>
    <w:rsid w:val="71DE606F"/>
    <w:rsid w:val="71E2790D"/>
    <w:rsid w:val="71E511AB"/>
    <w:rsid w:val="71E52F59"/>
    <w:rsid w:val="71E60A7F"/>
    <w:rsid w:val="71E80C9B"/>
    <w:rsid w:val="71E82A49"/>
    <w:rsid w:val="71EA0185"/>
    <w:rsid w:val="71EA0570"/>
    <w:rsid w:val="71EA67C2"/>
    <w:rsid w:val="71EF1426"/>
    <w:rsid w:val="71EF202A"/>
    <w:rsid w:val="71F118FE"/>
    <w:rsid w:val="71F17B50"/>
    <w:rsid w:val="71F25676"/>
    <w:rsid w:val="71F31B1A"/>
    <w:rsid w:val="71F413EE"/>
    <w:rsid w:val="71F65166"/>
    <w:rsid w:val="71F72C8D"/>
    <w:rsid w:val="71F77BB8"/>
    <w:rsid w:val="71F907B3"/>
    <w:rsid w:val="71F92EA9"/>
    <w:rsid w:val="71F96A05"/>
    <w:rsid w:val="71FA0BD5"/>
    <w:rsid w:val="71FB09CF"/>
    <w:rsid w:val="71FB1AAE"/>
    <w:rsid w:val="71FB277D"/>
    <w:rsid w:val="71FC02A3"/>
    <w:rsid w:val="71FE226D"/>
    <w:rsid w:val="71FE401B"/>
    <w:rsid w:val="71FF3B8D"/>
    <w:rsid w:val="72023B0B"/>
    <w:rsid w:val="72030D2C"/>
    <w:rsid w:val="72035AD5"/>
    <w:rsid w:val="72077373"/>
    <w:rsid w:val="720B74BE"/>
    <w:rsid w:val="720C498A"/>
    <w:rsid w:val="720C6738"/>
    <w:rsid w:val="720D425E"/>
    <w:rsid w:val="720D49AF"/>
    <w:rsid w:val="720F447A"/>
    <w:rsid w:val="720F6228"/>
    <w:rsid w:val="72111FA0"/>
    <w:rsid w:val="721147C0"/>
    <w:rsid w:val="72115F01"/>
    <w:rsid w:val="72127AC6"/>
    <w:rsid w:val="72135D18"/>
    <w:rsid w:val="72141CB1"/>
    <w:rsid w:val="7214383E"/>
    <w:rsid w:val="72167281"/>
    <w:rsid w:val="721750DD"/>
    <w:rsid w:val="72192C03"/>
    <w:rsid w:val="721970A7"/>
    <w:rsid w:val="721E646B"/>
    <w:rsid w:val="721F0505"/>
    <w:rsid w:val="721F0DFF"/>
    <w:rsid w:val="721F290F"/>
    <w:rsid w:val="72203F91"/>
    <w:rsid w:val="722241AD"/>
    <w:rsid w:val="72227D09"/>
    <w:rsid w:val="72233A82"/>
    <w:rsid w:val="7223504B"/>
    <w:rsid w:val="722515A8"/>
    <w:rsid w:val="722872EA"/>
    <w:rsid w:val="72290BF1"/>
    <w:rsid w:val="722A3062"/>
    <w:rsid w:val="722B5C1E"/>
    <w:rsid w:val="722C0B88"/>
    <w:rsid w:val="722C2936"/>
    <w:rsid w:val="722D66AE"/>
    <w:rsid w:val="722E2B52"/>
    <w:rsid w:val="723111D9"/>
    <w:rsid w:val="72331F17"/>
    <w:rsid w:val="72343EE1"/>
    <w:rsid w:val="72347A3D"/>
    <w:rsid w:val="723637B5"/>
    <w:rsid w:val="72367C59"/>
    <w:rsid w:val="723839D1"/>
    <w:rsid w:val="7238577F"/>
    <w:rsid w:val="723914F7"/>
    <w:rsid w:val="723B0DCB"/>
    <w:rsid w:val="723D0FE7"/>
    <w:rsid w:val="723D3A8D"/>
    <w:rsid w:val="723D4B43"/>
    <w:rsid w:val="724063E2"/>
    <w:rsid w:val="724203AC"/>
    <w:rsid w:val="724361BE"/>
    <w:rsid w:val="72440D8F"/>
    <w:rsid w:val="72442376"/>
    <w:rsid w:val="72451C4A"/>
    <w:rsid w:val="72473C14"/>
    <w:rsid w:val="7249173A"/>
    <w:rsid w:val="724A147E"/>
    <w:rsid w:val="724A34C0"/>
    <w:rsid w:val="724A5D7A"/>
    <w:rsid w:val="724A7260"/>
    <w:rsid w:val="724F4877"/>
    <w:rsid w:val="724F5EA2"/>
    <w:rsid w:val="725105EF"/>
    <w:rsid w:val="7251239D"/>
    <w:rsid w:val="72514A93"/>
    <w:rsid w:val="725325B9"/>
    <w:rsid w:val="725327A6"/>
    <w:rsid w:val="72534367"/>
    <w:rsid w:val="72553024"/>
    <w:rsid w:val="725620A9"/>
    <w:rsid w:val="72564FB8"/>
    <w:rsid w:val="72565C05"/>
    <w:rsid w:val="725B321B"/>
    <w:rsid w:val="725D3437"/>
    <w:rsid w:val="725D6F93"/>
    <w:rsid w:val="725E2D0C"/>
    <w:rsid w:val="7261193D"/>
    <w:rsid w:val="72620A4E"/>
    <w:rsid w:val="726245AA"/>
    <w:rsid w:val="72640322"/>
    <w:rsid w:val="72646574"/>
    <w:rsid w:val="726522EC"/>
    <w:rsid w:val="72655E48"/>
    <w:rsid w:val="72671BC0"/>
    <w:rsid w:val="72676064"/>
    <w:rsid w:val="72677E12"/>
    <w:rsid w:val="72693B8A"/>
    <w:rsid w:val="726A1369"/>
    <w:rsid w:val="726A345E"/>
    <w:rsid w:val="726C367A"/>
    <w:rsid w:val="726C71D7"/>
    <w:rsid w:val="726E73F3"/>
    <w:rsid w:val="726F4F19"/>
    <w:rsid w:val="726F6CC7"/>
    <w:rsid w:val="727147ED"/>
    <w:rsid w:val="727367B7"/>
    <w:rsid w:val="72760055"/>
    <w:rsid w:val="727662A7"/>
    <w:rsid w:val="7278396D"/>
    <w:rsid w:val="727D7636"/>
    <w:rsid w:val="727F33AE"/>
    <w:rsid w:val="72802C82"/>
    <w:rsid w:val="72807126"/>
    <w:rsid w:val="728269FA"/>
    <w:rsid w:val="728275F0"/>
    <w:rsid w:val="728409C4"/>
    <w:rsid w:val="72872262"/>
    <w:rsid w:val="728811CD"/>
    <w:rsid w:val="72895FDA"/>
    <w:rsid w:val="728A3B01"/>
    <w:rsid w:val="728E1843"/>
    <w:rsid w:val="728E539F"/>
    <w:rsid w:val="728F1117"/>
    <w:rsid w:val="72903084"/>
    <w:rsid w:val="729055BB"/>
    <w:rsid w:val="72907369"/>
    <w:rsid w:val="729130E1"/>
    <w:rsid w:val="72915C55"/>
    <w:rsid w:val="72920575"/>
    <w:rsid w:val="72930C07"/>
    <w:rsid w:val="72952BD1"/>
    <w:rsid w:val="7295497F"/>
    <w:rsid w:val="729843E7"/>
    <w:rsid w:val="7298446F"/>
    <w:rsid w:val="7298621E"/>
    <w:rsid w:val="72987FCC"/>
    <w:rsid w:val="729A1F96"/>
    <w:rsid w:val="729A6D07"/>
    <w:rsid w:val="729D55E2"/>
    <w:rsid w:val="729F135A"/>
    <w:rsid w:val="729F16E9"/>
    <w:rsid w:val="729F57FE"/>
    <w:rsid w:val="72A05985"/>
    <w:rsid w:val="72A44BC2"/>
    <w:rsid w:val="72A46970"/>
    <w:rsid w:val="72A526E9"/>
    <w:rsid w:val="72A70FB2"/>
    <w:rsid w:val="72A72A4C"/>
    <w:rsid w:val="72A746B3"/>
    <w:rsid w:val="72AB41A3"/>
    <w:rsid w:val="72AC3A77"/>
    <w:rsid w:val="72AD085C"/>
    <w:rsid w:val="72AE77EF"/>
    <w:rsid w:val="72B017B9"/>
    <w:rsid w:val="72B13AFE"/>
    <w:rsid w:val="72B15531"/>
    <w:rsid w:val="72B33057"/>
    <w:rsid w:val="72B55021"/>
    <w:rsid w:val="72B566AC"/>
    <w:rsid w:val="72B56DCF"/>
    <w:rsid w:val="72B648F6"/>
    <w:rsid w:val="72B77970"/>
    <w:rsid w:val="72B868C0"/>
    <w:rsid w:val="72BB015E"/>
    <w:rsid w:val="72BB3CBA"/>
    <w:rsid w:val="72BC2352"/>
    <w:rsid w:val="72BC63B0"/>
    <w:rsid w:val="72BF19FC"/>
    <w:rsid w:val="72BF7C4E"/>
    <w:rsid w:val="72C07522"/>
    <w:rsid w:val="72C135F3"/>
    <w:rsid w:val="72C139C6"/>
    <w:rsid w:val="72C15774"/>
    <w:rsid w:val="72C161C4"/>
    <w:rsid w:val="72C2773E"/>
    <w:rsid w:val="72C405F2"/>
    <w:rsid w:val="72C40DC1"/>
    <w:rsid w:val="72C41F74"/>
    <w:rsid w:val="72C62A03"/>
    <w:rsid w:val="72C62D8B"/>
    <w:rsid w:val="72C708B1"/>
    <w:rsid w:val="72C708F5"/>
    <w:rsid w:val="72C74D55"/>
    <w:rsid w:val="72C93215"/>
    <w:rsid w:val="72C963D7"/>
    <w:rsid w:val="72CA0413"/>
    <w:rsid w:val="72CA214F"/>
    <w:rsid w:val="72CA46A5"/>
    <w:rsid w:val="72CB7276"/>
    <w:rsid w:val="72CC1ABA"/>
    <w:rsid w:val="72CC4119"/>
    <w:rsid w:val="72CE60E3"/>
    <w:rsid w:val="72CF7087"/>
    <w:rsid w:val="72D03C09"/>
    <w:rsid w:val="72D07765"/>
    <w:rsid w:val="72D1172F"/>
    <w:rsid w:val="72D134DE"/>
    <w:rsid w:val="72D27981"/>
    <w:rsid w:val="72D37256"/>
    <w:rsid w:val="72D60AF4"/>
    <w:rsid w:val="72D74F98"/>
    <w:rsid w:val="72DB0FA8"/>
    <w:rsid w:val="72DB435C"/>
    <w:rsid w:val="72DD6326"/>
    <w:rsid w:val="72DF209E"/>
    <w:rsid w:val="72E1149C"/>
    <w:rsid w:val="72E15E16"/>
    <w:rsid w:val="72E17BC5"/>
    <w:rsid w:val="72E256EB"/>
    <w:rsid w:val="72E421C6"/>
    <w:rsid w:val="72E45DD0"/>
    <w:rsid w:val="72E619B7"/>
    <w:rsid w:val="72E6342D"/>
    <w:rsid w:val="72E651DB"/>
    <w:rsid w:val="72E71E01"/>
    <w:rsid w:val="72E72D01"/>
    <w:rsid w:val="72E74AAF"/>
    <w:rsid w:val="72E85CBA"/>
    <w:rsid w:val="72E871A5"/>
    <w:rsid w:val="72EB0A43"/>
    <w:rsid w:val="72EB459F"/>
    <w:rsid w:val="72EE0533"/>
    <w:rsid w:val="72EE408F"/>
    <w:rsid w:val="72F0605A"/>
    <w:rsid w:val="72F35B4A"/>
    <w:rsid w:val="72F42634"/>
    <w:rsid w:val="72F47912"/>
    <w:rsid w:val="72F5541E"/>
    <w:rsid w:val="72F84F0E"/>
    <w:rsid w:val="72FA0C86"/>
    <w:rsid w:val="72FA2A34"/>
    <w:rsid w:val="72FA3784"/>
    <w:rsid w:val="73012015"/>
    <w:rsid w:val="73027B3B"/>
    <w:rsid w:val="73036C20"/>
    <w:rsid w:val="73044836"/>
    <w:rsid w:val="73076EFF"/>
    <w:rsid w:val="73087218"/>
    <w:rsid w:val="730B2E93"/>
    <w:rsid w:val="730D6C0C"/>
    <w:rsid w:val="731004AA"/>
    <w:rsid w:val="7311057B"/>
    <w:rsid w:val="73117D7E"/>
    <w:rsid w:val="73122968"/>
    <w:rsid w:val="73124222"/>
    <w:rsid w:val="73125FD0"/>
    <w:rsid w:val="73137F9A"/>
    <w:rsid w:val="73155AC0"/>
    <w:rsid w:val="7316181C"/>
    <w:rsid w:val="73165394"/>
    <w:rsid w:val="731735E6"/>
    <w:rsid w:val="7318110C"/>
    <w:rsid w:val="731A30D6"/>
    <w:rsid w:val="731A4E85"/>
    <w:rsid w:val="731D6723"/>
    <w:rsid w:val="731D6B1E"/>
    <w:rsid w:val="731F5D5E"/>
    <w:rsid w:val="731F693F"/>
    <w:rsid w:val="73221F8B"/>
    <w:rsid w:val="73223D39"/>
    <w:rsid w:val="73243F55"/>
    <w:rsid w:val="7327134F"/>
    <w:rsid w:val="732B0E40"/>
    <w:rsid w:val="732D105C"/>
    <w:rsid w:val="732D2E0A"/>
    <w:rsid w:val="732D4BB8"/>
    <w:rsid w:val="732E0F33"/>
    <w:rsid w:val="732E26DE"/>
    <w:rsid w:val="733028FA"/>
    <w:rsid w:val="73304F94"/>
    <w:rsid w:val="73310FF5"/>
    <w:rsid w:val="733221CE"/>
    <w:rsid w:val="73326672"/>
    <w:rsid w:val="73335F46"/>
    <w:rsid w:val="733817AF"/>
    <w:rsid w:val="73397A01"/>
    <w:rsid w:val="733A72D5"/>
    <w:rsid w:val="733C304D"/>
    <w:rsid w:val="733C4DFB"/>
    <w:rsid w:val="733F35F9"/>
    <w:rsid w:val="73410663"/>
    <w:rsid w:val="734168B5"/>
    <w:rsid w:val="7343262D"/>
    <w:rsid w:val="734343DB"/>
    <w:rsid w:val="73441F01"/>
    <w:rsid w:val="734463A5"/>
    <w:rsid w:val="7346211D"/>
    <w:rsid w:val="73463ECB"/>
    <w:rsid w:val="73465C7A"/>
    <w:rsid w:val="7349576A"/>
    <w:rsid w:val="734B045B"/>
    <w:rsid w:val="734B3290"/>
    <w:rsid w:val="734B7FEC"/>
    <w:rsid w:val="734C0DB6"/>
    <w:rsid w:val="734E4B2E"/>
    <w:rsid w:val="734F0FD2"/>
    <w:rsid w:val="73504D4A"/>
    <w:rsid w:val="7352461E"/>
    <w:rsid w:val="73530396"/>
    <w:rsid w:val="73555EBD"/>
    <w:rsid w:val="7355750D"/>
    <w:rsid w:val="735859AD"/>
    <w:rsid w:val="735A7977"/>
    <w:rsid w:val="735C36EF"/>
    <w:rsid w:val="735C549D"/>
    <w:rsid w:val="735C724B"/>
    <w:rsid w:val="735E7467"/>
    <w:rsid w:val="735F0AE9"/>
    <w:rsid w:val="735F6D3B"/>
    <w:rsid w:val="73612AB3"/>
    <w:rsid w:val="73614861"/>
    <w:rsid w:val="73642743"/>
    <w:rsid w:val="736600CA"/>
    <w:rsid w:val="73661E78"/>
    <w:rsid w:val="73665063"/>
    <w:rsid w:val="73677C34"/>
    <w:rsid w:val="73683E42"/>
    <w:rsid w:val="7370719A"/>
    <w:rsid w:val="737138B7"/>
    <w:rsid w:val="7372081D"/>
    <w:rsid w:val="73734595"/>
    <w:rsid w:val="7375030D"/>
    <w:rsid w:val="73770529"/>
    <w:rsid w:val="737722D7"/>
    <w:rsid w:val="737A3B75"/>
    <w:rsid w:val="737D338C"/>
    <w:rsid w:val="737F118B"/>
    <w:rsid w:val="737F73DD"/>
    <w:rsid w:val="73830C7C"/>
    <w:rsid w:val="73840550"/>
    <w:rsid w:val="73852C46"/>
    <w:rsid w:val="738806AE"/>
    <w:rsid w:val="738A200A"/>
    <w:rsid w:val="738B5D82"/>
    <w:rsid w:val="738D1AFA"/>
    <w:rsid w:val="739015EB"/>
    <w:rsid w:val="73903399"/>
    <w:rsid w:val="73942E89"/>
    <w:rsid w:val="73944C37"/>
    <w:rsid w:val="7395275D"/>
    <w:rsid w:val="73966C01"/>
    <w:rsid w:val="73972979"/>
    <w:rsid w:val="73974727"/>
    <w:rsid w:val="7399224D"/>
    <w:rsid w:val="73997EF2"/>
    <w:rsid w:val="739C3AEB"/>
    <w:rsid w:val="739D1444"/>
    <w:rsid w:val="739E7864"/>
    <w:rsid w:val="739F35DC"/>
    <w:rsid w:val="73A0182E"/>
    <w:rsid w:val="73A17354"/>
    <w:rsid w:val="73A3131E"/>
    <w:rsid w:val="73A31B39"/>
    <w:rsid w:val="73A34E7A"/>
    <w:rsid w:val="73A40BF2"/>
    <w:rsid w:val="73A44BA1"/>
    <w:rsid w:val="73A62BBC"/>
    <w:rsid w:val="73A66718"/>
    <w:rsid w:val="73A86934"/>
    <w:rsid w:val="73AA26AC"/>
    <w:rsid w:val="73AC7AA8"/>
    <w:rsid w:val="73AD3F4B"/>
    <w:rsid w:val="73AD7AA7"/>
    <w:rsid w:val="73AF381F"/>
    <w:rsid w:val="73AF458D"/>
    <w:rsid w:val="73B07597"/>
    <w:rsid w:val="73B13A3B"/>
    <w:rsid w:val="73B2330F"/>
    <w:rsid w:val="73B33669"/>
    <w:rsid w:val="73B40E35"/>
    <w:rsid w:val="73B76B77"/>
    <w:rsid w:val="73B928EF"/>
    <w:rsid w:val="73BA01E7"/>
    <w:rsid w:val="73BA21C4"/>
    <w:rsid w:val="73BB6668"/>
    <w:rsid w:val="73BC23E0"/>
    <w:rsid w:val="73BC418E"/>
    <w:rsid w:val="73BE7F06"/>
    <w:rsid w:val="73C03896"/>
    <w:rsid w:val="73C13552"/>
    <w:rsid w:val="73C31078"/>
    <w:rsid w:val="73C3376E"/>
    <w:rsid w:val="73C372CA"/>
    <w:rsid w:val="73C44FA9"/>
    <w:rsid w:val="73C51AD5"/>
    <w:rsid w:val="73C60B68"/>
    <w:rsid w:val="73C6347E"/>
    <w:rsid w:val="73C6500C"/>
    <w:rsid w:val="73C66DBA"/>
    <w:rsid w:val="73C84DFA"/>
    <w:rsid w:val="73C92407"/>
    <w:rsid w:val="73C977ED"/>
    <w:rsid w:val="73CD1EF7"/>
    <w:rsid w:val="73CF2113"/>
    <w:rsid w:val="73CF3EC1"/>
    <w:rsid w:val="73CF42D2"/>
    <w:rsid w:val="73CF5C6F"/>
    <w:rsid w:val="73D019E7"/>
    <w:rsid w:val="73D2575F"/>
    <w:rsid w:val="73D43285"/>
    <w:rsid w:val="73D47729"/>
    <w:rsid w:val="73D5047E"/>
    <w:rsid w:val="73D6524F"/>
    <w:rsid w:val="73D94D40"/>
    <w:rsid w:val="73D96AEE"/>
    <w:rsid w:val="73DB0AB8"/>
    <w:rsid w:val="73DB2866"/>
    <w:rsid w:val="73DE4104"/>
    <w:rsid w:val="73DF482D"/>
    <w:rsid w:val="73E21E46"/>
    <w:rsid w:val="73E31007"/>
    <w:rsid w:val="73E57241"/>
    <w:rsid w:val="73E6120B"/>
    <w:rsid w:val="73E86D31"/>
    <w:rsid w:val="73EA0CFB"/>
    <w:rsid w:val="73EB6821"/>
    <w:rsid w:val="73EF00BF"/>
    <w:rsid w:val="73EF4563"/>
    <w:rsid w:val="73EF6311"/>
    <w:rsid w:val="73F0217B"/>
    <w:rsid w:val="73F161DC"/>
    <w:rsid w:val="73F2195D"/>
    <w:rsid w:val="73F336CD"/>
    <w:rsid w:val="73F531FC"/>
    <w:rsid w:val="73F751C6"/>
    <w:rsid w:val="73F90B45"/>
    <w:rsid w:val="73FC0A2E"/>
    <w:rsid w:val="73FF1491"/>
    <w:rsid w:val="7400051E"/>
    <w:rsid w:val="7400407A"/>
    <w:rsid w:val="74055B35"/>
    <w:rsid w:val="74081181"/>
    <w:rsid w:val="74082F2F"/>
    <w:rsid w:val="740C2DE4"/>
    <w:rsid w:val="740C6EC3"/>
    <w:rsid w:val="740D6797"/>
    <w:rsid w:val="74100036"/>
    <w:rsid w:val="74122000"/>
    <w:rsid w:val="74147B26"/>
    <w:rsid w:val="7416389E"/>
    <w:rsid w:val="74163E96"/>
    <w:rsid w:val="741713C4"/>
    <w:rsid w:val="74177616"/>
    <w:rsid w:val="74185868"/>
    <w:rsid w:val="741B2C62"/>
    <w:rsid w:val="741C69DA"/>
    <w:rsid w:val="741D2E7E"/>
    <w:rsid w:val="741E09A4"/>
    <w:rsid w:val="741E793C"/>
    <w:rsid w:val="7420471D"/>
    <w:rsid w:val="742064CB"/>
    <w:rsid w:val="74235FBB"/>
    <w:rsid w:val="7424106B"/>
    <w:rsid w:val="74277859"/>
    <w:rsid w:val="742835D1"/>
    <w:rsid w:val="742D0BE7"/>
    <w:rsid w:val="742F2BB2"/>
    <w:rsid w:val="742F670E"/>
    <w:rsid w:val="743261FE"/>
    <w:rsid w:val="743401C8"/>
    <w:rsid w:val="74343D24"/>
    <w:rsid w:val="7434641A"/>
    <w:rsid w:val="74364910"/>
    <w:rsid w:val="74367A9C"/>
    <w:rsid w:val="74381A66"/>
    <w:rsid w:val="74387CB8"/>
    <w:rsid w:val="74393A30"/>
    <w:rsid w:val="743C0782"/>
    <w:rsid w:val="743C0E2B"/>
    <w:rsid w:val="743E2DF5"/>
    <w:rsid w:val="743E4BA3"/>
    <w:rsid w:val="7440091B"/>
    <w:rsid w:val="74416441"/>
    <w:rsid w:val="744228E5"/>
    <w:rsid w:val="7443040B"/>
    <w:rsid w:val="74441AE5"/>
    <w:rsid w:val="74454183"/>
    <w:rsid w:val="74463A57"/>
    <w:rsid w:val="744877CF"/>
    <w:rsid w:val="744A1799"/>
    <w:rsid w:val="744A79EB"/>
    <w:rsid w:val="744B4216"/>
    <w:rsid w:val="744B56A6"/>
    <w:rsid w:val="744C2984"/>
    <w:rsid w:val="744C5512"/>
    <w:rsid w:val="744E2B97"/>
    <w:rsid w:val="744F5002"/>
    <w:rsid w:val="74511518"/>
    <w:rsid w:val="74512B28"/>
    <w:rsid w:val="7452064E"/>
    <w:rsid w:val="745443C6"/>
    <w:rsid w:val="74561329"/>
    <w:rsid w:val="74566390"/>
    <w:rsid w:val="74582108"/>
    <w:rsid w:val="745915FE"/>
    <w:rsid w:val="74597C2E"/>
    <w:rsid w:val="745D771F"/>
    <w:rsid w:val="745E125D"/>
    <w:rsid w:val="745E3944"/>
    <w:rsid w:val="745E5245"/>
    <w:rsid w:val="745E6FF3"/>
    <w:rsid w:val="74600FBD"/>
    <w:rsid w:val="74604B19"/>
    <w:rsid w:val="7461100D"/>
    <w:rsid w:val="74620891"/>
    <w:rsid w:val="74626AE3"/>
    <w:rsid w:val="74633218"/>
    <w:rsid w:val="74634609"/>
    <w:rsid w:val="74644DBD"/>
    <w:rsid w:val="746622AE"/>
    <w:rsid w:val="7467234B"/>
    <w:rsid w:val="74675EA7"/>
    <w:rsid w:val="746A3BEA"/>
    <w:rsid w:val="746C1710"/>
    <w:rsid w:val="746E7BAE"/>
    <w:rsid w:val="746F1200"/>
    <w:rsid w:val="746F2FAE"/>
    <w:rsid w:val="746F7452"/>
    <w:rsid w:val="747131CA"/>
    <w:rsid w:val="74732A9E"/>
    <w:rsid w:val="747448B2"/>
    <w:rsid w:val="74793E2D"/>
    <w:rsid w:val="74795BDB"/>
    <w:rsid w:val="747D1B6F"/>
    <w:rsid w:val="747D56CB"/>
    <w:rsid w:val="747E1443"/>
    <w:rsid w:val="74836A59"/>
    <w:rsid w:val="74844CAB"/>
    <w:rsid w:val="748507EA"/>
    <w:rsid w:val="748702F8"/>
    <w:rsid w:val="74890514"/>
    <w:rsid w:val="74896D89"/>
    <w:rsid w:val="748A7DE8"/>
    <w:rsid w:val="748C0004"/>
    <w:rsid w:val="748C3B60"/>
    <w:rsid w:val="748C6809"/>
    <w:rsid w:val="748F53FE"/>
    <w:rsid w:val="74911176"/>
    <w:rsid w:val="7491561A"/>
    <w:rsid w:val="749173C8"/>
    <w:rsid w:val="74942A15"/>
    <w:rsid w:val="749649DF"/>
    <w:rsid w:val="7496678D"/>
    <w:rsid w:val="74971D79"/>
    <w:rsid w:val="749B7F27"/>
    <w:rsid w:val="749C3ABE"/>
    <w:rsid w:val="749D3FBF"/>
    <w:rsid w:val="749D7B1B"/>
    <w:rsid w:val="749F7D37"/>
    <w:rsid w:val="74A23383"/>
    <w:rsid w:val="74A24D5F"/>
    <w:rsid w:val="74A25132"/>
    <w:rsid w:val="74A40EAA"/>
    <w:rsid w:val="74A470FC"/>
    <w:rsid w:val="74A569D0"/>
    <w:rsid w:val="74A70885"/>
    <w:rsid w:val="74A70BD1"/>
    <w:rsid w:val="74A72748"/>
    <w:rsid w:val="74A92964"/>
    <w:rsid w:val="74AC7D5E"/>
    <w:rsid w:val="74AE7F7A"/>
    <w:rsid w:val="74AF5AA0"/>
    <w:rsid w:val="74B03CF2"/>
    <w:rsid w:val="74B11819"/>
    <w:rsid w:val="74B310ED"/>
    <w:rsid w:val="74B3733F"/>
    <w:rsid w:val="74B530B7"/>
    <w:rsid w:val="74B706C6"/>
    <w:rsid w:val="74BB4445"/>
    <w:rsid w:val="74BB61F3"/>
    <w:rsid w:val="74BD1F6B"/>
    <w:rsid w:val="74BF3F35"/>
    <w:rsid w:val="74C002E8"/>
    <w:rsid w:val="74C23A26"/>
    <w:rsid w:val="74C72DEA"/>
    <w:rsid w:val="74C94DB4"/>
    <w:rsid w:val="74CD402D"/>
    <w:rsid w:val="74CF1C9F"/>
    <w:rsid w:val="74D06143"/>
    <w:rsid w:val="74D13C69"/>
    <w:rsid w:val="74D177C5"/>
    <w:rsid w:val="74D379E1"/>
    <w:rsid w:val="74D53759"/>
    <w:rsid w:val="74D6127F"/>
    <w:rsid w:val="74D6302D"/>
    <w:rsid w:val="74D774D1"/>
    <w:rsid w:val="74D80B53"/>
    <w:rsid w:val="74D84FF7"/>
    <w:rsid w:val="74DA2B1D"/>
    <w:rsid w:val="74DC4AE7"/>
    <w:rsid w:val="74DD616A"/>
    <w:rsid w:val="74DF6386"/>
    <w:rsid w:val="74E221F2"/>
    <w:rsid w:val="74E25E76"/>
    <w:rsid w:val="74E4574A"/>
    <w:rsid w:val="74E4626F"/>
    <w:rsid w:val="74E7348C"/>
    <w:rsid w:val="74E74BD4"/>
    <w:rsid w:val="74E7523A"/>
    <w:rsid w:val="74E76FE8"/>
    <w:rsid w:val="74E90FB2"/>
    <w:rsid w:val="74E92D60"/>
    <w:rsid w:val="74EB4D2A"/>
    <w:rsid w:val="74EB6AD9"/>
    <w:rsid w:val="74EC2851"/>
    <w:rsid w:val="74EC45FF"/>
    <w:rsid w:val="74EC5E75"/>
    <w:rsid w:val="74EE0377"/>
    <w:rsid w:val="74EE65C9"/>
    <w:rsid w:val="74F11C15"/>
    <w:rsid w:val="74F160B9"/>
    <w:rsid w:val="74F17E67"/>
    <w:rsid w:val="74F33BDF"/>
    <w:rsid w:val="74F55BA9"/>
    <w:rsid w:val="74F6547D"/>
    <w:rsid w:val="74F71921"/>
    <w:rsid w:val="74F75B59"/>
    <w:rsid w:val="74F811F5"/>
    <w:rsid w:val="74F87447"/>
    <w:rsid w:val="74FB2A94"/>
    <w:rsid w:val="74FC6F38"/>
    <w:rsid w:val="74FF4332"/>
    <w:rsid w:val="7501454E"/>
    <w:rsid w:val="750162FC"/>
    <w:rsid w:val="75023E22"/>
    <w:rsid w:val="750343C0"/>
    <w:rsid w:val="75047B9A"/>
    <w:rsid w:val="7505015D"/>
    <w:rsid w:val="7507564E"/>
    <w:rsid w:val="750758DC"/>
    <w:rsid w:val="750B717B"/>
    <w:rsid w:val="750C4CA1"/>
    <w:rsid w:val="750E27C7"/>
    <w:rsid w:val="750E6C6B"/>
    <w:rsid w:val="75101AA2"/>
    <w:rsid w:val="75103FFB"/>
    <w:rsid w:val="75114065"/>
    <w:rsid w:val="75134281"/>
    <w:rsid w:val="7513602F"/>
    <w:rsid w:val="75137DDD"/>
    <w:rsid w:val="751467C2"/>
    <w:rsid w:val="7516167C"/>
    <w:rsid w:val="751A116C"/>
    <w:rsid w:val="751E2445"/>
    <w:rsid w:val="75220020"/>
    <w:rsid w:val="75225E23"/>
    <w:rsid w:val="75226272"/>
    <w:rsid w:val="75232716"/>
    <w:rsid w:val="75241FEA"/>
    <w:rsid w:val="75256005"/>
    <w:rsid w:val="75257746"/>
    <w:rsid w:val="75265D63"/>
    <w:rsid w:val="75271ADB"/>
    <w:rsid w:val="75273889"/>
    <w:rsid w:val="75287D2D"/>
    <w:rsid w:val="75295853"/>
    <w:rsid w:val="752B3379"/>
    <w:rsid w:val="752D5343"/>
    <w:rsid w:val="752E2E69"/>
    <w:rsid w:val="752E4C17"/>
    <w:rsid w:val="7530098F"/>
    <w:rsid w:val="75306BE1"/>
    <w:rsid w:val="75330480"/>
    <w:rsid w:val="7533222E"/>
    <w:rsid w:val="753366D1"/>
    <w:rsid w:val="7535244A"/>
    <w:rsid w:val="75355AFA"/>
    <w:rsid w:val="75357D54"/>
    <w:rsid w:val="75363ACC"/>
    <w:rsid w:val="75377F70"/>
    <w:rsid w:val="753A35BC"/>
    <w:rsid w:val="753B10E2"/>
    <w:rsid w:val="753C37D8"/>
    <w:rsid w:val="753D12FE"/>
    <w:rsid w:val="753F0BD2"/>
    <w:rsid w:val="75410DEE"/>
    <w:rsid w:val="75412B9C"/>
    <w:rsid w:val="754206C3"/>
    <w:rsid w:val="75426C6E"/>
    <w:rsid w:val="75436915"/>
    <w:rsid w:val="754548E7"/>
    <w:rsid w:val="75461F61"/>
    <w:rsid w:val="75466405"/>
    <w:rsid w:val="75483F70"/>
    <w:rsid w:val="75491A51"/>
    <w:rsid w:val="754937FF"/>
    <w:rsid w:val="75497CA3"/>
    <w:rsid w:val="754A7FD1"/>
    <w:rsid w:val="754D419B"/>
    <w:rsid w:val="754D5AA2"/>
    <w:rsid w:val="75502702"/>
    <w:rsid w:val="75510906"/>
    <w:rsid w:val="75524DAA"/>
    <w:rsid w:val="75526B58"/>
    <w:rsid w:val="75531083"/>
    <w:rsid w:val="755328D0"/>
    <w:rsid w:val="755503F6"/>
    <w:rsid w:val="755521A4"/>
    <w:rsid w:val="75575F1C"/>
    <w:rsid w:val="75577A04"/>
    <w:rsid w:val="75584D75"/>
    <w:rsid w:val="755A1EB0"/>
    <w:rsid w:val="755A5A0C"/>
    <w:rsid w:val="755D72AA"/>
    <w:rsid w:val="755E374E"/>
    <w:rsid w:val="755F3023"/>
    <w:rsid w:val="7560310C"/>
    <w:rsid w:val="7562676A"/>
    <w:rsid w:val="756276E8"/>
    <w:rsid w:val="75630B78"/>
    <w:rsid w:val="75630D65"/>
    <w:rsid w:val="756774F9"/>
    <w:rsid w:val="75693EA1"/>
    <w:rsid w:val="75695C4F"/>
    <w:rsid w:val="756B7C19"/>
    <w:rsid w:val="756D573F"/>
    <w:rsid w:val="756E3266"/>
    <w:rsid w:val="7571317C"/>
    <w:rsid w:val="75720FA8"/>
    <w:rsid w:val="75722D56"/>
    <w:rsid w:val="75752846"/>
    <w:rsid w:val="7577036C"/>
    <w:rsid w:val="75790588"/>
    <w:rsid w:val="757A1C0A"/>
    <w:rsid w:val="757A4300"/>
    <w:rsid w:val="757B56BE"/>
    <w:rsid w:val="757E5B9F"/>
    <w:rsid w:val="757E794D"/>
    <w:rsid w:val="757F1917"/>
    <w:rsid w:val="757F36C5"/>
    <w:rsid w:val="75826D11"/>
    <w:rsid w:val="758331B5"/>
    <w:rsid w:val="75834F63"/>
    <w:rsid w:val="75864A53"/>
    <w:rsid w:val="758807CB"/>
    <w:rsid w:val="75897582"/>
    <w:rsid w:val="758B51B3"/>
    <w:rsid w:val="758E3908"/>
    <w:rsid w:val="758F1B5A"/>
    <w:rsid w:val="75910A42"/>
    <w:rsid w:val="75920609"/>
    <w:rsid w:val="7594796B"/>
    <w:rsid w:val="759727BC"/>
    <w:rsid w:val="75976C60"/>
    <w:rsid w:val="75986535"/>
    <w:rsid w:val="759929D8"/>
    <w:rsid w:val="75994786"/>
    <w:rsid w:val="759E1D9D"/>
    <w:rsid w:val="759F61FA"/>
    <w:rsid w:val="75A31161"/>
    <w:rsid w:val="75A64AC9"/>
    <w:rsid w:val="75A650F5"/>
    <w:rsid w:val="75A849CA"/>
    <w:rsid w:val="75AB479D"/>
    <w:rsid w:val="75AB6268"/>
    <w:rsid w:val="75AD1FE0"/>
    <w:rsid w:val="75AD3D8E"/>
    <w:rsid w:val="75AE054D"/>
    <w:rsid w:val="75AE7B06"/>
    <w:rsid w:val="75B275F6"/>
    <w:rsid w:val="75B3511C"/>
    <w:rsid w:val="75B415C0"/>
    <w:rsid w:val="75B4336E"/>
    <w:rsid w:val="75B82733"/>
    <w:rsid w:val="75B94E29"/>
    <w:rsid w:val="75BA64AB"/>
    <w:rsid w:val="75BC0475"/>
    <w:rsid w:val="75BC66C7"/>
    <w:rsid w:val="75BD1783"/>
    <w:rsid w:val="75BE5F9B"/>
    <w:rsid w:val="75BF3AC1"/>
    <w:rsid w:val="75BF7F65"/>
    <w:rsid w:val="75C13CDD"/>
    <w:rsid w:val="75C15A8B"/>
    <w:rsid w:val="75C17839"/>
    <w:rsid w:val="75C612F4"/>
    <w:rsid w:val="75C64E50"/>
    <w:rsid w:val="75C8506C"/>
    <w:rsid w:val="75C86E1A"/>
    <w:rsid w:val="75CA2B92"/>
    <w:rsid w:val="75CB4B5C"/>
    <w:rsid w:val="75CB690A"/>
    <w:rsid w:val="75CD4430"/>
    <w:rsid w:val="75CE2708"/>
    <w:rsid w:val="75D02172"/>
    <w:rsid w:val="75D03F20"/>
    <w:rsid w:val="75D21A46"/>
    <w:rsid w:val="75D457BF"/>
    <w:rsid w:val="75D51537"/>
    <w:rsid w:val="75D752AF"/>
    <w:rsid w:val="75D94B83"/>
    <w:rsid w:val="75DA08FB"/>
    <w:rsid w:val="75DC4673"/>
    <w:rsid w:val="75DE03EB"/>
    <w:rsid w:val="75E17EDC"/>
    <w:rsid w:val="75E33C54"/>
    <w:rsid w:val="75E35A02"/>
    <w:rsid w:val="75E4177A"/>
    <w:rsid w:val="75E514EC"/>
    <w:rsid w:val="75E55C1E"/>
    <w:rsid w:val="75E579CC"/>
    <w:rsid w:val="75E6098F"/>
    <w:rsid w:val="75E63744"/>
    <w:rsid w:val="75E654F2"/>
    <w:rsid w:val="75E6724E"/>
    <w:rsid w:val="75E8126A"/>
    <w:rsid w:val="75E832AF"/>
    <w:rsid w:val="75E874BC"/>
    <w:rsid w:val="75EA4FE2"/>
    <w:rsid w:val="75EB0D5A"/>
    <w:rsid w:val="75EE05B1"/>
    <w:rsid w:val="75EF25F8"/>
    <w:rsid w:val="75F06371"/>
    <w:rsid w:val="75F23E97"/>
    <w:rsid w:val="75F257F1"/>
    <w:rsid w:val="75F25C45"/>
    <w:rsid w:val="75F26F32"/>
    <w:rsid w:val="75F419BD"/>
    <w:rsid w:val="75F45E61"/>
    <w:rsid w:val="75F525A4"/>
    <w:rsid w:val="75F55735"/>
    <w:rsid w:val="75F95225"/>
    <w:rsid w:val="75FB0F9D"/>
    <w:rsid w:val="75FD128B"/>
    <w:rsid w:val="75FE0A8D"/>
    <w:rsid w:val="75FE6CDF"/>
    <w:rsid w:val="760065B4"/>
    <w:rsid w:val="760360A4"/>
    <w:rsid w:val="76037E52"/>
    <w:rsid w:val="76041EF5"/>
    <w:rsid w:val="76065B94"/>
    <w:rsid w:val="760836BA"/>
    <w:rsid w:val="76085468"/>
    <w:rsid w:val="760A11E0"/>
    <w:rsid w:val="760A5684"/>
    <w:rsid w:val="760A7432"/>
    <w:rsid w:val="760B4F58"/>
    <w:rsid w:val="760D6F22"/>
    <w:rsid w:val="760F46CE"/>
    <w:rsid w:val="760F67F7"/>
    <w:rsid w:val="7610256F"/>
    <w:rsid w:val="7610431D"/>
    <w:rsid w:val="7611394B"/>
    <w:rsid w:val="76120095"/>
    <w:rsid w:val="761262E7"/>
    <w:rsid w:val="7614205F"/>
    <w:rsid w:val="761422CC"/>
    <w:rsid w:val="76157B85"/>
    <w:rsid w:val="76164029"/>
    <w:rsid w:val="761D1EEE"/>
    <w:rsid w:val="7620086F"/>
    <w:rsid w:val="76200A04"/>
    <w:rsid w:val="762027B2"/>
    <w:rsid w:val="762229CE"/>
    <w:rsid w:val="762322A2"/>
    <w:rsid w:val="76250680"/>
    <w:rsid w:val="7625601A"/>
    <w:rsid w:val="76261D92"/>
    <w:rsid w:val="76277FE4"/>
    <w:rsid w:val="76283D5C"/>
    <w:rsid w:val="762878B8"/>
    <w:rsid w:val="762A1882"/>
    <w:rsid w:val="762A7AD4"/>
    <w:rsid w:val="762C5A04"/>
    <w:rsid w:val="762D3121"/>
    <w:rsid w:val="76300364"/>
    <w:rsid w:val="76312C11"/>
    <w:rsid w:val="763334C1"/>
    <w:rsid w:val="76342701"/>
    <w:rsid w:val="7634625D"/>
    <w:rsid w:val="7635099D"/>
    <w:rsid w:val="76361FD5"/>
    <w:rsid w:val="76366479"/>
    <w:rsid w:val="76391AC6"/>
    <w:rsid w:val="76392FBE"/>
    <w:rsid w:val="763A1732"/>
    <w:rsid w:val="763B4B15"/>
    <w:rsid w:val="763E70DC"/>
    <w:rsid w:val="763F04CF"/>
    <w:rsid w:val="7641097A"/>
    <w:rsid w:val="76424E1E"/>
    <w:rsid w:val="76452218"/>
    <w:rsid w:val="764566BC"/>
    <w:rsid w:val="764B35A7"/>
    <w:rsid w:val="764C17F9"/>
    <w:rsid w:val="764F12E9"/>
    <w:rsid w:val="764F3097"/>
    <w:rsid w:val="764F753B"/>
    <w:rsid w:val="76500BBD"/>
    <w:rsid w:val="76524935"/>
    <w:rsid w:val="76544B51"/>
    <w:rsid w:val="765468FF"/>
    <w:rsid w:val="765661D4"/>
    <w:rsid w:val="76571F4C"/>
    <w:rsid w:val="765863F0"/>
    <w:rsid w:val="76592141"/>
    <w:rsid w:val="76597570"/>
    <w:rsid w:val="765A0A00"/>
    <w:rsid w:val="765B0942"/>
    <w:rsid w:val="765C297B"/>
    <w:rsid w:val="765F6D24"/>
    <w:rsid w:val="766034F6"/>
    <w:rsid w:val="766506E4"/>
    <w:rsid w:val="766703E1"/>
    <w:rsid w:val="76676633"/>
    <w:rsid w:val="76684159"/>
    <w:rsid w:val="76684494"/>
    <w:rsid w:val="766A7ED1"/>
    <w:rsid w:val="766F54E7"/>
    <w:rsid w:val="767174B1"/>
    <w:rsid w:val="76744178"/>
    <w:rsid w:val="76764AC8"/>
    <w:rsid w:val="7677439C"/>
    <w:rsid w:val="767A68A9"/>
    <w:rsid w:val="767D522A"/>
    <w:rsid w:val="767E29CC"/>
    <w:rsid w:val="767E397C"/>
    <w:rsid w:val="767E572A"/>
    <w:rsid w:val="768014A2"/>
    <w:rsid w:val="768216BE"/>
    <w:rsid w:val="76830F93"/>
    <w:rsid w:val="76832D41"/>
    <w:rsid w:val="76854D0B"/>
    <w:rsid w:val="76856AB9"/>
    <w:rsid w:val="76872831"/>
    <w:rsid w:val="76876CD5"/>
    <w:rsid w:val="768A2321"/>
    <w:rsid w:val="768D3BBF"/>
    <w:rsid w:val="768F16E6"/>
    <w:rsid w:val="769413F2"/>
    <w:rsid w:val="76960CC6"/>
    <w:rsid w:val="76963C93"/>
    <w:rsid w:val="76984A3E"/>
    <w:rsid w:val="76986CFB"/>
    <w:rsid w:val="76992564"/>
    <w:rsid w:val="769B452E"/>
    <w:rsid w:val="769D3E02"/>
    <w:rsid w:val="769E5DCD"/>
    <w:rsid w:val="769F401E"/>
    <w:rsid w:val="76A2766B"/>
    <w:rsid w:val="76A35191"/>
    <w:rsid w:val="76A41B15"/>
    <w:rsid w:val="76A5705B"/>
    <w:rsid w:val="76A809F9"/>
    <w:rsid w:val="76A81926"/>
    <w:rsid w:val="76A83067"/>
    <w:rsid w:val="76A96C4B"/>
    <w:rsid w:val="76AA4771"/>
    <w:rsid w:val="76AC673B"/>
    <w:rsid w:val="76AE6010"/>
    <w:rsid w:val="76AF1D88"/>
    <w:rsid w:val="76AF3B36"/>
    <w:rsid w:val="76B260B9"/>
    <w:rsid w:val="76B31878"/>
    <w:rsid w:val="76B33626"/>
    <w:rsid w:val="76B61368"/>
    <w:rsid w:val="76B80C3C"/>
    <w:rsid w:val="76B86E8E"/>
    <w:rsid w:val="76B92C06"/>
    <w:rsid w:val="76B93FEC"/>
    <w:rsid w:val="76BD26F7"/>
    <w:rsid w:val="76BD44A5"/>
    <w:rsid w:val="76BD6253"/>
    <w:rsid w:val="76BE5944"/>
    <w:rsid w:val="76C05D43"/>
    <w:rsid w:val="76C07BAD"/>
    <w:rsid w:val="76C45833"/>
    <w:rsid w:val="76C53359"/>
    <w:rsid w:val="76C577FD"/>
    <w:rsid w:val="76C75323"/>
    <w:rsid w:val="76C84BF7"/>
    <w:rsid w:val="76CA0970"/>
    <w:rsid w:val="76CC293A"/>
    <w:rsid w:val="76CC46E8"/>
    <w:rsid w:val="76CE0460"/>
    <w:rsid w:val="76CE66B2"/>
    <w:rsid w:val="76D11CFE"/>
    <w:rsid w:val="76D161A2"/>
    <w:rsid w:val="76D33CC8"/>
    <w:rsid w:val="76D637B8"/>
    <w:rsid w:val="76D812DE"/>
    <w:rsid w:val="76D8308D"/>
    <w:rsid w:val="76D96E05"/>
    <w:rsid w:val="76DA32A9"/>
    <w:rsid w:val="76DB0DCF"/>
    <w:rsid w:val="76DD4B47"/>
    <w:rsid w:val="76DD68F5"/>
    <w:rsid w:val="76E25CB9"/>
    <w:rsid w:val="76E41A31"/>
    <w:rsid w:val="76E77774"/>
    <w:rsid w:val="76EA2DC0"/>
    <w:rsid w:val="76EC08E6"/>
    <w:rsid w:val="76EC4D8A"/>
    <w:rsid w:val="76EC6B38"/>
    <w:rsid w:val="76EE465E"/>
    <w:rsid w:val="76EF6C8C"/>
    <w:rsid w:val="76F0487A"/>
    <w:rsid w:val="76F123A0"/>
    <w:rsid w:val="76F1318D"/>
    <w:rsid w:val="76F31C74"/>
    <w:rsid w:val="76F33ECC"/>
    <w:rsid w:val="76F36118"/>
    <w:rsid w:val="76F52AFE"/>
    <w:rsid w:val="76F854DD"/>
    <w:rsid w:val="76F93003"/>
    <w:rsid w:val="76FB321F"/>
    <w:rsid w:val="76FB4FCD"/>
    <w:rsid w:val="770245AD"/>
    <w:rsid w:val="7702635B"/>
    <w:rsid w:val="77043E82"/>
    <w:rsid w:val="77073972"/>
    <w:rsid w:val="77091498"/>
    <w:rsid w:val="770A5210"/>
    <w:rsid w:val="770C2D36"/>
    <w:rsid w:val="770D32B0"/>
    <w:rsid w:val="770E2F52"/>
    <w:rsid w:val="770F2826"/>
    <w:rsid w:val="77106DDD"/>
    <w:rsid w:val="7715225F"/>
    <w:rsid w:val="77163BB5"/>
    <w:rsid w:val="771826FF"/>
    <w:rsid w:val="771A18F7"/>
    <w:rsid w:val="771A5453"/>
    <w:rsid w:val="771B741D"/>
    <w:rsid w:val="771F1A59"/>
    <w:rsid w:val="771F319A"/>
    <w:rsid w:val="771F6F0D"/>
    <w:rsid w:val="77204A34"/>
    <w:rsid w:val="772203DA"/>
    <w:rsid w:val="77221B1B"/>
    <w:rsid w:val="772462D2"/>
    <w:rsid w:val="77265B4F"/>
    <w:rsid w:val="77291B3A"/>
    <w:rsid w:val="772A140E"/>
    <w:rsid w:val="772B58B2"/>
    <w:rsid w:val="772B7660"/>
    <w:rsid w:val="772C5186"/>
    <w:rsid w:val="772D6C2E"/>
    <w:rsid w:val="772E0EFE"/>
    <w:rsid w:val="772E7150"/>
    <w:rsid w:val="7730111A"/>
    <w:rsid w:val="77304C77"/>
    <w:rsid w:val="7731279D"/>
    <w:rsid w:val="77324E93"/>
    <w:rsid w:val="7733135F"/>
    <w:rsid w:val="77334767"/>
    <w:rsid w:val="773504DF"/>
    <w:rsid w:val="7735228D"/>
    <w:rsid w:val="77366005"/>
    <w:rsid w:val="773724A9"/>
    <w:rsid w:val="773951D1"/>
    <w:rsid w:val="773A5AF5"/>
    <w:rsid w:val="773A6661"/>
    <w:rsid w:val="773C7ABF"/>
    <w:rsid w:val="773D7394"/>
    <w:rsid w:val="773F4EBA"/>
    <w:rsid w:val="774249AA"/>
    <w:rsid w:val="77446974"/>
    <w:rsid w:val="77470212"/>
    <w:rsid w:val="77471FC0"/>
    <w:rsid w:val="774C5829"/>
    <w:rsid w:val="774D3A7A"/>
    <w:rsid w:val="774E5F67"/>
    <w:rsid w:val="77505319"/>
    <w:rsid w:val="77512E3F"/>
    <w:rsid w:val="77521091"/>
    <w:rsid w:val="77536BB7"/>
    <w:rsid w:val="77553F58"/>
    <w:rsid w:val="77560455"/>
    <w:rsid w:val="7757075A"/>
    <w:rsid w:val="775748F9"/>
    <w:rsid w:val="77581BEA"/>
    <w:rsid w:val="77585F7B"/>
    <w:rsid w:val="775A6197"/>
    <w:rsid w:val="775B5A6C"/>
    <w:rsid w:val="775C056B"/>
    <w:rsid w:val="775C3CBE"/>
    <w:rsid w:val="775D19FB"/>
    <w:rsid w:val="775D40B0"/>
    <w:rsid w:val="775E5C88"/>
    <w:rsid w:val="775F555C"/>
    <w:rsid w:val="77612F4D"/>
    <w:rsid w:val="77617526"/>
    <w:rsid w:val="7762504C"/>
    <w:rsid w:val="77626DFA"/>
    <w:rsid w:val="77642B72"/>
    <w:rsid w:val="77644920"/>
    <w:rsid w:val="776808B4"/>
    <w:rsid w:val="776B0749"/>
    <w:rsid w:val="776B2153"/>
    <w:rsid w:val="776B6BD0"/>
    <w:rsid w:val="776C7C79"/>
    <w:rsid w:val="776E39F1"/>
    <w:rsid w:val="776E579F"/>
    <w:rsid w:val="776F1FE4"/>
    <w:rsid w:val="777059BB"/>
    <w:rsid w:val="77707769"/>
    <w:rsid w:val="77737259"/>
    <w:rsid w:val="77752FD1"/>
    <w:rsid w:val="77762421"/>
    <w:rsid w:val="77770AF7"/>
    <w:rsid w:val="777803CC"/>
    <w:rsid w:val="7778661E"/>
    <w:rsid w:val="77795190"/>
    <w:rsid w:val="777A05E8"/>
    <w:rsid w:val="777C4360"/>
    <w:rsid w:val="777C7EBC"/>
    <w:rsid w:val="777F175A"/>
    <w:rsid w:val="777F5BFE"/>
    <w:rsid w:val="77811976"/>
    <w:rsid w:val="7782124A"/>
    <w:rsid w:val="77822286"/>
    <w:rsid w:val="77822FF8"/>
    <w:rsid w:val="778356EE"/>
    <w:rsid w:val="7783749C"/>
    <w:rsid w:val="77843214"/>
    <w:rsid w:val="77846D70"/>
    <w:rsid w:val="77876861"/>
    <w:rsid w:val="7789082B"/>
    <w:rsid w:val="778925D9"/>
    <w:rsid w:val="77894387"/>
    <w:rsid w:val="778B45A3"/>
    <w:rsid w:val="778E4093"/>
    <w:rsid w:val="7791148D"/>
    <w:rsid w:val="7793320B"/>
    <w:rsid w:val="77933457"/>
    <w:rsid w:val="77955421"/>
    <w:rsid w:val="779624E4"/>
    <w:rsid w:val="779A6594"/>
    <w:rsid w:val="779C40BA"/>
    <w:rsid w:val="779D6084"/>
    <w:rsid w:val="779E031E"/>
    <w:rsid w:val="779F3BAA"/>
    <w:rsid w:val="779F437F"/>
    <w:rsid w:val="77A15A9E"/>
    <w:rsid w:val="77A17922"/>
    <w:rsid w:val="77A25449"/>
    <w:rsid w:val="77A64252"/>
    <w:rsid w:val="77A85155"/>
    <w:rsid w:val="77A967D7"/>
    <w:rsid w:val="77AB254F"/>
    <w:rsid w:val="77AB69F3"/>
    <w:rsid w:val="77AD276B"/>
    <w:rsid w:val="77AD62C7"/>
    <w:rsid w:val="77AF64E3"/>
    <w:rsid w:val="77B05DB7"/>
    <w:rsid w:val="77B33C85"/>
    <w:rsid w:val="77B358A8"/>
    <w:rsid w:val="77B5517C"/>
    <w:rsid w:val="77B56B1F"/>
    <w:rsid w:val="77B86667"/>
    <w:rsid w:val="77B91110"/>
    <w:rsid w:val="77B97AF7"/>
    <w:rsid w:val="77BA6C36"/>
    <w:rsid w:val="77BC38A7"/>
    <w:rsid w:val="77BC475C"/>
    <w:rsid w:val="77BC4FE8"/>
    <w:rsid w:val="77BC650A"/>
    <w:rsid w:val="77BC7F2D"/>
    <w:rsid w:val="77BD2282"/>
    <w:rsid w:val="77BF5FFA"/>
    <w:rsid w:val="77C04DF9"/>
    <w:rsid w:val="77C10E5A"/>
    <w:rsid w:val="77C11D73"/>
    <w:rsid w:val="77C16217"/>
    <w:rsid w:val="77C27899"/>
    <w:rsid w:val="77C30BA9"/>
    <w:rsid w:val="77C47AB5"/>
    <w:rsid w:val="77C67389"/>
    <w:rsid w:val="77C74EAF"/>
    <w:rsid w:val="77C875A5"/>
    <w:rsid w:val="77CB1F0C"/>
    <w:rsid w:val="77CD0717"/>
    <w:rsid w:val="77CD6969"/>
    <w:rsid w:val="77CE4490"/>
    <w:rsid w:val="77CE623E"/>
    <w:rsid w:val="77D0645A"/>
    <w:rsid w:val="77D23F80"/>
    <w:rsid w:val="77D45F4A"/>
    <w:rsid w:val="77D47CF8"/>
    <w:rsid w:val="77D5674B"/>
    <w:rsid w:val="77D73344"/>
    <w:rsid w:val="77D93560"/>
    <w:rsid w:val="77DA1086"/>
    <w:rsid w:val="77DC095A"/>
    <w:rsid w:val="77E02CA2"/>
    <w:rsid w:val="77E043E3"/>
    <w:rsid w:val="77E048EF"/>
    <w:rsid w:val="77E141C3"/>
    <w:rsid w:val="77E15F71"/>
    <w:rsid w:val="77E31CE9"/>
    <w:rsid w:val="77E43CB3"/>
    <w:rsid w:val="77E616E5"/>
    <w:rsid w:val="77E617D9"/>
    <w:rsid w:val="77E837A3"/>
    <w:rsid w:val="77E912C9"/>
    <w:rsid w:val="77EB6DF0"/>
    <w:rsid w:val="77ED2B68"/>
    <w:rsid w:val="77ED700C"/>
    <w:rsid w:val="77EF68E0"/>
    <w:rsid w:val="77F02658"/>
    <w:rsid w:val="77F2017E"/>
    <w:rsid w:val="77F263D0"/>
    <w:rsid w:val="77F35CA4"/>
    <w:rsid w:val="77F739E6"/>
    <w:rsid w:val="77F83AFA"/>
    <w:rsid w:val="77F9775E"/>
    <w:rsid w:val="77FA5285"/>
    <w:rsid w:val="77FB78AA"/>
    <w:rsid w:val="77FC724F"/>
    <w:rsid w:val="77FD4D9B"/>
    <w:rsid w:val="77FE3626"/>
    <w:rsid w:val="78000AED"/>
    <w:rsid w:val="78006D3F"/>
    <w:rsid w:val="78016613"/>
    <w:rsid w:val="780305DD"/>
    <w:rsid w:val="78030A1D"/>
    <w:rsid w:val="78054355"/>
    <w:rsid w:val="78056103"/>
    <w:rsid w:val="78061E7B"/>
    <w:rsid w:val="780659D7"/>
    <w:rsid w:val="780A196C"/>
    <w:rsid w:val="780A371A"/>
    <w:rsid w:val="780B1240"/>
    <w:rsid w:val="780B56E4"/>
    <w:rsid w:val="780E2ADE"/>
    <w:rsid w:val="780F09F4"/>
    <w:rsid w:val="78104AA8"/>
    <w:rsid w:val="78112CFA"/>
    <w:rsid w:val="78126A72"/>
    <w:rsid w:val="78153E6C"/>
    <w:rsid w:val="7819395D"/>
    <w:rsid w:val="781A1483"/>
    <w:rsid w:val="781B2746"/>
    <w:rsid w:val="781B2D3D"/>
    <w:rsid w:val="781C169F"/>
    <w:rsid w:val="781C51FB"/>
    <w:rsid w:val="781D1AA9"/>
    <w:rsid w:val="781E5417"/>
    <w:rsid w:val="781F4CEB"/>
    <w:rsid w:val="782026E9"/>
    <w:rsid w:val="78220765"/>
    <w:rsid w:val="78223050"/>
    <w:rsid w:val="78241686"/>
    <w:rsid w:val="78250553"/>
    <w:rsid w:val="782567A5"/>
    <w:rsid w:val="78280044"/>
    <w:rsid w:val="78281DF2"/>
    <w:rsid w:val="782A3DB7"/>
    <w:rsid w:val="782A5B6A"/>
    <w:rsid w:val="782A7918"/>
    <w:rsid w:val="782F3180"/>
    <w:rsid w:val="78322549"/>
    <w:rsid w:val="78322C70"/>
    <w:rsid w:val="7835260B"/>
    <w:rsid w:val="783562BD"/>
    <w:rsid w:val="7836450F"/>
    <w:rsid w:val="78374F2B"/>
    <w:rsid w:val="78395DAD"/>
    <w:rsid w:val="7839784B"/>
    <w:rsid w:val="783B1B25"/>
    <w:rsid w:val="783B7D77"/>
    <w:rsid w:val="783F2120"/>
    <w:rsid w:val="7840538D"/>
    <w:rsid w:val="784309DA"/>
    <w:rsid w:val="78434E7D"/>
    <w:rsid w:val="78436C2C"/>
    <w:rsid w:val="784604CA"/>
    <w:rsid w:val="784732DF"/>
    <w:rsid w:val="78482494"/>
    <w:rsid w:val="78485FF0"/>
    <w:rsid w:val="78497CF2"/>
    <w:rsid w:val="784A1D68"/>
    <w:rsid w:val="784A33A1"/>
    <w:rsid w:val="784C57CA"/>
    <w:rsid w:val="784D1858"/>
    <w:rsid w:val="784E05E1"/>
    <w:rsid w:val="78511348"/>
    <w:rsid w:val="78520C1D"/>
    <w:rsid w:val="785250C1"/>
    <w:rsid w:val="7856695F"/>
    <w:rsid w:val="78586343"/>
    <w:rsid w:val="785901FD"/>
    <w:rsid w:val="785B21C7"/>
    <w:rsid w:val="785B3F75"/>
    <w:rsid w:val="785B5D23"/>
    <w:rsid w:val="785C7CED"/>
    <w:rsid w:val="785E3A65"/>
    <w:rsid w:val="785E5813"/>
    <w:rsid w:val="785E75C1"/>
    <w:rsid w:val="7860158C"/>
    <w:rsid w:val="786055C7"/>
    <w:rsid w:val="78610198"/>
    <w:rsid w:val="786170B2"/>
    <w:rsid w:val="78623556"/>
    <w:rsid w:val="78632E2A"/>
    <w:rsid w:val="786453D8"/>
    <w:rsid w:val="78646B19"/>
    <w:rsid w:val="78650950"/>
    <w:rsid w:val="78654DF4"/>
    <w:rsid w:val="78656BA2"/>
    <w:rsid w:val="78670B6C"/>
    <w:rsid w:val="78680440"/>
    <w:rsid w:val="786848E4"/>
    <w:rsid w:val="78686692"/>
    <w:rsid w:val="786A065C"/>
    <w:rsid w:val="786A240A"/>
    <w:rsid w:val="786B1CDE"/>
    <w:rsid w:val="786C6182"/>
    <w:rsid w:val="786D1EFA"/>
    <w:rsid w:val="78713799"/>
    <w:rsid w:val="7872111D"/>
    <w:rsid w:val="78743BDB"/>
    <w:rsid w:val="78745037"/>
    <w:rsid w:val="78747106"/>
    <w:rsid w:val="78762B5D"/>
    <w:rsid w:val="78782D79"/>
    <w:rsid w:val="78792188"/>
    <w:rsid w:val="787943FB"/>
    <w:rsid w:val="787A616E"/>
    <w:rsid w:val="787B63C5"/>
    <w:rsid w:val="787C3EEC"/>
    <w:rsid w:val="787E7C64"/>
    <w:rsid w:val="788259A6"/>
    <w:rsid w:val="78827754"/>
    <w:rsid w:val="78850FF2"/>
    <w:rsid w:val="78852DA0"/>
    <w:rsid w:val="788973A4"/>
    <w:rsid w:val="788A03B6"/>
    <w:rsid w:val="788A2AAC"/>
    <w:rsid w:val="788A6608"/>
    <w:rsid w:val="788C05D2"/>
    <w:rsid w:val="788C2381"/>
    <w:rsid w:val="788D26C7"/>
    <w:rsid w:val="788E22F0"/>
    <w:rsid w:val="788F1E71"/>
    <w:rsid w:val="788F3C1F"/>
    <w:rsid w:val="78911745"/>
    <w:rsid w:val="78912E9A"/>
    <w:rsid w:val="78917997"/>
    <w:rsid w:val="78931961"/>
    <w:rsid w:val="78941235"/>
    <w:rsid w:val="789469B6"/>
    <w:rsid w:val="78952D76"/>
    <w:rsid w:val="789631FF"/>
    <w:rsid w:val="78964FAD"/>
    <w:rsid w:val="78972AD3"/>
    <w:rsid w:val="78992CEF"/>
    <w:rsid w:val="78994A9D"/>
    <w:rsid w:val="7899684C"/>
    <w:rsid w:val="789A32EC"/>
    <w:rsid w:val="789C633C"/>
    <w:rsid w:val="789D458E"/>
    <w:rsid w:val="789E0306"/>
    <w:rsid w:val="789E20B4"/>
    <w:rsid w:val="789E3E62"/>
    <w:rsid w:val="789F482B"/>
    <w:rsid w:val="78A3591C"/>
    <w:rsid w:val="78A413DB"/>
    <w:rsid w:val="78A43B6E"/>
    <w:rsid w:val="78A551F0"/>
    <w:rsid w:val="78A646CC"/>
    <w:rsid w:val="78A70F68"/>
    <w:rsid w:val="78A771BA"/>
    <w:rsid w:val="78A84CE1"/>
    <w:rsid w:val="78A90480"/>
    <w:rsid w:val="78A91184"/>
    <w:rsid w:val="78A97D4B"/>
    <w:rsid w:val="78AA2807"/>
    <w:rsid w:val="78AA66DD"/>
    <w:rsid w:val="78AA6CAB"/>
    <w:rsid w:val="78AC2A23"/>
    <w:rsid w:val="78AD22F7"/>
    <w:rsid w:val="78AE679B"/>
    <w:rsid w:val="78AF2513"/>
    <w:rsid w:val="78AF42C1"/>
    <w:rsid w:val="78AF606F"/>
    <w:rsid w:val="78B0254F"/>
    <w:rsid w:val="78B11DE7"/>
    <w:rsid w:val="78B37A40"/>
    <w:rsid w:val="78B638A1"/>
    <w:rsid w:val="78B6564F"/>
    <w:rsid w:val="78BA61D2"/>
    <w:rsid w:val="78BB2C66"/>
    <w:rsid w:val="78BB4A14"/>
    <w:rsid w:val="78BB7662"/>
    <w:rsid w:val="78BC253A"/>
    <w:rsid w:val="78C0202A"/>
    <w:rsid w:val="78C209AA"/>
    <w:rsid w:val="78C25DA2"/>
    <w:rsid w:val="78C87131"/>
    <w:rsid w:val="78CA10FB"/>
    <w:rsid w:val="78CA2EA9"/>
    <w:rsid w:val="78CC6C21"/>
    <w:rsid w:val="78CE0BEB"/>
    <w:rsid w:val="78CF226D"/>
    <w:rsid w:val="78D04E3E"/>
    <w:rsid w:val="78D12489"/>
    <w:rsid w:val="78D14237"/>
    <w:rsid w:val="78D15FE5"/>
    <w:rsid w:val="78D45AD6"/>
    <w:rsid w:val="78D50209"/>
    <w:rsid w:val="78DD498A"/>
    <w:rsid w:val="78DE0702"/>
    <w:rsid w:val="78DE61FE"/>
    <w:rsid w:val="78E0091E"/>
    <w:rsid w:val="78E0447A"/>
    <w:rsid w:val="78E2280D"/>
    <w:rsid w:val="78E26444"/>
    <w:rsid w:val="78E35D19"/>
    <w:rsid w:val="78E421BD"/>
    <w:rsid w:val="78E51A91"/>
    <w:rsid w:val="78E55F35"/>
    <w:rsid w:val="78E57CE3"/>
    <w:rsid w:val="78E75809"/>
    <w:rsid w:val="78E977D3"/>
    <w:rsid w:val="78E97B0F"/>
    <w:rsid w:val="78EE303B"/>
    <w:rsid w:val="78EE6B97"/>
    <w:rsid w:val="78EF290F"/>
    <w:rsid w:val="78F33792"/>
    <w:rsid w:val="78F543CA"/>
    <w:rsid w:val="78F63C9E"/>
    <w:rsid w:val="78F9553C"/>
    <w:rsid w:val="78FA19E0"/>
    <w:rsid w:val="78FB12B4"/>
    <w:rsid w:val="78FC6D8C"/>
    <w:rsid w:val="78FD502C"/>
    <w:rsid w:val="78FE23EA"/>
    <w:rsid w:val="78FE2B52"/>
    <w:rsid w:val="790068CB"/>
    <w:rsid w:val="79020895"/>
    <w:rsid w:val="790243F1"/>
    <w:rsid w:val="79050778"/>
    <w:rsid w:val="79052133"/>
    <w:rsid w:val="79075EAB"/>
    <w:rsid w:val="79091C23"/>
    <w:rsid w:val="790A2564"/>
    <w:rsid w:val="790A315A"/>
    <w:rsid w:val="790B2EA9"/>
    <w:rsid w:val="790C5A7A"/>
    <w:rsid w:val="790E7239"/>
    <w:rsid w:val="79102FB2"/>
    <w:rsid w:val="79116D2A"/>
    <w:rsid w:val="79132AA2"/>
    <w:rsid w:val="79134850"/>
    <w:rsid w:val="791505C8"/>
    <w:rsid w:val="791660EE"/>
    <w:rsid w:val="79184E94"/>
    <w:rsid w:val="791A3E30"/>
    <w:rsid w:val="791B1956"/>
    <w:rsid w:val="791B299E"/>
    <w:rsid w:val="791B3704"/>
    <w:rsid w:val="791D2D6A"/>
    <w:rsid w:val="791D69FF"/>
    <w:rsid w:val="79200D1B"/>
    <w:rsid w:val="79205380"/>
    <w:rsid w:val="79206F6D"/>
    <w:rsid w:val="79222CE5"/>
    <w:rsid w:val="7924080B"/>
    <w:rsid w:val="792425B9"/>
    <w:rsid w:val="79251380"/>
    <w:rsid w:val="79254583"/>
    <w:rsid w:val="79256331"/>
    <w:rsid w:val="7927654D"/>
    <w:rsid w:val="79294073"/>
    <w:rsid w:val="79295E21"/>
    <w:rsid w:val="792B7DEB"/>
    <w:rsid w:val="792C76C0"/>
    <w:rsid w:val="792D64F4"/>
    <w:rsid w:val="792E3438"/>
    <w:rsid w:val="792E6243"/>
    <w:rsid w:val="792F71B0"/>
    <w:rsid w:val="79305402"/>
    <w:rsid w:val="7933301D"/>
    <w:rsid w:val="7933353D"/>
    <w:rsid w:val="79334EF2"/>
    <w:rsid w:val="79336CA0"/>
    <w:rsid w:val="793622EC"/>
    <w:rsid w:val="79393B8B"/>
    <w:rsid w:val="793952BA"/>
    <w:rsid w:val="793D48A8"/>
    <w:rsid w:val="793D4D17"/>
    <w:rsid w:val="793D7B1F"/>
    <w:rsid w:val="793F3897"/>
    <w:rsid w:val="793F73F3"/>
    <w:rsid w:val="794013BD"/>
    <w:rsid w:val="79442C5B"/>
    <w:rsid w:val="79444A09"/>
    <w:rsid w:val="794669D3"/>
    <w:rsid w:val="7947274B"/>
    <w:rsid w:val="794744F9"/>
    <w:rsid w:val="79494343"/>
    <w:rsid w:val="794A5A1C"/>
    <w:rsid w:val="794A5D98"/>
    <w:rsid w:val="794B3A23"/>
    <w:rsid w:val="794C7D62"/>
    <w:rsid w:val="794D439D"/>
    <w:rsid w:val="794E3ADA"/>
    <w:rsid w:val="794F33AE"/>
    <w:rsid w:val="7950014D"/>
    <w:rsid w:val="795409C4"/>
    <w:rsid w:val="79554E68"/>
    <w:rsid w:val="79555700"/>
    <w:rsid w:val="795804B5"/>
    <w:rsid w:val="795A247F"/>
    <w:rsid w:val="795A422D"/>
    <w:rsid w:val="795B7FA5"/>
    <w:rsid w:val="795C12C1"/>
    <w:rsid w:val="795D1F6F"/>
    <w:rsid w:val="795D2751"/>
    <w:rsid w:val="795E19BA"/>
    <w:rsid w:val="795F7A95"/>
    <w:rsid w:val="79607369"/>
    <w:rsid w:val="79621333"/>
    <w:rsid w:val="796432FD"/>
    <w:rsid w:val="796706F8"/>
    <w:rsid w:val="7967694A"/>
    <w:rsid w:val="79680FA5"/>
    <w:rsid w:val="796B01E8"/>
    <w:rsid w:val="796C21B2"/>
    <w:rsid w:val="796C3F60"/>
    <w:rsid w:val="796C5D0E"/>
    <w:rsid w:val="796E5F2A"/>
    <w:rsid w:val="79703A50"/>
    <w:rsid w:val="79733540"/>
    <w:rsid w:val="79751067"/>
    <w:rsid w:val="79752E15"/>
    <w:rsid w:val="797535A9"/>
    <w:rsid w:val="79764DDF"/>
    <w:rsid w:val="79777DEA"/>
    <w:rsid w:val="79782905"/>
    <w:rsid w:val="797B41A3"/>
    <w:rsid w:val="797B484A"/>
    <w:rsid w:val="797C08AB"/>
    <w:rsid w:val="797C23F5"/>
    <w:rsid w:val="797D7F1B"/>
    <w:rsid w:val="797F0137"/>
    <w:rsid w:val="798006BC"/>
    <w:rsid w:val="79817A0B"/>
    <w:rsid w:val="79817E0C"/>
    <w:rsid w:val="798412AA"/>
    <w:rsid w:val="79870D9A"/>
    <w:rsid w:val="79894B12"/>
    <w:rsid w:val="798B2638"/>
    <w:rsid w:val="798C015E"/>
    <w:rsid w:val="798C63B0"/>
    <w:rsid w:val="798D1830"/>
    <w:rsid w:val="798D4602"/>
    <w:rsid w:val="798E3ED6"/>
    <w:rsid w:val="799040F2"/>
    <w:rsid w:val="79905EA0"/>
    <w:rsid w:val="79907C4E"/>
    <w:rsid w:val="79911640"/>
    <w:rsid w:val="79922AD0"/>
    <w:rsid w:val="79927E6B"/>
    <w:rsid w:val="79951709"/>
    <w:rsid w:val="799534B7"/>
    <w:rsid w:val="79955265"/>
    <w:rsid w:val="79975481"/>
    <w:rsid w:val="799B52C3"/>
    <w:rsid w:val="799C2A97"/>
    <w:rsid w:val="799F60E4"/>
    <w:rsid w:val="79A11E5C"/>
    <w:rsid w:val="79A27982"/>
    <w:rsid w:val="79A33E26"/>
    <w:rsid w:val="79A35196"/>
    <w:rsid w:val="79A4194C"/>
    <w:rsid w:val="79A52926"/>
    <w:rsid w:val="79A57AB6"/>
    <w:rsid w:val="79A61220"/>
    <w:rsid w:val="79A67472"/>
    <w:rsid w:val="79A74F98"/>
    <w:rsid w:val="79A90D10"/>
    <w:rsid w:val="79A951B4"/>
    <w:rsid w:val="79A96F62"/>
    <w:rsid w:val="79AA4930"/>
    <w:rsid w:val="79AB2CDA"/>
    <w:rsid w:val="79AE27CB"/>
    <w:rsid w:val="79AE6327"/>
    <w:rsid w:val="79B06543"/>
    <w:rsid w:val="79B102D4"/>
    <w:rsid w:val="79B25E17"/>
    <w:rsid w:val="79B576B5"/>
    <w:rsid w:val="79B7167F"/>
    <w:rsid w:val="79B778D1"/>
    <w:rsid w:val="79B871A5"/>
    <w:rsid w:val="79BC4EE7"/>
    <w:rsid w:val="79BE0C60"/>
    <w:rsid w:val="79C16FDE"/>
    <w:rsid w:val="79C36276"/>
    <w:rsid w:val="79C913B2"/>
    <w:rsid w:val="79C96EB1"/>
    <w:rsid w:val="79C97604"/>
    <w:rsid w:val="79CB512B"/>
    <w:rsid w:val="79CC49FF"/>
    <w:rsid w:val="79CC67BB"/>
    <w:rsid w:val="79CD2C51"/>
    <w:rsid w:val="79CE0777"/>
    <w:rsid w:val="79CF15E2"/>
    <w:rsid w:val="79CF5EC2"/>
    <w:rsid w:val="79D00993"/>
    <w:rsid w:val="79D044EF"/>
    <w:rsid w:val="79D20267"/>
    <w:rsid w:val="79D33FDF"/>
    <w:rsid w:val="79D42231"/>
    <w:rsid w:val="79D55FA9"/>
    <w:rsid w:val="79D57D57"/>
    <w:rsid w:val="79D7229C"/>
    <w:rsid w:val="79D73ACF"/>
    <w:rsid w:val="79D7587D"/>
    <w:rsid w:val="79D7762B"/>
    <w:rsid w:val="79D97847"/>
    <w:rsid w:val="79DD09BA"/>
    <w:rsid w:val="79DD5076"/>
    <w:rsid w:val="79DF4732"/>
    <w:rsid w:val="79E166FC"/>
    <w:rsid w:val="79E24222"/>
    <w:rsid w:val="79E306C6"/>
    <w:rsid w:val="79E47F9A"/>
    <w:rsid w:val="79E63D12"/>
    <w:rsid w:val="79E94D5A"/>
    <w:rsid w:val="79E955B1"/>
    <w:rsid w:val="79E9735F"/>
    <w:rsid w:val="79EA1A55"/>
    <w:rsid w:val="79EB1329"/>
    <w:rsid w:val="79EB767A"/>
    <w:rsid w:val="79EC0B0A"/>
    <w:rsid w:val="79EE0E19"/>
    <w:rsid w:val="79EE2BC7"/>
    <w:rsid w:val="79EF706B"/>
    <w:rsid w:val="79F006ED"/>
    <w:rsid w:val="79F0693F"/>
    <w:rsid w:val="79F24465"/>
    <w:rsid w:val="79F309DD"/>
    <w:rsid w:val="79F44681"/>
    <w:rsid w:val="79F503F9"/>
    <w:rsid w:val="79F81C7E"/>
    <w:rsid w:val="79FA5A10"/>
    <w:rsid w:val="79FC3536"/>
    <w:rsid w:val="79FC52E4"/>
    <w:rsid w:val="79FC7092"/>
    <w:rsid w:val="79FE105C"/>
    <w:rsid w:val="79FE7073"/>
    <w:rsid w:val="79FF06C1"/>
    <w:rsid w:val="79FF1829"/>
    <w:rsid w:val="79FF6B82"/>
    <w:rsid w:val="7A016712"/>
    <w:rsid w:val="7A0348C4"/>
    <w:rsid w:val="7A036672"/>
    <w:rsid w:val="7A04063C"/>
    <w:rsid w:val="7A0830C7"/>
    <w:rsid w:val="7A092C03"/>
    <w:rsid w:val="7A097A01"/>
    <w:rsid w:val="7A0B3779"/>
    <w:rsid w:val="7A0E5017"/>
    <w:rsid w:val="7A0F3269"/>
    <w:rsid w:val="7A102B3D"/>
    <w:rsid w:val="7A122D59"/>
    <w:rsid w:val="7A124B07"/>
    <w:rsid w:val="7A136886"/>
    <w:rsid w:val="7A146AD1"/>
    <w:rsid w:val="7A150154"/>
    <w:rsid w:val="7A187C44"/>
    <w:rsid w:val="7A1A144A"/>
    <w:rsid w:val="7A1C5986"/>
    <w:rsid w:val="7A1D2509"/>
    <w:rsid w:val="7A1E16FE"/>
    <w:rsid w:val="7A1E34AC"/>
    <w:rsid w:val="7A1F0FD2"/>
    <w:rsid w:val="7A1F7224"/>
    <w:rsid w:val="7A205476"/>
    <w:rsid w:val="7A2111EE"/>
    <w:rsid w:val="7A212F9C"/>
    <w:rsid w:val="7A230AC3"/>
    <w:rsid w:val="7A24780B"/>
    <w:rsid w:val="7A250C9B"/>
    <w:rsid w:val="7A262361"/>
    <w:rsid w:val="7A266805"/>
    <w:rsid w:val="7A28257D"/>
    <w:rsid w:val="7A287E87"/>
    <w:rsid w:val="7A293BFF"/>
    <w:rsid w:val="7A2D1941"/>
    <w:rsid w:val="7A2F56B9"/>
    <w:rsid w:val="7A2F7467"/>
    <w:rsid w:val="7A304F8E"/>
    <w:rsid w:val="7A305DAE"/>
    <w:rsid w:val="7A342CD0"/>
    <w:rsid w:val="7A344A7E"/>
    <w:rsid w:val="7A347300"/>
    <w:rsid w:val="7A3507F6"/>
    <w:rsid w:val="7A356A48"/>
    <w:rsid w:val="7A364017"/>
    <w:rsid w:val="7A37456E"/>
    <w:rsid w:val="7A3902E6"/>
    <w:rsid w:val="7A3A3172"/>
    <w:rsid w:val="7A3C3932"/>
    <w:rsid w:val="7A3E76AA"/>
    <w:rsid w:val="7A4078C7"/>
    <w:rsid w:val="7A41363F"/>
    <w:rsid w:val="7A41719B"/>
    <w:rsid w:val="7A4647B1"/>
    <w:rsid w:val="7A48677B"/>
    <w:rsid w:val="7A49604F"/>
    <w:rsid w:val="7A4A24F3"/>
    <w:rsid w:val="7A4B1DC7"/>
    <w:rsid w:val="7A4B626B"/>
    <w:rsid w:val="7A4C6E3E"/>
    <w:rsid w:val="7A4D1FE3"/>
    <w:rsid w:val="7A4D5B40"/>
    <w:rsid w:val="7A5073DE"/>
    <w:rsid w:val="7A523156"/>
    <w:rsid w:val="7A533223"/>
    <w:rsid w:val="7A545120"/>
    <w:rsid w:val="7A560E98"/>
    <w:rsid w:val="7A57076C"/>
    <w:rsid w:val="7A57269A"/>
    <w:rsid w:val="7A5769BE"/>
    <w:rsid w:val="7A590988"/>
    <w:rsid w:val="7A5944E4"/>
    <w:rsid w:val="7A5B64AE"/>
    <w:rsid w:val="7A5C1F07"/>
    <w:rsid w:val="7A5C2227"/>
    <w:rsid w:val="7A5E7D4D"/>
    <w:rsid w:val="7A5F5873"/>
    <w:rsid w:val="7A635363"/>
    <w:rsid w:val="7A637111"/>
    <w:rsid w:val="7A644C9E"/>
    <w:rsid w:val="7A650571"/>
    <w:rsid w:val="7A652E89"/>
    <w:rsid w:val="7A6675BE"/>
    <w:rsid w:val="7A6730A5"/>
    <w:rsid w:val="7A6A66F1"/>
    <w:rsid w:val="7A6B4218"/>
    <w:rsid w:val="7A6D4434"/>
    <w:rsid w:val="7A6F1F5A"/>
    <w:rsid w:val="7A6F3D08"/>
    <w:rsid w:val="7A707A80"/>
    <w:rsid w:val="7A715CD2"/>
    <w:rsid w:val="7A7255A6"/>
    <w:rsid w:val="7A727261"/>
    <w:rsid w:val="7A756E44"/>
    <w:rsid w:val="7A7632E8"/>
    <w:rsid w:val="7A765096"/>
    <w:rsid w:val="7A796935"/>
    <w:rsid w:val="7A7B26AD"/>
    <w:rsid w:val="7A7C01D3"/>
    <w:rsid w:val="7A7E219D"/>
    <w:rsid w:val="7A7E3F4B"/>
    <w:rsid w:val="7A807CC3"/>
    <w:rsid w:val="7A8157E9"/>
    <w:rsid w:val="7A820227"/>
    <w:rsid w:val="7A8265E1"/>
    <w:rsid w:val="7A835A05"/>
    <w:rsid w:val="7A8377B3"/>
    <w:rsid w:val="7A843F04"/>
    <w:rsid w:val="7A862E00"/>
    <w:rsid w:val="7A8772A3"/>
    <w:rsid w:val="7A88301C"/>
    <w:rsid w:val="7A8C2B0C"/>
    <w:rsid w:val="7A8F43AA"/>
    <w:rsid w:val="7A8F6158"/>
    <w:rsid w:val="7A9153FC"/>
    <w:rsid w:val="7A9279F6"/>
    <w:rsid w:val="7A94263C"/>
    <w:rsid w:val="7A94376E"/>
    <w:rsid w:val="7A965738"/>
    <w:rsid w:val="7A97500D"/>
    <w:rsid w:val="7A990D85"/>
    <w:rsid w:val="7A99501E"/>
    <w:rsid w:val="7A9B2D4F"/>
    <w:rsid w:val="7A9B4AFD"/>
    <w:rsid w:val="7A9C1F7D"/>
    <w:rsid w:val="7A9C2623"/>
    <w:rsid w:val="7A9E283F"/>
    <w:rsid w:val="7A9E45ED"/>
    <w:rsid w:val="7AA03EC1"/>
    <w:rsid w:val="7AA17C39"/>
    <w:rsid w:val="7AA339B1"/>
    <w:rsid w:val="7AA53BCD"/>
    <w:rsid w:val="7AA5597C"/>
    <w:rsid w:val="7AA65250"/>
    <w:rsid w:val="7AA716F4"/>
    <w:rsid w:val="7AA72C23"/>
    <w:rsid w:val="7AA80FC8"/>
    <w:rsid w:val="7AAA11E4"/>
    <w:rsid w:val="7AAA4D40"/>
    <w:rsid w:val="7AAC0AB8"/>
    <w:rsid w:val="7AAD4830"/>
    <w:rsid w:val="7AAD65DE"/>
    <w:rsid w:val="7AAE6AEF"/>
    <w:rsid w:val="7AAF0985"/>
    <w:rsid w:val="7AB14320"/>
    <w:rsid w:val="7AB4796D"/>
    <w:rsid w:val="7AB530B6"/>
    <w:rsid w:val="7AB61937"/>
    <w:rsid w:val="7AB91427"/>
    <w:rsid w:val="7ABB0CFB"/>
    <w:rsid w:val="7ABB6F4D"/>
    <w:rsid w:val="7ABC4A73"/>
    <w:rsid w:val="7ABD4419"/>
    <w:rsid w:val="7ABE07EB"/>
    <w:rsid w:val="7ABE2599"/>
    <w:rsid w:val="7ABE6A3D"/>
    <w:rsid w:val="7AC06311"/>
    <w:rsid w:val="7AC1208A"/>
    <w:rsid w:val="7AC3028B"/>
    <w:rsid w:val="7AC322A6"/>
    <w:rsid w:val="7AC346EA"/>
    <w:rsid w:val="7AC36C59"/>
    <w:rsid w:val="7AC51B7A"/>
    <w:rsid w:val="7AC53928"/>
    <w:rsid w:val="7AC754CB"/>
    <w:rsid w:val="7AC758F2"/>
    <w:rsid w:val="7AC8166A"/>
    <w:rsid w:val="7AC85FAC"/>
    <w:rsid w:val="7ACA3634"/>
    <w:rsid w:val="7ACD6C80"/>
    <w:rsid w:val="7ACF0C4A"/>
    <w:rsid w:val="7ACF47A6"/>
    <w:rsid w:val="7AD13F8D"/>
    <w:rsid w:val="7AD16771"/>
    <w:rsid w:val="7AD26045"/>
    <w:rsid w:val="7AD526A0"/>
    <w:rsid w:val="7AD63B2C"/>
    <w:rsid w:val="7AD63B30"/>
    <w:rsid w:val="7AD65B35"/>
    <w:rsid w:val="7AD718AD"/>
    <w:rsid w:val="7AD7365B"/>
    <w:rsid w:val="7AD86450"/>
    <w:rsid w:val="7ADB139D"/>
    <w:rsid w:val="7ADB314B"/>
    <w:rsid w:val="7ADD5115"/>
    <w:rsid w:val="7ADD76F1"/>
    <w:rsid w:val="7AE30252"/>
    <w:rsid w:val="7AE364A4"/>
    <w:rsid w:val="7AE449F3"/>
    <w:rsid w:val="7AE5221C"/>
    <w:rsid w:val="7AE75F94"/>
    <w:rsid w:val="7AE85868"/>
    <w:rsid w:val="7AE91D0C"/>
    <w:rsid w:val="7AED2E7F"/>
    <w:rsid w:val="7AEE7323"/>
    <w:rsid w:val="7AEF6BF7"/>
    <w:rsid w:val="7AF10BC1"/>
    <w:rsid w:val="7AF1471D"/>
    <w:rsid w:val="7AF16E13"/>
    <w:rsid w:val="7AF20495"/>
    <w:rsid w:val="7AF3147F"/>
    <w:rsid w:val="7AF34939"/>
    <w:rsid w:val="7AF4420D"/>
    <w:rsid w:val="7AF55978"/>
    <w:rsid w:val="7AF64429"/>
    <w:rsid w:val="7AF67F85"/>
    <w:rsid w:val="7AF81F4F"/>
    <w:rsid w:val="7AF85A3A"/>
    <w:rsid w:val="7AF95CC7"/>
    <w:rsid w:val="7AFB2C7A"/>
    <w:rsid w:val="7AFB37ED"/>
    <w:rsid w:val="7AFB559C"/>
    <w:rsid w:val="7AFD18AC"/>
    <w:rsid w:val="7AFD7566"/>
    <w:rsid w:val="7B022DCE"/>
    <w:rsid w:val="7B02692A"/>
    <w:rsid w:val="7B046266"/>
    <w:rsid w:val="7B0501C8"/>
    <w:rsid w:val="7B073F40"/>
    <w:rsid w:val="7B083B70"/>
    <w:rsid w:val="7B087CB8"/>
    <w:rsid w:val="7B095F0A"/>
    <w:rsid w:val="7B0A12DE"/>
    <w:rsid w:val="7B0A3A31"/>
    <w:rsid w:val="7B0F54EB"/>
    <w:rsid w:val="7B0F7299"/>
    <w:rsid w:val="7B113011"/>
    <w:rsid w:val="7B114DBF"/>
    <w:rsid w:val="7B1152BB"/>
    <w:rsid w:val="7B1228E5"/>
    <w:rsid w:val="7B130B37"/>
    <w:rsid w:val="7B152B01"/>
    <w:rsid w:val="7B1623D5"/>
    <w:rsid w:val="7B166879"/>
    <w:rsid w:val="7B18439F"/>
    <w:rsid w:val="7B193C74"/>
    <w:rsid w:val="7B195978"/>
    <w:rsid w:val="7B1A0118"/>
    <w:rsid w:val="7B1A0DD3"/>
    <w:rsid w:val="7B1A6202"/>
    <w:rsid w:val="7B1B2263"/>
    <w:rsid w:val="7B1B5C3E"/>
    <w:rsid w:val="7B1B79EC"/>
    <w:rsid w:val="7B1D3764"/>
    <w:rsid w:val="7B1E0BE4"/>
    <w:rsid w:val="7B1E128A"/>
    <w:rsid w:val="7B2014A6"/>
    <w:rsid w:val="7B227D21"/>
    <w:rsid w:val="7B2368A0"/>
    <w:rsid w:val="7B244CF0"/>
    <w:rsid w:val="7B25086A"/>
    <w:rsid w:val="7B292109"/>
    <w:rsid w:val="7B2A40D3"/>
    <w:rsid w:val="7B2A5CCC"/>
    <w:rsid w:val="7B2A7C2F"/>
    <w:rsid w:val="7B2C7E4B"/>
    <w:rsid w:val="7B2F16E9"/>
    <w:rsid w:val="7B2F5245"/>
    <w:rsid w:val="7B30473A"/>
    <w:rsid w:val="7B30793B"/>
    <w:rsid w:val="7B310FBD"/>
    <w:rsid w:val="7B3311D9"/>
    <w:rsid w:val="7B332F87"/>
    <w:rsid w:val="7B340AAD"/>
    <w:rsid w:val="7B354F51"/>
    <w:rsid w:val="7B362A78"/>
    <w:rsid w:val="7B366E6B"/>
    <w:rsid w:val="7B3A2568"/>
    <w:rsid w:val="7B3B1E3C"/>
    <w:rsid w:val="7B4026AC"/>
    <w:rsid w:val="7B4056A4"/>
    <w:rsid w:val="7B42766E"/>
    <w:rsid w:val="7B430CF1"/>
    <w:rsid w:val="7B445194"/>
    <w:rsid w:val="7B450F0D"/>
    <w:rsid w:val="7B452CBB"/>
    <w:rsid w:val="7B4707E1"/>
    <w:rsid w:val="7B476A33"/>
    <w:rsid w:val="7B486307"/>
    <w:rsid w:val="7B4927AB"/>
    <w:rsid w:val="7B494559"/>
    <w:rsid w:val="7B4B7D30"/>
    <w:rsid w:val="7B4C229B"/>
    <w:rsid w:val="7B4E6013"/>
    <w:rsid w:val="7B4E7DC1"/>
    <w:rsid w:val="7B51340D"/>
    <w:rsid w:val="7B542EFE"/>
    <w:rsid w:val="7B560A24"/>
    <w:rsid w:val="7B5778E5"/>
    <w:rsid w:val="7B5B0730"/>
    <w:rsid w:val="7B5B420B"/>
    <w:rsid w:val="7B5D0004"/>
    <w:rsid w:val="7B5E4BE7"/>
    <w:rsid w:val="7B5F1FCE"/>
    <w:rsid w:val="7B5F3D7C"/>
    <w:rsid w:val="7B5F5B2A"/>
    <w:rsid w:val="7B6018A2"/>
    <w:rsid w:val="7B602578"/>
    <w:rsid w:val="7B616180"/>
    <w:rsid w:val="7B62386D"/>
    <w:rsid w:val="7B641393"/>
    <w:rsid w:val="7B65510B"/>
    <w:rsid w:val="7B6770D5"/>
    <w:rsid w:val="7B686D42"/>
    <w:rsid w:val="7B690757"/>
    <w:rsid w:val="7B6E0463"/>
    <w:rsid w:val="7B6E2211"/>
    <w:rsid w:val="7B6E3FBF"/>
    <w:rsid w:val="7B6F1AE6"/>
    <w:rsid w:val="7B705F89"/>
    <w:rsid w:val="7B75534E"/>
    <w:rsid w:val="7B7610C6"/>
    <w:rsid w:val="7B78035F"/>
    <w:rsid w:val="7B784E3E"/>
    <w:rsid w:val="7B792C7F"/>
    <w:rsid w:val="7B7D2454"/>
    <w:rsid w:val="7B7D4202"/>
    <w:rsid w:val="7B7F61CD"/>
    <w:rsid w:val="7B7F7F7B"/>
    <w:rsid w:val="7B803CF3"/>
    <w:rsid w:val="7B810197"/>
    <w:rsid w:val="7B825CBD"/>
    <w:rsid w:val="7B827A6B"/>
    <w:rsid w:val="7B841746"/>
    <w:rsid w:val="7B851222"/>
    <w:rsid w:val="7B851309"/>
    <w:rsid w:val="7B8657AD"/>
    <w:rsid w:val="7B871525"/>
    <w:rsid w:val="7B875081"/>
    <w:rsid w:val="7B876E2F"/>
    <w:rsid w:val="7B892BA7"/>
    <w:rsid w:val="7B89704B"/>
    <w:rsid w:val="7B8C08E9"/>
    <w:rsid w:val="7B8C2698"/>
    <w:rsid w:val="7B8E01BE"/>
    <w:rsid w:val="7B8E6410"/>
    <w:rsid w:val="7B8F3F36"/>
    <w:rsid w:val="7B9003DA"/>
    <w:rsid w:val="7B902188"/>
    <w:rsid w:val="7B917CAE"/>
    <w:rsid w:val="7B937ECA"/>
    <w:rsid w:val="7B9642BA"/>
    <w:rsid w:val="7B9652C4"/>
    <w:rsid w:val="7B971768"/>
    <w:rsid w:val="7B986208"/>
    <w:rsid w:val="7B9A3006"/>
    <w:rsid w:val="7B9B28DB"/>
    <w:rsid w:val="7B9B4B89"/>
    <w:rsid w:val="7B9D2AF7"/>
    <w:rsid w:val="7B9F061D"/>
    <w:rsid w:val="7B9F23CB"/>
    <w:rsid w:val="7B9F55D9"/>
    <w:rsid w:val="7BA06143"/>
    <w:rsid w:val="7BA2010D"/>
    <w:rsid w:val="7BA23C69"/>
    <w:rsid w:val="7BA60E01"/>
    <w:rsid w:val="7BA619AB"/>
    <w:rsid w:val="7BA67BFD"/>
    <w:rsid w:val="7BA75723"/>
    <w:rsid w:val="7BAB1AAD"/>
    <w:rsid w:val="7BAB467E"/>
    <w:rsid w:val="7BAC2D3A"/>
    <w:rsid w:val="7BAC4AE8"/>
    <w:rsid w:val="7BAD0F8C"/>
    <w:rsid w:val="7BAE0860"/>
    <w:rsid w:val="7BAE260E"/>
    <w:rsid w:val="7BB10350"/>
    <w:rsid w:val="7BB265A2"/>
    <w:rsid w:val="7BB3231A"/>
    <w:rsid w:val="7BB340C8"/>
    <w:rsid w:val="7BB35E76"/>
    <w:rsid w:val="7BB37C24"/>
    <w:rsid w:val="7BB51BEE"/>
    <w:rsid w:val="7BB57E40"/>
    <w:rsid w:val="7BB61791"/>
    <w:rsid w:val="7BB67714"/>
    <w:rsid w:val="7BB73BB8"/>
    <w:rsid w:val="7BB816DF"/>
    <w:rsid w:val="7BB8348D"/>
    <w:rsid w:val="7BB95729"/>
    <w:rsid w:val="7BBA0FB3"/>
    <w:rsid w:val="7BBA7205"/>
    <w:rsid w:val="7BBB2A32"/>
    <w:rsid w:val="7BBD0AA3"/>
    <w:rsid w:val="7BBD4F47"/>
    <w:rsid w:val="7BBF0CBF"/>
    <w:rsid w:val="7BBF3F84"/>
    <w:rsid w:val="7BC02341"/>
    <w:rsid w:val="7BC02843"/>
    <w:rsid w:val="7BC11C4D"/>
    <w:rsid w:val="7BC167E5"/>
    <w:rsid w:val="7BC168A4"/>
    <w:rsid w:val="7BC40083"/>
    <w:rsid w:val="7BC41E31"/>
    <w:rsid w:val="7BC97448"/>
    <w:rsid w:val="7BCB31C0"/>
    <w:rsid w:val="7BCD518A"/>
    <w:rsid w:val="7BCE0F02"/>
    <w:rsid w:val="7BCE2CB0"/>
    <w:rsid w:val="7BD007D6"/>
    <w:rsid w:val="7BD1454E"/>
    <w:rsid w:val="7BD209F2"/>
    <w:rsid w:val="7BD227A0"/>
    <w:rsid w:val="7BD36518"/>
    <w:rsid w:val="7BD7220B"/>
    <w:rsid w:val="7BD77DB7"/>
    <w:rsid w:val="7BD81D81"/>
    <w:rsid w:val="7BD823A4"/>
    <w:rsid w:val="7BD858DD"/>
    <w:rsid w:val="7BDA1655"/>
    <w:rsid w:val="7BDE7397"/>
    <w:rsid w:val="7BDF310F"/>
    <w:rsid w:val="7BE129E3"/>
    <w:rsid w:val="7BE1342B"/>
    <w:rsid w:val="7BE14791"/>
    <w:rsid w:val="7BE27213"/>
    <w:rsid w:val="7BE307AE"/>
    <w:rsid w:val="7BE349AD"/>
    <w:rsid w:val="7BE424D4"/>
    <w:rsid w:val="7BE73D72"/>
    <w:rsid w:val="7BEB03D0"/>
    <w:rsid w:val="7BEB3862"/>
    <w:rsid w:val="7BEB5610"/>
    <w:rsid w:val="7BEC370A"/>
    <w:rsid w:val="7BEE3352"/>
    <w:rsid w:val="7BEE5100"/>
    <w:rsid w:val="7BEE6EAE"/>
    <w:rsid w:val="7BEF0492"/>
    <w:rsid w:val="7BF00E78"/>
    <w:rsid w:val="7BF02C26"/>
    <w:rsid w:val="7BF1074D"/>
    <w:rsid w:val="7BF22E42"/>
    <w:rsid w:val="7BF32717"/>
    <w:rsid w:val="7BF5023D"/>
    <w:rsid w:val="7BF546E1"/>
    <w:rsid w:val="7BF70459"/>
    <w:rsid w:val="7BFA1CF7"/>
    <w:rsid w:val="7BFA3AA5"/>
    <w:rsid w:val="7BFC15CB"/>
    <w:rsid w:val="7BFC781D"/>
    <w:rsid w:val="7BFD5343"/>
    <w:rsid w:val="7BFF10BB"/>
    <w:rsid w:val="7BFF2E69"/>
    <w:rsid w:val="7C0028A7"/>
    <w:rsid w:val="7C013D37"/>
    <w:rsid w:val="7C014E34"/>
    <w:rsid w:val="7C016BE2"/>
    <w:rsid w:val="7C036DFE"/>
    <w:rsid w:val="7C042B76"/>
    <w:rsid w:val="7C050BE5"/>
    <w:rsid w:val="7C0861C2"/>
    <w:rsid w:val="7C091F3A"/>
    <w:rsid w:val="7C093CE8"/>
    <w:rsid w:val="7C0B180E"/>
    <w:rsid w:val="7C0B5CB2"/>
    <w:rsid w:val="7C0B69B5"/>
    <w:rsid w:val="7C0B7A60"/>
    <w:rsid w:val="7C0D22DA"/>
    <w:rsid w:val="7C0E57A2"/>
    <w:rsid w:val="7C0E7550"/>
    <w:rsid w:val="7C12487B"/>
    <w:rsid w:val="7C124CBC"/>
    <w:rsid w:val="7C136915"/>
    <w:rsid w:val="7C1423AB"/>
    <w:rsid w:val="7C1508DF"/>
    <w:rsid w:val="7C15268D"/>
    <w:rsid w:val="7C156B31"/>
    <w:rsid w:val="7C1728A9"/>
    <w:rsid w:val="7C174657"/>
    <w:rsid w:val="7C1A4147"/>
    <w:rsid w:val="7C1A7CA3"/>
    <w:rsid w:val="7C1C1C6D"/>
    <w:rsid w:val="7C1C3A1B"/>
    <w:rsid w:val="7C1C7EBF"/>
    <w:rsid w:val="7C1D7794"/>
    <w:rsid w:val="7C1E59E5"/>
    <w:rsid w:val="7C2428D0"/>
    <w:rsid w:val="7C253132"/>
    <w:rsid w:val="7C262AEC"/>
    <w:rsid w:val="7C280612"/>
    <w:rsid w:val="7C280623"/>
    <w:rsid w:val="7C2823C0"/>
    <w:rsid w:val="7C29438A"/>
    <w:rsid w:val="7C2A25DC"/>
    <w:rsid w:val="7C2B3C5E"/>
    <w:rsid w:val="7C2D18C4"/>
    <w:rsid w:val="7C2D3E7B"/>
    <w:rsid w:val="7C2D5C29"/>
    <w:rsid w:val="7C2E19A1"/>
    <w:rsid w:val="7C30396B"/>
    <w:rsid w:val="7C3074C7"/>
    <w:rsid w:val="7C330D65"/>
    <w:rsid w:val="7C336FB7"/>
    <w:rsid w:val="7C3640B7"/>
    <w:rsid w:val="7C374CF9"/>
    <w:rsid w:val="7C376AA7"/>
    <w:rsid w:val="7C38637B"/>
    <w:rsid w:val="7C39281F"/>
    <w:rsid w:val="7C3A20F4"/>
    <w:rsid w:val="7C3B5358"/>
    <w:rsid w:val="7C3C5E6C"/>
    <w:rsid w:val="7C3E1BE4"/>
    <w:rsid w:val="7C3F3CD9"/>
    <w:rsid w:val="7C3F770A"/>
    <w:rsid w:val="7C405169"/>
    <w:rsid w:val="7C4116D4"/>
    <w:rsid w:val="7C4165F9"/>
    <w:rsid w:val="7C423C8F"/>
    <w:rsid w:val="7C4411C4"/>
    <w:rsid w:val="7C466CEA"/>
    <w:rsid w:val="7C4738FB"/>
    <w:rsid w:val="7C482A62"/>
    <w:rsid w:val="7C490589"/>
    <w:rsid w:val="7C492337"/>
    <w:rsid w:val="7C4A09A6"/>
    <w:rsid w:val="7C4B2553"/>
    <w:rsid w:val="7C4B4301"/>
    <w:rsid w:val="7C4E5B9F"/>
    <w:rsid w:val="7C4F3DF1"/>
    <w:rsid w:val="7C5238E1"/>
    <w:rsid w:val="7C594C70"/>
    <w:rsid w:val="7C597451"/>
    <w:rsid w:val="7C5A2796"/>
    <w:rsid w:val="7C5A4544"/>
    <w:rsid w:val="7C5B09E8"/>
    <w:rsid w:val="7C5C02BC"/>
    <w:rsid w:val="7C5C3201"/>
    <w:rsid w:val="7C5C4760"/>
    <w:rsid w:val="7C5C650E"/>
    <w:rsid w:val="7C5E5DE2"/>
    <w:rsid w:val="7C605FFE"/>
    <w:rsid w:val="7C613B24"/>
    <w:rsid w:val="7C621C44"/>
    <w:rsid w:val="7C6453C2"/>
    <w:rsid w:val="7C686C61"/>
    <w:rsid w:val="7C6929D9"/>
    <w:rsid w:val="7C6C5AC7"/>
    <w:rsid w:val="7C6D6D57"/>
    <w:rsid w:val="7C6F6241"/>
    <w:rsid w:val="7C6F7FEF"/>
    <w:rsid w:val="7C741AA9"/>
    <w:rsid w:val="7C75137E"/>
    <w:rsid w:val="7C7525ED"/>
    <w:rsid w:val="7C7575D0"/>
    <w:rsid w:val="7C7750F6"/>
    <w:rsid w:val="7C7A4BE6"/>
    <w:rsid w:val="7C7E0232"/>
    <w:rsid w:val="7C7E7FE5"/>
    <w:rsid w:val="7C7F40FA"/>
    <w:rsid w:val="7C80044E"/>
    <w:rsid w:val="7C8021FC"/>
    <w:rsid w:val="7C815F74"/>
    <w:rsid w:val="7C817D22"/>
    <w:rsid w:val="7C833A9B"/>
    <w:rsid w:val="7C835849"/>
    <w:rsid w:val="7C843B4D"/>
    <w:rsid w:val="7C855A65"/>
    <w:rsid w:val="7C86358B"/>
    <w:rsid w:val="7C865339"/>
    <w:rsid w:val="7C8810B1"/>
    <w:rsid w:val="7C88221D"/>
    <w:rsid w:val="7C885555"/>
    <w:rsid w:val="7C8A307B"/>
    <w:rsid w:val="7C8C376F"/>
    <w:rsid w:val="7C8D2B6B"/>
    <w:rsid w:val="7C8D66C7"/>
    <w:rsid w:val="7C91290D"/>
    <w:rsid w:val="7C914409"/>
    <w:rsid w:val="7C923CDE"/>
    <w:rsid w:val="7C945CA8"/>
    <w:rsid w:val="7C961A20"/>
    <w:rsid w:val="7C977546"/>
    <w:rsid w:val="7C991510"/>
    <w:rsid w:val="7C9948E3"/>
    <w:rsid w:val="7C9A5D73"/>
    <w:rsid w:val="7C9B7036"/>
    <w:rsid w:val="7C9C2DAE"/>
    <w:rsid w:val="7C9C690A"/>
    <w:rsid w:val="7CA24505"/>
    <w:rsid w:val="7CA26617"/>
    <w:rsid w:val="7CA270D6"/>
    <w:rsid w:val="7CA35EEB"/>
    <w:rsid w:val="7CA419F6"/>
    <w:rsid w:val="7CA554B7"/>
    <w:rsid w:val="7CA55708"/>
    <w:rsid w:val="7CA57EB5"/>
    <w:rsid w:val="7CA83501"/>
    <w:rsid w:val="7CAA1027"/>
    <w:rsid w:val="7CAA7279"/>
    <w:rsid w:val="7CAB2FF1"/>
    <w:rsid w:val="7CAB4D9F"/>
    <w:rsid w:val="7CAC1243"/>
    <w:rsid w:val="7CAE5679"/>
    <w:rsid w:val="7CAF4890"/>
    <w:rsid w:val="7CB023B6"/>
    <w:rsid w:val="7CB2548A"/>
    <w:rsid w:val="7CB3691A"/>
    <w:rsid w:val="7CB400F8"/>
    <w:rsid w:val="7CB41EA6"/>
    <w:rsid w:val="7CB4634A"/>
    <w:rsid w:val="7CB579CC"/>
    <w:rsid w:val="7CB65C1E"/>
    <w:rsid w:val="7CB7150A"/>
    <w:rsid w:val="7CB77E6C"/>
    <w:rsid w:val="7CB8672B"/>
    <w:rsid w:val="7CBB1486"/>
    <w:rsid w:val="7CBC51FE"/>
    <w:rsid w:val="7CBE0F77"/>
    <w:rsid w:val="7CC07A8E"/>
    <w:rsid w:val="7CC145C3"/>
    <w:rsid w:val="7CC17C44"/>
    <w:rsid w:val="7CC2473D"/>
    <w:rsid w:val="7CC40FE0"/>
    <w:rsid w:val="7CC424EA"/>
    <w:rsid w:val="7CC540B3"/>
    <w:rsid w:val="7CC6544B"/>
    <w:rsid w:val="7CC8219B"/>
    <w:rsid w:val="7CC85951"/>
    <w:rsid w:val="7CCA16C9"/>
    <w:rsid w:val="7CCA3477"/>
    <w:rsid w:val="7CCC5441"/>
    <w:rsid w:val="7CCD4D16"/>
    <w:rsid w:val="7CCF6CE0"/>
    <w:rsid w:val="7CD04806"/>
    <w:rsid w:val="7CD05E42"/>
    <w:rsid w:val="7CD82038"/>
    <w:rsid w:val="7CD85827"/>
    <w:rsid w:val="7CD97B5E"/>
    <w:rsid w:val="7CDB38D7"/>
    <w:rsid w:val="7CDD764F"/>
    <w:rsid w:val="7CDF6E6E"/>
    <w:rsid w:val="7CE04A49"/>
    <w:rsid w:val="7CE3278B"/>
    <w:rsid w:val="7CE62398"/>
    <w:rsid w:val="7CE72C39"/>
    <w:rsid w:val="7CE87DA1"/>
    <w:rsid w:val="7CE95B9F"/>
    <w:rsid w:val="7CEA1D6C"/>
    <w:rsid w:val="7CEC7892"/>
    <w:rsid w:val="7CED7166"/>
    <w:rsid w:val="7CEF2EDE"/>
    <w:rsid w:val="7CEF3F9C"/>
    <w:rsid w:val="7CEF7382"/>
    <w:rsid w:val="7CF1148D"/>
    <w:rsid w:val="7CF14EA8"/>
    <w:rsid w:val="7CF16C56"/>
    <w:rsid w:val="7CF17FFD"/>
    <w:rsid w:val="7CF229CE"/>
    <w:rsid w:val="7CF25358"/>
    <w:rsid w:val="7CF46746"/>
    <w:rsid w:val="7CF624BE"/>
    <w:rsid w:val="7CF90201"/>
    <w:rsid w:val="7CF95B0B"/>
    <w:rsid w:val="7CFE0EC0"/>
    <w:rsid w:val="7CFE1373"/>
    <w:rsid w:val="7CFE5817"/>
    <w:rsid w:val="7CFE75C5"/>
    <w:rsid w:val="7D00333D"/>
    <w:rsid w:val="7D012C11"/>
    <w:rsid w:val="7D0239FF"/>
    <w:rsid w:val="7D0270B5"/>
    <w:rsid w:val="7D034BDB"/>
    <w:rsid w:val="7D044D32"/>
    <w:rsid w:val="7D050953"/>
    <w:rsid w:val="7D052701"/>
    <w:rsid w:val="7D0746CC"/>
    <w:rsid w:val="7D097822"/>
    <w:rsid w:val="7D0A5F6A"/>
    <w:rsid w:val="7D0A7D18"/>
    <w:rsid w:val="7D0D7808"/>
    <w:rsid w:val="7D0F17D2"/>
    <w:rsid w:val="7D1312C2"/>
    <w:rsid w:val="7D141C56"/>
    <w:rsid w:val="7D16490F"/>
    <w:rsid w:val="7D172435"/>
    <w:rsid w:val="7D184638"/>
    <w:rsid w:val="7D1868D9"/>
    <w:rsid w:val="7D191C45"/>
    <w:rsid w:val="7D1943FF"/>
    <w:rsid w:val="7D1961AD"/>
    <w:rsid w:val="7D1B0177"/>
    <w:rsid w:val="7D1B3CD3"/>
    <w:rsid w:val="7D1D3EEF"/>
    <w:rsid w:val="7D1F7C67"/>
    <w:rsid w:val="7D20753B"/>
    <w:rsid w:val="7D2232B3"/>
    <w:rsid w:val="7D230DDA"/>
    <w:rsid w:val="7D252DA4"/>
    <w:rsid w:val="7D2A03BA"/>
    <w:rsid w:val="7D2A2168"/>
    <w:rsid w:val="7D2A660C"/>
    <w:rsid w:val="7D2C5EE0"/>
    <w:rsid w:val="7D2C7C8E"/>
    <w:rsid w:val="7D2D1C58"/>
    <w:rsid w:val="7D2E7EAA"/>
    <w:rsid w:val="7D2F3C22"/>
    <w:rsid w:val="7D2F777E"/>
    <w:rsid w:val="7D33726F"/>
    <w:rsid w:val="7D376633"/>
    <w:rsid w:val="7D382AD7"/>
    <w:rsid w:val="7D384885"/>
    <w:rsid w:val="7D3923AB"/>
    <w:rsid w:val="7D3B6123"/>
    <w:rsid w:val="7D3E3E65"/>
    <w:rsid w:val="7D3E79C1"/>
    <w:rsid w:val="7D40198C"/>
    <w:rsid w:val="7D44147C"/>
    <w:rsid w:val="7D456FA2"/>
    <w:rsid w:val="7D494CE4"/>
    <w:rsid w:val="7D4A0A5C"/>
    <w:rsid w:val="7D4A280A"/>
    <w:rsid w:val="7D4A45B8"/>
    <w:rsid w:val="7D4C6582"/>
    <w:rsid w:val="7D4F1BCF"/>
    <w:rsid w:val="7D513B99"/>
    <w:rsid w:val="7D515947"/>
    <w:rsid w:val="7D52346D"/>
    <w:rsid w:val="7D5471E5"/>
    <w:rsid w:val="7D5771AB"/>
    <w:rsid w:val="7D584F27"/>
    <w:rsid w:val="7D5B0573"/>
    <w:rsid w:val="7D5B67C5"/>
    <w:rsid w:val="7D5D078F"/>
    <w:rsid w:val="7D5D42EC"/>
    <w:rsid w:val="7D5E0064"/>
    <w:rsid w:val="7D5E1E12"/>
    <w:rsid w:val="7D5E40CD"/>
    <w:rsid w:val="7D601ACF"/>
    <w:rsid w:val="7D601D0D"/>
    <w:rsid w:val="7D603DDC"/>
    <w:rsid w:val="7D605B8A"/>
    <w:rsid w:val="7D63567A"/>
    <w:rsid w:val="7D637428"/>
    <w:rsid w:val="7D6513F2"/>
    <w:rsid w:val="7D6A4C5A"/>
    <w:rsid w:val="7D6B2EAC"/>
    <w:rsid w:val="7D6C452F"/>
    <w:rsid w:val="7D6F1259"/>
    <w:rsid w:val="7D6F401F"/>
    <w:rsid w:val="7D715FE9"/>
    <w:rsid w:val="7D717D97"/>
    <w:rsid w:val="7D725243"/>
    <w:rsid w:val="7D7358BD"/>
    <w:rsid w:val="7D741635"/>
    <w:rsid w:val="7D7566C6"/>
    <w:rsid w:val="7D761851"/>
    <w:rsid w:val="7D781125"/>
    <w:rsid w:val="7D787377"/>
    <w:rsid w:val="7D787D79"/>
    <w:rsid w:val="7D796C4C"/>
    <w:rsid w:val="7D7A39D5"/>
    <w:rsid w:val="7D7A4E9D"/>
    <w:rsid w:val="7D7D673C"/>
    <w:rsid w:val="7D7E4262"/>
    <w:rsid w:val="7D7F24B4"/>
    <w:rsid w:val="7D80447E"/>
    <w:rsid w:val="7D823D52"/>
    <w:rsid w:val="7D831878"/>
    <w:rsid w:val="7D853842"/>
    <w:rsid w:val="7D853F58"/>
    <w:rsid w:val="7D8950E1"/>
    <w:rsid w:val="7D8A0E59"/>
    <w:rsid w:val="7D8A2C07"/>
    <w:rsid w:val="7D8C697F"/>
    <w:rsid w:val="7D8E070A"/>
    <w:rsid w:val="7D8F021D"/>
    <w:rsid w:val="7D8F646F"/>
    <w:rsid w:val="7D902913"/>
    <w:rsid w:val="7D910439"/>
    <w:rsid w:val="7D9121E7"/>
    <w:rsid w:val="7D913F95"/>
    <w:rsid w:val="7D961A6D"/>
    <w:rsid w:val="7D9667EC"/>
    <w:rsid w:val="7D972EFD"/>
    <w:rsid w:val="7D98438D"/>
    <w:rsid w:val="7D9A72EE"/>
    <w:rsid w:val="7D9B4E14"/>
    <w:rsid w:val="7D9D1940"/>
    <w:rsid w:val="7DA05B77"/>
    <w:rsid w:val="7DA243F4"/>
    <w:rsid w:val="7DA4016C"/>
    <w:rsid w:val="7DA41F1A"/>
    <w:rsid w:val="7DA43CC8"/>
    <w:rsid w:val="7DA44071"/>
    <w:rsid w:val="7DA45501"/>
    <w:rsid w:val="7DA55C93"/>
    <w:rsid w:val="7DA63EE4"/>
    <w:rsid w:val="7DA71A0B"/>
    <w:rsid w:val="7DA75801"/>
    <w:rsid w:val="7DA77C5D"/>
    <w:rsid w:val="7DA912DF"/>
    <w:rsid w:val="7DAA32A9"/>
    <w:rsid w:val="7DAA5057"/>
    <w:rsid w:val="7DAC0DCF"/>
    <w:rsid w:val="7DAC7021"/>
    <w:rsid w:val="7DAE4B47"/>
    <w:rsid w:val="7DAF266D"/>
    <w:rsid w:val="7DB008BF"/>
    <w:rsid w:val="7DB14637"/>
    <w:rsid w:val="7DB52379"/>
    <w:rsid w:val="7DB54128"/>
    <w:rsid w:val="7DB61C4E"/>
    <w:rsid w:val="7DB639FC"/>
    <w:rsid w:val="7DB6473F"/>
    <w:rsid w:val="7DB724E7"/>
    <w:rsid w:val="7DBA7990"/>
    <w:rsid w:val="7DBB6A17"/>
    <w:rsid w:val="7DBB7264"/>
    <w:rsid w:val="7DBD6776"/>
    <w:rsid w:val="7DBF0B02"/>
    <w:rsid w:val="7DBF6D54"/>
    <w:rsid w:val="7DC12ACC"/>
    <w:rsid w:val="7DC223A1"/>
    <w:rsid w:val="7DC600E3"/>
    <w:rsid w:val="7DC6740B"/>
    <w:rsid w:val="7DC73E5B"/>
    <w:rsid w:val="7DC75C09"/>
    <w:rsid w:val="7DCB394B"/>
    <w:rsid w:val="7DCB41F0"/>
    <w:rsid w:val="7DCD56F2"/>
    <w:rsid w:val="7DCE6F97"/>
    <w:rsid w:val="7DD02D0F"/>
    <w:rsid w:val="7DD047CF"/>
    <w:rsid w:val="7DD1451E"/>
    <w:rsid w:val="7DD30A52"/>
    <w:rsid w:val="7DD32800"/>
    <w:rsid w:val="7DD50326"/>
    <w:rsid w:val="7DD520D4"/>
    <w:rsid w:val="7DD6409E"/>
    <w:rsid w:val="7DD70390"/>
    <w:rsid w:val="7DD71AD1"/>
    <w:rsid w:val="7DD86068"/>
    <w:rsid w:val="7DD87E16"/>
    <w:rsid w:val="7DDA3B8E"/>
    <w:rsid w:val="7DDC7906"/>
    <w:rsid w:val="7DDD367E"/>
    <w:rsid w:val="7DE1316F"/>
    <w:rsid w:val="7DE14F1D"/>
    <w:rsid w:val="7DE25387"/>
    <w:rsid w:val="7DE41504"/>
    <w:rsid w:val="7DE467BB"/>
    <w:rsid w:val="7DE55565"/>
    <w:rsid w:val="7DE844FD"/>
    <w:rsid w:val="7DE86AE2"/>
    <w:rsid w:val="7DE93DD1"/>
    <w:rsid w:val="7DE95B7F"/>
    <w:rsid w:val="7DEB18F7"/>
    <w:rsid w:val="7DEE7D58"/>
    <w:rsid w:val="7DF033B2"/>
    <w:rsid w:val="7DF06F0E"/>
    <w:rsid w:val="7DF10ED8"/>
    <w:rsid w:val="7DF12C86"/>
    <w:rsid w:val="7DF2712A"/>
    <w:rsid w:val="7DF369FE"/>
    <w:rsid w:val="7DF37B69"/>
    <w:rsid w:val="7DF6029C"/>
    <w:rsid w:val="7DF6559B"/>
    <w:rsid w:val="7DF664EA"/>
    <w:rsid w:val="7DF674FC"/>
    <w:rsid w:val="7DF74740"/>
    <w:rsid w:val="7DF764EE"/>
    <w:rsid w:val="7DF804B8"/>
    <w:rsid w:val="7DF82266"/>
    <w:rsid w:val="7DFA5FDE"/>
    <w:rsid w:val="7DFC1C10"/>
    <w:rsid w:val="7DFD162B"/>
    <w:rsid w:val="7DFD787D"/>
    <w:rsid w:val="7DFF4529"/>
    <w:rsid w:val="7DFF53A3"/>
    <w:rsid w:val="7E00023B"/>
    <w:rsid w:val="7E0155BF"/>
    <w:rsid w:val="7E01736D"/>
    <w:rsid w:val="7E024E93"/>
    <w:rsid w:val="7E041F7D"/>
    <w:rsid w:val="7E046E5D"/>
    <w:rsid w:val="7E062BD5"/>
    <w:rsid w:val="7E06489D"/>
    <w:rsid w:val="7E074257"/>
    <w:rsid w:val="7E0806FB"/>
    <w:rsid w:val="7E094473"/>
    <w:rsid w:val="7E0B3D48"/>
    <w:rsid w:val="7E0B46AE"/>
    <w:rsid w:val="7E0C7AC0"/>
    <w:rsid w:val="7E0D5D12"/>
    <w:rsid w:val="7E0E3838"/>
    <w:rsid w:val="7E0E55E6"/>
    <w:rsid w:val="7E1150D6"/>
    <w:rsid w:val="7E130E4E"/>
    <w:rsid w:val="7E132BFC"/>
    <w:rsid w:val="7E135A11"/>
    <w:rsid w:val="7E154BC6"/>
    <w:rsid w:val="7E1626EC"/>
    <w:rsid w:val="7E1907B6"/>
    <w:rsid w:val="7E192908"/>
    <w:rsid w:val="7E1C2201"/>
    <w:rsid w:val="7E1D3A7B"/>
    <w:rsid w:val="7E1F3C97"/>
    <w:rsid w:val="7E213427"/>
    <w:rsid w:val="7E215319"/>
    <w:rsid w:val="7E2272E3"/>
    <w:rsid w:val="7E244E09"/>
    <w:rsid w:val="7E250B48"/>
    <w:rsid w:val="7E260B81"/>
    <w:rsid w:val="7E266DD3"/>
    <w:rsid w:val="7E290672"/>
    <w:rsid w:val="7E2A3C98"/>
    <w:rsid w:val="7E2B6198"/>
    <w:rsid w:val="7E2D63B4"/>
    <w:rsid w:val="7E2E3EDA"/>
    <w:rsid w:val="7E327526"/>
    <w:rsid w:val="7E3314F0"/>
    <w:rsid w:val="7E33329E"/>
    <w:rsid w:val="7E33504C"/>
    <w:rsid w:val="7E344D4A"/>
    <w:rsid w:val="7E357016"/>
    <w:rsid w:val="7E36397C"/>
    <w:rsid w:val="7E370FE0"/>
    <w:rsid w:val="7E372D8F"/>
    <w:rsid w:val="7E3808B5"/>
    <w:rsid w:val="7E3C03A5"/>
    <w:rsid w:val="7E3C65F7"/>
    <w:rsid w:val="7E3F1C43"/>
    <w:rsid w:val="7E4075E2"/>
    <w:rsid w:val="7E417769"/>
    <w:rsid w:val="7E4234E1"/>
    <w:rsid w:val="7E462FD2"/>
    <w:rsid w:val="7E484F9C"/>
    <w:rsid w:val="7E492AC2"/>
    <w:rsid w:val="7E4B05E8"/>
    <w:rsid w:val="7E4B1B41"/>
    <w:rsid w:val="7E4B683A"/>
    <w:rsid w:val="7E4D4360"/>
    <w:rsid w:val="7E4E1E86"/>
    <w:rsid w:val="7E4F632A"/>
    <w:rsid w:val="7E521976"/>
    <w:rsid w:val="7E525E1A"/>
    <w:rsid w:val="7E532EA4"/>
    <w:rsid w:val="7E5356EF"/>
    <w:rsid w:val="7E53749D"/>
    <w:rsid w:val="7E5725D5"/>
    <w:rsid w:val="7E576F8D"/>
    <w:rsid w:val="7E582D05"/>
    <w:rsid w:val="7E584145"/>
    <w:rsid w:val="7E584AB3"/>
    <w:rsid w:val="7E590F57"/>
    <w:rsid w:val="7E5A4CCF"/>
    <w:rsid w:val="7E5C0A47"/>
    <w:rsid w:val="7E5C27F5"/>
    <w:rsid w:val="7E5C45A3"/>
    <w:rsid w:val="7E5E47BF"/>
    <w:rsid w:val="7E617E0B"/>
    <w:rsid w:val="7E631258"/>
    <w:rsid w:val="7E631DD5"/>
    <w:rsid w:val="7E6416AA"/>
    <w:rsid w:val="7E663674"/>
    <w:rsid w:val="7E6671D0"/>
    <w:rsid w:val="7E6727AA"/>
    <w:rsid w:val="7E682F48"/>
    <w:rsid w:val="7E696CC0"/>
    <w:rsid w:val="7E6A1864"/>
    <w:rsid w:val="7E6B47E6"/>
    <w:rsid w:val="7E6C3A4B"/>
    <w:rsid w:val="7E6D67B0"/>
    <w:rsid w:val="7E6E2528"/>
    <w:rsid w:val="7E6E42D6"/>
    <w:rsid w:val="7E7044F2"/>
    <w:rsid w:val="7E71642D"/>
    <w:rsid w:val="7E723DC7"/>
    <w:rsid w:val="7E725B75"/>
    <w:rsid w:val="7E725FF8"/>
    <w:rsid w:val="7E7318ED"/>
    <w:rsid w:val="7E747B3F"/>
    <w:rsid w:val="7E751B09"/>
    <w:rsid w:val="7E7713DD"/>
    <w:rsid w:val="7E786F03"/>
    <w:rsid w:val="7E795155"/>
    <w:rsid w:val="7E7A0ECD"/>
    <w:rsid w:val="7E7C2E97"/>
    <w:rsid w:val="7E7D0549"/>
    <w:rsid w:val="7E7D49D0"/>
    <w:rsid w:val="7E7F4735"/>
    <w:rsid w:val="7E7F64E4"/>
    <w:rsid w:val="7E7F72F0"/>
    <w:rsid w:val="7E803351"/>
    <w:rsid w:val="7E81225C"/>
    <w:rsid w:val="7E81400A"/>
    <w:rsid w:val="7E835FD4"/>
    <w:rsid w:val="7E837D82"/>
    <w:rsid w:val="7E843AFA"/>
    <w:rsid w:val="7E865AC4"/>
    <w:rsid w:val="7E885398"/>
    <w:rsid w:val="7E8F4979"/>
    <w:rsid w:val="7E90249F"/>
    <w:rsid w:val="7E933D3D"/>
    <w:rsid w:val="7E955D07"/>
    <w:rsid w:val="7E957AB5"/>
    <w:rsid w:val="7E9953F2"/>
    <w:rsid w:val="7E9975A5"/>
    <w:rsid w:val="7E9A50CB"/>
    <w:rsid w:val="7E9C52E7"/>
    <w:rsid w:val="7E9C7095"/>
    <w:rsid w:val="7E9E2E0E"/>
    <w:rsid w:val="7E9E696A"/>
    <w:rsid w:val="7E9F0934"/>
    <w:rsid w:val="7E9F26E2"/>
    <w:rsid w:val="7EA128FE"/>
    <w:rsid w:val="7EA146AC"/>
    <w:rsid w:val="7EA321D2"/>
    <w:rsid w:val="7EA47B7B"/>
    <w:rsid w:val="7EA5419C"/>
    <w:rsid w:val="7EA54AEF"/>
    <w:rsid w:val="7EA61CC2"/>
    <w:rsid w:val="7EAB1087"/>
    <w:rsid w:val="7EAD3051"/>
    <w:rsid w:val="7EAD3AAF"/>
    <w:rsid w:val="7EAE37FE"/>
    <w:rsid w:val="7EAF0B77"/>
    <w:rsid w:val="7EB0669D"/>
    <w:rsid w:val="7EB20667"/>
    <w:rsid w:val="7EB3205F"/>
    <w:rsid w:val="7EB443DF"/>
    <w:rsid w:val="7EB50157"/>
    <w:rsid w:val="7EB50B00"/>
    <w:rsid w:val="7EB517AA"/>
    <w:rsid w:val="7EB51F05"/>
    <w:rsid w:val="7EB54F9B"/>
    <w:rsid w:val="7EB937A4"/>
    <w:rsid w:val="7EBC14E6"/>
    <w:rsid w:val="7EBE2BE3"/>
    <w:rsid w:val="7EBE525E"/>
    <w:rsid w:val="7EBF5EC4"/>
    <w:rsid w:val="7EC42148"/>
    <w:rsid w:val="7EC44A62"/>
    <w:rsid w:val="7EC64112"/>
    <w:rsid w:val="7EC81C39"/>
    <w:rsid w:val="7EC860DC"/>
    <w:rsid w:val="7EC9775F"/>
    <w:rsid w:val="7ECA59B1"/>
    <w:rsid w:val="7ECB34D7"/>
    <w:rsid w:val="7ECB797B"/>
    <w:rsid w:val="7ECF2FC7"/>
    <w:rsid w:val="7ECF4EEC"/>
    <w:rsid w:val="7ED20D09"/>
    <w:rsid w:val="7ED22AB7"/>
    <w:rsid w:val="7ED34089"/>
    <w:rsid w:val="7ED6414B"/>
    <w:rsid w:val="7ED80E18"/>
    <w:rsid w:val="7ED95BF4"/>
    <w:rsid w:val="7EDB41E9"/>
    <w:rsid w:val="7EDC7492"/>
    <w:rsid w:val="7EDD7D0C"/>
    <w:rsid w:val="7EDF6F40"/>
    <w:rsid w:val="7EE03426"/>
    <w:rsid w:val="7EE06F82"/>
    <w:rsid w:val="7EE12CFA"/>
    <w:rsid w:val="7EE22DE4"/>
    <w:rsid w:val="7EE34CC4"/>
    <w:rsid w:val="7EE724FF"/>
    <w:rsid w:val="7EE8052D"/>
    <w:rsid w:val="7EE84089"/>
    <w:rsid w:val="7EE91AD8"/>
    <w:rsid w:val="7EE979F0"/>
    <w:rsid w:val="7EEC6371"/>
    <w:rsid w:val="7EED169F"/>
    <w:rsid w:val="7EED2D5B"/>
    <w:rsid w:val="7EEE0C91"/>
    <w:rsid w:val="7EEF2121"/>
    <w:rsid w:val="7EEF3669"/>
    <w:rsid w:val="7EF0118F"/>
    <w:rsid w:val="7EF16320"/>
    <w:rsid w:val="7EF173E1"/>
    <w:rsid w:val="7EF24F07"/>
    <w:rsid w:val="7EF40C80"/>
    <w:rsid w:val="7EF42A2E"/>
    <w:rsid w:val="7EF667A6"/>
    <w:rsid w:val="7EF70770"/>
    <w:rsid w:val="7EFB3DBC"/>
    <w:rsid w:val="7EFC18E2"/>
    <w:rsid w:val="7EFC5D86"/>
    <w:rsid w:val="7EFC7B34"/>
    <w:rsid w:val="7EFE38AC"/>
    <w:rsid w:val="7EFF6F9C"/>
    <w:rsid w:val="7F0013D2"/>
    <w:rsid w:val="7F001CE7"/>
    <w:rsid w:val="7F01339C"/>
    <w:rsid w:val="7F016EF9"/>
    <w:rsid w:val="7F0215EE"/>
    <w:rsid w:val="7F037115"/>
    <w:rsid w:val="7F0445F8"/>
    <w:rsid w:val="7F0709B3"/>
    <w:rsid w:val="7F072F79"/>
    <w:rsid w:val="7F08297D"/>
    <w:rsid w:val="7F0B7D77"/>
    <w:rsid w:val="7F0F7867"/>
    <w:rsid w:val="7F121106"/>
    <w:rsid w:val="7F141322"/>
    <w:rsid w:val="7F160BF6"/>
    <w:rsid w:val="7F166E48"/>
    <w:rsid w:val="7F1A681E"/>
    <w:rsid w:val="7F1B26B0"/>
    <w:rsid w:val="7F1C1F84"/>
    <w:rsid w:val="7F1C5170"/>
    <w:rsid w:val="7F1D68E0"/>
    <w:rsid w:val="7F1E5CFC"/>
    <w:rsid w:val="7F201A75"/>
    <w:rsid w:val="7F203823"/>
    <w:rsid w:val="7F207CC7"/>
    <w:rsid w:val="7F21188E"/>
    <w:rsid w:val="7F2257ED"/>
    <w:rsid w:val="7F272E03"/>
    <w:rsid w:val="7F2822B2"/>
    <w:rsid w:val="7F2826D7"/>
    <w:rsid w:val="7F286B7B"/>
    <w:rsid w:val="7F2A28F3"/>
    <w:rsid w:val="7F2D4191"/>
    <w:rsid w:val="7F2E7865"/>
    <w:rsid w:val="7F2F7F0A"/>
    <w:rsid w:val="7F315A30"/>
    <w:rsid w:val="7F3217A8"/>
    <w:rsid w:val="7F343772"/>
    <w:rsid w:val="7F361298"/>
    <w:rsid w:val="7F381DA7"/>
    <w:rsid w:val="7F385010"/>
    <w:rsid w:val="7F3909EF"/>
    <w:rsid w:val="7F390D88"/>
    <w:rsid w:val="7F3948E4"/>
    <w:rsid w:val="7F3B6FE6"/>
    <w:rsid w:val="7F3D43D5"/>
    <w:rsid w:val="7F3E014D"/>
    <w:rsid w:val="7F402117"/>
    <w:rsid w:val="7F403EC5"/>
    <w:rsid w:val="7F405C73"/>
    <w:rsid w:val="7F413799"/>
    <w:rsid w:val="7F435763"/>
    <w:rsid w:val="7F452F1B"/>
    <w:rsid w:val="7F45772D"/>
    <w:rsid w:val="7F460DAF"/>
    <w:rsid w:val="7F4620BB"/>
    <w:rsid w:val="7F47040C"/>
    <w:rsid w:val="7F47583B"/>
    <w:rsid w:val="7F482D79"/>
    <w:rsid w:val="7F4A08A0"/>
    <w:rsid w:val="7F4C286A"/>
    <w:rsid w:val="7F4C2DEE"/>
    <w:rsid w:val="7F4C4618"/>
    <w:rsid w:val="7F4E65E2"/>
    <w:rsid w:val="7F5259A6"/>
    <w:rsid w:val="7F531E4A"/>
    <w:rsid w:val="7F552A10"/>
    <w:rsid w:val="7F567822"/>
    <w:rsid w:val="7F587460"/>
    <w:rsid w:val="7F5B485B"/>
    <w:rsid w:val="7F5C7D12"/>
    <w:rsid w:val="7F5D6825"/>
    <w:rsid w:val="7F5E259D"/>
    <w:rsid w:val="7F5E3AC2"/>
    <w:rsid w:val="7F6000C3"/>
    <w:rsid w:val="7F62208D"/>
    <w:rsid w:val="7F623E3B"/>
    <w:rsid w:val="7F625BE9"/>
    <w:rsid w:val="7F65392B"/>
    <w:rsid w:val="7F6779F6"/>
    <w:rsid w:val="7F680E86"/>
    <w:rsid w:val="7F6851CA"/>
    <w:rsid w:val="7F6B4C36"/>
    <w:rsid w:val="7F6C4A48"/>
    <w:rsid w:val="7F6C4CBA"/>
    <w:rsid w:val="7F6F0306"/>
    <w:rsid w:val="7F707618"/>
    <w:rsid w:val="7F71407E"/>
    <w:rsid w:val="7F71681E"/>
    <w:rsid w:val="7F731732"/>
    <w:rsid w:val="7F73429A"/>
    <w:rsid w:val="7F7508B8"/>
    <w:rsid w:val="7F7605F4"/>
    <w:rsid w:val="7F761695"/>
    <w:rsid w:val="7F78097A"/>
    <w:rsid w:val="7F7818B1"/>
    <w:rsid w:val="7F78540D"/>
    <w:rsid w:val="7F791185"/>
    <w:rsid w:val="7F792F33"/>
    <w:rsid w:val="7F7B314F"/>
    <w:rsid w:val="7F7D2A23"/>
    <w:rsid w:val="7F7E49ED"/>
    <w:rsid w:val="7F800765"/>
    <w:rsid w:val="7F8059CB"/>
    <w:rsid w:val="7F833DB1"/>
    <w:rsid w:val="7F846F1D"/>
    <w:rsid w:val="7F855D7C"/>
    <w:rsid w:val="7F875650"/>
    <w:rsid w:val="7F87589E"/>
    <w:rsid w:val="7F89761A"/>
    <w:rsid w:val="7F897F3D"/>
    <w:rsid w:val="7F8A15E4"/>
    <w:rsid w:val="7F8A5140"/>
    <w:rsid w:val="7F8B2ADE"/>
    <w:rsid w:val="7F8C0EB8"/>
    <w:rsid w:val="7F8D1710"/>
    <w:rsid w:val="7F8F6BFA"/>
    <w:rsid w:val="7F914720"/>
    <w:rsid w:val="7F9164CE"/>
    <w:rsid w:val="7F923FF5"/>
    <w:rsid w:val="7F930498"/>
    <w:rsid w:val="7F932247"/>
    <w:rsid w:val="7F945FBF"/>
    <w:rsid w:val="7F9727C2"/>
    <w:rsid w:val="7F985AAF"/>
    <w:rsid w:val="7F98785D"/>
    <w:rsid w:val="7F9C55B1"/>
    <w:rsid w:val="7F9D1317"/>
    <w:rsid w:val="7F9D30C5"/>
    <w:rsid w:val="7F9D4E73"/>
    <w:rsid w:val="7FA04963"/>
    <w:rsid w:val="7FA06711"/>
    <w:rsid w:val="7FA426A6"/>
    <w:rsid w:val="7FA53D28"/>
    <w:rsid w:val="7FA73F44"/>
    <w:rsid w:val="7FA75CF2"/>
    <w:rsid w:val="7FA80C69"/>
    <w:rsid w:val="7FA91A6A"/>
    <w:rsid w:val="7FA93818"/>
    <w:rsid w:val="7FA94BD7"/>
    <w:rsid w:val="7FA97CBC"/>
    <w:rsid w:val="7FAA7590"/>
    <w:rsid w:val="7FAB3A34"/>
    <w:rsid w:val="7FAC155A"/>
    <w:rsid w:val="7FAC3308"/>
    <w:rsid w:val="7FAC3558"/>
    <w:rsid w:val="7FAE0E2E"/>
    <w:rsid w:val="7FAE52D2"/>
    <w:rsid w:val="7FAE7080"/>
    <w:rsid w:val="7FB16B71"/>
    <w:rsid w:val="7FB328E9"/>
    <w:rsid w:val="7FB421BD"/>
    <w:rsid w:val="7FB846CC"/>
    <w:rsid w:val="7FBA5A25"/>
    <w:rsid w:val="7FBB179D"/>
    <w:rsid w:val="7FBD3767"/>
    <w:rsid w:val="7FBD72C3"/>
    <w:rsid w:val="7FBF128D"/>
    <w:rsid w:val="7FBF19CE"/>
    <w:rsid w:val="7FBF303C"/>
    <w:rsid w:val="7FC05006"/>
    <w:rsid w:val="7FC20D7E"/>
    <w:rsid w:val="7FC248DA"/>
    <w:rsid w:val="7FC40652"/>
    <w:rsid w:val="7FC443B0"/>
    <w:rsid w:val="7FC44AF6"/>
    <w:rsid w:val="7FC543CA"/>
    <w:rsid w:val="7FC70142"/>
    <w:rsid w:val="7FC71EF0"/>
    <w:rsid w:val="7FC91F6F"/>
    <w:rsid w:val="7FC9626B"/>
    <w:rsid w:val="7FC97177"/>
    <w:rsid w:val="7FCB7C32"/>
    <w:rsid w:val="7FCC5758"/>
    <w:rsid w:val="7FCD61BB"/>
    <w:rsid w:val="7FCE327F"/>
    <w:rsid w:val="7FD12D6F"/>
    <w:rsid w:val="7FD272F1"/>
    <w:rsid w:val="7FD30895"/>
    <w:rsid w:val="7FD36AE7"/>
    <w:rsid w:val="7FD4460D"/>
    <w:rsid w:val="7FD5285F"/>
    <w:rsid w:val="7FDC1E3F"/>
    <w:rsid w:val="7FDD34C2"/>
    <w:rsid w:val="7FDF36DE"/>
    <w:rsid w:val="7FDF548C"/>
    <w:rsid w:val="7FDF723A"/>
    <w:rsid w:val="7FE17456"/>
    <w:rsid w:val="7FE231CE"/>
    <w:rsid w:val="7FE47E50"/>
    <w:rsid w:val="7FE505C8"/>
    <w:rsid w:val="7FE72592"/>
    <w:rsid w:val="7FE74340"/>
    <w:rsid w:val="7FE934FA"/>
    <w:rsid w:val="7FE9630A"/>
    <w:rsid w:val="7FEA5BDF"/>
    <w:rsid w:val="7FEC1957"/>
    <w:rsid w:val="7FEC5DFB"/>
    <w:rsid w:val="7FEC7BA9"/>
    <w:rsid w:val="7FEE1B73"/>
    <w:rsid w:val="7FF133CD"/>
    <w:rsid w:val="7FF13411"/>
    <w:rsid w:val="7FF13975"/>
    <w:rsid w:val="7FF151BF"/>
    <w:rsid w:val="7FF30F37"/>
    <w:rsid w:val="7FF32CE5"/>
    <w:rsid w:val="7FF37189"/>
    <w:rsid w:val="7FF54CAF"/>
    <w:rsid w:val="7FF56A5D"/>
    <w:rsid w:val="7FF60A27"/>
    <w:rsid w:val="7FF627D5"/>
    <w:rsid w:val="7FFB603E"/>
    <w:rsid w:val="7FFC20BD"/>
    <w:rsid w:val="7FFC4290"/>
    <w:rsid w:val="7FFD3B64"/>
    <w:rsid w:val="7FFD5912"/>
    <w:rsid w:val="7FFF78D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iPriority="9" w:semiHidden="0" w:name="heading 2" w:locked="1"/>
    <w:lsdException w:qFormat="1" w:unhideWhenUsed="0" w:uiPriority="99" w:semiHidden="0" w:name="heading 3" w:locked="1"/>
    <w:lsdException w:qFormat="1" w:unhideWhenUsed="0" w:uiPriority="9"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qFormat="1" w:unhideWhenUsed="0" w:uiPriority="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ocked="1"/>
    <w:lsdException w:unhideWhenUsed="0" w:uiPriority="0" w:semiHidden="0"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qFormat="1" w:unhideWhenUsed="0" w:uiPriority="0" w:name="index heading" w:locked="1"/>
    <w:lsdException w:qFormat="1" w:unhideWhenUsed="0" w:uiPriority="0" w:semiHidden="0" w:name="caption" w:locked="1"/>
    <w:lsdException w:qFormat="1"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99" w:semiHidden="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qFormat="1" w:uiPriority="99"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10" w:semiHidden="0" w:name="Title" w:locked="1"/>
    <w:lsdException w:unhideWhenUsed="0" w:uiPriority="0" w:semiHidden="0" w:name="Closing" w:locked="1"/>
    <w:lsdException w:unhideWhenUsed="0" w:uiPriority="0" w:semiHidden="0" w:name="Signature" w:locked="1"/>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qFormat="1" w:unhideWhenUsed="0" w:uiPriority="0" w:semiHidden="0" w:name="Salutation" w:locked="1"/>
    <w:lsdException w:qFormat="1" w:unhideWhenUsed="0" w:uiPriority="0" w:semiHidden="0" w:name="Date"/>
    <w:lsdException w:qFormat="1" w:uiPriority="99" w:semiHidden="0" w:name="Body Text First Indent" w:locked="1"/>
    <w:lsdException w:qFormat="1" w:unhideWhenUsed="0" w:uiPriority="0" w:semiHidden="0" w:name="Body Text First Indent 2" w:locked="1"/>
    <w:lsdException w:unhideWhenUsed="0" w:uiPriority="0" w:semiHidden="0" w:name="Note Heading" w:locked="1"/>
    <w:lsdException w:qFormat="1" w:uiPriority="99" w:semiHidden="0" w:name="Body Text 2" w:locked="1"/>
    <w:lsdException w:qFormat="1" w:uiPriority="99" w:semiHidden="0" w:name="Body Text 3" w:locked="1"/>
    <w:lsdException w:qFormat="1" w:uiPriority="99" w:semiHidden="0" w:name="Body Text Indent 2" w:locked="1"/>
    <w:lsdException w:qFormat="1" w:uiPriority="99" w:semiHidden="0" w:name="Body Text Indent 3" w:locked="1"/>
    <w:lsdException w:qFormat="1" w:unhideWhenUsed="0" w:uiPriority="0" w:semiHidden="0" w:name="Block Text" w:locked="1"/>
    <w:lsdException w:qFormat="1" w:uiPriority="99" w:semiHidden="0" w:name="Hyperlink" w:locked="1"/>
    <w:lsdException w:qFormat="1" w:uiPriority="99" w:semiHidden="0" w:name="FollowedHyperlink" w:locked="1"/>
    <w:lsdException w:qFormat="1" w:unhideWhenUsed="0" w:uiPriority="22" w:semiHidden="0" w:name="Strong" w:locked="1"/>
    <w:lsdException w:qFormat="1" w:unhideWhenUsed="0" w:uiPriority="20" w:semiHidden="0" w:name="Emphasis" w:locked="1"/>
    <w:lsdException w:qFormat="1" w:uiPriority="99" w:semiHidden="0" w:name="Document Map" w:locked="1"/>
    <w:lsdException w:qFormat="1" w:unhideWhenUsed="0" w:uiPriority="0"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qFormat="1" w:uiPriority="99"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nhideWhenUsed="0" w:uiPriority="0" w:name="Normal Table"/>
    <w:lsdException w:qFormat="1" w:unhideWhenUsed="0" w:uiPriority="0"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qFormat="1" w:unhideWhenUsed="0" w:uiPriority="99" w:semiHidden="0" w:name="Balloon Text"/>
    <w:lsdException w:qFormat="1" w:unhideWhenUsed="0" w:uiPriority="0" w:semiHidden="0" w:name="Table Grid"/>
    <w:lsdException w:unhideWhenUsed="0" w:uiPriority="0" w:semiHidden="0" w:name="Table Theme" w:locked="1"/>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7">
    <w:name w:val="heading 1"/>
    <w:basedOn w:val="1"/>
    <w:next w:val="1"/>
    <w:link w:val="45"/>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8">
    <w:name w:val="heading 2"/>
    <w:basedOn w:val="1"/>
    <w:next w:val="1"/>
    <w:link w:val="46"/>
    <w:unhideWhenUsed/>
    <w:qFormat/>
    <w:locked/>
    <w:uiPriority w:val="9"/>
    <w:pPr>
      <w:keepNext/>
      <w:keepLines/>
      <w:spacing w:before="260" w:after="260" w:line="416" w:lineRule="auto"/>
      <w:outlineLvl w:val="1"/>
    </w:pPr>
    <w:rPr>
      <w:rFonts w:ascii="等线 Light" w:hAnsi="等线 Light" w:eastAsia="等线 Light" w:cs="Times New Roman"/>
      <w:b/>
      <w:bCs/>
      <w:sz w:val="32"/>
      <w:szCs w:val="32"/>
    </w:rPr>
  </w:style>
  <w:style w:type="paragraph" w:styleId="9">
    <w:name w:val="heading 3"/>
    <w:basedOn w:val="1"/>
    <w:next w:val="1"/>
    <w:link w:val="47"/>
    <w:qFormat/>
    <w:locked/>
    <w:uiPriority w:val="99"/>
    <w:pPr>
      <w:keepNext/>
      <w:keepLines/>
      <w:widowControl/>
      <w:spacing w:line="360" w:lineRule="auto"/>
      <w:ind w:firstLine="512"/>
      <w:jc w:val="left"/>
      <w:outlineLvl w:val="2"/>
    </w:pPr>
    <w:rPr>
      <w:b/>
      <w:bCs/>
      <w:color w:val="000000"/>
      <w:kern w:val="0"/>
      <w:sz w:val="24"/>
    </w:rPr>
  </w:style>
  <w:style w:type="paragraph" w:styleId="10">
    <w:name w:val="heading 4"/>
    <w:basedOn w:val="1"/>
    <w:next w:val="1"/>
    <w:link w:val="48"/>
    <w:qFormat/>
    <w:locked/>
    <w:uiPriority w:val="9"/>
    <w:pPr>
      <w:keepNext/>
      <w:keepLines/>
      <w:widowControl/>
      <w:spacing w:before="280" w:after="290" w:line="376" w:lineRule="auto"/>
      <w:jc w:val="left"/>
      <w:outlineLvl w:val="3"/>
    </w:pPr>
    <w:rPr>
      <w:rFonts w:ascii="Cambria" w:hAnsi="Cambria"/>
      <w:b/>
      <w:bCs/>
      <w:color w:val="000000"/>
      <w:sz w:val="28"/>
      <w:szCs w:val="28"/>
    </w:rPr>
  </w:style>
  <w:style w:type="character" w:default="1" w:styleId="38">
    <w:name w:val="Default Paragraph Font"/>
    <w:semiHidden/>
    <w:qFormat/>
    <w:uiPriority w:val="0"/>
  </w:style>
  <w:style w:type="table" w:default="1" w:styleId="36">
    <w:name w:val="Normal Table"/>
    <w:semiHidden/>
    <w:qFormat/>
    <w:uiPriority w:val="0"/>
    <w:tblPr>
      <w:tblCellMar>
        <w:top w:w="0" w:type="dxa"/>
        <w:left w:w="108" w:type="dxa"/>
        <w:bottom w:w="0" w:type="dxa"/>
        <w:right w:w="108" w:type="dxa"/>
      </w:tblCellMar>
    </w:tblPr>
  </w:style>
  <w:style w:type="paragraph" w:customStyle="1" w:styleId="2">
    <w:name w:val="Default"/>
    <w:basedOn w:val="3"/>
    <w:next w:val="4"/>
    <w:qFormat/>
    <w:uiPriority w:val="0"/>
    <w:pPr>
      <w:widowControl/>
      <w:autoSpaceDE w:val="0"/>
      <w:autoSpaceDN w:val="0"/>
      <w:jc w:val="left"/>
    </w:pPr>
    <w:rPr>
      <w:rFonts w:ascii="宋体" w:cs="宋体"/>
      <w:color w:val="000000"/>
      <w:kern w:val="0"/>
      <w:sz w:val="24"/>
    </w:rPr>
  </w:style>
  <w:style w:type="paragraph" w:customStyle="1" w:styleId="3">
    <w:name w:val="纯文本1"/>
    <w:basedOn w:val="1"/>
    <w:qFormat/>
    <w:uiPriority w:val="0"/>
    <w:rPr>
      <w:rFonts w:hAnsi="Courier New"/>
      <w:sz w:val="21"/>
      <w:szCs w:val="21"/>
    </w:rPr>
  </w:style>
  <w:style w:type="paragraph" w:customStyle="1" w:styleId="4">
    <w:name w:val="样式1"/>
    <w:basedOn w:val="5"/>
    <w:next w:val="1"/>
    <w:qFormat/>
    <w:uiPriority w:val="0"/>
    <w:pPr>
      <w:spacing w:line="360" w:lineRule="auto"/>
    </w:pPr>
    <w:rPr>
      <w:sz w:val="28"/>
    </w:rPr>
  </w:style>
  <w:style w:type="paragraph" w:styleId="5">
    <w:name w:val="index heading"/>
    <w:basedOn w:val="1"/>
    <w:next w:val="6"/>
    <w:semiHidden/>
    <w:qFormat/>
    <w:locked/>
    <w:uiPriority w:val="0"/>
    <w:rPr>
      <w:rFonts w:ascii="Arial" w:hAnsi="Arial" w:cs="Arial"/>
      <w:b/>
      <w:bCs/>
    </w:rPr>
  </w:style>
  <w:style w:type="paragraph" w:styleId="6">
    <w:name w:val="index 1"/>
    <w:basedOn w:val="1"/>
    <w:next w:val="1"/>
    <w:semiHidden/>
    <w:qFormat/>
    <w:locked/>
    <w:uiPriority w:val="0"/>
    <w:pPr>
      <w:spacing w:line="300" w:lineRule="exact"/>
    </w:pPr>
    <w:rPr>
      <w:rFonts w:ascii="宋体" w:hAnsi="宋体"/>
      <w:spacing w:val="10"/>
      <w:sz w:val="21"/>
      <w:szCs w:val="24"/>
    </w:rPr>
  </w:style>
  <w:style w:type="paragraph" w:styleId="11">
    <w:name w:val="Normal Indent"/>
    <w:basedOn w:val="1"/>
    <w:link w:val="49"/>
    <w:qFormat/>
    <w:locked/>
    <w:uiPriority w:val="0"/>
    <w:pPr>
      <w:ind w:firstLine="420" w:firstLineChars="200"/>
    </w:pPr>
    <w:rPr>
      <w:szCs w:val="20"/>
    </w:rPr>
  </w:style>
  <w:style w:type="paragraph" w:styleId="12">
    <w:name w:val="caption"/>
    <w:basedOn w:val="1"/>
    <w:next w:val="1"/>
    <w:link w:val="50"/>
    <w:qFormat/>
    <w:locked/>
    <w:uiPriority w:val="0"/>
    <w:rPr>
      <w:rFonts w:ascii="Arial" w:hAnsi="Arial" w:eastAsia="黑体" w:cs="Arial"/>
      <w:sz w:val="20"/>
      <w:szCs w:val="20"/>
    </w:rPr>
  </w:style>
  <w:style w:type="paragraph" w:styleId="13">
    <w:name w:val="Document Map"/>
    <w:basedOn w:val="1"/>
    <w:link w:val="51"/>
    <w:unhideWhenUsed/>
    <w:qFormat/>
    <w:locked/>
    <w:uiPriority w:val="99"/>
    <w:pPr>
      <w:widowControl/>
      <w:spacing w:line="360" w:lineRule="auto"/>
      <w:jc w:val="left"/>
    </w:pPr>
    <w:rPr>
      <w:rFonts w:ascii="宋体"/>
      <w:color w:val="000000"/>
      <w:sz w:val="18"/>
      <w:szCs w:val="18"/>
    </w:rPr>
  </w:style>
  <w:style w:type="paragraph" w:styleId="14">
    <w:name w:val="annotation text"/>
    <w:basedOn w:val="1"/>
    <w:link w:val="52"/>
    <w:semiHidden/>
    <w:qFormat/>
    <w:uiPriority w:val="99"/>
    <w:pPr>
      <w:jc w:val="left"/>
    </w:pPr>
    <w:rPr>
      <w:kern w:val="0"/>
      <w:sz w:val="24"/>
      <w:szCs w:val="20"/>
    </w:rPr>
  </w:style>
  <w:style w:type="paragraph" w:styleId="15">
    <w:name w:val="Salutation"/>
    <w:basedOn w:val="1"/>
    <w:next w:val="1"/>
    <w:qFormat/>
    <w:locked/>
    <w:uiPriority w:val="0"/>
    <w:pPr>
      <w:spacing w:line="240" w:lineRule="auto"/>
      <w:ind w:firstLine="0" w:firstLineChars="0"/>
    </w:pPr>
    <w:rPr>
      <w:sz w:val="28"/>
      <w:szCs w:val="20"/>
    </w:rPr>
  </w:style>
  <w:style w:type="paragraph" w:styleId="16">
    <w:name w:val="Body Text 3"/>
    <w:basedOn w:val="1"/>
    <w:link w:val="53"/>
    <w:unhideWhenUsed/>
    <w:qFormat/>
    <w:locked/>
    <w:uiPriority w:val="99"/>
    <w:pPr>
      <w:widowControl/>
      <w:spacing w:after="120" w:line="360" w:lineRule="auto"/>
      <w:jc w:val="left"/>
    </w:pPr>
    <w:rPr>
      <w:color w:val="000000"/>
      <w:sz w:val="16"/>
      <w:szCs w:val="16"/>
    </w:rPr>
  </w:style>
  <w:style w:type="paragraph" w:styleId="17">
    <w:name w:val="Body Text"/>
    <w:basedOn w:val="1"/>
    <w:link w:val="54"/>
    <w:qFormat/>
    <w:uiPriority w:val="99"/>
    <w:pPr>
      <w:widowControl/>
      <w:snapToGrid w:val="0"/>
      <w:spacing w:before="60" w:after="160" w:line="259" w:lineRule="auto"/>
      <w:ind w:right="113"/>
    </w:pPr>
    <w:rPr>
      <w:kern w:val="0"/>
      <w:sz w:val="18"/>
      <w:szCs w:val="20"/>
    </w:rPr>
  </w:style>
  <w:style w:type="paragraph" w:styleId="18">
    <w:name w:val="Body Text Indent"/>
    <w:basedOn w:val="1"/>
    <w:next w:val="1"/>
    <w:link w:val="55"/>
    <w:qFormat/>
    <w:uiPriority w:val="99"/>
    <w:pPr>
      <w:spacing w:after="120"/>
      <w:ind w:left="420" w:leftChars="200"/>
    </w:pPr>
    <w:rPr>
      <w:kern w:val="0"/>
      <w:sz w:val="24"/>
      <w:szCs w:val="20"/>
    </w:rPr>
  </w:style>
  <w:style w:type="paragraph" w:styleId="19">
    <w:name w:val="Block Text"/>
    <w:basedOn w:val="1"/>
    <w:qFormat/>
    <w:locked/>
    <w:uiPriority w:val="0"/>
    <w:pPr>
      <w:adjustRightInd w:val="0"/>
      <w:snapToGrid w:val="0"/>
      <w:spacing w:line="490" w:lineRule="atLeast"/>
      <w:ind w:left="10" w:leftChars="5" w:right="-449" w:rightChars="-214" w:firstLine="560" w:firstLineChars="200"/>
    </w:pPr>
    <w:rPr>
      <w:color w:val="000000"/>
      <w:sz w:val="28"/>
    </w:rPr>
  </w:style>
  <w:style w:type="paragraph" w:styleId="20">
    <w:name w:val="Plain Text"/>
    <w:basedOn w:val="1"/>
    <w:next w:val="15"/>
    <w:link w:val="56"/>
    <w:qFormat/>
    <w:locked/>
    <w:uiPriority w:val="0"/>
    <w:pPr>
      <w:widowControl/>
      <w:jc w:val="left"/>
    </w:pPr>
    <w:rPr>
      <w:rFonts w:ascii="宋体" w:hAnsi="Courier New"/>
      <w:szCs w:val="20"/>
    </w:rPr>
  </w:style>
  <w:style w:type="paragraph" w:styleId="21">
    <w:name w:val="Date"/>
    <w:basedOn w:val="1"/>
    <w:next w:val="1"/>
    <w:link w:val="57"/>
    <w:qFormat/>
    <w:uiPriority w:val="0"/>
    <w:pPr>
      <w:ind w:left="100" w:leftChars="2500"/>
    </w:pPr>
    <w:rPr>
      <w:kern w:val="0"/>
      <w:sz w:val="24"/>
      <w:szCs w:val="20"/>
    </w:rPr>
  </w:style>
  <w:style w:type="paragraph" w:styleId="22">
    <w:name w:val="Body Text Indent 2"/>
    <w:basedOn w:val="1"/>
    <w:link w:val="58"/>
    <w:unhideWhenUsed/>
    <w:qFormat/>
    <w:locked/>
    <w:uiPriority w:val="99"/>
    <w:pPr>
      <w:widowControl/>
      <w:spacing w:after="120" w:line="480" w:lineRule="auto"/>
      <w:ind w:left="420" w:leftChars="200"/>
      <w:jc w:val="left"/>
    </w:pPr>
    <w:rPr>
      <w:color w:val="000000"/>
      <w:sz w:val="24"/>
    </w:rPr>
  </w:style>
  <w:style w:type="paragraph" w:styleId="23">
    <w:name w:val="Balloon Text"/>
    <w:basedOn w:val="1"/>
    <w:link w:val="59"/>
    <w:qFormat/>
    <w:uiPriority w:val="99"/>
    <w:rPr>
      <w:kern w:val="0"/>
      <w:sz w:val="18"/>
      <w:szCs w:val="20"/>
    </w:rPr>
  </w:style>
  <w:style w:type="paragraph" w:styleId="24">
    <w:name w:val="footer"/>
    <w:basedOn w:val="1"/>
    <w:link w:val="60"/>
    <w:qFormat/>
    <w:uiPriority w:val="99"/>
    <w:pPr>
      <w:tabs>
        <w:tab w:val="center" w:pos="4153"/>
        <w:tab w:val="right" w:pos="8306"/>
      </w:tabs>
      <w:snapToGrid w:val="0"/>
      <w:jc w:val="left"/>
    </w:pPr>
    <w:rPr>
      <w:kern w:val="0"/>
      <w:sz w:val="18"/>
      <w:szCs w:val="20"/>
    </w:rPr>
  </w:style>
  <w:style w:type="paragraph" w:styleId="25">
    <w:name w:val="header"/>
    <w:basedOn w:val="1"/>
    <w:link w:val="61"/>
    <w:qFormat/>
    <w:uiPriority w:val="99"/>
    <w:pPr>
      <w:pBdr>
        <w:bottom w:val="single" w:color="auto" w:sz="6" w:space="1"/>
      </w:pBdr>
      <w:tabs>
        <w:tab w:val="center" w:pos="4153"/>
        <w:tab w:val="right" w:pos="8306"/>
      </w:tabs>
      <w:snapToGrid w:val="0"/>
      <w:jc w:val="center"/>
    </w:pPr>
    <w:rPr>
      <w:kern w:val="0"/>
      <w:sz w:val="18"/>
      <w:szCs w:val="20"/>
    </w:rPr>
  </w:style>
  <w:style w:type="paragraph" w:styleId="26">
    <w:name w:val="List"/>
    <w:basedOn w:val="1"/>
    <w:unhideWhenUsed/>
    <w:qFormat/>
    <w:locked/>
    <w:uiPriority w:val="99"/>
    <w:pPr>
      <w:widowControl/>
      <w:spacing w:line="320" w:lineRule="exact"/>
      <w:jc w:val="center"/>
    </w:pPr>
    <w:rPr>
      <w:color w:val="000000"/>
      <w:sz w:val="22"/>
      <w:szCs w:val="22"/>
    </w:rPr>
  </w:style>
  <w:style w:type="paragraph" w:styleId="27">
    <w:name w:val="Body Text Indent 3"/>
    <w:basedOn w:val="1"/>
    <w:link w:val="62"/>
    <w:unhideWhenUsed/>
    <w:qFormat/>
    <w:locked/>
    <w:uiPriority w:val="99"/>
    <w:pPr>
      <w:widowControl/>
      <w:spacing w:after="120" w:line="360" w:lineRule="auto"/>
      <w:ind w:left="420" w:leftChars="200"/>
      <w:jc w:val="left"/>
    </w:pPr>
    <w:rPr>
      <w:color w:val="000000"/>
      <w:sz w:val="16"/>
      <w:szCs w:val="16"/>
    </w:rPr>
  </w:style>
  <w:style w:type="paragraph" w:styleId="28">
    <w:name w:val="table of figures"/>
    <w:basedOn w:val="1"/>
    <w:next w:val="1"/>
    <w:unhideWhenUsed/>
    <w:qFormat/>
    <w:locked/>
    <w:uiPriority w:val="0"/>
    <w:pPr>
      <w:widowControl/>
      <w:spacing w:before="100" w:beforeAutospacing="1" w:after="100" w:afterAutospacing="1" w:line="360" w:lineRule="auto"/>
      <w:ind w:leftChars="200" w:hanging="200" w:hangingChars="200"/>
      <w:jc w:val="left"/>
    </w:pPr>
    <w:rPr>
      <w:color w:val="000000"/>
      <w:sz w:val="24"/>
    </w:rPr>
  </w:style>
  <w:style w:type="paragraph" w:styleId="29">
    <w:name w:val="Body Text 2"/>
    <w:basedOn w:val="1"/>
    <w:link w:val="63"/>
    <w:unhideWhenUsed/>
    <w:qFormat/>
    <w:locked/>
    <w:uiPriority w:val="99"/>
    <w:pPr>
      <w:widowControl/>
      <w:spacing w:after="120" w:line="480" w:lineRule="auto"/>
      <w:jc w:val="left"/>
    </w:pPr>
    <w:rPr>
      <w:color w:val="000000"/>
      <w:sz w:val="24"/>
    </w:rPr>
  </w:style>
  <w:style w:type="paragraph" w:styleId="30">
    <w:name w:val="HTML Preformatted"/>
    <w:basedOn w:val="1"/>
    <w:link w:val="64"/>
    <w:unhideWhenUsed/>
    <w:qFormat/>
    <w:locked/>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1">
    <w:name w:val="Normal (Web)"/>
    <w:basedOn w:val="1"/>
    <w:link w:val="65"/>
    <w:qFormat/>
    <w:uiPriority w:val="0"/>
    <w:pPr>
      <w:widowControl/>
      <w:spacing w:before="100" w:beforeAutospacing="1" w:after="100" w:afterAutospacing="1"/>
      <w:jc w:val="left"/>
    </w:pPr>
    <w:rPr>
      <w:rFonts w:ascii="宋体" w:hAnsi="宋体"/>
      <w:kern w:val="0"/>
      <w:sz w:val="24"/>
      <w:szCs w:val="20"/>
    </w:rPr>
  </w:style>
  <w:style w:type="paragraph" w:styleId="32">
    <w:name w:val="Title"/>
    <w:basedOn w:val="1"/>
    <w:next w:val="1"/>
    <w:link w:val="66"/>
    <w:qFormat/>
    <w:locked/>
    <w:uiPriority w:val="10"/>
    <w:pPr>
      <w:widowControl/>
      <w:spacing w:before="240" w:after="60" w:line="360" w:lineRule="auto"/>
      <w:jc w:val="center"/>
      <w:outlineLvl w:val="0"/>
    </w:pPr>
    <w:rPr>
      <w:rFonts w:ascii="Cambria" w:hAnsi="Cambria"/>
      <w:b/>
      <w:bCs/>
      <w:color w:val="000000"/>
      <w:sz w:val="32"/>
      <w:szCs w:val="32"/>
    </w:rPr>
  </w:style>
  <w:style w:type="paragraph" w:styleId="33">
    <w:name w:val="annotation subject"/>
    <w:basedOn w:val="14"/>
    <w:next w:val="14"/>
    <w:link w:val="67"/>
    <w:semiHidden/>
    <w:qFormat/>
    <w:uiPriority w:val="0"/>
    <w:rPr>
      <w:b/>
      <w:sz w:val="24"/>
      <w:szCs w:val="20"/>
    </w:rPr>
  </w:style>
  <w:style w:type="paragraph" w:styleId="34">
    <w:name w:val="Body Text First Indent"/>
    <w:basedOn w:val="17"/>
    <w:link w:val="68"/>
    <w:unhideWhenUsed/>
    <w:qFormat/>
    <w:locked/>
    <w:uiPriority w:val="99"/>
    <w:pPr>
      <w:snapToGrid/>
      <w:spacing w:before="0" w:after="120" w:line="360" w:lineRule="auto"/>
      <w:ind w:right="0" w:firstLine="420" w:firstLineChars="100"/>
      <w:jc w:val="left"/>
    </w:pPr>
    <w:rPr>
      <w:color w:val="000000"/>
      <w:kern w:val="2"/>
      <w:sz w:val="24"/>
      <w:szCs w:val="24"/>
    </w:rPr>
  </w:style>
  <w:style w:type="paragraph" w:styleId="35">
    <w:name w:val="Body Text First Indent 2"/>
    <w:basedOn w:val="18"/>
    <w:next w:val="1"/>
    <w:link w:val="69"/>
    <w:qFormat/>
    <w:locked/>
    <w:uiPriority w:val="0"/>
    <w:pPr>
      <w:ind w:firstLine="420" w:firstLineChars="200"/>
    </w:pPr>
    <w:rPr>
      <w:kern w:val="2"/>
      <w:sz w:val="21"/>
      <w:szCs w:val="24"/>
    </w:rPr>
  </w:style>
  <w:style w:type="table" w:styleId="37">
    <w:name w:val="Table Grid"/>
    <w:basedOn w:val="36"/>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qFormat/>
    <w:locked/>
    <w:uiPriority w:val="22"/>
    <w:rPr>
      <w:b/>
      <w:bCs/>
    </w:rPr>
  </w:style>
  <w:style w:type="character" w:styleId="40">
    <w:name w:val="page number"/>
    <w:basedOn w:val="38"/>
    <w:qFormat/>
    <w:locked/>
    <w:uiPriority w:val="0"/>
  </w:style>
  <w:style w:type="character" w:styleId="41">
    <w:name w:val="FollowedHyperlink"/>
    <w:unhideWhenUsed/>
    <w:qFormat/>
    <w:locked/>
    <w:uiPriority w:val="99"/>
    <w:rPr>
      <w:color w:val="800080"/>
      <w:u w:val="single"/>
    </w:rPr>
  </w:style>
  <w:style w:type="character" w:styleId="42">
    <w:name w:val="Emphasis"/>
    <w:qFormat/>
    <w:locked/>
    <w:uiPriority w:val="20"/>
    <w:rPr>
      <w:i/>
      <w:iCs/>
    </w:rPr>
  </w:style>
  <w:style w:type="character" w:styleId="43">
    <w:name w:val="Hyperlink"/>
    <w:unhideWhenUsed/>
    <w:qFormat/>
    <w:locked/>
    <w:uiPriority w:val="99"/>
    <w:rPr>
      <w:color w:val="0000FF"/>
      <w:u w:val="single"/>
    </w:rPr>
  </w:style>
  <w:style w:type="character" w:styleId="44">
    <w:name w:val="annotation reference"/>
    <w:qFormat/>
    <w:uiPriority w:val="99"/>
    <w:rPr>
      <w:sz w:val="21"/>
    </w:rPr>
  </w:style>
  <w:style w:type="character" w:customStyle="1" w:styleId="45">
    <w:name w:val="标题 1 字符"/>
    <w:link w:val="7"/>
    <w:qFormat/>
    <w:uiPriority w:val="99"/>
    <w:rPr>
      <w:rFonts w:eastAsia="黑体"/>
      <w:b/>
      <w:bCs/>
      <w:color w:val="000000"/>
      <w:kern w:val="44"/>
      <w:sz w:val="30"/>
      <w:szCs w:val="30"/>
    </w:rPr>
  </w:style>
  <w:style w:type="character" w:customStyle="1" w:styleId="46">
    <w:name w:val="标题 2 字符"/>
    <w:link w:val="8"/>
    <w:qFormat/>
    <w:uiPriority w:val="9"/>
    <w:rPr>
      <w:rFonts w:ascii="等线 Light" w:hAnsi="等线 Light" w:eastAsia="等线 Light" w:cs="Times New Roman"/>
      <w:b/>
      <w:bCs/>
      <w:kern w:val="2"/>
      <w:sz w:val="32"/>
      <w:szCs w:val="32"/>
    </w:rPr>
  </w:style>
  <w:style w:type="character" w:customStyle="1" w:styleId="47">
    <w:name w:val="标题 3 字符"/>
    <w:link w:val="9"/>
    <w:qFormat/>
    <w:uiPriority w:val="99"/>
    <w:rPr>
      <w:b/>
      <w:bCs/>
      <w:color w:val="000000"/>
      <w:sz w:val="24"/>
      <w:szCs w:val="24"/>
    </w:rPr>
  </w:style>
  <w:style w:type="character" w:customStyle="1" w:styleId="48">
    <w:name w:val="标题 4 字符"/>
    <w:link w:val="10"/>
    <w:qFormat/>
    <w:uiPriority w:val="9"/>
    <w:rPr>
      <w:rFonts w:ascii="Cambria" w:hAnsi="Cambria"/>
      <w:b/>
      <w:bCs/>
      <w:color w:val="000000"/>
      <w:kern w:val="2"/>
      <w:sz w:val="28"/>
      <w:szCs w:val="28"/>
    </w:rPr>
  </w:style>
  <w:style w:type="character" w:customStyle="1" w:styleId="49">
    <w:name w:val="正文缩进 字符"/>
    <w:link w:val="11"/>
    <w:qFormat/>
    <w:uiPriority w:val="0"/>
    <w:rPr>
      <w:kern w:val="2"/>
      <w:sz w:val="21"/>
    </w:rPr>
  </w:style>
  <w:style w:type="character" w:customStyle="1" w:styleId="50">
    <w:name w:val="题注 字符"/>
    <w:link w:val="12"/>
    <w:qFormat/>
    <w:uiPriority w:val="0"/>
    <w:rPr>
      <w:rFonts w:ascii="Arial" w:hAnsi="Arial" w:eastAsia="黑体" w:cs="Arial"/>
      <w:kern w:val="2"/>
    </w:rPr>
  </w:style>
  <w:style w:type="character" w:customStyle="1" w:styleId="51">
    <w:name w:val="文档结构图 字符"/>
    <w:link w:val="13"/>
    <w:qFormat/>
    <w:uiPriority w:val="99"/>
    <w:rPr>
      <w:rFonts w:ascii="宋体"/>
      <w:color w:val="000000"/>
      <w:kern w:val="2"/>
      <w:sz w:val="18"/>
      <w:szCs w:val="18"/>
    </w:rPr>
  </w:style>
  <w:style w:type="character" w:customStyle="1" w:styleId="52">
    <w:name w:val="批注文字 字符"/>
    <w:link w:val="14"/>
    <w:qFormat/>
    <w:locked/>
    <w:uiPriority w:val="99"/>
    <w:rPr>
      <w:rFonts w:ascii="Times New Roman" w:hAnsi="Times New Roman" w:eastAsia="宋体"/>
      <w:sz w:val="24"/>
    </w:rPr>
  </w:style>
  <w:style w:type="character" w:customStyle="1" w:styleId="53">
    <w:name w:val="正文文本 3 字符"/>
    <w:link w:val="16"/>
    <w:qFormat/>
    <w:uiPriority w:val="99"/>
    <w:rPr>
      <w:color w:val="000000"/>
      <w:kern w:val="2"/>
      <w:sz w:val="16"/>
      <w:szCs w:val="16"/>
    </w:rPr>
  </w:style>
  <w:style w:type="character" w:customStyle="1" w:styleId="54">
    <w:name w:val="正文文本 字符"/>
    <w:link w:val="17"/>
    <w:qFormat/>
    <w:locked/>
    <w:uiPriority w:val="99"/>
    <w:rPr>
      <w:sz w:val="18"/>
    </w:rPr>
  </w:style>
  <w:style w:type="character" w:customStyle="1" w:styleId="55">
    <w:name w:val="正文文本缩进 字符"/>
    <w:link w:val="18"/>
    <w:qFormat/>
    <w:locked/>
    <w:uiPriority w:val="99"/>
    <w:rPr>
      <w:rFonts w:ascii="Times New Roman" w:hAnsi="Times New Roman" w:eastAsia="宋体"/>
      <w:sz w:val="24"/>
    </w:rPr>
  </w:style>
  <w:style w:type="character" w:customStyle="1" w:styleId="56">
    <w:name w:val="纯文本 字符"/>
    <w:link w:val="20"/>
    <w:qFormat/>
    <w:locked/>
    <w:uiPriority w:val="0"/>
    <w:rPr>
      <w:rFonts w:ascii="宋体" w:hAnsi="Courier New"/>
      <w:kern w:val="2"/>
      <w:sz w:val="21"/>
    </w:rPr>
  </w:style>
  <w:style w:type="character" w:customStyle="1" w:styleId="57">
    <w:name w:val="日期 字符1"/>
    <w:link w:val="21"/>
    <w:qFormat/>
    <w:locked/>
    <w:uiPriority w:val="99"/>
    <w:rPr>
      <w:rFonts w:ascii="Times New Roman" w:hAnsi="Times New Roman" w:eastAsia="宋体"/>
      <w:sz w:val="24"/>
    </w:rPr>
  </w:style>
  <w:style w:type="character" w:customStyle="1" w:styleId="58">
    <w:name w:val="正文文本缩进 2 字符"/>
    <w:link w:val="22"/>
    <w:qFormat/>
    <w:uiPriority w:val="99"/>
    <w:rPr>
      <w:color w:val="000000"/>
      <w:kern w:val="2"/>
      <w:sz w:val="24"/>
      <w:szCs w:val="24"/>
    </w:rPr>
  </w:style>
  <w:style w:type="character" w:customStyle="1" w:styleId="59">
    <w:name w:val="批注框文本 字符"/>
    <w:link w:val="23"/>
    <w:semiHidden/>
    <w:qFormat/>
    <w:locked/>
    <w:uiPriority w:val="99"/>
    <w:rPr>
      <w:rFonts w:ascii="Times New Roman" w:hAnsi="Times New Roman" w:eastAsia="宋体"/>
      <w:sz w:val="18"/>
    </w:rPr>
  </w:style>
  <w:style w:type="character" w:customStyle="1" w:styleId="60">
    <w:name w:val="页脚 字符1"/>
    <w:link w:val="24"/>
    <w:qFormat/>
    <w:locked/>
    <w:uiPriority w:val="99"/>
    <w:rPr>
      <w:sz w:val="18"/>
    </w:rPr>
  </w:style>
  <w:style w:type="character" w:customStyle="1" w:styleId="61">
    <w:name w:val="页眉 字符"/>
    <w:link w:val="25"/>
    <w:qFormat/>
    <w:locked/>
    <w:uiPriority w:val="99"/>
    <w:rPr>
      <w:sz w:val="18"/>
    </w:rPr>
  </w:style>
  <w:style w:type="character" w:customStyle="1" w:styleId="62">
    <w:name w:val="正文文本缩进 3 字符"/>
    <w:link w:val="27"/>
    <w:qFormat/>
    <w:uiPriority w:val="99"/>
    <w:rPr>
      <w:color w:val="000000"/>
      <w:kern w:val="2"/>
      <w:sz w:val="16"/>
      <w:szCs w:val="16"/>
    </w:rPr>
  </w:style>
  <w:style w:type="character" w:customStyle="1" w:styleId="63">
    <w:name w:val="正文文本 2 字符"/>
    <w:link w:val="29"/>
    <w:qFormat/>
    <w:uiPriority w:val="99"/>
    <w:rPr>
      <w:color w:val="000000"/>
      <w:kern w:val="2"/>
      <w:sz w:val="24"/>
      <w:szCs w:val="24"/>
    </w:rPr>
  </w:style>
  <w:style w:type="character" w:customStyle="1" w:styleId="64">
    <w:name w:val="HTML 预设格式 字符"/>
    <w:link w:val="30"/>
    <w:qFormat/>
    <w:uiPriority w:val="99"/>
    <w:rPr>
      <w:rFonts w:ascii="宋体" w:hAnsi="宋体" w:cs="宋体"/>
      <w:sz w:val="24"/>
      <w:szCs w:val="24"/>
    </w:rPr>
  </w:style>
  <w:style w:type="character" w:customStyle="1" w:styleId="65">
    <w:name w:val="普通(网站) 字符"/>
    <w:link w:val="31"/>
    <w:qFormat/>
    <w:locked/>
    <w:uiPriority w:val="0"/>
    <w:rPr>
      <w:rFonts w:ascii="宋体" w:hAnsi="宋体" w:eastAsia="宋体"/>
      <w:sz w:val="24"/>
    </w:rPr>
  </w:style>
  <w:style w:type="character" w:customStyle="1" w:styleId="66">
    <w:name w:val="标题 字符"/>
    <w:link w:val="32"/>
    <w:qFormat/>
    <w:uiPriority w:val="10"/>
    <w:rPr>
      <w:rFonts w:ascii="Cambria" w:hAnsi="Cambria"/>
      <w:b/>
      <w:bCs/>
      <w:color w:val="000000"/>
      <w:kern w:val="2"/>
      <w:sz w:val="32"/>
      <w:szCs w:val="32"/>
    </w:rPr>
  </w:style>
  <w:style w:type="character" w:customStyle="1" w:styleId="67">
    <w:name w:val="批注主题 字符"/>
    <w:link w:val="33"/>
    <w:semiHidden/>
    <w:qFormat/>
    <w:locked/>
    <w:uiPriority w:val="0"/>
    <w:rPr>
      <w:rFonts w:ascii="Times New Roman" w:hAnsi="Times New Roman" w:eastAsia="宋体"/>
      <w:b/>
      <w:kern w:val="2"/>
      <w:sz w:val="24"/>
    </w:rPr>
  </w:style>
  <w:style w:type="character" w:customStyle="1" w:styleId="68">
    <w:name w:val="正文文本首行缩进 字符"/>
    <w:link w:val="34"/>
    <w:qFormat/>
    <w:uiPriority w:val="99"/>
    <w:rPr>
      <w:color w:val="000000"/>
      <w:kern w:val="2"/>
      <w:sz w:val="24"/>
      <w:szCs w:val="24"/>
    </w:rPr>
  </w:style>
  <w:style w:type="character" w:customStyle="1" w:styleId="69">
    <w:name w:val="正文文本首行缩进 2 字符"/>
    <w:link w:val="35"/>
    <w:qFormat/>
    <w:uiPriority w:val="0"/>
    <w:rPr>
      <w:rFonts w:ascii="Times New Roman" w:hAnsi="Times New Roman" w:eastAsia="宋体"/>
      <w:kern w:val="2"/>
      <w:sz w:val="21"/>
      <w:szCs w:val="24"/>
    </w:rPr>
  </w:style>
  <w:style w:type="character" w:customStyle="1" w:styleId="70">
    <w:name w:val="批注文字 字符1"/>
    <w:semiHidden/>
    <w:qFormat/>
    <w:uiPriority w:val="0"/>
    <w:rPr>
      <w:rFonts w:ascii="Times New Roman" w:hAnsi="Times New Roman" w:eastAsia="宋体"/>
      <w:sz w:val="24"/>
    </w:rPr>
  </w:style>
  <w:style w:type="character" w:customStyle="1" w:styleId="71">
    <w:name w:val="日期 字符"/>
    <w:qFormat/>
    <w:uiPriority w:val="0"/>
    <w:rPr>
      <w:rFonts w:ascii="Times New Roman" w:hAnsi="Times New Roman" w:eastAsia="宋体"/>
      <w:sz w:val="24"/>
    </w:rPr>
  </w:style>
  <w:style w:type="character" w:customStyle="1" w:styleId="72">
    <w:name w:val="页脚 字符"/>
    <w:basedOn w:val="38"/>
    <w:qFormat/>
    <w:uiPriority w:val="99"/>
  </w:style>
  <w:style w:type="character" w:customStyle="1" w:styleId="73">
    <w:name w:val="表格 Char"/>
    <w:link w:val="74"/>
    <w:qFormat/>
    <w:locked/>
    <w:uiPriority w:val="0"/>
    <w:rPr>
      <w:rFonts w:ascii="宋体"/>
      <w:sz w:val="21"/>
    </w:rPr>
  </w:style>
  <w:style w:type="paragraph" w:customStyle="1" w:styleId="74">
    <w:name w:val="表格"/>
    <w:basedOn w:val="11"/>
    <w:next w:val="1"/>
    <w:link w:val="73"/>
    <w:qFormat/>
    <w:uiPriority w:val="0"/>
    <w:pPr>
      <w:adjustRightInd w:val="0"/>
      <w:snapToGrid w:val="0"/>
      <w:spacing w:beforeLines="10" w:afterLines="10" w:line="259" w:lineRule="auto"/>
      <w:jc w:val="center"/>
    </w:pPr>
    <w:rPr>
      <w:rFonts w:ascii="宋体"/>
      <w:kern w:val="0"/>
      <w:szCs w:val="20"/>
    </w:rPr>
  </w:style>
  <w:style w:type="character" w:customStyle="1" w:styleId="75">
    <w:name w:val="正文文本 字符1"/>
    <w:semiHidden/>
    <w:qFormat/>
    <w:uiPriority w:val="0"/>
    <w:rPr>
      <w:rFonts w:ascii="Times New Roman" w:hAnsi="Times New Roman" w:eastAsia="宋体"/>
      <w:sz w:val="24"/>
    </w:rPr>
  </w:style>
  <w:style w:type="paragraph" w:customStyle="1" w:styleId="76">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
    <w:name w:val="普通(网站)2"/>
    <w:basedOn w:val="1"/>
    <w:qFormat/>
    <w:uiPriority w:val="0"/>
    <w:pPr>
      <w:widowControl/>
      <w:spacing w:before="100" w:beforeAutospacing="1" w:after="100" w:afterAutospacing="1"/>
      <w:jc w:val="left"/>
    </w:pPr>
    <w:rPr>
      <w:rFonts w:ascii="宋体" w:hAnsi="宋体"/>
      <w:sz w:val="24"/>
      <w:szCs w:val="20"/>
    </w:rPr>
  </w:style>
  <w:style w:type="paragraph" w:customStyle="1" w:styleId="78">
    <w:name w:val="Normal"/>
    <w:qFormat/>
    <w:uiPriority w:val="0"/>
    <w:pPr>
      <w:jc w:val="both"/>
    </w:pPr>
    <w:rPr>
      <w:rFonts w:ascii="Times New Roman" w:hAnsi="Times New Roman" w:eastAsia="宋体" w:cs="Times New Roman"/>
      <w:kern w:val="2"/>
      <w:sz w:val="21"/>
      <w:szCs w:val="21"/>
      <w:lang w:val="en-US" w:eastAsia="zh-CN" w:bidi="ar-SA"/>
    </w:rPr>
  </w:style>
  <w:style w:type="character" w:customStyle="1" w:styleId="79">
    <w:name w:val="Body text (2)_"/>
    <w:link w:val="80"/>
    <w:qFormat/>
    <w:uiPriority w:val="0"/>
    <w:rPr>
      <w:rFonts w:eastAsia="Times New Roman"/>
      <w:sz w:val="26"/>
      <w:szCs w:val="26"/>
      <w:shd w:val="clear" w:color="auto" w:fill="FFFFFF"/>
    </w:rPr>
  </w:style>
  <w:style w:type="paragraph" w:customStyle="1" w:styleId="80">
    <w:name w:val="Body text (2)"/>
    <w:basedOn w:val="1"/>
    <w:link w:val="79"/>
    <w:qFormat/>
    <w:uiPriority w:val="0"/>
    <w:pPr>
      <w:shd w:val="clear" w:color="auto" w:fill="FFFFFF"/>
      <w:spacing w:line="503" w:lineRule="exact"/>
      <w:jc w:val="distribute"/>
    </w:pPr>
    <w:rPr>
      <w:rFonts w:eastAsia="Times New Roman"/>
      <w:kern w:val="0"/>
      <w:sz w:val="26"/>
      <w:szCs w:val="26"/>
    </w:rPr>
  </w:style>
  <w:style w:type="paragraph" w:customStyle="1" w:styleId="81">
    <w:name w:val="Body text (2)1"/>
    <w:basedOn w:val="1"/>
    <w:qFormat/>
    <w:uiPriority w:val="0"/>
    <w:pPr>
      <w:shd w:val="clear" w:color="auto" w:fill="FFFFFF"/>
      <w:spacing w:line="240" w:lineRule="atLeast"/>
      <w:jc w:val="left"/>
    </w:pPr>
    <w:rPr>
      <w:rFonts w:ascii="宋体" w:hAnsi="宋体" w:eastAsia="MingLiU" w:cs="宋体"/>
      <w:kern w:val="0"/>
      <w:sz w:val="26"/>
      <w:szCs w:val="26"/>
    </w:rPr>
  </w:style>
  <w:style w:type="paragraph" w:customStyle="1" w:styleId="82">
    <w:name w:val="样式 小四 行距: 1.5 倍行距 首行缩进:  2 字符"/>
    <w:basedOn w:val="1"/>
    <w:qFormat/>
    <w:uiPriority w:val="0"/>
    <w:pPr>
      <w:spacing w:line="360" w:lineRule="auto"/>
      <w:ind w:firstLine="200" w:firstLineChars="200"/>
      <w:jc w:val="left"/>
    </w:pPr>
    <w:rPr>
      <w:rFonts w:cs="宋体"/>
      <w:sz w:val="24"/>
      <w:szCs w:val="20"/>
    </w:rPr>
  </w:style>
  <w:style w:type="character" w:customStyle="1" w:styleId="83">
    <w:name w:val="纯文本 Char2"/>
    <w:qFormat/>
    <w:locked/>
    <w:uiPriority w:val="0"/>
    <w:rPr>
      <w:rFonts w:ascii="宋体" w:hAnsi="Courier New" w:eastAsia="宋体"/>
      <w:kern w:val="2"/>
      <w:sz w:val="21"/>
      <w:lang w:val="en-US" w:eastAsia="zh-CN" w:bidi="ar-SA"/>
    </w:rPr>
  </w:style>
  <w:style w:type="character" w:customStyle="1" w:styleId="84">
    <w:name w:val="正文01 Char"/>
    <w:link w:val="85"/>
    <w:qFormat/>
    <w:uiPriority w:val="0"/>
    <w:rPr>
      <w:color w:val="000000"/>
      <w:kern w:val="2"/>
      <w:sz w:val="24"/>
      <w:szCs w:val="24"/>
    </w:rPr>
  </w:style>
  <w:style w:type="paragraph" w:customStyle="1" w:styleId="85">
    <w:name w:val="正文01"/>
    <w:basedOn w:val="1"/>
    <w:link w:val="84"/>
    <w:qFormat/>
    <w:uiPriority w:val="0"/>
    <w:pPr>
      <w:widowControl/>
      <w:spacing w:before="60" w:after="100" w:afterAutospacing="1" w:line="460" w:lineRule="exact"/>
      <w:ind w:firstLine="200"/>
      <w:jc w:val="left"/>
    </w:pPr>
    <w:rPr>
      <w:color w:val="000000"/>
      <w:sz w:val="24"/>
    </w:rPr>
  </w:style>
  <w:style w:type="character" w:customStyle="1" w:styleId="86">
    <w:name w:val="15"/>
    <w:qFormat/>
    <w:uiPriority w:val="0"/>
    <w:rPr>
      <w:rFonts w:hint="default" w:ascii="Times New Roman" w:hAnsi="Times New Roman" w:cs="Times New Roman"/>
    </w:rPr>
  </w:style>
  <w:style w:type="character" w:customStyle="1" w:styleId="87">
    <w:name w:val="表格 Char Char"/>
    <w:qFormat/>
    <w:uiPriority w:val="0"/>
    <w:rPr>
      <w:rFonts w:eastAsia="宋体"/>
      <w:sz w:val="21"/>
      <w:lang w:val="en-US" w:eastAsia="zh-CN" w:bidi="ar-SA"/>
    </w:rPr>
  </w:style>
  <w:style w:type="character" w:customStyle="1" w:styleId="88">
    <w:name w:val="10"/>
    <w:qFormat/>
    <w:uiPriority w:val="0"/>
    <w:rPr>
      <w:rFonts w:hint="default" w:ascii="Times New Roman" w:hAnsi="Times New Roman" w:cs="Times New Roman"/>
    </w:rPr>
  </w:style>
  <w:style w:type="character" w:customStyle="1" w:styleId="89">
    <w:name w:val="批注文字 Char1"/>
    <w:semiHidden/>
    <w:qFormat/>
    <w:uiPriority w:val="99"/>
    <w:rPr>
      <w:rFonts w:ascii="Times New Roman" w:hAnsi="Times New Roman"/>
      <w:color w:val="000000"/>
      <w:kern w:val="2"/>
      <w:sz w:val="24"/>
      <w:szCs w:val="24"/>
    </w:rPr>
  </w:style>
  <w:style w:type="character" w:customStyle="1" w:styleId="90">
    <w:name w:val="18"/>
    <w:qFormat/>
    <w:uiPriority w:val="0"/>
    <w:rPr>
      <w:rFonts w:ascii="MingLiU" w:hAnsi="MingLiU" w:eastAsia="MingLiU" w:cs="Times New Roman"/>
      <w:spacing w:val="30"/>
      <w:sz w:val="26"/>
      <w:szCs w:val="26"/>
    </w:rPr>
  </w:style>
  <w:style w:type="character" w:customStyle="1" w:styleId="91">
    <w:name w:val="apple-converted-space"/>
    <w:qFormat/>
    <w:uiPriority w:val="0"/>
  </w:style>
  <w:style w:type="character" w:customStyle="1" w:styleId="92">
    <w:name w:val="表格 32 Char"/>
    <w:link w:val="93"/>
    <w:qFormat/>
    <w:uiPriority w:val="0"/>
    <w:rPr>
      <w:sz w:val="24"/>
    </w:rPr>
  </w:style>
  <w:style w:type="paragraph" w:customStyle="1" w:styleId="93">
    <w:name w:val="表格 32"/>
    <w:basedOn w:val="1"/>
    <w:link w:val="92"/>
    <w:qFormat/>
    <w:uiPriority w:val="0"/>
    <w:pPr>
      <w:autoSpaceDE w:val="0"/>
      <w:autoSpaceDN w:val="0"/>
      <w:adjustRightInd w:val="0"/>
      <w:spacing w:line="0" w:lineRule="atLeast"/>
      <w:ind w:firstLine="200" w:firstLineChars="200"/>
      <w:jc w:val="center"/>
      <w:textAlignment w:val="baseline"/>
    </w:pPr>
    <w:rPr>
      <w:kern w:val="0"/>
      <w:sz w:val="24"/>
      <w:szCs w:val="20"/>
    </w:rPr>
  </w:style>
  <w:style w:type="character" w:customStyle="1" w:styleId="94">
    <w:name w:val="纯文本 Char1"/>
    <w:semiHidden/>
    <w:qFormat/>
    <w:uiPriority w:val="99"/>
    <w:rPr>
      <w:rFonts w:ascii="宋体" w:hAnsi="Courier New" w:cs="Courier New"/>
      <w:color w:val="000000"/>
      <w:kern w:val="2"/>
      <w:sz w:val="21"/>
      <w:szCs w:val="21"/>
    </w:rPr>
  </w:style>
  <w:style w:type="character" w:customStyle="1" w:styleId="95">
    <w:name w:val="表格文字 Char"/>
    <w:link w:val="96"/>
    <w:qFormat/>
    <w:uiPriority w:val="0"/>
    <w:rPr>
      <w:rFonts w:ascii="Arial" w:hAnsi="Arial" w:cs="Arial"/>
      <w:color w:val="000000"/>
      <w:spacing w:val="-20"/>
      <w:kern w:val="2"/>
      <w:sz w:val="24"/>
    </w:rPr>
  </w:style>
  <w:style w:type="paragraph" w:customStyle="1" w:styleId="96">
    <w:name w:val="表格文字"/>
    <w:basedOn w:val="1"/>
    <w:link w:val="95"/>
    <w:qFormat/>
    <w:uiPriority w:val="0"/>
    <w:pPr>
      <w:adjustRightInd w:val="0"/>
      <w:snapToGrid w:val="0"/>
      <w:jc w:val="center"/>
    </w:pPr>
    <w:rPr>
      <w:rFonts w:ascii="Arial" w:hAnsi="Arial" w:cs="Arial"/>
      <w:color w:val="000000"/>
      <w:spacing w:val="-20"/>
      <w:sz w:val="24"/>
      <w:szCs w:val="20"/>
    </w:rPr>
  </w:style>
  <w:style w:type="character" w:customStyle="1" w:styleId="97">
    <w:name w:val="【表中文字】 Char"/>
    <w:link w:val="98"/>
    <w:qFormat/>
    <w:uiPriority w:val="0"/>
    <w:rPr>
      <w:kern w:val="2"/>
      <w:sz w:val="21"/>
    </w:rPr>
  </w:style>
  <w:style w:type="paragraph" w:customStyle="1" w:styleId="98">
    <w:name w:val="【表中文字】"/>
    <w:basedOn w:val="1"/>
    <w:next w:val="1"/>
    <w:link w:val="97"/>
    <w:qFormat/>
    <w:uiPriority w:val="0"/>
    <w:pPr>
      <w:jc w:val="center"/>
    </w:pPr>
    <w:rPr>
      <w:szCs w:val="20"/>
    </w:rPr>
  </w:style>
  <w:style w:type="character" w:customStyle="1" w:styleId="99">
    <w:name w:val="表格数字 Char"/>
    <w:link w:val="100"/>
    <w:qFormat/>
    <w:uiPriority w:val="0"/>
    <w:rPr>
      <w:rFonts w:ascii="Arial" w:hAnsi="Arial" w:cs="宋体"/>
      <w:sz w:val="21"/>
    </w:rPr>
  </w:style>
  <w:style w:type="paragraph" w:customStyle="1" w:styleId="100">
    <w:name w:val="表格数字"/>
    <w:basedOn w:val="1"/>
    <w:link w:val="99"/>
    <w:qFormat/>
    <w:uiPriority w:val="0"/>
    <w:pPr>
      <w:widowControl/>
      <w:spacing w:line="360" w:lineRule="exact"/>
      <w:jc w:val="center"/>
    </w:pPr>
    <w:rPr>
      <w:rFonts w:ascii="Arial" w:hAnsi="Arial" w:cs="宋体"/>
      <w:kern w:val="0"/>
      <w:szCs w:val="20"/>
    </w:rPr>
  </w:style>
  <w:style w:type="character" w:customStyle="1" w:styleId="101">
    <w:name w:val="表格正文 Char"/>
    <w:link w:val="102"/>
    <w:qFormat/>
    <w:uiPriority w:val="0"/>
    <w:rPr>
      <w:rFonts w:ascii="Arial" w:hAnsi="Arial"/>
      <w:color w:val="000000"/>
      <w:kern w:val="2"/>
      <w:sz w:val="21"/>
      <w:szCs w:val="21"/>
    </w:rPr>
  </w:style>
  <w:style w:type="paragraph" w:customStyle="1" w:styleId="102">
    <w:name w:val="表格正文"/>
    <w:basedOn w:val="1"/>
    <w:link w:val="101"/>
    <w:semiHidden/>
    <w:qFormat/>
    <w:uiPriority w:val="0"/>
    <w:pPr>
      <w:widowControl/>
      <w:spacing w:line="360" w:lineRule="exact"/>
      <w:jc w:val="center"/>
    </w:pPr>
    <w:rPr>
      <w:rFonts w:ascii="Arial" w:hAnsi="Arial"/>
      <w:color w:val="000000"/>
      <w:szCs w:val="21"/>
    </w:rPr>
  </w:style>
  <w:style w:type="paragraph" w:customStyle="1" w:styleId="103">
    <w:name w:val="表1表2"/>
    <w:basedOn w:val="1"/>
    <w:qFormat/>
    <w:uiPriority w:val="0"/>
    <w:pPr>
      <w:widowControl/>
      <w:autoSpaceDE w:val="0"/>
      <w:autoSpaceDN w:val="0"/>
      <w:adjustRightInd w:val="0"/>
      <w:spacing w:line="360" w:lineRule="auto"/>
      <w:jc w:val="center"/>
      <w:textAlignment w:val="center"/>
    </w:pPr>
    <w:rPr>
      <w:rFonts w:eastAsia="仿宋体"/>
      <w:color w:val="000000"/>
      <w:kern w:val="0"/>
      <w:sz w:val="24"/>
    </w:rPr>
  </w:style>
  <w:style w:type="paragraph" w:customStyle="1" w:styleId="104">
    <w:name w:val="正文格式"/>
    <w:basedOn w:val="1"/>
    <w:qFormat/>
    <w:uiPriority w:val="0"/>
    <w:pPr>
      <w:spacing w:line="360" w:lineRule="auto"/>
      <w:ind w:firstLine="544" w:firstLineChars="200"/>
    </w:pPr>
    <w:rPr>
      <w:rFonts w:ascii="Calibri" w:hAnsi="Calibri"/>
      <w:sz w:val="24"/>
    </w:rPr>
  </w:style>
  <w:style w:type="character" w:customStyle="1" w:styleId="105">
    <w:name w:val="HTML 预设格式 字符1"/>
    <w:qFormat/>
    <w:uiPriority w:val="0"/>
    <w:rPr>
      <w:rFonts w:ascii="Courier New" w:hAnsi="Courier New" w:cs="Courier New"/>
      <w:kern w:val="2"/>
    </w:rPr>
  </w:style>
  <w:style w:type="character" w:customStyle="1" w:styleId="106">
    <w:name w:val="正文文本首行缩进 字符1"/>
    <w:qFormat/>
    <w:uiPriority w:val="0"/>
    <w:rPr>
      <w:kern w:val="2"/>
      <w:sz w:val="21"/>
      <w:szCs w:val="24"/>
    </w:rPr>
  </w:style>
  <w:style w:type="character" w:customStyle="1" w:styleId="107">
    <w:name w:val="正文文本 2 字符1"/>
    <w:qFormat/>
    <w:uiPriority w:val="0"/>
    <w:rPr>
      <w:kern w:val="2"/>
      <w:sz w:val="21"/>
      <w:szCs w:val="24"/>
    </w:rPr>
  </w:style>
  <w:style w:type="character" w:customStyle="1" w:styleId="108">
    <w:name w:val="正文文本缩进 3 字符1"/>
    <w:qFormat/>
    <w:uiPriority w:val="0"/>
    <w:rPr>
      <w:kern w:val="2"/>
      <w:sz w:val="16"/>
      <w:szCs w:val="16"/>
    </w:rPr>
  </w:style>
  <w:style w:type="character" w:customStyle="1" w:styleId="109">
    <w:name w:val="文档结构图 字符1"/>
    <w:qFormat/>
    <w:uiPriority w:val="0"/>
    <w:rPr>
      <w:rFonts w:ascii="Microsoft YaHei UI" w:eastAsia="Microsoft YaHei UI"/>
      <w:kern w:val="2"/>
      <w:sz w:val="18"/>
      <w:szCs w:val="18"/>
    </w:rPr>
  </w:style>
  <w:style w:type="character" w:customStyle="1" w:styleId="110">
    <w:name w:val="正文文本缩进 2 字符1"/>
    <w:qFormat/>
    <w:uiPriority w:val="0"/>
    <w:rPr>
      <w:kern w:val="2"/>
      <w:sz w:val="21"/>
      <w:szCs w:val="24"/>
    </w:rPr>
  </w:style>
  <w:style w:type="character" w:customStyle="1" w:styleId="111">
    <w:name w:val="正文文本 3 字符1"/>
    <w:qFormat/>
    <w:uiPriority w:val="0"/>
    <w:rPr>
      <w:kern w:val="2"/>
      <w:sz w:val="16"/>
      <w:szCs w:val="16"/>
    </w:rPr>
  </w:style>
  <w:style w:type="character" w:customStyle="1" w:styleId="112">
    <w:name w:val="标题 字符1"/>
    <w:qFormat/>
    <w:uiPriority w:val="0"/>
    <w:rPr>
      <w:rFonts w:ascii="等线 Light" w:hAnsi="等线 Light" w:cs="Times New Roman"/>
      <w:b/>
      <w:bCs/>
      <w:kern w:val="2"/>
      <w:sz w:val="32"/>
      <w:szCs w:val="32"/>
    </w:rPr>
  </w:style>
  <w:style w:type="character" w:customStyle="1" w:styleId="113">
    <w:name w:val="纯文本 字符1"/>
    <w:qFormat/>
    <w:uiPriority w:val="0"/>
    <w:rPr>
      <w:rFonts w:ascii="宋体" w:hAnsi="Courier New" w:cs="Courier New"/>
      <w:kern w:val="2"/>
      <w:sz w:val="21"/>
      <w:szCs w:val="21"/>
    </w:rPr>
  </w:style>
  <w:style w:type="paragraph" w:customStyle="1" w:styleId="114">
    <w:name w:val=" Char"/>
    <w:basedOn w:val="1"/>
    <w:qFormat/>
    <w:uiPriority w:val="0"/>
    <w:rPr>
      <w:sz w:val="24"/>
    </w:rPr>
  </w:style>
  <w:style w:type="paragraph" w:customStyle="1" w:styleId="115">
    <w:name w:val="正文文本 (2)"/>
    <w:basedOn w:val="1"/>
    <w:unhideWhenUsed/>
    <w:qFormat/>
    <w:uiPriority w:val="99"/>
    <w:pPr>
      <w:widowControl/>
      <w:shd w:val="clear" w:color="auto" w:fill="FFFFFF"/>
      <w:spacing w:before="60" w:line="802" w:lineRule="exact"/>
      <w:jc w:val="left"/>
    </w:pPr>
    <w:rPr>
      <w:rFonts w:hint="eastAsia" w:ascii="MingLiU" w:hAnsi="MingLiU" w:eastAsia="MingLiU"/>
      <w:color w:val="000000"/>
      <w:sz w:val="28"/>
    </w:rPr>
  </w:style>
  <w:style w:type="paragraph" w:customStyle="1" w:styleId="116">
    <w:name w:val="表 标题"/>
    <w:basedOn w:val="1"/>
    <w:qFormat/>
    <w:uiPriority w:val="0"/>
    <w:pPr>
      <w:adjustRightInd w:val="0"/>
      <w:snapToGrid w:val="0"/>
      <w:spacing w:beforeLines="50"/>
      <w:jc w:val="center"/>
    </w:pPr>
    <w:rPr>
      <w:b/>
      <w:kern w:val="0"/>
      <w:sz w:val="20"/>
      <w:szCs w:val="21"/>
    </w:rPr>
  </w:style>
  <w:style w:type="paragraph" w:customStyle="1" w:styleId="117">
    <w:name w:val="正文000000"/>
    <w:basedOn w:val="1"/>
    <w:next w:val="1"/>
    <w:qFormat/>
    <w:uiPriority w:val="0"/>
    <w:pPr>
      <w:adjustRightInd w:val="0"/>
      <w:snapToGrid w:val="0"/>
      <w:spacing w:line="360" w:lineRule="auto"/>
      <w:ind w:firstLine="200" w:firstLineChars="200"/>
      <w:textAlignment w:val="baseline"/>
    </w:pPr>
    <w:rPr>
      <w:rFonts w:ascii="宋体" w:hAnsi="宋体" w:cs="宋体"/>
      <w:sz w:val="24"/>
    </w:rPr>
  </w:style>
  <w:style w:type="paragraph" w:customStyle="1" w:styleId="118">
    <w:name w:val="中等深浅网格 21"/>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119">
    <w:name w:val="正文2"/>
    <w:basedOn w:val="1"/>
    <w:link w:val="120"/>
    <w:qFormat/>
    <w:uiPriority w:val="0"/>
    <w:pPr>
      <w:adjustRightInd w:val="0"/>
      <w:snapToGrid w:val="0"/>
      <w:spacing w:line="440" w:lineRule="atLeast"/>
      <w:ind w:firstLine="510"/>
    </w:pPr>
    <w:rPr>
      <w:szCs w:val="20"/>
    </w:rPr>
  </w:style>
  <w:style w:type="character" w:customStyle="1" w:styleId="120">
    <w:name w:val="正文2 Char"/>
    <w:link w:val="119"/>
    <w:qFormat/>
    <w:uiPriority w:val="0"/>
    <w:rPr>
      <w:kern w:val="2"/>
      <w:sz w:val="21"/>
    </w:rPr>
  </w:style>
  <w:style w:type="paragraph" w:customStyle="1" w:styleId="121">
    <w:name w:val="正文 + 首行缩进:  2 字符"/>
    <w:basedOn w:val="1"/>
    <w:qFormat/>
    <w:uiPriority w:val="0"/>
    <w:pPr>
      <w:widowControl/>
      <w:spacing w:line="460" w:lineRule="atLeast"/>
      <w:ind w:firstLine="528" w:firstLineChars="200"/>
      <w:jc w:val="left"/>
    </w:pPr>
    <w:rPr>
      <w:color w:val="000000"/>
      <w:spacing w:val="12"/>
      <w:sz w:val="24"/>
      <w:szCs w:val="20"/>
    </w:rPr>
  </w:style>
  <w:style w:type="paragraph" w:customStyle="1" w:styleId="122">
    <w:name w:val="图表题"/>
    <w:basedOn w:val="1"/>
    <w:next w:val="1"/>
    <w:qFormat/>
    <w:uiPriority w:val="0"/>
    <w:pPr>
      <w:widowControl/>
      <w:adjustRightInd w:val="0"/>
      <w:snapToGrid w:val="0"/>
      <w:spacing w:line="360" w:lineRule="auto"/>
      <w:jc w:val="center"/>
    </w:pPr>
    <w:rPr>
      <w:rFonts w:eastAsia="黑体"/>
      <w:color w:val="000000"/>
      <w:sz w:val="24"/>
      <w:szCs w:val="20"/>
    </w:rPr>
  </w:style>
  <w:style w:type="paragraph" w:customStyle="1" w:styleId="123">
    <w:name w:val="1级标题"/>
    <w:basedOn w:val="7"/>
    <w:qFormat/>
    <w:uiPriority w:val="0"/>
    <w:pPr>
      <w:keepNext w:val="0"/>
      <w:widowControl/>
      <w:overflowPunct/>
      <w:adjustRightInd w:val="0"/>
      <w:spacing w:before="0" w:after="0" w:line="360" w:lineRule="auto"/>
      <w:ind w:left="0" w:firstLine="0"/>
      <w:jc w:val="left"/>
    </w:pPr>
    <w:rPr>
      <w:rFonts w:ascii="黑体"/>
      <w:b w:val="0"/>
    </w:rPr>
  </w:style>
  <w:style w:type="paragraph" w:customStyle="1" w:styleId="124">
    <w:name w:val="表格001"/>
    <w:basedOn w:val="1"/>
    <w:qFormat/>
    <w:uiPriority w:val="0"/>
    <w:pPr>
      <w:widowControl/>
      <w:spacing w:line="360" w:lineRule="exact"/>
      <w:jc w:val="center"/>
    </w:pPr>
    <w:rPr>
      <w:color w:val="000000"/>
      <w:sz w:val="24"/>
    </w:rPr>
  </w:style>
  <w:style w:type="paragraph" w:customStyle="1" w:styleId="125">
    <w:name w:val="正文001"/>
    <w:basedOn w:val="1"/>
    <w:qFormat/>
    <w:uiPriority w:val="0"/>
    <w:pPr>
      <w:widowControl/>
      <w:spacing w:before="60" w:after="100" w:afterAutospacing="1" w:line="420" w:lineRule="exact"/>
      <w:ind w:firstLine="482"/>
      <w:jc w:val="left"/>
    </w:pPr>
    <w:rPr>
      <w:color w:val="000000"/>
      <w:sz w:val="24"/>
    </w:rPr>
  </w:style>
  <w:style w:type="paragraph" w:customStyle="1" w:styleId="126">
    <w:name w:val="表格内容"/>
    <w:basedOn w:val="11"/>
    <w:qFormat/>
    <w:uiPriority w:val="0"/>
    <w:pPr>
      <w:spacing w:line="312" w:lineRule="auto"/>
      <w:ind w:firstLine="0" w:firstLineChars="0"/>
      <w:jc w:val="center"/>
    </w:pPr>
    <w:rPr>
      <w:rFonts w:ascii="Calibri" w:hAnsi="Calibri"/>
      <w:sz w:val="24"/>
    </w:rPr>
  </w:style>
  <w:style w:type="paragraph" w:customStyle="1" w:styleId="127">
    <w:name w:val="民武正文"/>
    <w:basedOn w:val="20"/>
    <w:qFormat/>
    <w:uiPriority w:val="0"/>
    <w:pPr>
      <w:spacing w:line="300" w:lineRule="auto"/>
      <w:ind w:firstLine="200" w:firstLineChars="200"/>
    </w:pPr>
    <w:rPr>
      <w:rFonts w:ascii="Times New Roman" w:hAnsi="Times New Roman"/>
      <w:kern w:val="0"/>
      <w:sz w:val="24"/>
      <w:szCs w:val="24"/>
      <w:lang w:bidi="en-US"/>
    </w:rPr>
  </w:style>
  <w:style w:type="paragraph" w:customStyle="1" w:styleId="128">
    <w:name w:val="Table Paragraph"/>
    <w:basedOn w:val="1"/>
    <w:qFormat/>
    <w:uiPriority w:val="1"/>
    <w:pPr>
      <w:jc w:val="center"/>
    </w:pPr>
    <w:rPr>
      <w:rFonts w:ascii="宋体" w:hAnsi="宋体" w:cs="宋体"/>
      <w:kern w:val="0"/>
      <w:sz w:val="22"/>
      <w:szCs w:val="22"/>
      <w:lang w:eastAsia="en-US"/>
    </w:rPr>
  </w:style>
  <w:style w:type="paragraph" w:customStyle="1" w:styleId="129">
    <w:name w:val="正文缩近"/>
    <w:basedOn w:val="1"/>
    <w:qFormat/>
    <w:uiPriority w:val="0"/>
    <w:pPr>
      <w:spacing w:line="360" w:lineRule="auto"/>
      <w:ind w:firstLine="560" w:firstLineChars="200"/>
    </w:pPr>
    <w:rPr>
      <w:sz w:val="28"/>
      <w:szCs w:val="28"/>
    </w:rPr>
  </w:style>
  <w:style w:type="paragraph" w:customStyle="1" w:styleId="130">
    <w:name w:val="bg正文首行缩进"/>
    <w:basedOn w:val="1"/>
    <w:qFormat/>
    <w:uiPriority w:val="0"/>
    <w:pPr>
      <w:widowControl/>
      <w:spacing w:line="400" w:lineRule="exact"/>
      <w:ind w:firstLine="482"/>
      <w:jc w:val="left"/>
    </w:pPr>
    <w:rPr>
      <w:color w:val="000000"/>
      <w:sz w:val="24"/>
    </w:rPr>
  </w:style>
  <w:style w:type="paragraph" w:customStyle="1" w:styleId="131">
    <w:name w:val="正文3"/>
    <w:basedOn w:val="1"/>
    <w:qFormat/>
    <w:uiPriority w:val="0"/>
    <w:pPr>
      <w:spacing w:line="360" w:lineRule="auto"/>
      <w:ind w:firstLine="454"/>
      <w:jc w:val="left"/>
    </w:pPr>
    <w:rPr>
      <w:rFonts w:ascii="宋体" w:hAnsi="宋体"/>
      <w:kern w:val="0"/>
      <w:sz w:val="24"/>
      <w:szCs w:val="20"/>
    </w:rPr>
  </w:style>
  <w:style w:type="paragraph" w:customStyle="1" w:styleId="132">
    <w:name w:val="p0"/>
    <w:basedOn w:val="1"/>
    <w:qFormat/>
    <w:uiPriority w:val="0"/>
    <w:pPr>
      <w:widowControl/>
    </w:pPr>
    <w:rPr>
      <w:kern w:val="0"/>
      <w:szCs w:val="21"/>
    </w:rPr>
  </w:style>
  <w:style w:type="paragraph" w:customStyle="1" w:styleId="133">
    <w:name w:val="样式 正文首行缩进:  2 字符 + 首行缩进:  2 字符"/>
    <w:basedOn w:val="1"/>
    <w:qFormat/>
    <w:uiPriority w:val="0"/>
    <w:pPr>
      <w:spacing w:line="360" w:lineRule="auto"/>
      <w:ind w:firstLine="480" w:firstLineChars="200"/>
    </w:pPr>
    <w:rPr>
      <w:rFonts w:cs="宋体"/>
      <w:sz w:val="24"/>
      <w:szCs w:val="20"/>
    </w:rPr>
  </w:style>
  <w:style w:type="paragraph" w:customStyle="1" w:styleId="134">
    <w:name w:val="【正文】"/>
    <w:basedOn w:val="1"/>
    <w:qFormat/>
    <w:uiPriority w:val="0"/>
    <w:pPr>
      <w:widowControl/>
      <w:spacing w:line="440" w:lineRule="exact"/>
      <w:ind w:firstLine="544"/>
      <w:jc w:val="left"/>
    </w:pPr>
    <w:rPr>
      <w:rFonts w:cs="宋体"/>
      <w:color w:val="000000"/>
      <w:sz w:val="24"/>
    </w:rPr>
  </w:style>
  <w:style w:type="paragraph" w:customStyle="1" w:styleId="135">
    <w:name w:val=" Char Char Char Char Char Char Char"/>
    <w:basedOn w:val="1"/>
    <w:qFormat/>
    <w:uiPriority w:val="0"/>
    <w:pPr>
      <w:spacing w:line="360" w:lineRule="auto"/>
      <w:ind w:firstLine="200" w:firstLineChars="200"/>
    </w:pPr>
    <w:rPr>
      <w:rFonts w:ascii="宋体" w:hAnsi="宋体" w:cs="宋体"/>
      <w:sz w:val="24"/>
    </w:rPr>
  </w:style>
  <w:style w:type="paragraph" w:customStyle="1" w:styleId="136">
    <w:name w:val="正文+首行缩进"/>
    <w:basedOn w:val="1"/>
    <w:qFormat/>
    <w:uiPriority w:val="0"/>
    <w:pPr>
      <w:widowControl/>
      <w:spacing w:line="360" w:lineRule="auto"/>
      <w:ind w:firstLine="480" w:firstLineChars="200"/>
      <w:jc w:val="left"/>
    </w:pPr>
    <w:rPr>
      <w:rFonts w:cs="宋体"/>
      <w:color w:val="000000"/>
      <w:sz w:val="24"/>
      <w:szCs w:val="20"/>
    </w:rPr>
  </w:style>
  <w:style w:type="paragraph" w:customStyle="1" w:styleId="137">
    <w:name w:val="流程图文字"/>
    <w:basedOn w:val="1"/>
    <w:qFormat/>
    <w:uiPriority w:val="0"/>
    <w:pPr>
      <w:adjustRightInd w:val="0"/>
      <w:spacing w:beforeAutospacing="1" w:after="40" w:line="360" w:lineRule="exact"/>
      <w:jc w:val="center"/>
      <w:textAlignment w:val="baseline"/>
    </w:pPr>
    <w:rPr>
      <w:rFonts w:ascii="宋体" w:hAnsi="宋体"/>
      <w:kern w:val="0"/>
      <w:sz w:val="24"/>
      <w:szCs w:val="20"/>
    </w:rPr>
  </w:style>
  <w:style w:type="paragraph" w:customStyle="1" w:styleId="138">
    <w:name w:val="xl2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139">
    <w:name w:val="Normal (Web)"/>
    <w:basedOn w:val="1"/>
    <w:qFormat/>
    <w:uiPriority w:val="0"/>
    <w:pPr>
      <w:widowControl/>
      <w:spacing w:before="100" w:beforeAutospacing="1" w:after="100" w:afterAutospacing="1" w:line="360" w:lineRule="auto"/>
      <w:jc w:val="left"/>
    </w:pPr>
    <w:rPr>
      <w:rFonts w:ascii="Arial Unicode MS" w:hAnsi="Arial Unicode MS" w:eastAsia="Arial Unicode MS" w:cs="Arial Unicode MS"/>
      <w:color w:val="000000"/>
      <w:kern w:val="0"/>
      <w:sz w:val="24"/>
    </w:rPr>
  </w:style>
  <w:style w:type="paragraph" w:customStyle="1" w:styleId="140">
    <w:name w:val="表格2"/>
    <w:basedOn w:val="1"/>
    <w:qFormat/>
    <w:uiPriority w:val="0"/>
    <w:pPr>
      <w:widowControl/>
      <w:jc w:val="center"/>
    </w:pPr>
    <w:rPr>
      <w:rFonts w:cs="宋体"/>
      <w:color w:val="000000"/>
      <w:szCs w:val="21"/>
    </w:rPr>
  </w:style>
  <w:style w:type="paragraph" w:customStyle="1" w:styleId="141">
    <w:name w:val="_Style 44"/>
    <w:basedOn w:val="1"/>
    <w:qFormat/>
    <w:uiPriority w:val="0"/>
    <w:pPr>
      <w:spacing w:line="360" w:lineRule="auto"/>
      <w:ind w:firstLine="200" w:firstLineChars="200"/>
    </w:pPr>
    <w:rPr>
      <w:rFonts w:ascii="宋体" w:hAnsi="宋体" w:cs="宋体"/>
      <w:sz w:val="24"/>
    </w:rPr>
  </w:style>
  <w:style w:type="paragraph" w:customStyle="1" w:styleId="142">
    <w:name w:val="表格1"/>
    <w:basedOn w:val="1"/>
    <w:semiHidden/>
    <w:qFormat/>
    <w:uiPriority w:val="0"/>
    <w:pPr>
      <w:adjustRightInd w:val="0"/>
      <w:snapToGrid w:val="0"/>
      <w:spacing w:line="360" w:lineRule="auto"/>
      <w:jc w:val="center"/>
    </w:pPr>
    <w:rPr>
      <w:rFonts w:ascii="黑体" w:hAnsi="宋体" w:eastAsia="黑体"/>
      <w:szCs w:val="21"/>
    </w:rPr>
  </w:style>
  <w:style w:type="paragraph" w:customStyle="1" w:styleId="143">
    <w:name w:val="中文"/>
    <w:basedOn w:val="1"/>
    <w:qFormat/>
    <w:uiPriority w:val="0"/>
    <w:pPr>
      <w:widowControl/>
      <w:spacing w:line="360" w:lineRule="auto"/>
      <w:ind w:firstLine="200" w:firstLineChars="200"/>
    </w:pPr>
    <w:rPr>
      <w:rFonts w:ascii="Calibri" w:hAnsi="Calibri"/>
      <w:lang w:eastAsia="en-US"/>
    </w:rPr>
  </w:style>
  <w:style w:type="paragraph" w:customStyle="1" w:styleId="144">
    <w:name w:val=" Char Char Char Char Char Char Char Char Char Char"/>
    <w:basedOn w:val="1"/>
    <w:qFormat/>
    <w:uiPriority w:val="0"/>
    <w:pPr>
      <w:widowControl/>
      <w:spacing w:after="160" w:line="240" w:lineRule="exact"/>
      <w:jc w:val="left"/>
    </w:pPr>
  </w:style>
  <w:style w:type="paragraph" w:customStyle="1" w:styleId="145">
    <w:name w:val="表内容"/>
    <w:basedOn w:val="20"/>
    <w:qFormat/>
    <w:uiPriority w:val="0"/>
    <w:pPr>
      <w:widowControl w:val="0"/>
      <w:jc w:val="both"/>
    </w:pPr>
    <w:rPr>
      <w:rFonts w:ascii="Times New Roman" w:hAnsi="Times New Roman"/>
      <w:lang w:val="en-US" w:eastAsia="zh-CN"/>
    </w:rPr>
  </w:style>
  <w:style w:type="character" w:customStyle="1" w:styleId="146">
    <w:name w:val="正文文本 (2)_"/>
    <w:link w:val="147"/>
    <w:qFormat/>
    <w:uiPriority w:val="0"/>
    <w:rPr>
      <w:rFonts w:ascii="宋体" w:hAnsi="宋体"/>
      <w:sz w:val="22"/>
      <w:szCs w:val="22"/>
      <w:shd w:val="clear" w:color="auto" w:fill="FFFFFF"/>
    </w:rPr>
  </w:style>
  <w:style w:type="paragraph" w:customStyle="1" w:styleId="147">
    <w:name w:val="正文文本 (2)1"/>
    <w:basedOn w:val="1"/>
    <w:link w:val="146"/>
    <w:qFormat/>
    <w:uiPriority w:val="0"/>
    <w:pPr>
      <w:shd w:val="clear" w:color="auto" w:fill="FFFFFF"/>
      <w:spacing w:before="300" w:line="466" w:lineRule="exact"/>
      <w:ind w:hanging="600"/>
      <w:jc w:val="distribute"/>
    </w:pPr>
    <w:rPr>
      <w:rFonts w:ascii="宋体" w:hAnsi="宋体"/>
      <w:kern w:val="0"/>
      <w:sz w:val="22"/>
      <w:szCs w:val="22"/>
    </w:rPr>
  </w:style>
  <w:style w:type="character" w:customStyle="1" w:styleId="148">
    <w:name w:val="正文文本 (2) + 粗体"/>
    <w:qFormat/>
    <w:uiPriority w:val="0"/>
    <w:rPr>
      <w:rFonts w:ascii="宋体" w:hAnsi="宋体" w:cs="宋体"/>
      <w:b/>
      <w:bCs/>
      <w:sz w:val="22"/>
      <w:szCs w:val="22"/>
      <w:u w:val="none"/>
      <w:shd w:val="clear" w:color="auto" w:fill="FFFFFF"/>
    </w:rPr>
  </w:style>
  <w:style w:type="character" w:customStyle="1" w:styleId="149">
    <w:name w:val="表内格式 Char"/>
    <w:link w:val="150"/>
    <w:qFormat/>
    <w:locked/>
    <w:uiPriority w:val="0"/>
    <w:rPr>
      <w:rFonts w:eastAsia="楷体_GB2312"/>
      <w:sz w:val="18"/>
      <w:szCs w:val="18"/>
    </w:rPr>
  </w:style>
  <w:style w:type="paragraph" w:customStyle="1" w:styleId="150">
    <w:name w:val="表内格式"/>
    <w:basedOn w:val="1"/>
    <w:next w:val="1"/>
    <w:link w:val="149"/>
    <w:qFormat/>
    <w:uiPriority w:val="0"/>
    <w:pPr>
      <w:spacing w:line="360" w:lineRule="auto"/>
      <w:ind w:firstLine="200" w:firstLineChars="200"/>
      <w:jc w:val="center"/>
    </w:pPr>
    <w:rPr>
      <w:rFonts w:eastAsia="楷体_GB2312"/>
      <w:kern w:val="0"/>
      <w:sz w:val="18"/>
      <w:szCs w:val="18"/>
    </w:rPr>
  </w:style>
  <w:style w:type="paragraph" w:customStyle="1" w:styleId="151">
    <w:name w:val="小编号"/>
    <w:basedOn w:val="1"/>
    <w:next w:val="1"/>
    <w:qFormat/>
    <w:uiPriority w:val="0"/>
    <w:pPr>
      <w:spacing w:line="360" w:lineRule="auto"/>
      <w:ind w:firstLine="200" w:firstLineChars="200"/>
    </w:pPr>
    <w:rPr>
      <w:rFonts w:ascii="Calibri" w:hAnsi="Calibri"/>
      <w:b/>
      <w:sz w:val="24"/>
      <w:szCs w:val="20"/>
    </w:rPr>
  </w:style>
  <w:style w:type="paragraph" w:customStyle="1" w:styleId="152">
    <w:name w:val="列出段落2"/>
    <w:basedOn w:val="1"/>
    <w:qFormat/>
    <w:uiPriority w:val="34"/>
    <w:pPr>
      <w:spacing w:line="360" w:lineRule="auto"/>
      <w:ind w:firstLine="420" w:firstLineChars="200"/>
    </w:pPr>
    <w:rPr>
      <w:sz w:val="24"/>
      <w:szCs w:val="20"/>
    </w:rPr>
  </w:style>
  <w:style w:type="paragraph" w:customStyle="1" w:styleId="153">
    <w:name w:val="表 内容"/>
    <w:basedOn w:val="1"/>
    <w:qFormat/>
    <w:uiPriority w:val="0"/>
    <w:pPr>
      <w:adjustRightInd w:val="0"/>
      <w:snapToGrid w:val="0"/>
      <w:spacing w:beforeLines="15" w:afterLines="15"/>
      <w:jc w:val="center"/>
    </w:pPr>
    <w:rPr>
      <w:b/>
      <w:sz w:val="24"/>
      <w:szCs w:val="21"/>
    </w:rPr>
  </w:style>
  <w:style w:type="paragraph" w:customStyle="1" w:styleId="154">
    <w:name w:val="中文报告书样式"/>
    <w:basedOn w:val="1"/>
    <w:qFormat/>
    <w:uiPriority w:val="0"/>
    <w:pPr>
      <w:widowControl/>
      <w:tabs>
        <w:tab w:val="left" w:pos="360"/>
      </w:tabs>
      <w:adjustRightInd w:val="0"/>
      <w:snapToGrid w:val="0"/>
      <w:spacing w:line="360" w:lineRule="auto"/>
      <w:jc w:val="center"/>
      <w:textAlignment w:val="baseline"/>
    </w:pPr>
    <w:rPr>
      <w:rFonts w:ascii="Calibri" w:hAnsi="Calibri"/>
      <w:color w:val="000000"/>
      <w:sz w:val="24"/>
    </w:rPr>
  </w:style>
  <w:style w:type="paragraph" w:customStyle="1" w:styleId="155">
    <w:name w:val="文"/>
    <w:basedOn w:val="1"/>
    <w:qFormat/>
    <w:uiPriority w:val="0"/>
    <w:pPr>
      <w:spacing w:line="360" w:lineRule="auto"/>
      <w:ind w:firstLine="200" w:firstLineChars="200"/>
      <w:jc w:val="left"/>
    </w:pPr>
    <w:rPr>
      <w:bCs/>
      <w:sz w:val="24"/>
    </w:rPr>
  </w:style>
  <w:style w:type="paragraph" w:customStyle="1" w:styleId="156">
    <w:name w:val="我表标题"/>
    <w:basedOn w:val="1"/>
    <w:qFormat/>
    <w:uiPriority w:val="0"/>
    <w:pPr>
      <w:jc w:val="center"/>
      <w:textAlignment w:val="baseline"/>
    </w:pPr>
    <w:rPr>
      <w:b/>
      <w:kern w:val="24"/>
      <w:szCs w:val="21"/>
    </w:rPr>
  </w:style>
  <w:style w:type="paragraph" w:customStyle="1" w:styleId="157">
    <w:name w:val="环评表内容"/>
    <w:basedOn w:val="1"/>
    <w:qFormat/>
    <w:uiPriority w:val="0"/>
    <w:pPr>
      <w:widowControl/>
      <w:spacing w:line="260" w:lineRule="exact"/>
      <w:jc w:val="center"/>
    </w:pPr>
    <w:rPr>
      <w:rFonts w:ascii="Tahoma" w:hAnsi="Tahoma" w:cs="Tahoma"/>
    </w:rPr>
  </w:style>
  <w:style w:type="paragraph" w:customStyle="1" w:styleId="158">
    <w:name w:val="正文首行缩进 2 + Times New Roman"/>
    <w:basedOn w:val="1"/>
    <w:qFormat/>
    <w:uiPriority w:val="0"/>
    <w:pPr>
      <w:widowControl/>
      <w:tabs>
        <w:tab w:val="left" w:pos="0"/>
        <w:tab w:val="left" w:pos="3150"/>
      </w:tabs>
      <w:autoSpaceDE w:val="0"/>
      <w:autoSpaceDN w:val="0"/>
      <w:spacing w:line="324" w:lineRule="auto"/>
      <w:ind w:right="113" w:firstLine="482" w:firstLineChars="200"/>
      <w:jc w:val="left"/>
    </w:pPr>
    <w:rPr>
      <w:b/>
      <w:sz w:val="24"/>
    </w:rPr>
  </w:style>
  <w:style w:type="paragraph" w:customStyle="1" w:styleId="159">
    <w:name w:val="_Style 33"/>
    <w:basedOn w:val="1"/>
    <w:qFormat/>
    <w:uiPriority w:val="0"/>
    <w:rPr>
      <w:sz w:val="24"/>
    </w:rPr>
  </w:style>
  <w:style w:type="paragraph" w:customStyle="1" w:styleId="160">
    <w:name w:val="正文1"/>
    <w:basedOn w:val="22"/>
    <w:qFormat/>
    <w:uiPriority w:val="0"/>
    <w:pPr>
      <w:widowControl w:val="0"/>
      <w:spacing w:line="360" w:lineRule="auto"/>
      <w:ind w:firstLine="200"/>
      <w:jc w:val="both"/>
    </w:pPr>
    <w:rPr>
      <w:sz w:val="21"/>
      <w:lang w:val="en-US" w:eastAsia="zh-CN"/>
    </w:rPr>
  </w:style>
  <w:style w:type="paragraph" w:customStyle="1" w:styleId="161">
    <w:name w:val="万瑞报告表1"/>
    <w:basedOn w:val="18"/>
    <w:next w:val="1"/>
    <w:qFormat/>
    <w:uiPriority w:val="0"/>
    <w:pPr>
      <w:adjustRightInd w:val="0"/>
      <w:snapToGrid w:val="0"/>
      <w:spacing w:before="60" w:after="0" w:line="360" w:lineRule="auto"/>
      <w:ind w:left="0" w:leftChars="0" w:firstLine="200" w:firstLineChars="200"/>
    </w:pPr>
    <w:rPr>
      <w:rFonts w:ascii="宋体" w:hAnsi="宋体" w:eastAsia="Times New Roman"/>
      <w:kern w:val="2"/>
      <w:sz w:val="32"/>
      <w:szCs w:val="24"/>
    </w:rPr>
  </w:style>
  <w:style w:type="paragraph" w:customStyle="1" w:styleId="162">
    <w:name w:val="Body Text 22"/>
    <w:basedOn w:val="1"/>
    <w:qFormat/>
    <w:uiPriority w:val="0"/>
    <w:pPr>
      <w:adjustRightInd w:val="0"/>
      <w:spacing w:line="440" w:lineRule="atLeast"/>
      <w:ind w:firstLine="480"/>
      <w:textAlignment w:val="baseline"/>
    </w:pPr>
    <w:rPr>
      <w:rFonts w:eastAsia="仿宋_GB2312" w:cs="宋体"/>
      <w:color w:val="000000"/>
      <w:sz w:val="24"/>
      <w:szCs w:val="20"/>
    </w:rPr>
  </w:style>
  <w:style w:type="paragraph" w:customStyle="1" w:styleId="163">
    <w:name w:val=" Char3"/>
    <w:basedOn w:val="1"/>
    <w:qFormat/>
    <w:uiPriority w:val="0"/>
    <w:rPr>
      <w:szCs w:val="20"/>
    </w:rPr>
  </w:style>
  <w:style w:type="paragraph" w:customStyle="1" w:styleId="164">
    <w:name w:val="报告表正文"/>
    <w:basedOn w:val="1"/>
    <w:qFormat/>
    <w:uiPriority w:val="0"/>
    <w:pPr>
      <w:adjustRightInd w:val="0"/>
      <w:spacing w:line="312" w:lineRule="auto"/>
      <w:ind w:left="113" w:right="113" w:firstLine="482"/>
      <w:jc w:val="left"/>
    </w:pPr>
    <w:rPr>
      <w:kern w:val="0"/>
      <w:sz w:val="24"/>
      <w:szCs w:val="20"/>
    </w:rPr>
  </w:style>
  <w:style w:type="paragraph" w:customStyle="1" w:styleId="165">
    <w:name w:val="小标题"/>
    <w:basedOn w:val="1"/>
    <w:qFormat/>
    <w:uiPriority w:val="0"/>
    <w:pPr>
      <w:widowControl/>
      <w:spacing w:line="360" w:lineRule="auto"/>
      <w:ind w:firstLine="562"/>
      <w:jc w:val="left"/>
    </w:pPr>
    <w:rPr>
      <w:rFonts w:ascii="宋体" w:hAnsi="宋体"/>
      <w:b/>
      <w:sz w:val="28"/>
      <w:szCs w:val="21"/>
    </w:rPr>
  </w:style>
  <w:style w:type="paragraph" w:customStyle="1" w:styleId="166">
    <w:name w:val="表 头"/>
    <w:basedOn w:val="1"/>
    <w:qFormat/>
    <w:uiPriority w:val="0"/>
    <w:pPr>
      <w:widowControl/>
      <w:tabs>
        <w:tab w:val="left" w:pos="3750"/>
      </w:tabs>
      <w:snapToGrid w:val="0"/>
      <w:jc w:val="center"/>
    </w:pPr>
    <w:rPr>
      <w:rFonts w:ascii="Calibri" w:hAnsi="Calibri"/>
      <w:b/>
      <w:bCs/>
    </w:rPr>
  </w:style>
  <w:style w:type="paragraph" w:styleId="167">
    <w:name w:val="No Spacing"/>
    <w:basedOn w:val="168"/>
    <w:qFormat/>
    <w:uiPriority w:val="1"/>
    <w:pPr>
      <w:widowControl w:val="0"/>
      <w:adjustRightInd w:val="0"/>
      <w:snapToGrid w:val="0"/>
      <w:jc w:val="center"/>
    </w:pPr>
    <w:rPr>
      <w:rFonts w:ascii="Calibri" w:hAnsi="Calibri" w:eastAsia="宋体" w:cs="Times New Roman"/>
      <w:kern w:val="2"/>
      <w:sz w:val="21"/>
      <w:szCs w:val="24"/>
      <w:lang w:val="en-US" w:eastAsia="zh-CN" w:bidi="ar-SA"/>
    </w:rPr>
  </w:style>
  <w:style w:type="paragraph" w:customStyle="1" w:styleId="168">
    <w:name w:val="表格修改"/>
    <w:basedOn w:val="1"/>
    <w:qFormat/>
    <w:uiPriority w:val="0"/>
    <w:pPr>
      <w:spacing w:before="40" w:after="40" w:line="240" w:lineRule="auto"/>
      <w:ind w:firstLine="0" w:firstLineChars="0"/>
      <w:jc w:val="center"/>
    </w:pPr>
    <w:rPr>
      <w:rFonts w:ascii="Calibri" w:hAnsi="宋体"/>
      <w:sz w:val="20"/>
    </w:rPr>
  </w:style>
  <w:style w:type="paragraph" w:customStyle="1" w:styleId="169">
    <w:name w:val="列出段落1"/>
    <w:basedOn w:val="1"/>
    <w:qFormat/>
    <w:uiPriority w:val="0"/>
    <w:pPr>
      <w:widowControl/>
      <w:spacing w:line="360" w:lineRule="auto"/>
      <w:ind w:firstLine="420"/>
      <w:jc w:val="left"/>
    </w:pPr>
    <w:rPr>
      <w:rFonts w:ascii="Calibri" w:hAnsi="Calibri"/>
      <w:szCs w:val="21"/>
    </w:rPr>
  </w:style>
  <w:style w:type="paragraph" w:customStyle="1" w:styleId="170">
    <w:name w:val="1表头"/>
    <w:qFormat/>
    <w:uiPriority w:val="0"/>
    <w:pPr>
      <w:adjustRightInd w:val="0"/>
      <w:snapToGrid w:val="0"/>
      <w:spacing w:before="25" w:beforeLines="25" w:after="25" w:afterLines="25"/>
      <w:jc w:val="center"/>
    </w:pPr>
    <w:rPr>
      <w:rFonts w:ascii="Calibri" w:hAnsi="Calibri" w:eastAsia="宋体" w:cs="Times New Roman"/>
      <w:b/>
      <w:color w:val="0000CC"/>
      <w:sz w:val="24"/>
      <w:szCs w:val="24"/>
      <w:lang w:val="en-US" w:eastAsia="zh-CN" w:bidi="ar-SA"/>
    </w:rPr>
  </w:style>
  <w:style w:type="paragraph" w:customStyle="1" w:styleId="171">
    <w:name w:val="安如夏花"/>
    <w:basedOn w:val="1"/>
    <w:qFormat/>
    <w:uiPriority w:val="0"/>
    <w:pPr>
      <w:widowControl/>
      <w:spacing w:beforeLines="50" w:afterLines="50" w:line="360" w:lineRule="auto"/>
      <w:jc w:val="center"/>
    </w:pPr>
    <w:rPr>
      <w:rFonts w:ascii="Calibri" w:hAnsi="Calibri" w:eastAsia="黑体"/>
      <w:b/>
      <w:szCs w:val="21"/>
    </w:rPr>
  </w:style>
  <w:style w:type="character" w:customStyle="1" w:styleId="172">
    <w:name w:val="表   头 Char"/>
    <w:link w:val="173"/>
    <w:qFormat/>
    <w:uiPriority w:val="0"/>
    <w:rPr>
      <w:b/>
    </w:rPr>
  </w:style>
  <w:style w:type="paragraph" w:customStyle="1" w:styleId="173">
    <w:name w:val="表   头"/>
    <w:basedOn w:val="1"/>
    <w:link w:val="172"/>
    <w:qFormat/>
    <w:uiPriority w:val="0"/>
    <w:pPr>
      <w:snapToGrid w:val="0"/>
      <w:jc w:val="center"/>
    </w:pPr>
    <w:rPr>
      <w:b/>
      <w:kern w:val="0"/>
      <w:sz w:val="20"/>
      <w:szCs w:val="20"/>
    </w:rPr>
  </w:style>
  <w:style w:type="character" w:customStyle="1" w:styleId="174">
    <w:name w:val="无间隔表格内 Char"/>
    <w:link w:val="175"/>
    <w:qFormat/>
    <w:uiPriority w:val="0"/>
    <w:rPr>
      <w:sz w:val="21"/>
    </w:rPr>
  </w:style>
  <w:style w:type="paragraph" w:customStyle="1" w:styleId="175">
    <w:name w:val="无间隔表格内"/>
    <w:basedOn w:val="173"/>
    <w:link w:val="174"/>
    <w:qFormat/>
    <w:uiPriority w:val="0"/>
    <w:rPr>
      <w:b w:val="0"/>
      <w:sz w:val="21"/>
    </w:rPr>
  </w:style>
  <w:style w:type="paragraph" w:customStyle="1" w:styleId="176">
    <w:name w:val="正文-RED"/>
    <w:qFormat/>
    <w:uiPriority w:val="0"/>
    <w:pPr>
      <w:spacing w:line="360" w:lineRule="auto"/>
      <w:ind w:firstLine="420"/>
      <w:jc w:val="both"/>
    </w:pPr>
    <w:rPr>
      <w:rFonts w:ascii="Times New Roman" w:hAnsi="Times New Roman" w:eastAsia="宋体" w:cs="Times New Roman"/>
      <w:sz w:val="24"/>
      <w:lang w:val="en-US" w:eastAsia="zh-CN" w:bidi="ar-SA"/>
    </w:rPr>
  </w:style>
  <w:style w:type="paragraph" w:customStyle="1" w:styleId="177">
    <w:name w:val="大标题"/>
    <w:basedOn w:val="1"/>
    <w:qFormat/>
    <w:uiPriority w:val="0"/>
    <w:pPr>
      <w:spacing w:line="360" w:lineRule="auto"/>
    </w:pPr>
    <w:rPr>
      <w:rFonts w:ascii="宋体" w:hAnsi="宋体"/>
      <w:b/>
      <w:sz w:val="28"/>
      <w:szCs w:val="28"/>
    </w:rPr>
  </w:style>
  <w:style w:type="paragraph" w:customStyle="1" w:styleId="178">
    <w:name w:val="无悬挂正文5号"/>
    <w:basedOn w:val="1"/>
    <w:qFormat/>
    <w:uiPriority w:val="0"/>
    <w:pPr>
      <w:widowControl/>
      <w:spacing w:line="360" w:lineRule="auto"/>
      <w:jc w:val="center"/>
    </w:pPr>
    <w:rPr>
      <w:color w:val="000000"/>
      <w:kern w:val="0"/>
      <w:sz w:val="20"/>
      <w:szCs w:val="20"/>
    </w:rPr>
  </w:style>
  <w:style w:type="character" w:customStyle="1" w:styleId="179">
    <w:name w:val="正文文本 (2) + 10.5 pt9"/>
    <w:qFormat/>
    <w:uiPriority w:val="0"/>
    <w:rPr>
      <w:rFonts w:ascii="宋体" w:hAnsi="宋体" w:cs="宋体"/>
      <w:sz w:val="21"/>
      <w:szCs w:val="21"/>
      <w:u w:val="none"/>
      <w:lang w:bidi="ar-SA"/>
    </w:rPr>
  </w:style>
  <w:style w:type="character" w:customStyle="1" w:styleId="180">
    <w:name w:val="_Style 174"/>
    <w:unhideWhenUsed/>
    <w:qFormat/>
    <w:uiPriority w:val="99"/>
    <w:rPr>
      <w:color w:val="605E5C"/>
      <w:shd w:val="clear" w:color="auto" w:fill="E1DFDD"/>
    </w:rPr>
  </w:style>
  <w:style w:type="table" w:customStyle="1" w:styleId="181">
    <w:name w:val="Table Normal"/>
    <w:unhideWhenUsed/>
    <w:qFormat/>
    <w:uiPriority w:val="0"/>
    <w:tblPr>
      <w:tblCellMar>
        <w:top w:w="0" w:type="dxa"/>
        <w:left w:w="0" w:type="dxa"/>
        <w:bottom w:w="0" w:type="dxa"/>
        <w:right w:w="0" w:type="dxa"/>
      </w:tblCellMar>
    </w:tblPr>
  </w:style>
  <w:style w:type="paragraph" w:customStyle="1" w:styleId="182">
    <w:name w:val="Table Text"/>
    <w:basedOn w:val="1"/>
    <w:semiHidden/>
    <w:qFormat/>
    <w:uiPriority w:val="0"/>
    <w:rPr>
      <w:rFonts w:ascii="宋体" w:hAnsi="宋体" w:eastAsia="宋体" w:cs="宋体"/>
      <w:sz w:val="24"/>
      <w:szCs w:val="24"/>
      <w:lang w:val="en-US" w:eastAsia="en-US" w:bidi="ar-SA"/>
    </w:rPr>
  </w:style>
  <w:style w:type="paragraph" w:customStyle="1" w:styleId="183">
    <w:name w:val="无 间 隔"/>
    <w:basedOn w:val="1"/>
    <w:qFormat/>
    <w:uiPriority w:val="0"/>
    <w:pPr>
      <w:autoSpaceDE w:val="0"/>
      <w:autoSpaceDN w:val="0"/>
      <w:adjustRightInd w:val="0"/>
      <w:spacing w:line="240" w:lineRule="auto"/>
      <w:ind w:firstLine="0" w:firstLineChars="0"/>
      <w:jc w:val="center"/>
    </w:pPr>
    <w:rPr>
      <w:rFonts w:eastAsia="宋体"/>
      <w:bCs/>
      <w:color w:val="000000"/>
      <w:kern w:val="0"/>
      <w:sz w:val="21"/>
      <w:szCs w:val="21"/>
    </w:rPr>
  </w:style>
  <w:style w:type="paragraph" w:customStyle="1" w:styleId="184">
    <w:name w:val="正文首行缩进2个字 Char"/>
    <w:basedOn w:val="1"/>
    <w:qFormat/>
    <w:uiPriority w:val="0"/>
    <w:pPr>
      <w:ind w:firstLine="480" w:firstLineChars="200"/>
    </w:pPr>
    <w:rPr>
      <w:rFonts w:eastAsia="楷体"/>
      <w:sz w:val="24"/>
      <w:szCs w:val="24"/>
    </w:rPr>
  </w:style>
  <w:style w:type="paragraph" w:customStyle="1" w:styleId="185">
    <w:name w:val="惠泽正文"/>
    <w:basedOn w:val="1"/>
    <w:qFormat/>
    <w:uiPriority w:val="0"/>
    <w:pPr>
      <w:spacing w:line="480" w:lineRule="exact"/>
      <w:ind w:firstLine="480" w:firstLineChars="200"/>
    </w:pPr>
    <w:rPr>
      <w:rFonts w:hAnsi="宋体" w:cs="宋体"/>
      <w:sz w:val="24"/>
      <w:szCs w:val="20"/>
    </w:rPr>
  </w:style>
  <w:style w:type="paragraph" w:customStyle="1" w:styleId="186">
    <w:name w:val="000000"/>
    <w:basedOn w:val="187"/>
    <w:qFormat/>
    <w:uiPriority w:val="0"/>
    <w:pPr>
      <w:spacing w:line="240" w:lineRule="auto"/>
      <w:ind w:firstLine="0" w:firstLineChars="0"/>
      <w:jc w:val="center"/>
    </w:pPr>
    <w:rPr>
      <w:rFonts w:ascii="Times New Roman" w:hAnsi="Times New Roman" w:eastAsia="宋体"/>
      <w:b/>
      <w:sz w:val="21"/>
    </w:rPr>
  </w:style>
  <w:style w:type="paragraph" w:customStyle="1" w:styleId="187">
    <w:name w:val="1正文"/>
    <w:qFormat/>
    <w:uiPriority w:val="0"/>
    <w:pPr>
      <w:widowControl/>
      <w:spacing w:line="360" w:lineRule="auto"/>
      <w:ind w:firstLine="200" w:firstLineChars="200"/>
      <w:jc w:val="both"/>
    </w:pPr>
    <w:rPr>
      <w:rFonts w:ascii="Calibri" w:hAnsi="Calibri" w:eastAsia="宋体" w:cs="Times New Roman"/>
      <w:kern w:val="0"/>
      <w:sz w:val="24"/>
      <w:szCs w:val="20"/>
      <w:lang w:val="en-GB" w:eastAsia="zh-CN" w:bidi="ar-SA"/>
    </w:rPr>
  </w:style>
  <w:style w:type="character" w:customStyle="1" w:styleId="188">
    <w:name w:val="font21"/>
    <w:basedOn w:val="38"/>
    <w:qFormat/>
    <w:uiPriority w:val="0"/>
    <w:rPr>
      <w:rFonts w:hint="default" w:ascii="Times New Roman" w:hAnsi="Times New Roman" w:cs="Times New Roman"/>
      <w:color w:val="000000"/>
      <w:sz w:val="20"/>
      <w:szCs w:val="20"/>
      <w:u w:val="none"/>
    </w:rPr>
  </w:style>
  <w:style w:type="character" w:customStyle="1" w:styleId="189">
    <w:name w:val="font11"/>
    <w:basedOn w:val="38"/>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6" Type="http://schemas.openxmlformats.org/officeDocument/2006/relationships/fontTable" Target="fontTable.xml"/><Relationship Id="rId25" Type="http://schemas.openxmlformats.org/officeDocument/2006/relationships/customXml" Target="../customXml/item2.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12.png"/><Relationship Id="rId21" Type="http://schemas.openxmlformats.org/officeDocument/2006/relationships/image" Target="media/image11.jpeg"/><Relationship Id="rId20" Type="http://schemas.openxmlformats.org/officeDocument/2006/relationships/image" Target="media/image10.jpeg"/><Relationship Id="rId2" Type="http://schemas.openxmlformats.org/officeDocument/2006/relationships/settings" Target="settings.xml"/><Relationship Id="rId19" Type="http://schemas.openxmlformats.org/officeDocument/2006/relationships/image" Target="media/image9.jpeg"/><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emf"/><Relationship Id="rId13" Type="http://schemas.openxmlformats.org/officeDocument/2006/relationships/oleObject" Target="embeddings/oleObject2.bin"/><Relationship Id="rId12" Type="http://schemas.openxmlformats.org/officeDocument/2006/relationships/image" Target="media/image3.emf"/><Relationship Id="rId11" Type="http://schemas.openxmlformats.org/officeDocument/2006/relationships/oleObject" Target="embeddings/oleObject1.bin"/><Relationship Id="rId10" Type="http://schemas.openxmlformats.org/officeDocument/2006/relationships/image" Target="media/image2.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customShpExts>
</s:customData>
</file>

<file path=customXml/item2.xml><?xml version="1.0" encoding="utf-8"?>
<contractReview xmlns="http://schemas.wps.cn/vas-ai-hub/contract-review">
  <reviewItems>
    <reviewItem>
      <errorID>c1962b6a-74ce-4fb8-a520-5fa6486c6a61</errorID>
      <errorWord>分</errorWord>
      <group>L1_Word</group>
      <groupName>字词问题</groupName>
      <ability>L2_Typo</ability>
      <abilityName>字词错误</abilityName>
      <candidateList>
        <item>′</item>
      </candidateList>
      <explain/>
      <paraID>1F38A8E5</paraID>
      <start>7</start>
      <end>8</end>
      <status>unmodified</status>
      <modifiedWord/>
      <trackRevisions>false</trackRevisions>
    </reviewItem>
    <reviewItem>
      <errorID>69d6b78f-814d-458a-a945-75cd38fc8ace</errorID>
      <errorWord>秒</errorWord>
      <group>L1_Word</group>
      <groupName>字词问题</groupName>
      <ability>L2_Typo</ability>
      <abilityName>字词错误</abilityName>
      <candidateList>
        <item>″</item>
      </candidateList>
      <explain/>
      <paraID>1F38A8E5</paraID>
      <start>13</start>
      <end>14</end>
      <status>unmodified</status>
      <modifiedWord/>
      <trackRevisions>false</trackRevisions>
    </reviewItem>
    <reviewItem>
      <errorID>57361f4c-8e94-4f99-8276-55f012323fff</errorID>
      <errorWord>分</errorWord>
      <group>L1_Word</group>
      <groupName>字词问题</groupName>
      <ability>L2_Typo</ability>
      <abilityName>字词错误</abilityName>
      <candidateList>
        <item>′</item>
      </candidateList>
      <explain/>
      <paraID>1F38A8E5</paraID>
      <start>20</start>
      <end>21</end>
      <status>unmodified</status>
      <modifiedWord/>
      <trackRevisions>false</trackRevisions>
    </reviewItem>
    <reviewItem>
      <errorID>ec964594-2ccc-4580-a6d3-2ae2667e97d2</errorID>
      <errorWord>秒</errorWord>
      <group>L1_Word</group>
      <groupName>字词问题</groupName>
      <ability>L2_Typo</ability>
      <abilityName>字词错误</abilityName>
      <candidateList>
        <item>″</item>
      </candidateList>
      <explain/>
      <paraID>1F38A8E5</paraID>
      <start>27</start>
      <end>28</end>
      <status>unmodified</status>
      <modifiedWord/>
      <trackRevisions>false</trackRevisions>
    </reviewItem>
    <reviewItem>
      <errorID>0d849397-e198-4f13-8ee3-b800885c7a07</errorID>
      <errorWord>农业部</errorWord>
      <group>L1_Knowledge</group>
      <groupName>知识性问题</groupName>
      <ability>L2_Knowledge</ability>
      <abilityName>其他知识</abilityName>
      <candidateList>
        <item>农业农村部</item>
      </candidateList>
      <explain/>
      <paraID>4ABB34DC</paraID>
      <start>11</start>
      <end>14</end>
      <status>unmodified</status>
      <modifiedWord/>
      <trackRevisions>false</trackRevisions>
    </reviewItem>
    <reviewItem>
      <errorID>2aaf7b22-18cf-4172-93f6-48ada5e1a1ea</errorID>
      <errorWord>）</errorWord>
      <group>L1_Punc</group>
      <groupName>标点问题</groupName>
      <ability>L2_Punc_CN</ability>
      <abilityName>标点符号检查</abilityName>
      <candidateList/>
      <explain>同一形式括号套用。</explain>
      <paraID>5DD5511F</paraID>
      <start>140</start>
      <end>141</end>
      <status>unmodified</status>
      <modifiedWord/>
      <trackRevisions>false</trackRevisions>
    </reviewItem>
    <reviewItem>
      <errorID>7da98139-e5cd-4a65-9a0e-b13ac290486b</errorID>
      <errorWord>，且</errorWord>
      <group>L1_Word</group>
      <groupName>字词问题</groupName>
      <ability>L2_Typo</ability>
      <abilityName>字词错误</abilityName>
      <candidateList>
        <item>。</item>
      </candidateList>
      <explain/>
      <paraID>1645F14C</paraID>
      <start>41</start>
      <end>43</end>
      <status>unmodified</status>
      <modifiedWord/>
      <trackRevisions>false</trackRevisions>
    </reviewItem>
    <reviewItem>
      <errorID>94bb2938-a9fb-4d15-b1ab-a2b480b0ef9e</errorID>
      <errorWord>，且</errorWord>
      <group>L1_Word</group>
      <groupName>字词问题</groupName>
      <ability>L2_Typo</ability>
      <abilityName>字词错误</abilityName>
      <candidateList>
        <item>，</item>
      </candidateList>
      <explain/>
      <paraID>1645F14C</paraID>
      <start>60</start>
      <end>62</end>
      <status>unmodified</status>
      <modifiedWord/>
      <trackRevisions>false</trackRevisions>
    </reviewItem>
    <reviewItem>
      <errorID>077d4e84-f524-4dd9-a92c-d19c47cb4211</errorID>
      <errorWord>中对</errorWord>
      <group>L1_Word</group>
      <groupName>字词问题</groupName>
      <ability>L2_Typo</ability>
      <abilityName>字词错误</abilityName>
      <candidateList>
        <item>中将</item>
      </candidateList>
      <explain/>
      <paraID>1645F14C</paraID>
      <start>66</start>
      <end>68</end>
      <status>modified</status>
      <modifiedWord>中将</modifiedWord>
      <trackRevisions>false</trackRevisions>
    </reviewItem>
    <reviewItem>
      <errorID>d2b0b851-cd8a-417d-b476-b98ab4693e74</errorID>
      <errorWord>主要以高新技术产业为主</errorWord>
      <group>L1_Grammar</group>
      <groupName>语法问题</groupName>
      <ability>L2_Grammar</ability>
      <abilityName>语法错误</abilityName>
      <candidateList>
        <item>以高新技术产业为主</item>
      </candidateList>
      <explain>该表达中的“主要以高新技术产业为主”存在语义重复。</explain>
      <paraID>1D380F08</paraID>
      <start>6</start>
      <end>17</end>
      <status>unmodified</status>
      <modifiedWord/>
      <trackRevisions>false</trackRevisions>
    </reviewItem>
    <reviewItem>
      <errorID>9f39ccb6-0253-48b1-84de-b53430aaf812</errorID>
      <errorWord>生态环境分区管理</errorWord>
      <group>L1_Political</group>
      <groupName>政治性问题</groupName>
      <ability>L2_Unpolitical</ability>
      <abilityName>政治敏感错误</abilityName>
      <candidateList>
        <item>生态环境分区管控</item>
      </candidateList>
      <explain/>
      <paraID>656CA145</paraID>
      <start>36</start>
      <end>44</end>
      <status>unmodified</status>
      <modifiedWord/>
      <trackRevisions>false</trackRevisions>
    </reviewItem>
    <reviewItem>
      <errorID>26147fff-e2db-4709-835d-83d6e6756204</errorID>
      <errorWord>处理处置</errorWord>
      <group>L1_Word</group>
      <groupName>字词问题</groupName>
      <ability>L2_Typo</ability>
      <abilityName>字词错误</abilityName>
      <candidateList>
        <item>进行处理</item>
      </candidateList>
      <explain/>
      <paraID>113E0F57</paraID>
      <start>41</start>
      <end>45</end>
      <status>modified</status>
      <modifiedWord>进行处理</modifiedWord>
      <trackRevisions>false</trackRevisions>
    </reviewItem>
    <reviewItem>
      <errorID>440b21d3-9304-4a3e-bc8d-991d271beaf8</errorID>
      <errorWord>《智能包装及系统数智生产线项目》</errorWord>
      <group>L1_Punc</group>
      <groupName>标点问题</groupName>
      <ability>L2_Punc_CN</ability>
      <abilityName>标点符号检查</abilityName>
      <candidateList>
        <item>“智能包装及系统数智生产线项目”</item>
      </candidateList>
      <explain/>
      <paraID>  39DA84</paraID>
      <start>39</start>
      <end>55</end>
      <status>unmodified</status>
      <modifiedWord/>
      <trackRevisions>false</trackRevisions>
    </reviewItem>
    <reviewItem>
      <errorID>e7c1d86f-433f-4f76-b741-4dfe3ebdfe25</errorID>
      <errorWord>，</errorWord>
      <group>L1_Punc</group>
      <groupName>标点问题</groupName>
      <ability>L2_Punc_CN</ability>
      <abilityName>标点符号检查</abilityName>
      <candidateList>
        <item>。</item>
      </candidateList>
      <explain/>
      <paraID>  39DA84</paraID>
      <start>126</start>
      <end>127</end>
      <status>unmodified</status>
      <modifiedWord/>
      <trackRevisions>false</trackRevisions>
    </reviewItem>
    <reviewItem>
      <errorID>55f9cb6a-6e29-4242-97a2-1a6cdfde3162</errorID>
      <errorWord>和本</errorWord>
      <group>L1_Word</group>
      <groupName>字词问题</groupName>
      <ability>L2_Typo</ability>
      <abilityName>字词错误</abilityName>
      <candidateList>
        <item>本</item>
      </candidateList>
      <explain/>
      <paraID>7B699B72</paraID>
      <start>0</start>
      <end>1</end>
      <status>modified</status>
      <modifiedWord>本</modifiedWord>
      <trackRevisions>false</trackRevisions>
    </reviewItem>
    <reviewItem>
      <errorID>20fd447c-e0b7-49ea-9f83-ecee0ac10ef7</errorID>
      <errorWord>消耗量具体用量</errorWord>
      <group>L1_Grammar</group>
      <groupName>语法问题</groupName>
      <ability>L2_Grammar</ability>
      <abilityName>语法错误</abilityName>
      <candidateList>
        <item>消耗量</item>
      </candidateList>
      <explain/>
      <paraID>42DE84B4</paraID>
      <start>18</start>
      <end>21</end>
      <status>modified</status>
      <modifiedWord>消耗量</modifiedWord>
      <trackRevisions>false</trackRevisions>
    </reviewItem>
    <reviewItem>
      <errorID>1ee64dc3-8078-4969-8a70-151375f6267c</errorID>
      <errorWord>~</errorWord>
      <group>L1_Format</group>
      <groupName>格式问题</groupName>
      <ability>L2_HalfPunc_CN</ability>
      <abilityName>全半角检查</abilityName>
      <candidateList>
        <item>～</item>
      </candidateList>
      <explain>文本全半角错误。</explain>
      <paraID>1DC80D1B</paraID>
      <start>7</start>
      <end>8</end>
      <status>unmodified</status>
      <modifiedWord/>
      <trackRevisions>false</trackRevisions>
    </reviewItem>
    <reviewItem>
      <errorID>5c452e97-7455-47db-9d01-795a1f72d118</errorID>
      <errorWord>~</errorWord>
      <group>L1_Format</group>
      <groupName>格式问题</groupName>
      <ability>L2_HalfPunc_CN</ability>
      <abilityName>全半角检查</abilityName>
      <candidateList>
        <item>～</item>
      </candidateList>
      <explain>文本全半角错误。</explain>
      <paraID>1DC80D1B</paraID>
      <start>19</start>
      <end>20</end>
      <status>unmodified</status>
      <modifiedWord/>
      <trackRevisions>false</trackRevisions>
    </reviewItem>
    <reviewItem>
      <errorID>1ec96cd4-1c97-4b6d-b2cc-07241815c983</errorID>
      <errorWord>~</errorWord>
      <group>L1_Format</group>
      <groupName>格式问题</groupName>
      <ability>L2_HalfPunc_CN</ability>
      <abilityName>全半角检查</abilityName>
      <candidateList>
        <item>～</item>
      </candidateList>
      <explain>文本全半角错误。</explain>
      <paraID>1DC80D1B</paraID>
      <start>30</start>
      <end>31</end>
      <status>unmodified</status>
      <modifiedWord/>
      <trackRevisions>false</trackRevisions>
    </reviewItem>
    <reviewItem>
      <errorID>0bedda9e-3f9b-4f26-a443-453184ad6106</errorID>
      <errorWord>材料结构</errorWord>
      <group>L1_Grammar</group>
      <groupName>语法问题</groupName>
      <ability>L2_Grammar</ability>
      <abilityName>语法错误</abilityName>
      <candidateList>
        <item>材料</item>
      </candidateList>
      <explain/>
      <paraID>67B0A5B7</paraID>
      <start>32</start>
      <end>36</end>
      <status>unmodified</status>
      <modifiedWord/>
      <trackRevisions>false</trackRevisions>
    </reviewItem>
    <reviewItem>
      <errorID>1f7f0942-375c-4b0a-8d21-55bb311a3bc7</errorID>
      <errorWord> </errorWord>
      <group>L1_Punc</group>
      <groupName>标点问题</groupName>
      <ability>L2_Punc_CN</ability>
      <abilityName>标点符号检查</abilityName>
      <candidateList>
        <item>·</item>
      </candidateList>
      <explain/>
      <paraID>25E9E709</paraID>
      <start>37</start>
      <end>38</end>
      <status>unmodified</status>
      <modifiedWord/>
      <trackRevisions>false</trackRevisions>
    </reviewItem>
    <reviewItem>
      <errorID>247bdc37-c118-4b6e-a579-c47dae980361</errorID>
      <errorWord>处理中</errorWord>
      <group>L1_Word</group>
      <groupName>字词问题</groupName>
      <ability>L2_Typo</ability>
      <abilityName>字词错误</abilityName>
      <candidateList>
        <item>处理</item>
      </candidateList>
      <explain/>
      <paraID> 2DAC43F</paraID>
      <start>145</start>
      <end>147</end>
      <status>modified</status>
      <modifiedWord>处理</modifiedWord>
      <trackRevisions>false</trackRevisions>
    </reviewItem>
    <reviewItem>
      <errorID>f809ceca-cff0-4057-8602-c42979dbb892</errorID>
      <errorWord>排污水排放至</errorWord>
      <group>L1_Word</group>
      <groupName>字词问题</groupName>
      <ability>L2_Typo</ability>
      <abilityName>字词错误</abilityName>
      <candidateList>
        <item>排污水排入</item>
      </candidateList>
      <explain/>
      <paraID>2D591005</paraID>
      <start>128</start>
      <end>133</end>
      <status>modified</status>
      <modifiedWord>排污水排入</modifiedWord>
      <trackRevisions>false</trackRevisions>
    </reviewItem>
    <reviewItem>
      <errorID>89ac70b9-bead-419a-ba66-45e64989a523</errorID>
      <errorWord>西侧外</errorWord>
      <group>L1_Word</group>
      <groupName>字词问题</groupName>
      <ability>L2_Typo</ability>
      <abilityName>字词错误</abilityName>
      <candidateList>
        <item>西侧</item>
      </candidateList>
      <explain/>
      <paraID>375F4B17</paraID>
      <start>21</start>
      <end>24</end>
      <status>unmodified</status>
      <modifiedWord/>
      <trackRevisions>false</trackRevisions>
    </reviewItem>
    <reviewItem>
      <errorID>728d12ee-4256-4e5c-9b39-8ae811559c36</errorID>
      <errorWord>【2024】50号</errorWord>
      <group>L1_Knowledge</group>
      <groupName>知识性问题</groupName>
      <ability>L2_Knowledge</ability>
      <abilityName>其他知识</abilityName>
      <candidateList>
        <item>〔2024〕50号</item>
      </candidateList>
      <explain>发文字号格式错误。</explain>
      <paraID>1E0FA48C</paraID>
      <start>125</start>
      <end>134</end>
      <status>modified</status>
      <modifiedWord>〔2024〕50号</modifiedWord>
      <trackRevisions>false</trackRevisions>
    </reviewItem>
    <reviewItem>
      <errorID>8f408a84-134a-4a6a-93f2-0092fad6acb1</errorID>
      <errorWord>）</errorWord>
      <group>L1_Punc</group>
      <groupName>标点问题</groupName>
      <ability>L2_Punc_CN</ability>
      <abilityName>标点符号检查</abilityName>
      <candidateList/>
      <explain>同一形式括号套用。</explain>
      <paraID>1E0FA48C</paraID>
      <start>134</start>
      <end>135</end>
      <status>unmodified</status>
      <modifiedWord/>
      <trackRevisions>false</trackRevisions>
    </reviewItem>
    <reviewItem>
      <errorID>7aca2796-0060-472c-abb1-8b66b860fe71</errorID>
      <errorWord>）</errorWord>
      <group>L1_Punc</group>
      <groupName>标点问题</groupName>
      <ability>L2_Punc_CN</ability>
      <abilityName>标点符号检查</abilityName>
      <candidateList>
        <item>”）</item>
      </candidateList>
      <explain/>
      <paraID>71424F6B</paraID>
      <start>51</start>
      <end>52</end>
      <status>unmodified</status>
      <modifiedWord/>
      <trackRevisions>false</trackRevisions>
    </reviewItem>
    <reviewItem>
      <errorID>2814fd63-295f-480f-8f2f-3690457fde34</errorID>
      <errorWord>）</errorWord>
      <group>L1_Format</group>
      <groupName>格式问题</groupName>
      <ability>L2_HalfPunc_CN</ability>
      <abilityName>全半角检查</abilityName>
      <candidateList>
        <item>)</item>
      </candidateList>
      <explain>文本全半角错误。</explain>
      <paraID>3C86EC49</paraID>
      <start>6</start>
      <end>7</end>
      <status>unmodified</status>
      <modifiedWord/>
      <trackRevisions>false</trackRevisions>
    </reviewItem>
    <reviewItem>
      <errorID>1c7a02fa-0c6f-4870-8a1c-6111282bd6c8</errorID>
      <errorWord>）</errorWord>
      <group>L1_Format</group>
      <groupName>格式问题</groupName>
      <ability>L2_HalfPunc_CN</ability>
      <abilityName>全半角检查</abilityName>
      <candidateList>
        <item>)</item>
      </candidateList>
      <explain>文本全半角错误。</explain>
      <paraID> A2D27F2</paraID>
      <start>6</start>
      <end>7</end>
      <status>unmodified</status>
      <modifiedWord/>
      <trackRevisions>false</trackRevisions>
    </reviewItem>
    <reviewItem>
      <errorID>cd5048e2-e09d-49f5-9d55-c38e2e9b08d2</errorID>
      <errorWord>，</errorWord>
      <group>L1_Punc</group>
      <groupName>标点问题</groupName>
      <ability>L2_Punc_CN</ability>
      <abilityName>标点符号检查</abilityName>
      <candidateList>
        <item>。</item>
      </candidateList>
      <explain/>
      <paraID>62D16579</paraID>
      <start>18</start>
      <end>19</end>
      <status>unmodified</status>
      <modifiedWord/>
      <trackRevisions>false</trackRevisions>
    </reviewItem>
    <reviewItem>
      <errorID>5f078282-4638-4a0e-ac4f-0ed5eebcab81</errorID>
      <errorWord>“</errorWord>
      <group>L1_Punc</group>
      <groupName>标点问题</groupName>
      <ability>L2_Punc_CN</ability>
      <abilityName>标点符号检查</abilityName>
      <candidateList>
        <item>：“</item>
      </candidateList>
      <explain/>
      <paraID>62D16579</paraID>
      <start>51</start>
      <end>52</end>
      <status>unmodified</status>
      <modifiedWord/>
      <trackRevisions>false</trackRevisions>
    </reviewItem>
    <reviewItem>
      <errorID>444b7193-5c9b-41c8-9cdd-70e0109f1fed</errorID>
      <errorWord>，</errorWord>
      <group>L1_Punc</group>
      <groupName>标点问题</groupName>
      <ability>L2_Punc_CN</ability>
      <abilityName>标点符号检查</abilityName>
      <candidateList>
        <item>；</item>
      </candidateList>
      <explain/>
      <paraID>62D16579</paraID>
      <start>107</start>
      <end>108</end>
      <status>unmodified</status>
      <modifiedWord/>
      <trackRevisions>false</trackRevisions>
    </reviewItem>
    <reviewItem>
      <errorID>d1b35f5b-4966-4cae-ae4e-f0d4e59b6481</errorID>
      <errorWord>”，</errorWord>
      <group>L1_Punc</group>
      <groupName>标点问题</groupName>
      <ability>L2_Punc_CN</ability>
      <abilityName>标点符号检查</abilityName>
      <candidateList>
        <item>。”</item>
      </candidateList>
      <explain/>
      <paraID>62D16579</paraID>
      <start>142</start>
      <end>144</end>
      <status>unmodified</status>
      <modifiedWord/>
      <trackRevisions>false</trackRevisions>
    </reviewItem>
    <reviewItem>
      <errorID>12ef7124-aa2d-4fc4-8cfd-8f27cc3d2bc0</errorID>
      <errorWord>非甲烷总烃不开展</errorWord>
      <group>L1_Word</group>
      <groupName>字词问题</groupName>
      <ability>L2_Typo</ability>
      <abilityName>字词错误</abilityName>
      <candidateList>
        <item>不开展非甲烷总烃</item>
      </candidateList>
      <explain/>
      <paraID>62D16579</paraID>
      <start>175</start>
      <end>183</end>
      <status>modified</status>
      <modifiedWord>不开展非甲烷总烃</modifiedWord>
      <trackRevisions>false</trackRevisions>
    </reviewItem>
    <reviewItem>
      <errorID>861a3f7b-0468-49d3-a297-2bbe3662ffeb</errorID>
      <errorWord>，</errorWord>
      <group>L1_Punc</group>
      <groupName>标点问题</groupName>
      <ability>L2_Punc_CN</ability>
      <abilityName>标点符号检查</abilityName>
      <candidateList>
        <item>。</item>
      </candidateList>
      <explain/>
      <paraID>4448C02D</paraID>
      <start>62</start>
      <end>63</end>
      <status>modified</status>
      <modifiedWord>。</modifiedWord>
      <trackRevisions>false</trackRevisions>
    </reviewItem>
    <reviewItem>
      <errorID>590acbe6-b5c3-4137-8f78-86c3e375975d</errorID>
      <errorWord>）</errorWord>
      <group>L1_Format</group>
      <groupName>格式问题</groupName>
      <ability>L2_HalfPunc_CN</ability>
      <abilityName>全半角检查</abilityName>
      <candidateList>
        <item>)</item>
      </candidateList>
      <explain>文本全半角错误。</explain>
      <paraID>26619565</paraID>
      <start>6</start>
      <end>7</end>
      <status>unmodified</status>
      <modifiedWord/>
      <trackRevisions>false</trackRevisions>
    </reviewItem>
    <reviewItem>
      <errorID>a6fd49f7-f856-4cc2-8671-5e4e5b10ca6e</errorID>
      <errorWord>-</errorWord>
      <group>L1_Punc</group>
      <groupName>标点问题</groupName>
      <ability>L2_Punc_CN</ability>
      <abilityName>标点符号检查</abilityName>
      <candidateList>
        <item>～</item>
      </candidateList>
      <explain/>
      <paraID> A0E412A</paraID>
      <start>39</start>
      <end>40</end>
      <status>unmodified</status>
      <modifiedWord/>
      <trackRevisions>false</trackRevisions>
    </reviewItem>
    <reviewItem>
      <errorID>22b72b9a-dd18-4b43-857f-50ecc8e79e05</errorID>
      <errorWord>限值要求</errorWord>
      <group>L1_Grammar</group>
      <groupName>语法问题</groupName>
      <ability>L2_Grammar</ability>
      <abilityName>语法错误</abilityName>
      <candidateList>
        <item>限值</item>
      </candidateList>
      <explain/>
      <paraID>71B6B7BE</paraID>
      <start>196</start>
      <end>198</end>
      <status>modified</status>
      <modifiedWord>限值</modifiedWord>
      <trackRevisions>false</trackRevisions>
    </reviewItem>
    <reviewItem>
      <errorID>ee0fa037-6554-45c4-86c6-d9ccedefe29b</errorID>
      <errorWord>限值要求</errorWord>
      <group>L1_Grammar</group>
      <groupName>语法问题</groupName>
      <ability>L2_Grammar</ability>
      <abilityName>语法错误</abilityName>
      <candidateList>
        <item>限值</item>
      </candidateList>
      <explain/>
      <paraID>71B6B7BE</paraID>
      <start>380</start>
      <end>382</end>
      <status>modified</status>
      <modifiedWord>限值</modifiedWord>
      <trackRevisions>false</trackRevisions>
    </reviewItem>
    <reviewItem>
      <errorID>dd941d85-23bc-41e4-a238-c85052f66d16</errorID>
      <errorWord>要求；</errorWord>
      <group>L1_Grammar</group>
      <groupName>语法问题</groupName>
      <ability>L2_Grammar</ability>
      <abilityName>语法错误</abilityName>
      <candidateList>
        <item>。</item>
      </candidateList>
      <explain/>
      <paraID>71B6B7BE</paraID>
      <start>433</start>
      <end>434</end>
      <status>modified</status>
      <modifiedWord>。</modifiedWord>
      <trackRevisions>false</trackRevisions>
    </reviewItem>
    <reviewItem>
      <errorID>7d799b53-bf27-4abd-b401-ce86fa3e8ad4</errorID>
      <errorWord>规定要求</errorWord>
      <group>L1_Grammar</group>
      <groupName>语法问题</groupName>
      <ability>L2_Grammar</ability>
      <abilityName>语法错误</abilityName>
      <candidateList>
        <item>规定</item>
      </candidateList>
      <explain/>
      <paraID>71D79803</paraID>
      <start>40</start>
      <end>42</end>
      <status>modified</status>
      <modifiedWord>规定</modifiedWord>
      <trackRevisions>false</trackRevisions>
    </reviewItem>
    <reviewItem>
      <errorID>c45fece6-b779-4223-be3a-259dc0b74221</errorID>
      <errorWord>过程</errorWord>
      <group>L1_Word</group>
      <groupName>字词问题</groupName>
      <ability>L2_Typo</ability>
      <abilityName>字词错误</abilityName>
      <candidateList>
        <item>时</item>
      </candidateList>
      <explain/>
      <paraID>71D79803</paraID>
      <start>72</start>
      <end>73</end>
      <status>modified</status>
      <modifiedWord>时</modifiedWord>
      <trackRevisions>false</trackRevisions>
    </reviewItem>
    <reviewItem>
      <errorID>5651deec-0294-45c0-916d-4ece28c5e539</errorID>
      <errorWord>为</errorWord>
      <group>L1_Grammar</group>
      <groupName>语法问题</groupName>
      <ability>L2_Grammar</ability>
      <abilityName>语法错误</abilityName>
      <candidateList>
        <item>污染为</item>
      </candidateList>
      <explain/>
      <paraID>7709D1A5</paraID>
      <start>32</start>
      <end>35</end>
      <status>modified</status>
      <modifiedWord>污染为</modifiedWord>
      <trackRevisions>false</trackRevisions>
    </reviewItem>
    <reviewItem>
      <errorID>cb5df00a-fa8a-44a4-9958-1651677be7eb</errorID>
      <errorWord>周围</errorWord>
      <group>L1_Grammar</group>
      <groupName>语法问题</groupName>
      <ability>L2_Grammar</ability>
      <abilityName>语法错误</abilityName>
      <candidateList>
        <item>周围环境的</item>
      </candidateList>
      <explain/>
      <paraID>16EE858E</paraID>
      <start>41</start>
      <end>46</end>
      <status>modified</status>
      <modifiedWord>周围环境的</modifiedWord>
      <trackRevisions>false</trackRevisions>
    </reviewItem>
    <reviewItem>
      <errorID>99e16500-1f8d-4b4d-835c-8f466e8454fd</errorID>
      <errorWord>、</errorWord>
      <group>L1_Word</group>
      <groupName>字词问题</groupName>
      <ability>L2_Typo</ability>
      <abilityName>字词错误</abilityName>
      <candidateList>
        <item>及</item>
      </candidateList>
      <explain/>
      <paraID>3F92E0DA</paraID>
      <start>23</start>
      <end>24</end>
      <status>unmodified</status>
      <modifiedWord/>
      <trackRevisions>false</trackRevisions>
    </reviewItem>
    <reviewItem>
      <errorID>9c00b185-4004-46c4-a6e3-8e787af346c1</errorID>
      <errorWord>的施工</errorWord>
      <group>L1_Grammar</group>
      <groupName>语法问题</groupName>
      <ability>L2_Grammar</ability>
      <abilityName>语法错误</abilityName>
      <candidateList>
        <item>的</item>
      </candidateList>
      <explain/>
      <paraID>40B99A1D</paraID>
      <start>26</start>
      <end>27</end>
      <status>modified</status>
      <modifiedWord>的</modifiedWord>
      <trackRevisions>false</trackRevisions>
    </reviewItem>
    <reviewItem>
      <errorID>de4a099f-ffd8-4dbc-8e47-d64c4cb32abe</errorID>
      <errorWord>；</errorWord>
      <group>L1_Punc</group>
      <groupName>标点问题</groupName>
      <ability>L2_Punc_CN</ability>
      <abilityName>标点符号检查</abilityName>
      <candidateList>
        <item>。</item>
      </candidateList>
      <explain/>
      <paraID>352969BF</paraID>
      <start>17</start>
      <end>18</end>
      <status>modified</status>
      <modifiedWord>。</modifiedWord>
      <trackRevisions>false</trackRevisions>
    </reviewItem>
    <reviewItem>
      <errorID>b58211c1-fc09-430e-b554-c6fb6bc2ca8b</errorID>
      <errorWord>依托</errorWord>
      <group>L1_Grammar</group>
      <groupName>语法问题</groupName>
      <ability>L2_Grammar</ability>
      <abilityName>语法错误</abilityName>
      <candidateList>
        <item>生活污水依托</item>
      </candidateList>
      <explain/>
      <paraID>352969BF</paraID>
      <start>32</start>
      <end>34</end>
      <status>unmodified</status>
      <modifiedWord/>
      <trackRevisions>false</trackRevisions>
    </reviewItem>
    <reviewItem>
      <errorID>a8c6d874-4292-47d9-a8a9-e205a6d20e5f</errorID>
      <errorWord>经上述</errorWord>
      <group>L1_Word</group>
      <groupName>字词问题</groupName>
      <ability>L2_Typo</ability>
      <abilityName>字词错误</abilityName>
      <candidateList>
        <item>通过上述</item>
      </candidateList>
      <explain/>
      <paraID> 3CDF844</paraID>
      <start>0</start>
      <end>3</end>
      <status>unmodified</status>
      <modifiedWord/>
      <trackRevisions>false</trackRevisions>
    </reviewItem>
    <reviewItem>
      <errorID>a67b9b0e-c3fe-46ad-bc7e-eac4fda576b1</errorID>
      <errorWord>污染</errorWord>
      <group>L1_Word</group>
      <groupName>字词问题</groupName>
      <ability>L2_Typo</ability>
      <abilityName>字词错误</abilityName>
      <candidateList>
        <item>的污染</item>
      </candidateList>
      <explain/>
      <paraID> 3CDF844</paraID>
      <start>27</start>
      <end>30</end>
      <status>modified</status>
      <modifiedWord>的污染</modifiedWord>
      <trackRevisions>false</trackRevisions>
    </reviewItem>
    <reviewItem>
      <errorID>ad959ab2-a700-42ff-868e-3a6aebad92f1</errorID>
      <errorWord>及</errorWord>
      <group>L1_Word</group>
      <groupName>字词问题</groupName>
      <ability>L2_Typo</ability>
      <abilityName>字词错误</abilityName>
      <candidateList>
        <item>和</item>
      </candidateList>
      <explain/>
      <paraID> E6B4565</paraID>
      <start>30</start>
      <end>31</end>
      <status>unmodified</status>
      <modifiedWord/>
      <trackRevisions>false</trackRevisions>
    </reviewItem>
    <reviewItem>
      <errorID>bea58e1b-170f-459e-b943-5263fc9e3e75</errorID>
      <errorWord>：</errorWord>
      <group>L1_Punc</group>
      <groupName>标点问题</groupName>
      <ability>L2_Punc_CN</ability>
      <abilityName>标点符号检查</abilityName>
      <candidateList>
        <item>。</item>
      </candidateList>
      <explain/>
      <paraID>4A1FBD02</paraID>
      <start>7</start>
      <end>8</end>
      <status>unmodified</status>
      <modifiedWord/>
      <trackRevisions>false</trackRevisions>
    </reviewItem>
    <reviewItem>
      <errorID>799664d5-6df9-4cdc-b3a8-fed606b00fae</errorID>
      <errorWord> </errorWord>
      <group>L1_Punc</group>
      <groupName>标点问题</groupName>
      <ability>L2_Punc_CN</ability>
      <abilityName>标点符号检查</abilityName>
      <candidateList>
        <item/>
      </candidateList>
      <explain>此处空格冗余，建议删除。</explain>
      <paraID>47C3DB04</paraID>
      <start>71</start>
      <end>72</end>
      <status>unmodified</status>
      <modifiedWord/>
      <trackRevisions>false</trackRevisions>
    </reviewItem>
    <reviewItem>
      <errorID>50845fb1-f394-4039-a972-787a20c3c3a1</errorID>
      <errorWord>－</errorWord>
      <group>L1_Punc</group>
      <groupName>标点问题</groupName>
      <ability>L2_Punc_CN</ability>
      <abilityName>标点符号检查</abilityName>
      <candidateList>
        <item>·</item>
      </candidateList>
      <explain/>
      <paraID>47C3DB04</paraID>
      <start>97</start>
      <end>98</end>
      <status>unmodified</status>
      <modifiedWord/>
      <trackRevisions>false</trackRevisions>
    </reviewItem>
    <reviewItem>
      <errorID>1c0867b6-8719-43f9-99de-e36982763b78</errorID>
      <errorWord> </errorWord>
      <group>L1_Punc</group>
      <groupName>标点问题</groupName>
      <ability>L2_Punc_CN</ability>
      <abilityName>标点符号检查</abilityName>
      <candidateList>
        <item/>
      </candidateList>
      <explain>此处空格冗余，建议删除。</explain>
      <paraID>47C3DB04</paraID>
      <start>101</start>
      <end>102</end>
      <status>unmodified</status>
      <modifiedWord/>
      <trackRevisions>false</trackRevisions>
    </reviewItem>
    <reviewItem>
      <errorID>5205080b-a3c2-41a6-a2a4-0f7323b3d64e</errorID>
      <errorWord>－</errorWord>
      <group>L1_Punc</group>
      <groupName>标点问题</groupName>
      <ability>L2_Punc_CN</ability>
      <abilityName>标点符号检查</abilityName>
      <candidateList>
        <item>·</item>
      </candidateList>
      <explain/>
      <paraID>47C3DB04</paraID>
      <start>149</start>
      <end>150</end>
      <status>unmodified</status>
      <modifiedWord/>
      <trackRevisions>false</trackRevisions>
    </reviewItem>
    <reviewItem>
      <errorID>0d65af7f-7414-486c-84bc-64e1c1ba4881</errorID>
      <errorWord>－</errorWord>
      <group>L1_Punc</group>
      <groupName>标点问题</groupName>
      <ability>L2_Punc_CN</ability>
      <abilityName>标点符号检查</abilityName>
      <candidateList>
        <item>·</item>
      </candidateList>
      <explain/>
      <paraID>47C3DB04</paraID>
      <start>200</start>
      <end>201</end>
      <status>unmodified</status>
      <modifiedWord/>
      <trackRevisions>false</trackRevisions>
    </reviewItem>
    <reviewItem>
      <errorID>766ed7f6-6685-4105-97d2-529817d67551</errorID>
      <errorWord>；</errorWord>
      <group>L1_Punc</group>
      <groupName>标点问题</groupName>
      <ability>L2_Punc_CN</ability>
      <abilityName>标点符号检查</abilityName>
      <candidateList>
        <item>。</item>
      </candidateList>
      <explain/>
      <paraID>47C3DB04</paraID>
      <start>203</start>
      <end>204</end>
      <status>unmodified</status>
      <modifiedWord/>
      <trackRevisions>false</trackRevisions>
    </reviewItem>
    <reviewItem>
      <errorID>632a4c4f-ac62-4e57-9237-e8db55fa2f74</errorID>
      <errorWord>－</errorWord>
      <group>L1_Punc</group>
      <groupName>标点问题</groupName>
      <ability>L2_Punc_CN</ability>
      <abilityName>标点符号检查</abilityName>
      <candidateList>
        <item>·</item>
      </candidateList>
      <explain/>
      <paraID>47C3DB04</paraID>
      <start>245</start>
      <end>246</end>
      <status>unmodified</status>
      <modifiedWord/>
      <trackRevisions>false</trackRevisions>
    </reviewItem>
    <reviewItem>
      <errorID>42b14a02-ad19-4c5f-afb3-f8b6aecda6ee</errorID>
      <errorWord>；</errorWord>
      <group>L1_Punc</group>
      <groupName>标点问题</groupName>
      <ability>L2_Punc_CN</ability>
      <abilityName>标点符号检查</abilityName>
      <candidateList>
        <item>。</item>
      </candidateList>
      <explain/>
      <paraID>47C3DB04</paraID>
      <start>248</start>
      <end>249</end>
      <status>unmodified</status>
      <modifiedWord/>
      <trackRevisions>false</trackRevisions>
    </reviewItem>
    <reviewItem>
      <errorID>86836fca-1268-4c3f-83e7-44af0a0d13a0</errorID>
      <errorWord>用产</errorWord>
      <group>L1_Word</group>
      <groupName>字词问题</groupName>
      <ability>L2_Typo</ability>
      <abilityName>字词错误</abilityName>
      <candidateList>
        <item>生产</item>
      </candidateList>
      <explain>存在字形相近字词的误用。</explain>
      <paraID>6315E7C3</paraID>
      <start>119</start>
      <end>121</end>
      <status>modified</status>
      <modifiedWord>生产</modifiedWord>
      <trackRevisions>false</trackRevisions>
    </reviewItem>
    <reviewItem>
      <errorID>29cb3c23-b799-400f-9a47-358ca6dbdf8e</errorID>
      <errorWord>—</errorWord>
      <group>L1_Punc</group>
      <groupName>标点问题</groupName>
      <ability>L2_Punc_CN</ability>
      <abilityName>标点符号检查</abilityName>
      <candidateList>
        <item>～</item>
      </candidateList>
      <explain/>
      <paraID>47084ABF</paraID>
      <start>43</start>
      <end>44</end>
      <status>unmodified</status>
      <modifiedWord/>
      <trackRevisions>false</trackRevisions>
    </reviewItem>
    <reviewItem>
      <errorID>158d4428-2467-4278-9c88-498f5aa14d88</errorID>
      <errorWord> </errorWord>
      <group>L1_Punc</group>
      <groupName>标点问题</groupName>
      <ability>L2_Punc_CN</ability>
      <abilityName>标点符号检查</abilityName>
      <candidateList>
        <item/>
      </candidateList>
      <explain>此处空格冗余，建议删除。</explain>
      <paraID>52D29448</paraID>
      <start>250</start>
      <end>251</end>
      <status>unmodified</status>
      <modifiedWord/>
      <trackRevisions>false</trackRevisions>
    </reviewItem>
    <reviewItem>
      <errorID>c270a9b6-a0a2-4992-a965-b22f991e0223</errorID>
      <errorWord>~</errorWord>
      <group>L1_Format</group>
      <groupName>格式问题</groupName>
      <ability>L2_HalfPunc_CN</ability>
      <abilityName>全半角检查</abilityName>
      <candidateList>
        <item>～</item>
      </candidateList>
      <explain>文本全半角错误。</explain>
      <paraID> 9E53834</paraID>
      <start>35</start>
      <end>36</end>
      <status>unmodified</status>
      <modifiedWord/>
      <trackRevisions>false</trackRevisions>
    </reviewItem>
    <reviewItem>
      <errorID>18e1c384-aaaf-47d7-8b59-1979700e0071</errorID>
      <errorWord>~</errorWord>
      <group>L1_Format</group>
      <groupName>格式问题</groupName>
      <ability>L2_HalfPunc_CN</ability>
      <abilityName>全半角检查</abilityName>
      <candidateList>
        <item>～</item>
      </candidateList>
      <explain>文本全半角错误。</explain>
      <paraID> 9BAA896</paraID>
      <start>79</start>
      <end>80</end>
      <status>unmodified</status>
      <modifiedWord/>
      <trackRevisions>false</trackRevisions>
    </reviewItem>
    <reviewItem>
      <errorID>e639460b-3df9-42e1-add8-8e4f949e4889</errorID>
      <errorWord>踢脚板一</errorWord>
      <group>L1_Word</group>
      <groupName>字词问题</groupName>
      <ability>L2_Typo</ability>
      <abilityName>字词错误</abilityName>
      <candidateList>
        <item>踢脚板</item>
      </candidateList>
      <explain/>
      <paraID> 9BAA896</paraID>
      <start>107</start>
      <end>110</end>
      <status>modified</status>
      <modifiedWord>踢脚板</modifiedWord>
      <trackRevisions>false</trackRevisions>
    </reviewItem>
    <reviewItem>
      <errorID>7d5ab22a-5c83-4077-979d-558923f66a0b</errorID>
      <errorWord>，</errorWord>
      <group>L1_Punc</group>
      <groupName>标点问题</groupName>
      <ability>L2_Punc_CN</ability>
      <abilityName>标点符号检查</abilityName>
      <candidateList>
        <item>。</item>
      </candidateList>
      <explain/>
      <paraID>  37B8EF</paraID>
      <start>30</start>
      <end>31</end>
      <status>unmodified</status>
      <modifiedWord/>
      <trackRevisions>false</trackRevisions>
    </reviewItem>
    <reviewItem>
      <errorID>6978199f-cdb0-4b9f-904b-cd31841252a3</errorID>
      <errorWord>，</errorWord>
      <group>L1_Punc</group>
      <groupName>标点问题</groupName>
      <ability>L2_Punc_CN</ability>
      <abilityName>标点符号检查</abilityName>
      <candidateList>
        <item/>
      </candidateList>
      <explain/>
      <paraID>  37B8EF</paraID>
      <start>35</start>
      <end>36</end>
      <status>unmodified</status>
      <modifiedWord/>
      <trackRevisions>false</trackRevisions>
    </reviewItem>
    <reviewItem>
      <errorID>8b701084-0df4-4f0f-a090-c0f45dffc44a</errorID>
      <errorWord>对</errorWord>
      <group>L1_Punc</group>
      <groupName>标点问题</groupName>
      <ability>L2_Punc_CN</ability>
      <abilityName>标点符号检查</abilityName>
      <candidateList>
        <item>，对</item>
      </candidateList>
      <explain/>
      <paraID>  37B8EF</paraID>
      <start>60</start>
      <end>62</end>
      <status>modified</status>
      <modifiedWord>，对</modifiedWord>
      <trackRevisions>false</trackRevisions>
    </reviewItem>
    <reviewItem>
      <errorID>fc002c82-54e2-461a-8368-44426e72e339</errorID>
      <errorWord>）</errorWord>
      <group>L1_Punc</group>
      <groupName>标点问题</groupName>
      <ability>L2_Punc_CN</ability>
      <abilityName>标点符号检查</abilityName>
      <candidateList/>
      <explain>同一形式括号套用。</explain>
      <paraID>663FF4D0</paraID>
      <start>8</start>
      <end>9</end>
      <status>unmodified</status>
      <modifiedWord/>
      <trackRevisions>false</trackRevisions>
    </reviewItem>
    <reviewItem>
      <errorID>1a522d58-3738-469d-abba-8b67874988b2</errorID>
      <errorWord>）</errorWord>
      <group>L1_Format</group>
      <groupName>格式问题</groupName>
      <ability>L2_HalfPunc_CN</ability>
      <abilityName>全半角检查</abilityName>
      <candidateList>
        <item>)</item>
      </candidateList>
      <explain>文本全半角错误。</explain>
      <paraID>45DA7D1E</paraID>
      <start>2</start>
      <end>3</end>
      <status>unmodified</status>
      <modifiedWord/>
      <trackRevisions>false</trackRevisions>
    </reviewItem>
    <reviewItem>
      <errorID>00f6a001-bf62-4c3b-ba47-93212bf5cd80</errorID>
      <errorWord>（</errorWord>
      <group>L1_Format</group>
      <groupName>格式问题</groupName>
      <ability>L2_HalfPunc_CN</ability>
      <abilityName>全半角检查</abilityName>
      <candidateList>
        <item>(</item>
      </candidateList>
      <explain>文本全半角错误。</explain>
      <paraID>4FF06340</paraID>
      <start>12</start>
      <end>13</end>
      <status>unmodified</status>
      <modifiedWord/>
      <trackRevisions>false</trackRevisions>
    </reviewItem>
    <reviewItem>
      <errorID>09593692-22c6-4ab9-ac64-9dc81ddd596b</errorID>
      <errorWord>）</errorWord>
      <group>L1_Format</group>
      <groupName>格式问题</groupName>
      <ability>L2_HalfPunc_CN</ability>
      <abilityName>全半角检查</abilityName>
      <candidateList>
        <item>)</item>
      </candidateList>
      <explain>文本全半角错误。</explain>
      <paraID>4FF06340</paraID>
      <start>14</start>
      <end>15</end>
      <status>unmodified</status>
      <modifiedWord/>
      <trackRevisions>false</trackRevisions>
    </reviewItem>
    <reviewItem>
      <errorID>8ee9d549-4b61-4188-9144-eedc8ec8e0c2</errorID>
      <errorWord>—</errorWord>
      <group>L1_Punc</group>
      <groupName>标点问题</groupName>
      <ability>L2_Punc_CN</ability>
      <abilityName>标点符号检查</abilityName>
      <candidateList>
        <item>－</item>
      </candidateList>
      <explain/>
      <paraID>4FF06340</paraID>
      <start>15</start>
      <end>16</end>
      <status>unmodified</status>
      <modifiedWord/>
      <trackRevisions>false</trackRevisions>
    </reviewItem>
    <reviewItem>
      <errorID>99ad30b1-1ec1-4fcf-9867-f8a061eace0a</errorID>
      <errorWord>）</errorWord>
      <group>L1_Format</group>
      <groupName>格式问题</groupName>
      <ability>L2_HalfPunc_CN</ability>
      <abilityName>全半角检查</abilityName>
      <candidateList>
        <item>)</item>
      </candidateList>
      <explain>文本全半角错误。</explain>
      <paraID>4FF06340</paraID>
      <start>22</start>
      <end>23</end>
      <status>unmodified</status>
      <modifiedWord/>
      <trackRevisions>false</trackRevisions>
    </reviewItem>
    <reviewItem>
      <errorID>509f5ddf-58a0-4c16-b47b-85d3172da2c5</errorID>
      <errorWord>：</errorWord>
      <group>L1_Punc</group>
      <groupName>标点问题</groupName>
      <ability>L2_Punc_CN</ability>
      <abilityName>标点符号检查</abilityName>
      <candidateList>
        <item>，</item>
      </candidateList>
      <explain/>
      <paraID> 2505A0E</paraID>
      <start>31</start>
      <end>32</end>
      <status>unmodified</status>
      <modifiedWord/>
      <trackRevisions>false</trackRevisions>
    </reviewItem>
    <reviewItem>
      <errorID>e98efbd1-c3b0-4f44-b063-2596a188eaf3</errorID>
      <errorWord>：</errorWord>
      <group>L1_Punc</group>
      <groupName>标点问题</groupName>
      <ability>L2_Punc_CN</ability>
      <abilityName>标点符号检查</abilityName>
      <candidateList>
        <item>，</item>
      </candidateList>
      <explain/>
      <paraID>66DA1B88</paraID>
      <start>31</start>
      <end>32</end>
      <status>unmodified</status>
      <modifiedWord/>
      <trackRevisions>false</trackRevisions>
    </reviewItem>
    <reviewItem>
      <errorID>8ba6e778-6418-4645-94d7-5395a3de422f</errorID>
      <errorWord>；</errorWord>
      <group>L1_Format</group>
      <groupName>格式问题</groupName>
      <ability>L2_HalfPunc_CN</ability>
      <abilityName>全半角检查</abilityName>
      <candidateList>
        <item>;</item>
      </candidateList>
      <explain>文本全半角错误。</explain>
      <paraID>4955874C</paraID>
      <start>2</start>
      <end>3</end>
      <status>unmodified</status>
      <modifiedWord/>
      <trackRevisions>false</trackRevisions>
    </reviewItem>
    <reviewItem>
      <errorID>9be7525a-8126-4c74-aac9-fe12c55433de</errorID>
      <errorWord>（</errorWord>
      <group>L1_Format</group>
      <groupName>格式问题</groupName>
      <ability>L2_HalfPunc_CN</ability>
      <abilityName>全半角检查</abilityName>
      <candidateList>
        <item>(</item>
      </candidateList>
      <explain>文本全半角错误。</explain>
      <paraID>665781C4</paraID>
      <start>6</start>
      <end>7</end>
      <status>unmodified</status>
      <modifiedWord/>
      <trackRevisions>false</trackRevisions>
    </reviewItem>
    <reviewItem>
      <errorID>c039945f-16b7-474b-b4b1-0945a5caf456</errorID>
      <errorWord>）</errorWord>
      <group>L1_Format</group>
      <groupName>格式问题</groupName>
      <ability>L2_HalfPunc_CN</ability>
      <abilityName>全半角检查</abilityName>
      <candidateList>
        <item>)</item>
      </candidateList>
      <explain>文本全半角错误。</explain>
      <paraID>665781C4</paraID>
      <start>8</start>
      <end>9</end>
      <status>unmodified</status>
      <modifiedWord/>
      <trackRevisions>false</trackRevisions>
    </reviewItem>
    <reviewItem>
      <errorID>880124f3-0f9b-4d15-a7dd-77055bb1779e</errorID>
      <errorWord>：</errorWord>
      <group>L1_Punc</group>
      <groupName>标点问题</groupName>
      <ability>L2_Punc_CN</ability>
      <abilityName>标点符号检查</abilityName>
      <candidateList>
        <item>，</item>
      </candidateList>
      <explain/>
      <paraID>71BF1F5B</paraID>
      <start>30</start>
      <end>31</end>
      <status>unmodified</status>
      <modifiedWord/>
      <trackRevisions>false</trackRevisions>
    </reviewItem>
    <reviewItem>
      <errorID>1fcddf52-84e7-4327-9a37-121a1ce9e153</errorID>
      <errorWord>：</errorWord>
      <group>L1_Punc</group>
      <groupName>标点问题</groupName>
      <ability>L2_Punc_CN</ability>
      <abilityName>标点符号检查</abilityName>
      <candidateList>
        <item>，</item>
      </candidateList>
      <explain/>
      <paraID>36157EB9</paraID>
      <start>22</start>
      <end>23</end>
      <status>unmodified</status>
      <modifiedWord/>
      <trackRevisions>false</trackRevisions>
    </reviewItem>
    <reviewItem>
      <errorID>1b4e2d42-2c5f-4437-8899-4cb33d829352</errorID>
      <errorWord>-</errorWord>
      <group>L1_Punc</group>
      <groupName>标点问题</groupName>
      <ability>L2_Punc_CN</ability>
      <abilityName>标点符号检查</abilityName>
      <candidateList>
        <item>—</item>
      </candidateList>
      <explain/>
      <paraID>6FD65794</paraID>
      <start>1</start>
      <end>2</end>
      <status>unmodified</status>
      <modifiedWord/>
      <trackRevisions>false</trackRevisions>
    </reviewItem>
    <reviewItem>
      <errorID>5f08678b-f4bc-4bba-bc22-c904bccd9e43</errorID>
      <errorWord>：</errorWord>
      <group>L1_Punc</group>
      <groupName>标点问题</groupName>
      <ability>L2_Punc_CN</ability>
      <abilityName>标点符号检查</abilityName>
      <candidateList>
        <item>，</item>
      </candidateList>
      <explain/>
      <paraID>7B7271C6</paraID>
      <start>13</start>
      <end>14</end>
      <status>unmodified</status>
      <modifiedWord/>
      <trackRevisions>false</trackRevisions>
    </reviewItem>
    <reviewItem>
      <errorID>ad62e120-8233-4d7c-8c63-7730d7fb2ca8</errorID>
      <errorWord>：</errorWord>
      <group>L1_Punc</group>
      <groupName>标点问题</groupName>
      <ability>L2_Punc_CN</ability>
      <abilityName>标点符号检查</abilityName>
      <candidateList>
        <item>，</item>
      </candidateList>
      <explain/>
      <paraID>23578793</paraID>
      <start>23</start>
      <end>24</end>
      <status>unmodified</status>
      <modifiedWord/>
      <trackRevisions>false</trackRevisions>
    </reviewItem>
    <reviewItem>
      <errorID>ea0e334c-70f9-49f8-8ed8-96718d78afd3</errorID>
      <errorWord>：</errorWord>
      <group>L1_Punc</group>
      <groupName>标点问题</groupName>
      <ability>L2_Punc_CN</ability>
      <abilityName>标点符号检查</abilityName>
      <candidateList>
        <item>，</item>
      </candidateList>
      <explain/>
      <paraID>18C3F5D1</paraID>
      <start>51</start>
      <end>52</end>
      <status>unmodified</status>
      <modifiedWord/>
      <trackRevisions>false</trackRevisions>
    </reviewItem>
    <reviewItem>
      <errorID>ca9d0fb7-aa18-4cd3-99dc-58cb03c1abb1</errorID>
      <errorWord>：</errorWord>
      <group>L1_Punc</group>
      <groupName>标点问题</groupName>
      <ability>L2_Punc_CN</ability>
      <abilityName>标点符号检查</abilityName>
      <candidateList>
        <item>，</item>
      </candidateList>
      <explain/>
      <paraID> D8AAEB9</paraID>
      <start>14</start>
      <end>15</end>
      <status>unmodified</status>
      <modifiedWord/>
      <trackRevisions>false</trackRevisions>
    </reviewItem>
    <reviewItem>
      <errorID>4a91af89-e021-48e5-84f2-9020f5d1ebfb</errorID>
      <errorWord>：</errorWord>
      <group>L1_Punc</group>
      <groupName>标点问题</groupName>
      <ability>L2_Punc_CN</ability>
      <abilityName>标点符号检查</abilityName>
      <candidateList>
        <item>，</item>
      </candidateList>
      <explain/>
      <paraID>699F02C2</paraID>
      <start>14</start>
      <end>15</end>
      <status>unmodified</status>
      <modifiedWord/>
      <trackRevisions>false</trackRevisions>
    </reviewItem>
    <reviewItem>
      <errorID>f30ef4a7-0b24-4e46-b5b3-16a884e4fb45</errorID>
      <errorWord>：</errorWord>
      <group>L1_Punc</group>
      <groupName>标点问题</groupName>
      <ability>L2_Punc_CN</ability>
      <abilityName>标点符号检查</abilityName>
      <candidateList>
        <item>，</item>
      </candidateList>
      <explain/>
      <paraID> F311CB7</paraID>
      <start>13</start>
      <end>14</end>
      <status>unmodified</status>
      <modifiedWord/>
      <trackRevisions>false</trackRevisions>
    </reviewItem>
    <reviewItem>
      <errorID>03efcd62-3f17-4e1d-a2e6-8fd1ff92c334</errorID>
      <errorWord>：</errorWord>
      <group>L1_Punc</group>
      <groupName>标点问题</groupName>
      <ability>L2_Punc_CN</ability>
      <abilityName>标点符号检查</abilityName>
      <candidateList>
        <item>，</item>
      </candidateList>
      <explain/>
      <paraID>655C2E64</paraID>
      <start>15</start>
      <end>16</end>
      <status>unmodified</status>
      <modifiedWord/>
      <trackRevisions>false</trackRevisions>
    </reviewItem>
    <reviewItem>
      <errorID>be7fdb8e-1874-419a-b99c-1a076fe2efad</errorID>
      <errorWord>：</errorWord>
      <group>L1_Punc</group>
      <groupName>标点问题</groupName>
      <ability>L2_Punc_CN</ability>
      <abilityName>标点符号检查</abilityName>
      <candidateList>
        <item>，</item>
      </candidateList>
      <explain/>
      <paraID>47570901</paraID>
      <start>18</start>
      <end>19</end>
      <status>unmodified</status>
      <modifiedWord/>
      <trackRevisions>false</trackRevisions>
    </reviewItem>
    <reviewItem>
      <errorID>e73d6410-c74e-43ae-89d0-8e59d9d517c9</errorID>
      <errorWord>）</errorWord>
      <group>L1_Format</group>
      <groupName>格式问题</groupName>
      <ability>L2_HalfPunc_CN</ability>
      <abilityName>全半角检查</abilityName>
      <candidateList>
        <item>)</item>
      </candidateList>
      <explain>文本全半角错误。</explain>
      <paraID> F4DCBAE</paraID>
      <start>9</start>
      <end>10</end>
      <status>unmodified</status>
      <modifiedWord/>
      <trackRevisions>false</trackRevisions>
    </reviewItem>
    <reviewItem>
      <errorID>1f9b3976-de3a-4a80-b630-5db46423a3ef</errorID>
      <errorWord>）</errorWord>
      <group>L1_Format</group>
      <groupName>格式问题</groupName>
      <ability>L2_HalfPunc_CN</ability>
      <abilityName>全半角检查</abilityName>
      <candidateList>
        <item>)</item>
      </candidateList>
      <explain>文本全半角错误。</explain>
      <paraID> BCE5354</paraID>
      <start>4</start>
      <end>5</end>
      <status>unmodified</status>
      <modifiedWord/>
      <trackRevisions>false</trackRevisions>
    </reviewItem>
    <reviewItem>
      <errorID>dd4018e1-ef60-4cd1-8501-bd6c6925afcd</errorID>
      <errorWord>可以</errorWord>
      <group>L1_Word</group>
      <groupName>字词问题</groupName>
      <ability>L2_Typo</ability>
      <abilityName>字词错误</abilityName>
      <candidateList>
        <item>可</item>
      </candidateList>
      <explain/>
      <paraID>774ED822</paraID>
      <start>131</start>
      <end>132</end>
      <status>modified</status>
      <modifiedWord>可</modifiedWord>
      <trackRevisions>false</trackRevisions>
    </reviewItem>
    <reviewItem>
      <errorID>f529b86f-4923-45f2-9920-2a15e74ca8d6</errorID>
      <errorWord>)</errorWord>
      <group>L1_Format</group>
      <groupName>格式问题</groupName>
      <ability>L2_HalfPunc_CN</ability>
      <abilityName>全半角检查</abilityName>
      <candidateList>
        <item>）</item>
      </candidateList>
      <explain>文本全半角错误。</explain>
      <paraID>2B3971E2</paraID>
      <start>35</start>
      <end>36</end>
      <status>unmodified</status>
      <modifiedWord/>
      <trackRevisions>false</trackRevisions>
    </reviewItem>
    <reviewItem>
      <errorID>922151ef-5963-4add-8678-07569889420e</errorID>
      <errorWord>)</errorWord>
      <group>L1_Format</group>
      <groupName>格式问题</groupName>
      <ability>L2_HalfPunc_CN</ability>
      <abilityName>全半角检查</abilityName>
      <candidateList>
        <item>）</item>
      </candidateList>
      <explain>文本全半角错误。</explain>
      <paraID>7B1787D5</paraID>
      <start>26</start>
      <end>27</end>
      <status>unmodified</status>
      <modifiedWord/>
      <trackRevisions>false</trackRevisions>
    </reviewItem>
    <reviewItem>
      <errorID>54ec7060-faff-40a0-a849-767d6300927e</errorID>
      <errorWord>可以</errorWord>
      <group>L1_Word</group>
      <groupName>字词问题</groupName>
      <ability>L2_Typo</ability>
      <abilityName>字词错误</abilityName>
      <candidateList>
        <item>可</item>
      </candidateList>
      <explain/>
      <paraID>7B1787D5</paraID>
      <start>43</start>
      <end>45</end>
      <status>unmodified</status>
      <modifiedWord/>
      <trackRevisions>false</trackRevisions>
    </reviewItem>
    <reviewItem>
      <errorID>69cf0f32-5835-42be-ab24-f82de561f93c</errorID>
      <errorWord> </errorWord>
      <group>L1_Punc</group>
      <groupName>标点问题</groupName>
      <ability>L2_Punc_CN</ability>
      <abilityName>标点符号检查</abilityName>
      <candidateList>
        <item>·</item>
      </candidateList>
      <explain/>
      <paraID> 6519DCC</paraID>
      <start>105</start>
      <end>106</end>
      <status>unmodified</status>
      <modifiedWord/>
      <trackRevisions>false</trackRevisions>
    </reviewItem>
    <reviewItem>
      <errorID>d8839d21-9996-4359-897b-489379ecba70</errorID>
      <errorWord>抹布手套</errorWord>
      <group>L1_Grammar</group>
      <groupName>语法问题</groupName>
      <ability>L2_Grammar</ability>
      <abilityName>语法错误</abilityName>
      <candidateList>
        <item>抹布</item>
      </candidateList>
      <explain/>
      <paraID> 1BB6636</paraID>
      <start>23</start>
      <end>27</end>
      <status>unmodified</status>
      <modifiedWord/>
      <trackRevisions>false</trackRevisions>
    </reviewItem>
    <reviewItem>
      <errorID>91184a35-987e-43a4-b439-a03b12195c6c</errorID>
      <errorWord>~</errorWord>
      <group>L1_Format</group>
      <groupName>格式问题</groupName>
      <ability>L2_HalfPunc_CN</ability>
      <abilityName>全半角检查</abilityName>
      <candidateList>
        <item>～</item>
      </candidateList>
      <explain>文本全半角错误。</explain>
      <paraID>5284C0C0</paraID>
      <start>86</start>
      <end>87</end>
      <status>unmodified</status>
      <modifiedWord/>
      <trackRevisions>false</trackRevisions>
    </reviewItem>
    <reviewItem>
      <errorID>d69fdaf5-99aa-4f5d-bd2c-c28d066985dc</errorID>
      <errorWord>粘土</errorWord>
      <group>L1_Word</group>
      <groupName>字词问题</groupName>
      <ability>L2_Typo</ability>
      <abilityName>字词错误</abilityName>
      <candidateList>
        <item>黏土</item>
      </candidateList>
      <explain/>
      <paraID>62357D19</paraID>
      <start>155</start>
      <end>157</end>
      <status>unmodified</status>
      <modifiedWord/>
      <trackRevisions>false</trackRevisions>
    </reviewItem>
    <reviewItem>
      <errorID>21d74721-4eff-4fbe-b675-1477179bcacc</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62357D19</paraID>
      <start>170</start>
      <end>171</end>
      <status>unmodified</status>
      <modifiedWord/>
      <trackRevisions>false</trackRevisions>
    </reviewItem>
    <reviewItem>
      <errorID>9fc67803-594c-4cd5-9458-a7ae4e24f07e</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62357D19</paraID>
      <start>202</start>
      <end>203</end>
      <status>unmodified</status>
      <modifiedWord/>
      <trackRevisions>false</trackRevisions>
    </reviewItem>
    <reviewItem>
      <errorID>c6076b3e-e13b-4139-8ac8-baded9649601</errorID>
      <errorWord>须</errorWord>
      <group>L1_Word</group>
      <groupName>字词问题</groupName>
      <ability>L2_Typo</ability>
      <abilityName>字词错误</abilityName>
      <candidateList>
        <item>须保</item>
      </candidateList>
      <explain/>
      <paraID>6A425ED8</paraID>
      <start>18</start>
      <end>19</end>
      <status>unmodified</status>
      <modifiedWord/>
      <trackRevisions>false</trackRevisions>
    </reviewItem>
    <reviewItem>
      <errorID>e23b0146-177e-413f-bf1c-c720716a1eaf</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3EDCFDDE</paraID>
      <start>87</start>
      <end>88</end>
      <status>unmodified</status>
      <modifiedWord/>
      <trackRevisions>false</trackRevisions>
    </reviewItem>
    <reviewItem>
      <errorID>806690e1-b85d-43f2-9cac-24ef15145a71</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21E1DA8B</paraID>
      <start>26</start>
      <end>27</end>
      <status>unmodified</status>
      <modifiedWord/>
      <trackRevisions>false</trackRevisions>
    </reviewItem>
    <reviewItem>
      <errorID>69f8b202-f9d8-4cc2-a4c8-236cf4e7ac72</errorID>
      <errorWord>地</errorWord>
      <group>L1_Word</group>
      <groupName>字词问题</groupName>
      <ability>L2_DDD</ability>
      <abilityName>的地得用法</abilityName>
      <candidateList>
        <item>的</item>
      </candidateList>
      <explain>“的”常用于连接修饰语与名词性中心语，表示属性、所属或描述。</explain>
      <paraID>7118DD69</paraID>
      <start>127</start>
      <end>128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de82bef-7f3a-4ebe-8493-a97f366bb455}">
  <ds:schemaRefs/>
</ds:datastoreItem>
</file>

<file path=docProps/app.xml><?xml version="1.0" encoding="utf-8"?>
<Properties xmlns="http://schemas.openxmlformats.org/officeDocument/2006/extended-properties" xmlns:vt="http://schemas.openxmlformats.org/officeDocument/2006/docPropsVTypes">
  <Template>wdzx97</Template>
  <Company>微软中国</Company>
  <Pages>61</Pages>
  <Words>123</Words>
  <Characters>149</Characters>
  <Lines>177</Lines>
  <Paragraphs>50</Paragraphs>
  <TotalTime>0</TotalTime>
  <ScaleCrop>false</ScaleCrop>
  <LinksUpToDate>false</LinksUpToDate>
  <CharactersWithSpaces>204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2021-04-06T07:22:00Z</dcterms:created>
  <dc:creator>lhj</dc:creator>
  <cp:lastModifiedBy>小小树</cp:lastModifiedBy>
  <cp:lastPrinted>2020-12-29T02:43:00Z</cp:lastPrinted>
  <dcterms:modified xsi:type="dcterms:W3CDTF">2026-07-24T04:58:48Z</dcterms:modified>
  <dc:title>附件2</dc:title>
  <cp:revision>32767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79DEE092AEC841BBAC8C9BFCD02746EF_13</vt:lpwstr>
  </property>
  <property fmtid="{D5CDD505-2E9C-101B-9397-08002B2CF9AE}" pid="4" name="KSOTemplateDocerSaveRecord">
    <vt:lpwstr>eyJoZGlkIjoiMWM3NWQxNzQ1Nzg5M2Q0ZDE1ZmYzMGUxODVmMTU0ZGQiLCJ1c2VySWQiOiIxMzM3ODM2MiJ9</vt:lpwstr>
  </property>
</Properties>
</file>