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说明一</w:t>
      </w:r>
    </w:p>
    <w:p>
      <w:pPr>
        <w:spacing w:line="400" w:lineRule="exact"/>
        <w:rPr>
          <w:rFonts w:ascii="仿宋" w:hAnsi="仿宋" w:eastAsia="仿宋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凤翔区</w:t>
      </w:r>
      <w:r>
        <w:rPr>
          <w:rFonts w:hint="eastAsia" w:ascii="方正小标宋简体" w:eastAsia="方正小标宋简体"/>
          <w:sz w:val="36"/>
          <w:szCs w:val="36"/>
        </w:rPr>
        <w:t>转移支付预算情况说明</w:t>
      </w:r>
    </w:p>
    <w:p>
      <w:pPr>
        <w:rPr>
          <w:rFonts w:hint="eastAsia"/>
          <w:sz w:val="32"/>
          <w:szCs w:val="32"/>
        </w:rPr>
      </w:pP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年预列转移支付资金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162141</w:t>
      </w:r>
      <w:r>
        <w:rPr>
          <w:rFonts w:hint="eastAsia" w:ascii="仿宋_GB2312" w:eastAsia="仿宋_GB2312"/>
          <w:sz w:val="32"/>
          <w:szCs w:val="32"/>
        </w:rPr>
        <w:t>万元。其中，返还性收入1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675</w:t>
      </w:r>
      <w:r>
        <w:rPr>
          <w:rFonts w:hint="eastAsia" w:ascii="仿宋_GB2312" w:eastAsia="仿宋_GB2312"/>
          <w:sz w:val="32"/>
          <w:szCs w:val="32"/>
        </w:rPr>
        <w:t>万元，一般性转移支付1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17482</w:t>
      </w:r>
      <w:r>
        <w:rPr>
          <w:rFonts w:hint="eastAsia" w:ascii="仿宋_GB2312" w:eastAsia="仿宋_GB2312"/>
          <w:sz w:val="32"/>
          <w:szCs w:val="32"/>
        </w:rPr>
        <w:t>万元，专项转移支付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42984</w:t>
      </w:r>
      <w:r>
        <w:rPr>
          <w:rFonts w:hint="eastAsia" w:ascii="仿宋_GB2312" w:eastAsia="仿宋_GB2312"/>
          <w:sz w:val="32"/>
          <w:szCs w:val="32"/>
        </w:rPr>
        <w:t>万元。返还性收入和一般性转移支付按202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年实际到位数预列，专项转移支付按上年实际到位数的70%预列，待正式下达安排后进行科目调整。</w:t>
      </w:r>
    </w:p>
    <w:p>
      <w:pPr>
        <w:spacing w:line="400" w:lineRule="exact"/>
        <w:rPr>
          <w:rFonts w:ascii="仿宋" w:hAnsi="仿宋" w:eastAsia="仿宋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1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spacing w:line="4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说明二</w:t>
      </w:r>
    </w:p>
    <w:p>
      <w:pPr>
        <w:spacing w:line="400" w:lineRule="exact"/>
        <w:rPr>
          <w:rFonts w:ascii="仿宋" w:hAnsi="仿宋" w:eastAsia="仿宋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凤翔区</w:t>
      </w:r>
      <w:r>
        <w:rPr>
          <w:rFonts w:hint="eastAsia" w:ascii="方正小标宋简体" w:eastAsia="方正小标宋简体"/>
          <w:sz w:val="36"/>
          <w:szCs w:val="36"/>
        </w:rPr>
        <w:t>政府债务预算情况说明</w:t>
      </w:r>
    </w:p>
    <w:p>
      <w:pPr>
        <w:spacing w:line="400" w:lineRule="exact"/>
        <w:rPr>
          <w:rFonts w:hint="eastAsia" w:ascii="宋体"/>
          <w:b/>
          <w:sz w:val="36"/>
          <w:szCs w:val="36"/>
        </w:rPr>
      </w:pPr>
    </w:p>
    <w:p>
      <w:pPr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年，省市核定我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政府债务限额为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121431.66</w:t>
      </w:r>
      <w:r>
        <w:rPr>
          <w:rFonts w:hint="eastAsia" w:ascii="仿宋_GB2312" w:eastAsia="仿宋_GB2312"/>
          <w:sz w:val="32"/>
          <w:szCs w:val="32"/>
        </w:rPr>
        <w:t>万元，其中：一般债务限额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72702.66.66</w:t>
      </w:r>
      <w:r>
        <w:rPr>
          <w:rFonts w:hint="eastAsia" w:ascii="仿宋_GB2312" w:eastAsia="仿宋_GB2312"/>
          <w:sz w:val="32"/>
          <w:szCs w:val="32"/>
        </w:rPr>
        <w:t>万元，专项债务限额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48729</w:t>
      </w:r>
      <w:r>
        <w:rPr>
          <w:rFonts w:hint="eastAsia" w:ascii="仿宋_GB2312" w:eastAsia="仿宋_GB2312"/>
          <w:sz w:val="32"/>
          <w:szCs w:val="32"/>
        </w:rPr>
        <w:t>万元。截止202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年底，我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政府债务余额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96679.56</w:t>
      </w:r>
      <w:r>
        <w:rPr>
          <w:rFonts w:hint="eastAsia" w:ascii="仿宋_GB2312" w:eastAsia="仿宋_GB2312"/>
          <w:sz w:val="32"/>
          <w:szCs w:val="32"/>
        </w:rPr>
        <w:t>万元，其中：一般债务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49877.56</w:t>
      </w:r>
      <w:r>
        <w:rPr>
          <w:rFonts w:hint="eastAsia" w:ascii="仿宋_GB2312" w:eastAsia="仿宋_GB2312"/>
          <w:sz w:val="32"/>
          <w:szCs w:val="32"/>
        </w:rPr>
        <w:t>万元，专项债务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46802</w:t>
      </w:r>
      <w:r>
        <w:rPr>
          <w:rFonts w:hint="eastAsia" w:ascii="仿宋_GB2312" w:eastAsia="仿宋_GB2312"/>
          <w:sz w:val="32"/>
          <w:szCs w:val="32"/>
        </w:rPr>
        <w:t>万元，债务余额均在债务限额之内，政府债务风险总体可控，202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年债务限额省市尚未明确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400" w:lineRule="exact"/>
        <w:rPr>
          <w:rFonts w:ascii="仿宋" w:hAnsi="仿宋" w:eastAsia="仿宋"/>
        </w:rPr>
      </w:pPr>
    </w:p>
    <w:p>
      <w:pPr>
        <w:spacing w:line="400" w:lineRule="exact"/>
        <w:rPr>
          <w:rFonts w:ascii="仿宋" w:hAnsi="仿宋" w:eastAsia="仿宋"/>
        </w:rPr>
      </w:pPr>
    </w:p>
    <w:p>
      <w:pPr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spacing w:line="4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说明三</w:t>
      </w:r>
    </w:p>
    <w:p>
      <w:pPr>
        <w:spacing w:line="400" w:lineRule="exact"/>
        <w:rPr>
          <w:rFonts w:ascii="仿宋" w:hAnsi="仿宋" w:eastAsia="仿宋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凤翔区</w:t>
      </w:r>
      <w:r>
        <w:rPr>
          <w:rFonts w:hint="eastAsia" w:ascii="方正小标宋简体" w:eastAsia="方正小标宋简体"/>
          <w:sz w:val="36"/>
          <w:szCs w:val="36"/>
        </w:rPr>
        <w:t>“三公”经费控制预算说明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left="319" w:leftChars="15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级各预算单位“三公”经费预算控制支出为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364</w:t>
      </w:r>
      <w:r>
        <w:rPr>
          <w:rFonts w:hint="eastAsia" w:ascii="仿宋_GB2312" w:eastAsia="仿宋_GB2312"/>
          <w:sz w:val="32"/>
          <w:szCs w:val="32"/>
        </w:rPr>
        <w:t>万元，较上年决算数下降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%。主要是严格贯彻落实中省市关于过“紧日子”和坚持厉行节约反对浪费有关要求，统一压减非刚性支出、非重点项目支出，规范部门预算管理，压缩一般性支出。“三公”经费预算为支出预算上限，各预算单位在控制限额内，按照相关管理规定从严掌握“三公”经费支出。</w:t>
      </w:r>
    </w:p>
    <w:p>
      <w:pPr>
        <w:ind w:left="319" w:leftChars="15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年，压减后“三公”经费预算控制支出为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364</w:t>
      </w:r>
      <w:r>
        <w:rPr>
          <w:rFonts w:hint="eastAsia" w:ascii="仿宋_GB2312" w:eastAsia="仿宋_GB2312"/>
          <w:sz w:val="32"/>
          <w:szCs w:val="32"/>
        </w:rPr>
        <w:t>万元，其中：因公出国(境)费0万元，比上年减少0万元；公务用车购置及运行维护费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305</w:t>
      </w:r>
      <w:r>
        <w:rPr>
          <w:rFonts w:hint="eastAsia" w:ascii="仿宋_GB2312" w:eastAsia="仿宋_GB2312"/>
          <w:sz w:val="32"/>
          <w:szCs w:val="32"/>
        </w:rPr>
        <w:t>万元(其中：公务用车购置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万元、公务用车运行维护费3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sz w:val="32"/>
          <w:szCs w:val="32"/>
        </w:rPr>
        <w:t>万元），比上年减少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</w:t>
      </w:r>
      <w:r>
        <w:rPr>
          <w:rFonts w:hint="eastAsia" w:ascii="仿宋_GB2312" w:eastAsia="仿宋_GB2312"/>
          <w:sz w:val="32"/>
          <w:szCs w:val="32"/>
        </w:rPr>
        <w:t>万元；公务接待费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万元，比上年减少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400" w:lineRule="exact"/>
        <w:rPr>
          <w:rFonts w:ascii="仿宋" w:hAnsi="仿宋" w:eastAsia="仿宋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spacing w:line="4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说明四</w:t>
      </w:r>
    </w:p>
    <w:p>
      <w:pPr>
        <w:spacing w:line="300" w:lineRule="exact"/>
        <w:rPr>
          <w:rFonts w:ascii="仿宋" w:hAnsi="仿宋" w:eastAsia="仿宋"/>
        </w:rPr>
      </w:pPr>
    </w:p>
    <w:p>
      <w:pPr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202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Calibri" w:eastAsia="方正小标宋简体"/>
          <w:sz w:val="36"/>
          <w:szCs w:val="36"/>
        </w:rPr>
        <w:t>年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凤翔区</w:t>
      </w:r>
      <w:r>
        <w:rPr>
          <w:rFonts w:hint="eastAsia" w:ascii="方正小标宋简体" w:hAnsi="Calibri" w:eastAsia="方正小标宋简体"/>
          <w:sz w:val="36"/>
          <w:szCs w:val="36"/>
        </w:rPr>
        <w:t>预算绩效管理情况说明</w:t>
      </w:r>
    </w:p>
    <w:p>
      <w:pPr>
        <w:spacing w:line="400" w:lineRule="exact"/>
        <w:jc w:val="center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55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近年来，我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以实施全过程预算绩效管理为重点，积极推进绩效目标管理，事前绩效评审、事中绩效监控、事后绩效评价、绩效考核结果应用工作，预算绩效管理范围由重点项目逐步扩大到部门整体支出绩效评价，使绩效管理工作贯穿于预算编制、执行、监督全过程，不断提高预算绩效管理工作的水平和质量，扎实有效地开展了预算绩效管理工作。</w:t>
      </w:r>
    </w:p>
    <w:p>
      <w:pPr>
        <w:pBdr>
          <w:bottom w:val="single" w:color="FFFFFF" w:sz="8" w:space="31"/>
        </w:pBd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将着力强化财政管理，提升理财水平，进一步完善预算编制和执行全过程的绩效管理评价制度，强化预算绩效评价结果应用，强化项目化管理，做实项目库，进一步压缩不必要的项目支出，切实提高财政资金配置效率。强化预算执行约束，坚持“资金跟着政策走”原则，牢固树立过“紧日子”思想，继续压减一般性、非重点、非刚性支出，从严从紧编制部门预算，一般性支出在上年基础上继续压减；坚持科学理财、多方聚财，深化预算绩效管理，坚持“花钱必问效、无效必问责”的原则，加快推进全面实施预算绩效管理，完善绩效指标和标准体系，确保把每一分钱都用在保民生、促发展的刀刃上。将重点围绕专项资金项目和社会关注度高、影响力大，事关民生方面的支出项目进行年度绩效评价，力争实现以绩效为目标，以结果为导向，以项目成效为衡量标准的财政绩效目标管理体系，全面提升绩效管理工作质量和效果。</w:t>
      </w:r>
    </w:p>
    <w:p>
      <w:pPr>
        <w:pBdr>
          <w:bottom w:val="single" w:color="FFFFFF" w:sz="8" w:space="31"/>
        </w:pBdr>
        <w:shd w:val="clear" w:color="auto" w:fill="FFFFFF"/>
        <w:adjustRightInd w:val="0"/>
        <w:snapToGrid w:val="0"/>
        <w:spacing w:line="550" w:lineRule="exact"/>
        <w:ind w:firstLine="480" w:firstLineChars="200"/>
        <w:rPr>
          <w:rFonts w:hint="eastAsia" w:ascii="仿宋_GB2312" w:hAnsi="仿宋" w:eastAsia="仿宋_GB2312"/>
          <w:sz w:val="24"/>
        </w:rPr>
      </w:pPr>
    </w:p>
    <w:p>
      <w:pPr>
        <w:pBdr>
          <w:bottom w:val="single" w:color="FFFFFF" w:sz="8" w:space="31"/>
        </w:pBdr>
        <w:shd w:val="clear" w:color="auto" w:fill="FFFFFF"/>
        <w:adjustRightInd w:val="0"/>
        <w:snapToGrid w:val="0"/>
        <w:spacing w:line="55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说明五</w:t>
      </w:r>
    </w:p>
    <w:p>
      <w:pPr>
        <w:pBdr>
          <w:bottom w:val="single" w:color="FFFFFF" w:sz="8" w:space="31"/>
        </w:pBdr>
        <w:shd w:val="clear" w:color="auto" w:fill="FFFFFF"/>
        <w:adjustRightInd w:val="0"/>
        <w:snapToGrid w:val="0"/>
        <w:spacing w:line="550" w:lineRule="exact"/>
        <w:ind w:firstLine="720" w:firstLineChars="200"/>
        <w:rPr>
          <w:rFonts w:hint="eastAsia" w:ascii="方正小标宋简体" w:hAnsi="Calibri" w:eastAsia="方正小标宋简体"/>
          <w:sz w:val="36"/>
          <w:szCs w:val="36"/>
        </w:rPr>
      </w:pPr>
    </w:p>
    <w:p>
      <w:pPr>
        <w:pBdr>
          <w:bottom w:val="single" w:color="FFFFFF" w:sz="8" w:space="31"/>
        </w:pBdr>
        <w:shd w:val="clear" w:color="auto" w:fill="FFFFFF"/>
        <w:adjustRightInd w:val="0"/>
        <w:snapToGrid w:val="0"/>
        <w:spacing w:line="550" w:lineRule="exact"/>
        <w:ind w:firstLine="144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Calibri" w:eastAsia="方正小标宋简体"/>
          <w:sz w:val="36"/>
          <w:szCs w:val="36"/>
        </w:rPr>
        <w:t>202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Calibri" w:eastAsia="方正小标宋简体"/>
          <w:sz w:val="36"/>
          <w:szCs w:val="36"/>
        </w:rPr>
        <w:t>年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凤翔区</w:t>
      </w:r>
      <w:r>
        <w:rPr>
          <w:rFonts w:hint="eastAsia" w:ascii="方正小标宋简体" w:hAnsi="Calibri" w:eastAsia="方正小标宋简体"/>
          <w:sz w:val="36"/>
          <w:szCs w:val="36"/>
        </w:rPr>
        <w:t>政府预算空表情况说明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1.政府性基金转移支出表为空表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原因：省市未提前下达政府性基金转移支付资金，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本级政府性基金仅用于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本级相应的政府性基金支出科目，因此此表为空。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.国有资本经营预算收入、支出表，国有资本经营预算转移支付表为空表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区本级</w:t>
      </w:r>
      <w:r>
        <w:rPr>
          <w:rFonts w:hint="eastAsia" w:ascii="仿宋_GB2312" w:eastAsia="仿宋_GB2312"/>
          <w:sz w:val="32"/>
          <w:szCs w:val="32"/>
        </w:rPr>
        <w:t>无国有资本经营预算，</w:t>
      </w:r>
      <w:r>
        <w:rPr>
          <w:rFonts w:hint="eastAsia" w:ascii="仿宋_GB2312" w:eastAsia="仿宋_GB2312" w:cs="仿宋_GB2312"/>
          <w:sz w:val="32"/>
          <w:szCs w:val="32"/>
        </w:rPr>
        <w:t>因此国有资本经营预算收入、预算支出、预算转移支付表为空。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pStyle w:val="2"/>
        <w:spacing w:line="400" w:lineRule="exact"/>
        <w:ind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hAnsi="仿宋" w:eastAsia="仿宋_GB2312"/>
          <w:sz w:val="24"/>
        </w:rPr>
      </w:pPr>
    </w:p>
    <w:p>
      <w:pPr>
        <w:spacing w:line="400" w:lineRule="exact"/>
        <w:rPr>
          <w:rFonts w:hint="eastAsia" w:ascii="仿宋_GB2312" w:hAnsi="仿宋" w:eastAsia="仿宋_GB2312"/>
          <w:sz w:val="24"/>
          <w:lang w:eastAsia="zh-CN"/>
        </w:rPr>
      </w:pPr>
      <w:r>
        <w:rPr>
          <w:rFonts w:hint="eastAsia" w:ascii="仿宋_GB2312" w:hAnsi="仿宋" w:eastAsia="仿宋_GB2312"/>
          <w:sz w:val="24"/>
          <w:lang w:eastAsia="zh-CN"/>
        </w:rPr>
        <w:t>、</w:t>
      </w:r>
    </w:p>
    <w:p>
      <w:pPr>
        <w:spacing w:line="400" w:lineRule="exact"/>
        <w:rPr>
          <w:rFonts w:hint="eastAsia" w:ascii="仿宋_GB2312" w:hAnsi="仿宋" w:eastAsia="仿宋_GB2312"/>
          <w:sz w:val="24"/>
          <w:lang w:eastAsia="zh-CN"/>
        </w:rPr>
      </w:pPr>
    </w:p>
    <w:p>
      <w:pPr>
        <w:spacing w:line="400" w:lineRule="exact"/>
        <w:rPr>
          <w:rFonts w:hint="eastAsia" w:ascii="仿宋_GB2312" w:hAnsi="仿宋" w:eastAsia="仿宋_GB2312"/>
          <w:sz w:val="24"/>
          <w:lang w:eastAsia="zh-CN"/>
        </w:rPr>
      </w:pPr>
    </w:p>
    <w:p>
      <w:pPr>
        <w:spacing w:line="400" w:lineRule="exact"/>
        <w:rPr>
          <w:rFonts w:hint="eastAsia" w:ascii="仿宋_GB2312" w:hAnsi="仿宋" w:eastAsia="仿宋_GB2312"/>
          <w:sz w:val="24"/>
          <w:lang w:eastAsia="zh-CN"/>
        </w:rPr>
      </w:pPr>
    </w:p>
    <w:p>
      <w:pPr>
        <w:spacing w:line="400" w:lineRule="exact"/>
        <w:rPr>
          <w:rFonts w:hint="eastAsia" w:ascii="仿宋_GB2312" w:hAnsi="仿宋" w:eastAsia="仿宋_GB2312"/>
          <w:sz w:val="24"/>
          <w:lang w:eastAsia="zh-CN"/>
        </w:rPr>
      </w:pPr>
    </w:p>
    <w:p>
      <w:pPr>
        <w:spacing w:line="400" w:lineRule="exact"/>
        <w:rPr>
          <w:rFonts w:hint="eastAsia" w:ascii="仿宋_GB2312" w:hAnsi="仿宋" w:eastAsia="仿宋_GB2312"/>
          <w:sz w:val="24"/>
          <w:lang w:eastAsia="zh-CN"/>
        </w:rPr>
      </w:pPr>
    </w:p>
    <w:p>
      <w:pPr>
        <w:spacing w:line="4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说明六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名词解释</w:t>
      </w:r>
    </w:p>
    <w:p>
      <w:pPr>
        <w:spacing w:line="400" w:lineRule="exact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1.一般公共预算支出：指财政总支出，包括上级转移支付、上级专项补助、历年结转资金和本级财政资金形成的支出。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财力性转移支付：指为弥补财政实力薄弱地区的财力缺口，均衡地区间财力差距，实现地区间基本公共服务能力的均衡化，由上级政府安排给下级政府的补助性支出。资金接受者可以根据实际情况自主安排资金用途。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3.专项</w:t>
      </w:r>
      <w:r>
        <w:rPr>
          <w:rFonts w:hint="eastAsia" w:ascii="仿宋_GB2312" w:eastAsia="仿宋_GB2312"/>
          <w:spacing w:val="8"/>
          <w:sz w:val="32"/>
          <w:szCs w:val="32"/>
        </w:rPr>
        <w:t>转移支付：指以基数形式下达并指定用途的转移</w:t>
      </w:r>
      <w:r>
        <w:rPr>
          <w:rFonts w:hint="eastAsia" w:ascii="仿宋_GB2312" w:eastAsia="仿宋_GB2312"/>
          <w:sz w:val="32"/>
          <w:szCs w:val="32"/>
        </w:rPr>
        <w:t>支付。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4.一般性支出：指“三公”经费、差旅费、会议费、培训费、维修费、劳务费、日常办公费等开支以及房屋、办公设备、交通工具购置产生的开支。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5.地方政府债务：指地方政府依法纳入预算管理的债务，这类债务应全部在债务管理系统中反映。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6.中央直达资金：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中央有关资金直达市县基层、直接惠企利民，中央财政实行特殊转移支付机制资金（简称直达资金）。直达资金按照“中央切块、省级细化、备案同意、快速直达”的原则分配。同时建立资金监控系统，在对直达资金单独下达、单独标识的基础上，通过系统动态监测，确保数据真实、账目清晰、流向明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7.“六稳”“六保”：“六稳”指稳就业、稳金融、稳外贸、稳外资、稳投资、稳预期工作；“六保”是指保居民就业、保基本民生、保市场主体、保粮食能源安全、保产业链供应链稳定、保基层运转。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8.“三保”：指保工资、保运转、保基本民生。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9.“三公”经费：指因公出国（境）费、公务接待费、公务用车运行维护费及购置费。</w:t>
      </w: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pStyle w:val="2"/>
        <w:ind w:firstLine="600"/>
        <w:rPr>
          <w:rFonts w:hint="eastAsia"/>
        </w:rPr>
      </w:pPr>
    </w:p>
    <w:p>
      <w:pPr>
        <w:adjustRightInd w:val="0"/>
        <w:snapToGrid w:val="0"/>
        <w:spacing w:line="580" w:lineRule="exact"/>
        <w:rPr>
          <w:rFonts w:hint="eastAsia"/>
        </w:rPr>
      </w:pPr>
    </w:p>
    <w:p/>
    <w:sectPr>
      <w:pgSz w:w="11906" w:h="16838"/>
      <w:pgMar w:top="1701" w:right="1559" w:bottom="1701" w:left="1559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DE0MGY2YTgzOWYzNTgwNjBjZjZkYmQxZmE1OTkifQ=="/>
  </w:docVars>
  <w:rsids>
    <w:rsidRoot w:val="00000000"/>
    <w:rsid w:val="2F0663F8"/>
    <w:rsid w:val="4121633E"/>
    <w:rsid w:val="4BEF3760"/>
    <w:rsid w:val="4E304A68"/>
    <w:rsid w:val="6892147C"/>
    <w:rsid w:val="6FC2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4606"/>
      </w:tabs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ind w:firstLine="750"/>
    </w:pPr>
    <w:rPr>
      <w:rFonts w:ascii="??_GB2312" w:cs="??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1844</Words>
  <Characters>1965</Characters>
  <Lines>0</Lines>
  <Paragraphs>0</Paragraphs>
  <TotalTime>47</TotalTime>
  <ScaleCrop>false</ScaleCrop>
  <LinksUpToDate>false</LinksUpToDate>
  <CharactersWithSpaces>1965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2023-03-26T02:23:00Z</dcterms:created>
  <dc:creator>Lenovo</dc:creator>
  <cp:lastModifiedBy>Lenovo</cp:lastModifiedBy>
  <dcterms:modified xsi:type="dcterms:W3CDTF">2023-04-11T10:11:33Z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9CCDEE267D6D4AFAA6092DA9FDFB7499</vt:lpwstr>
  </property>
</Properties>
</file>