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7E9347">
      <w:pPr>
        <w:rPr>
          <w:rFonts w:hint="default" w:ascii="仿宋_GB2312" w:hAnsi="仿宋_GB2312" w:eastAsia="仿宋_GB2312" w:cs="仿宋_GB2312"/>
          <w:color w:val="auto"/>
          <w:sz w:val="36"/>
          <w:szCs w:val="36"/>
          <w:lang w:val="en-US" w:eastAsia="zh-CN"/>
        </w:rPr>
      </w:pPr>
      <w:r>
        <w:rPr>
          <w:rFonts w:hint="eastAsia" w:ascii="仿宋_GB2312" w:hAnsi="仿宋_GB2312" w:eastAsia="仿宋_GB2312" w:cs="仿宋_GB2312"/>
          <w:color w:val="auto"/>
          <w:sz w:val="36"/>
          <w:szCs w:val="36"/>
          <w:lang w:val="en-US" w:eastAsia="zh-CN"/>
        </w:rPr>
        <w:t xml:space="preserve">   </w:t>
      </w:r>
    </w:p>
    <w:p w14:paraId="790B5B35">
      <w:pPr>
        <w:pStyle w:val="43"/>
        <w:rPr>
          <w:color w:val="auto"/>
        </w:rPr>
      </w:pPr>
    </w:p>
    <w:p w14:paraId="151BB733">
      <w:pPr>
        <w:rPr>
          <w:rFonts w:ascii="仿宋_GB2312" w:hAnsi="仿宋_GB2312" w:eastAsia="仿宋_GB2312" w:cs="仿宋_GB2312"/>
          <w:color w:val="auto"/>
          <w:sz w:val="36"/>
          <w:szCs w:val="36"/>
        </w:rPr>
      </w:pPr>
    </w:p>
    <w:p w14:paraId="15C16F68">
      <w:pPr>
        <w:rPr>
          <w:rFonts w:ascii="仿宋_GB2312" w:hAnsi="仿宋_GB2312" w:eastAsia="仿宋_GB2312" w:cs="仿宋_GB2312"/>
          <w:color w:val="auto"/>
          <w:sz w:val="36"/>
          <w:szCs w:val="36"/>
        </w:rPr>
      </w:pPr>
    </w:p>
    <w:p w14:paraId="541D9857">
      <w:pPr>
        <w:rPr>
          <w:rFonts w:ascii="仿宋_GB2312" w:hAnsi="仿宋_GB2312" w:eastAsia="仿宋_GB2312" w:cs="仿宋_GB2312"/>
          <w:color w:val="auto"/>
          <w:sz w:val="36"/>
          <w:szCs w:val="36"/>
        </w:rPr>
      </w:pPr>
    </w:p>
    <w:p w14:paraId="3EEE5445">
      <w:pPr>
        <w:adjustRightInd w:val="0"/>
        <w:snapToGrid w:val="0"/>
        <w:jc w:val="center"/>
        <w:outlineLvl w:val="0"/>
        <w:rPr>
          <w:rFonts w:ascii="方正小标宋_GBK" w:eastAsia="方正小标宋_GBK"/>
          <w:bCs/>
          <w:color w:val="auto"/>
          <w:sz w:val="72"/>
          <w:szCs w:val="72"/>
        </w:rPr>
      </w:pPr>
      <w:r>
        <w:rPr>
          <w:rFonts w:hint="eastAsia" w:ascii="方正小标宋_GBK" w:eastAsia="方正小标宋_GBK"/>
          <w:bCs/>
          <w:color w:val="auto"/>
          <w:sz w:val="72"/>
          <w:szCs w:val="72"/>
          <w:lang w:val="en-US" w:eastAsia="zh-CN"/>
        </w:rPr>
        <w:t xml:space="preserve">  </w:t>
      </w:r>
      <w:bookmarkStart w:id="0" w:name="_Toc4220"/>
      <w:bookmarkStart w:id="1" w:name="_Toc22656"/>
      <w:bookmarkStart w:id="2" w:name="_Toc6970"/>
      <w:bookmarkStart w:id="3" w:name="_Toc23361"/>
      <w:r>
        <w:rPr>
          <w:rFonts w:hint="eastAsia" w:ascii="方正小标宋_GBK" w:eastAsia="方正小标宋_GBK"/>
          <w:bCs/>
          <w:color w:val="auto"/>
          <w:sz w:val="72"/>
          <w:szCs w:val="72"/>
        </w:rPr>
        <w:t>建设项目环境影响报告表</w:t>
      </w:r>
      <w:bookmarkEnd w:id="0"/>
      <w:bookmarkEnd w:id="1"/>
      <w:bookmarkEnd w:id="2"/>
      <w:bookmarkEnd w:id="3"/>
    </w:p>
    <w:p w14:paraId="1DC52165">
      <w:pPr>
        <w:adjustRightInd w:val="0"/>
        <w:snapToGrid w:val="0"/>
        <w:spacing w:before="192" w:beforeLines="80"/>
        <w:jc w:val="center"/>
        <w:rPr>
          <w:rFonts w:hint="default" w:ascii="楷体_GB2312" w:eastAsia="楷体_GB2312"/>
          <w:bCs/>
          <w:color w:val="auto"/>
          <w:sz w:val="48"/>
          <w:szCs w:val="48"/>
          <w:lang w:val="en-US" w:eastAsia="zh-CN"/>
        </w:rPr>
      </w:pPr>
      <w:r>
        <w:rPr>
          <w:rFonts w:hint="eastAsia" w:ascii="楷体_GB2312" w:eastAsia="楷体_GB2312"/>
          <w:bCs/>
          <w:color w:val="auto"/>
          <w:sz w:val="48"/>
          <w:szCs w:val="48"/>
        </w:rPr>
        <w:t>（污染影响类）</w:t>
      </w:r>
    </w:p>
    <w:p w14:paraId="063239CE">
      <w:pPr>
        <w:adjustRightInd w:val="0"/>
        <w:snapToGrid w:val="0"/>
        <w:spacing w:line="288" w:lineRule="auto"/>
        <w:jc w:val="center"/>
        <w:rPr>
          <w:rFonts w:ascii="华文仿宋" w:hAnsi="华文仿宋" w:eastAsia="华文仿宋" w:cs="华文仿宋"/>
          <w:color w:val="auto"/>
          <w:kern w:val="44"/>
          <w:sz w:val="44"/>
          <w:szCs w:val="44"/>
        </w:rPr>
      </w:pPr>
    </w:p>
    <w:p w14:paraId="4FC11936">
      <w:pPr>
        <w:jc w:val="center"/>
        <w:rPr>
          <w:rFonts w:eastAsia="仿宋"/>
          <w:color w:val="auto"/>
          <w:sz w:val="52"/>
          <w:szCs w:val="52"/>
        </w:rPr>
      </w:pPr>
    </w:p>
    <w:p w14:paraId="078B4E6C">
      <w:pPr>
        <w:pStyle w:val="3"/>
        <w:rPr>
          <w:rFonts w:eastAsia="仿宋"/>
          <w:color w:val="auto"/>
          <w:sz w:val="52"/>
          <w:szCs w:val="52"/>
        </w:rPr>
      </w:pPr>
    </w:p>
    <w:p w14:paraId="7CEF1EB7">
      <w:pPr>
        <w:rPr>
          <w:color w:val="auto"/>
        </w:rPr>
      </w:pPr>
    </w:p>
    <w:p w14:paraId="5704867B">
      <w:pPr>
        <w:ind w:firstLine="1040"/>
        <w:rPr>
          <w:rFonts w:eastAsia="仿宋"/>
          <w:color w:val="auto"/>
          <w:sz w:val="44"/>
          <w:szCs w:val="44"/>
        </w:rPr>
      </w:pPr>
    </w:p>
    <w:p w14:paraId="34A866B0">
      <w:pPr>
        <w:ind w:firstLine="1040"/>
        <w:rPr>
          <w:rFonts w:eastAsia="仿宋"/>
          <w:color w:val="auto"/>
          <w:sz w:val="44"/>
          <w:szCs w:val="44"/>
        </w:rPr>
      </w:pPr>
    </w:p>
    <w:p w14:paraId="001F036B">
      <w:pPr>
        <w:ind w:firstLine="1040"/>
        <w:rPr>
          <w:rFonts w:eastAsia="仿宋"/>
          <w:color w:val="auto"/>
          <w:sz w:val="44"/>
          <w:szCs w:val="44"/>
        </w:rPr>
      </w:pPr>
    </w:p>
    <w:p w14:paraId="6F165C35">
      <w:pPr>
        <w:ind w:firstLine="1040"/>
        <w:rPr>
          <w:rFonts w:eastAsia="仿宋"/>
          <w:color w:val="auto"/>
          <w:sz w:val="44"/>
          <w:szCs w:val="44"/>
        </w:rPr>
      </w:pPr>
    </w:p>
    <w:p w14:paraId="14F6110C">
      <w:pPr>
        <w:ind w:firstLine="1040"/>
        <w:rPr>
          <w:rFonts w:eastAsia="仿宋"/>
          <w:color w:val="auto"/>
          <w:sz w:val="44"/>
          <w:szCs w:val="44"/>
        </w:rPr>
      </w:pPr>
    </w:p>
    <w:p w14:paraId="0707C5A5">
      <w:pPr>
        <w:pStyle w:val="27"/>
        <w:rPr>
          <w:color w:val="auto"/>
        </w:rPr>
      </w:pPr>
    </w:p>
    <w:p w14:paraId="668482D1">
      <w:pPr>
        <w:ind w:firstLine="1040"/>
        <w:rPr>
          <w:rFonts w:eastAsia="仿宋"/>
          <w:color w:val="auto"/>
          <w:sz w:val="44"/>
          <w:szCs w:val="44"/>
        </w:rPr>
      </w:pPr>
    </w:p>
    <w:p w14:paraId="2ED92ADF">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200"/>
        <w:textAlignment w:val="auto"/>
        <w:rPr>
          <w:rFonts w:hint="default" w:ascii="仿宋_GB2312" w:eastAsia="仿宋_GB2312"/>
          <w:color w:val="auto"/>
          <w:sz w:val="36"/>
          <w:szCs w:val="36"/>
          <w:u w:val="single"/>
          <w:lang w:val="en-US" w:eastAsia="zh-CN"/>
        </w:rPr>
      </w:pPr>
      <w:r>
        <w:rPr>
          <w:rFonts w:hint="eastAsia" w:ascii="仿宋_GB2312" w:eastAsia="仿宋_GB2312"/>
          <w:color w:val="auto"/>
          <w:sz w:val="36"/>
          <w:szCs w:val="36"/>
        </w:rPr>
        <w:t>项目名称：</w:t>
      </w:r>
      <w:r>
        <w:rPr>
          <w:rFonts w:hint="eastAsia" w:ascii="仿宋_GB2312" w:eastAsia="仿宋_GB2312"/>
          <w:color w:val="auto"/>
          <w:sz w:val="36"/>
          <w:szCs w:val="36"/>
          <w:u w:val="single"/>
        </w:rPr>
        <w:t>宝鸡机场供油工程项目</w:t>
      </w:r>
      <w:r>
        <w:rPr>
          <w:rFonts w:hint="eastAsia" w:ascii="仿宋_GB2312" w:eastAsia="仿宋_GB2312"/>
          <w:color w:val="auto"/>
          <w:sz w:val="36"/>
          <w:szCs w:val="36"/>
          <w:u w:val="single"/>
          <w:lang w:val="en-US" w:eastAsia="zh-CN"/>
        </w:rPr>
        <w:t xml:space="preserve">             </w:t>
      </w:r>
    </w:p>
    <w:p w14:paraId="22CB8AE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720" w:firstLineChars="200"/>
        <w:textAlignment w:val="auto"/>
        <w:rPr>
          <w:rFonts w:hint="eastAsia" w:ascii="仿宋_GB2312" w:eastAsia="仿宋_GB2312"/>
          <w:color w:val="auto"/>
          <w:sz w:val="36"/>
          <w:szCs w:val="36"/>
          <w:u w:val="single"/>
        </w:rPr>
      </w:pPr>
      <w:r>
        <w:rPr>
          <w:rFonts w:hint="eastAsia" w:ascii="仿宋_GB2312" w:eastAsia="仿宋_GB2312"/>
          <w:color w:val="auto"/>
          <w:sz w:val="36"/>
          <w:szCs w:val="36"/>
        </w:rPr>
        <w:t>建设单位：</w:t>
      </w:r>
      <w:r>
        <w:rPr>
          <w:rFonts w:hint="eastAsia" w:ascii="仿宋_GB2312" w:eastAsia="仿宋_GB2312"/>
          <w:color w:val="auto"/>
          <w:sz w:val="36"/>
          <w:szCs w:val="36"/>
          <w:u w:val="single"/>
          <w:lang w:val="en-US" w:eastAsia="zh-CN"/>
        </w:rPr>
        <w:t>中国航空油料有限责任公司西安分公司</w:t>
      </w:r>
    </w:p>
    <w:p w14:paraId="311D355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720" w:firstLineChars="200"/>
        <w:textAlignment w:val="auto"/>
        <w:rPr>
          <w:rFonts w:hint="default" w:ascii="仿宋_GB2312" w:eastAsia="仿宋_GB2312"/>
          <w:color w:val="auto"/>
          <w:sz w:val="36"/>
          <w:szCs w:val="36"/>
          <w:u w:val="single"/>
          <w:lang w:val="en-US" w:eastAsia="zh-CN"/>
        </w:rPr>
      </w:pPr>
      <w:r>
        <w:rPr>
          <w:rFonts w:hint="eastAsia" w:ascii="仿宋_GB2312" w:eastAsia="仿宋_GB2312"/>
          <w:color w:val="auto"/>
          <w:sz w:val="36"/>
          <w:szCs w:val="36"/>
        </w:rPr>
        <w:t>编制日期：</w:t>
      </w:r>
      <w:r>
        <w:rPr>
          <w:rFonts w:hint="eastAsia" w:ascii="仿宋_GB2312" w:eastAsia="仿宋_GB2312"/>
          <w:color w:val="auto"/>
          <w:sz w:val="36"/>
          <w:szCs w:val="36"/>
          <w:u w:val="single"/>
        </w:rPr>
        <w:t>202</w:t>
      </w:r>
      <w:r>
        <w:rPr>
          <w:rFonts w:hint="eastAsia" w:ascii="仿宋_GB2312" w:eastAsia="仿宋_GB2312"/>
          <w:color w:val="auto"/>
          <w:sz w:val="36"/>
          <w:szCs w:val="36"/>
          <w:u w:val="single"/>
          <w:lang w:val="en-US" w:eastAsia="zh-CN"/>
        </w:rPr>
        <w:t>5</w:t>
      </w:r>
      <w:r>
        <w:rPr>
          <w:rFonts w:hint="eastAsia" w:ascii="仿宋_GB2312" w:eastAsia="仿宋_GB2312"/>
          <w:color w:val="auto"/>
          <w:sz w:val="36"/>
          <w:szCs w:val="36"/>
          <w:u w:val="single"/>
        </w:rPr>
        <w:t>年</w:t>
      </w:r>
      <w:r>
        <w:rPr>
          <w:rFonts w:hint="eastAsia" w:ascii="仿宋_GB2312" w:eastAsia="仿宋_GB2312"/>
          <w:color w:val="auto"/>
          <w:sz w:val="36"/>
          <w:szCs w:val="36"/>
          <w:u w:val="single"/>
          <w:lang w:val="en-US" w:eastAsia="zh-CN"/>
        </w:rPr>
        <w:t>5</w:t>
      </w:r>
      <w:r>
        <w:rPr>
          <w:rFonts w:hint="eastAsia" w:ascii="仿宋_GB2312" w:eastAsia="仿宋_GB2312"/>
          <w:color w:val="auto"/>
          <w:sz w:val="36"/>
          <w:szCs w:val="36"/>
          <w:u w:val="single"/>
        </w:rPr>
        <w:t>月</w:t>
      </w:r>
      <w:r>
        <w:rPr>
          <w:rFonts w:ascii="仿宋_GB2312" w:eastAsia="仿宋_GB2312"/>
          <w:color w:val="auto"/>
          <w:sz w:val="36"/>
          <w:szCs w:val="36"/>
          <w:u w:val="single"/>
        </w:rPr>
        <w:t xml:space="preserve">                </w:t>
      </w:r>
      <w:r>
        <w:rPr>
          <w:rFonts w:hint="eastAsia" w:ascii="仿宋_GB2312" w:eastAsia="仿宋_GB2312"/>
          <w:color w:val="auto"/>
          <w:sz w:val="36"/>
          <w:szCs w:val="36"/>
          <w:u w:val="single"/>
          <w:lang w:val="en-US" w:eastAsia="zh-CN"/>
        </w:rPr>
        <w:t xml:space="preserve">     </w:t>
      </w:r>
      <w:r>
        <w:rPr>
          <w:rFonts w:ascii="仿宋_GB2312" w:eastAsia="仿宋_GB2312"/>
          <w:color w:val="auto"/>
          <w:sz w:val="36"/>
          <w:szCs w:val="36"/>
          <w:u w:val="single"/>
        </w:rPr>
        <w:t xml:space="preserve"> </w:t>
      </w:r>
      <w:r>
        <w:rPr>
          <w:rFonts w:hint="eastAsia" w:ascii="仿宋_GB2312" w:eastAsia="仿宋_GB2312"/>
          <w:color w:val="auto"/>
          <w:sz w:val="36"/>
          <w:szCs w:val="36"/>
          <w:u w:val="single"/>
          <w:lang w:val="en-US" w:eastAsia="zh-CN"/>
        </w:rPr>
        <w:t xml:space="preserve"> </w:t>
      </w:r>
    </w:p>
    <w:p w14:paraId="3C7AE5C6">
      <w:pPr>
        <w:adjustRightInd w:val="0"/>
        <w:snapToGrid w:val="0"/>
        <w:spacing w:line="288" w:lineRule="auto"/>
        <w:ind w:firstLine="1040"/>
        <w:rPr>
          <w:rFonts w:ascii="仿宋_GB2312" w:eastAsia="仿宋_GB2312"/>
          <w:color w:val="auto"/>
          <w:sz w:val="36"/>
          <w:szCs w:val="36"/>
          <w:u w:val="single"/>
        </w:rPr>
      </w:pPr>
      <w:bookmarkStart w:id="4" w:name="_Hlk57884087"/>
    </w:p>
    <w:p w14:paraId="6355B35F">
      <w:pPr>
        <w:adjustRightInd w:val="0"/>
        <w:snapToGrid w:val="0"/>
        <w:spacing w:line="288" w:lineRule="auto"/>
        <w:ind w:firstLine="1040"/>
        <w:rPr>
          <w:rFonts w:ascii="仿宋_GB2312" w:eastAsia="仿宋_GB2312"/>
          <w:color w:val="auto"/>
          <w:sz w:val="36"/>
          <w:szCs w:val="36"/>
        </w:rPr>
      </w:pPr>
    </w:p>
    <w:bookmarkEnd w:id="4"/>
    <w:p w14:paraId="1B0EFF03">
      <w:pPr>
        <w:bidi w:val="0"/>
        <w:jc w:val="center"/>
        <w:rPr>
          <w:color w:val="auto"/>
          <w:sz w:val="36"/>
          <w:szCs w:val="36"/>
        </w:rPr>
      </w:pPr>
      <w:bookmarkStart w:id="5" w:name="_Toc4322"/>
      <w:r>
        <w:rPr>
          <w:rFonts w:hint="eastAsia"/>
          <w:color w:val="auto"/>
          <w:sz w:val="36"/>
          <w:szCs w:val="36"/>
        </w:rPr>
        <w:t>中华人民共和国生态环境部制</w:t>
      </w:r>
      <w:bookmarkEnd w:id="5"/>
    </w:p>
    <w:p w14:paraId="1291016A">
      <w:pPr>
        <w:adjustRightInd w:val="0"/>
        <w:snapToGrid w:val="0"/>
        <w:spacing w:line="288" w:lineRule="auto"/>
        <w:ind w:firstLine="1040"/>
        <w:rPr>
          <w:rFonts w:ascii="仿宋_GB2312" w:eastAsia="仿宋_GB2312"/>
          <w:color w:val="auto"/>
          <w:sz w:val="36"/>
          <w:szCs w:val="36"/>
        </w:rPr>
        <w:sectPr>
          <w:footerReference r:id="rId3"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73CFB434">
      <w:pPr>
        <w:pStyle w:val="3"/>
        <w:rPr>
          <w:color w:val="auto"/>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sdt>
      <w:sdtPr>
        <w:rPr>
          <w:b/>
          <w:bCs/>
          <w:color w:val="auto"/>
          <w:lang w:val="en-US" w:eastAsia="zh-CN"/>
        </w:rPr>
        <w:id w:val="147452213"/>
        <w15:color w:val="DBDBDB"/>
        <w:docPartObj>
          <w:docPartGallery w:val="Table of Contents"/>
          <w:docPartUnique/>
        </w:docPartObj>
      </w:sdtPr>
      <w:sdtEndPr>
        <w:rPr>
          <w:rFonts w:ascii="宋体" w:hAnsi="Times New Roman" w:eastAsia="宋体" w:cs="宋体"/>
          <w:b/>
          <w:bCs/>
          <w:color w:val="auto"/>
          <w:sz w:val="24"/>
          <w:szCs w:val="24"/>
          <w:lang w:val="en-US" w:eastAsia="zh-CN" w:bidi="ar-SA"/>
        </w:rPr>
      </w:sdtEndPr>
      <w:sdtContent>
        <w:p w14:paraId="1EC5F37C">
          <w:pPr>
            <w:pStyle w:val="3"/>
            <w:bidi w:val="0"/>
            <w:jc w:val="center"/>
            <w:rPr>
              <w:b/>
              <w:bCs/>
              <w:color w:val="auto"/>
            </w:rPr>
          </w:pPr>
          <w:r>
            <w:rPr>
              <w:b/>
              <w:bCs/>
              <w:color w:val="auto"/>
            </w:rPr>
            <w:t>目录</w:t>
          </w:r>
        </w:p>
        <w:p w14:paraId="4287EF63">
          <w:pPr>
            <w:pStyle w:val="24"/>
            <w:tabs>
              <w:tab w:val="right" w:leader="dot" w:pos="8844"/>
            </w:tabs>
            <w:rPr>
              <w:sz w:val="24"/>
              <w:szCs w:val="24"/>
            </w:rPr>
          </w:pPr>
          <w:r>
            <w:rPr>
              <w:color w:val="auto"/>
              <w:sz w:val="24"/>
              <w:szCs w:val="24"/>
            </w:rPr>
            <w:fldChar w:fldCharType="begin"/>
          </w:r>
          <w:r>
            <w:rPr>
              <w:color w:val="auto"/>
              <w:sz w:val="24"/>
              <w:szCs w:val="24"/>
            </w:rPr>
            <w:instrText xml:space="preserve">TOC \o "1-1" \h \u </w:instrText>
          </w:r>
          <w:r>
            <w:rPr>
              <w:color w:val="auto"/>
              <w:sz w:val="24"/>
              <w:szCs w:val="24"/>
            </w:rPr>
            <w:fldChar w:fldCharType="separate"/>
          </w:r>
          <w:r>
            <w:rPr>
              <w:color w:val="auto"/>
              <w:sz w:val="24"/>
              <w:szCs w:val="24"/>
            </w:rPr>
            <w:fldChar w:fldCharType="begin"/>
          </w:r>
          <w:r>
            <w:rPr>
              <w:sz w:val="24"/>
              <w:szCs w:val="24"/>
            </w:rPr>
            <w:instrText xml:space="preserve"> HYPERLINK \l _Toc18434 </w:instrText>
          </w:r>
          <w:r>
            <w:rPr>
              <w:sz w:val="24"/>
              <w:szCs w:val="24"/>
            </w:rPr>
            <w:fldChar w:fldCharType="separate"/>
          </w:r>
          <w:r>
            <w:rPr>
              <w:rFonts w:hint="eastAsia" w:ascii="黑体" w:hAnsi="黑体" w:eastAsia="黑体"/>
              <w:snapToGrid w:val="0"/>
              <w:sz w:val="24"/>
              <w:szCs w:val="24"/>
            </w:rPr>
            <w:t>一、建设项目基本情况</w:t>
          </w:r>
          <w:r>
            <w:rPr>
              <w:sz w:val="24"/>
              <w:szCs w:val="24"/>
            </w:rPr>
            <w:tab/>
          </w:r>
          <w:r>
            <w:rPr>
              <w:sz w:val="24"/>
              <w:szCs w:val="24"/>
            </w:rPr>
            <w:fldChar w:fldCharType="begin"/>
          </w:r>
          <w:r>
            <w:rPr>
              <w:sz w:val="24"/>
              <w:szCs w:val="24"/>
            </w:rPr>
            <w:instrText xml:space="preserve"> PAGEREF _Toc18434 \h </w:instrText>
          </w:r>
          <w:r>
            <w:rPr>
              <w:sz w:val="24"/>
              <w:szCs w:val="24"/>
            </w:rPr>
            <w:fldChar w:fldCharType="separate"/>
          </w:r>
          <w:r>
            <w:rPr>
              <w:sz w:val="24"/>
              <w:szCs w:val="24"/>
            </w:rPr>
            <w:t>1</w:t>
          </w:r>
          <w:r>
            <w:rPr>
              <w:sz w:val="24"/>
              <w:szCs w:val="24"/>
            </w:rPr>
            <w:fldChar w:fldCharType="end"/>
          </w:r>
          <w:r>
            <w:rPr>
              <w:color w:val="auto"/>
              <w:sz w:val="24"/>
              <w:szCs w:val="24"/>
            </w:rPr>
            <w:fldChar w:fldCharType="end"/>
          </w:r>
        </w:p>
        <w:p w14:paraId="5716BAF8">
          <w:pPr>
            <w:pStyle w:val="24"/>
            <w:tabs>
              <w:tab w:val="right" w:leader="dot" w:pos="8844"/>
            </w:tabs>
            <w:rPr>
              <w:sz w:val="24"/>
              <w:szCs w:val="24"/>
            </w:rPr>
          </w:pPr>
          <w:r>
            <w:rPr>
              <w:color w:val="auto"/>
              <w:sz w:val="24"/>
              <w:szCs w:val="24"/>
            </w:rPr>
            <w:fldChar w:fldCharType="begin"/>
          </w:r>
          <w:r>
            <w:rPr>
              <w:sz w:val="24"/>
              <w:szCs w:val="24"/>
            </w:rPr>
            <w:instrText xml:space="preserve"> HYPERLINK \l _Toc14757 </w:instrText>
          </w:r>
          <w:r>
            <w:rPr>
              <w:sz w:val="24"/>
              <w:szCs w:val="24"/>
            </w:rPr>
            <w:fldChar w:fldCharType="separate"/>
          </w:r>
          <w:r>
            <w:rPr>
              <w:rFonts w:hint="eastAsia" w:ascii="黑体" w:hAnsi="黑体" w:eastAsia="黑体"/>
              <w:snapToGrid w:val="0"/>
              <w:sz w:val="24"/>
              <w:szCs w:val="24"/>
            </w:rPr>
            <w:t>二、建设项目工程分析</w:t>
          </w:r>
          <w:r>
            <w:rPr>
              <w:sz w:val="24"/>
              <w:szCs w:val="24"/>
            </w:rPr>
            <w:tab/>
          </w:r>
          <w:r>
            <w:rPr>
              <w:sz w:val="24"/>
              <w:szCs w:val="24"/>
            </w:rPr>
            <w:fldChar w:fldCharType="begin"/>
          </w:r>
          <w:r>
            <w:rPr>
              <w:sz w:val="24"/>
              <w:szCs w:val="24"/>
            </w:rPr>
            <w:instrText xml:space="preserve"> PAGEREF _Toc14757 \h </w:instrText>
          </w:r>
          <w:r>
            <w:rPr>
              <w:sz w:val="24"/>
              <w:szCs w:val="24"/>
            </w:rPr>
            <w:fldChar w:fldCharType="separate"/>
          </w:r>
          <w:r>
            <w:rPr>
              <w:sz w:val="24"/>
              <w:szCs w:val="24"/>
            </w:rPr>
            <w:t>25</w:t>
          </w:r>
          <w:r>
            <w:rPr>
              <w:sz w:val="24"/>
              <w:szCs w:val="24"/>
            </w:rPr>
            <w:fldChar w:fldCharType="end"/>
          </w:r>
          <w:r>
            <w:rPr>
              <w:color w:val="auto"/>
              <w:sz w:val="24"/>
              <w:szCs w:val="24"/>
            </w:rPr>
            <w:fldChar w:fldCharType="end"/>
          </w:r>
        </w:p>
        <w:p w14:paraId="5FE6150F">
          <w:pPr>
            <w:pStyle w:val="24"/>
            <w:tabs>
              <w:tab w:val="right" w:leader="dot" w:pos="8844"/>
            </w:tabs>
            <w:rPr>
              <w:sz w:val="24"/>
              <w:szCs w:val="24"/>
            </w:rPr>
          </w:pPr>
          <w:r>
            <w:rPr>
              <w:color w:val="auto"/>
              <w:sz w:val="24"/>
              <w:szCs w:val="24"/>
            </w:rPr>
            <w:fldChar w:fldCharType="begin"/>
          </w:r>
          <w:r>
            <w:rPr>
              <w:sz w:val="24"/>
              <w:szCs w:val="24"/>
            </w:rPr>
            <w:instrText xml:space="preserve"> HYPERLINK \l _Toc26485 </w:instrText>
          </w:r>
          <w:r>
            <w:rPr>
              <w:sz w:val="24"/>
              <w:szCs w:val="24"/>
            </w:rPr>
            <w:fldChar w:fldCharType="separate"/>
          </w:r>
          <w:r>
            <w:rPr>
              <w:rFonts w:hint="eastAsia" w:ascii="黑体" w:hAnsi="黑体" w:eastAsia="黑体"/>
              <w:snapToGrid w:val="0"/>
              <w:sz w:val="24"/>
              <w:szCs w:val="24"/>
            </w:rPr>
            <w:t>三、区域环境质量现状、环境保护目标及评价标准</w:t>
          </w:r>
          <w:r>
            <w:rPr>
              <w:sz w:val="24"/>
              <w:szCs w:val="24"/>
            </w:rPr>
            <w:tab/>
          </w:r>
          <w:r>
            <w:rPr>
              <w:sz w:val="24"/>
              <w:szCs w:val="24"/>
            </w:rPr>
            <w:fldChar w:fldCharType="begin"/>
          </w:r>
          <w:r>
            <w:rPr>
              <w:sz w:val="24"/>
              <w:szCs w:val="24"/>
            </w:rPr>
            <w:instrText xml:space="preserve"> PAGEREF _Toc26485 \h </w:instrText>
          </w:r>
          <w:r>
            <w:rPr>
              <w:sz w:val="24"/>
              <w:szCs w:val="24"/>
            </w:rPr>
            <w:fldChar w:fldCharType="separate"/>
          </w:r>
          <w:r>
            <w:rPr>
              <w:sz w:val="24"/>
              <w:szCs w:val="24"/>
            </w:rPr>
            <w:t>42</w:t>
          </w:r>
          <w:r>
            <w:rPr>
              <w:sz w:val="24"/>
              <w:szCs w:val="24"/>
            </w:rPr>
            <w:fldChar w:fldCharType="end"/>
          </w:r>
          <w:r>
            <w:rPr>
              <w:color w:val="auto"/>
              <w:sz w:val="24"/>
              <w:szCs w:val="24"/>
            </w:rPr>
            <w:fldChar w:fldCharType="end"/>
          </w:r>
        </w:p>
        <w:p w14:paraId="20522B2C">
          <w:pPr>
            <w:pStyle w:val="24"/>
            <w:tabs>
              <w:tab w:val="right" w:leader="dot" w:pos="8844"/>
            </w:tabs>
            <w:rPr>
              <w:sz w:val="24"/>
              <w:szCs w:val="24"/>
            </w:rPr>
          </w:pPr>
          <w:r>
            <w:rPr>
              <w:color w:val="auto"/>
              <w:sz w:val="24"/>
              <w:szCs w:val="24"/>
            </w:rPr>
            <w:fldChar w:fldCharType="begin"/>
          </w:r>
          <w:r>
            <w:rPr>
              <w:sz w:val="24"/>
              <w:szCs w:val="24"/>
            </w:rPr>
            <w:instrText xml:space="preserve"> HYPERLINK \l _Toc5770 </w:instrText>
          </w:r>
          <w:r>
            <w:rPr>
              <w:sz w:val="24"/>
              <w:szCs w:val="24"/>
            </w:rPr>
            <w:fldChar w:fldCharType="separate"/>
          </w:r>
          <w:r>
            <w:rPr>
              <w:rFonts w:hint="eastAsia" w:ascii="黑体" w:hAnsi="黑体" w:eastAsia="黑体"/>
              <w:snapToGrid w:val="0"/>
              <w:sz w:val="24"/>
              <w:szCs w:val="24"/>
            </w:rPr>
            <w:t>四、主要环境影响和保护措施</w:t>
          </w:r>
          <w:r>
            <w:rPr>
              <w:sz w:val="24"/>
              <w:szCs w:val="24"/>
            </w:rPr>
            <w:tab/>
          </w:r>
          <w:r>
            <w:rPr>
              <w:sz w:val="24"/>
              <w:szCs w:val="24"/>
            </w:rPr>
            <w:fldChar w:fldCharType="begin"/>
          </w:r>
          <w:r>
            <w:rPr>
              <w:sz w:val="24"/>
              <w:szCs w:val="24"/>
            </w:rPr>
            <w:instrText xml:space="preserve"> PAGEREF _Toc5770 \h </w:instrText>
          </w:r>
          <w:r>
            <w:rPr>
              <w:sz w:val="24"/>
              <w:szCs w:val="24"/>
            </w:rPr>
            <w:fldChar w:fldCharType="separate"/>
          </w:r>
          <w:r>
            <w:rPr>
              <w:sz w:val="24"/>
              <w:szCs w:val="24"/>
            </w:rPr>
            <w:t>61</w:t>
          </w:r>
          <w:r>
            <w:rPr>
              <w:sz w:val="24"/>
              <w:szCs w:val="24"/>
            </w:rPr>
            <w:fldChar w:fldCharType="end"/>
          </w:r>
          <w:r>
            <w:rPr>
              <w:color w:val="auto"/>
              <w:sz w:val="24"/>
              <w:szCs w:val="24"/>
            </w:rPr>
            <w:fldChar w:fldCharType="end"/>
          </w:r>
        </w:p>
        <w:p w14:paraId="0E537290">
          <w:pPr>
            <w:pStyle w:val="24"/>
            <w:tabs>
              <w:tab w:val="right" w:leader="dot" w:pos="8844"/>
            </w:tabs>
            <w:rPr>
              <w:sz w:val="24"/>
              <w:szCs w:val="24"/>
            </w:rPr>
          </w:pPr>
          <w:r>
            <w:rPr>
              <w:color w:val="auto"/>
              <w:sz w:val="24"/>
              <w:szCs w:val="24"/>
            </w:rPr>
            <w:fldChar w:fldCharType="begin"/>
          </w:r>
          <w:r>
            <w:rPr>
              <w:sz w:val="24"/>
              <w:szCs w:val="24"/>
            </w:rPr>
            <w:instrText xml:space="preserve"> HYPERLINK \l _Toc23975 </w:instrText>
          </w:r>
          <w:r>
            <w:rPr>
              <w:sz w:val="24"/>
              <w:szCs w:val="24"/>
            </w:rPr>
            <w:fldChar w:fldCharType="separate"/>
          </w:r>
          <w:r>
            <w:rPr>
              <w:rFonts w:hint="eastAsia" w:ascii="黑体" w:hAnsi="黑体" w:eastAsia="黑体"/>
              <w:snapToGrid w:val="0"/>
              <w:sz w:val="24"/>
              <w:szCs w:val="24"/>
            </w:rPr>
            <w:t>五、环境保护措施监督检查清单</w:t>
          </w:r>
          <w:r>
            <w:rPr>
              <w:sz w:val="24"/>
              <w:szCs w:val="24"/>
            </w:rPr>
            <w:tab/>
          </w:r>
          <w:r>
            <w:rPr>
              <w:sz w:val="24"/>
              <w:szCs w:val="24"/>
            </w:rPr>
            <w:fldChar w:fldCharType="begin"/>
          </w:r>
          <w:r>
            <w:rPr>
              <w:sz w:val="24"/>
              <w:szCs w:val="24"/>
            </w:rPr>
            <w:instrText xml:space="preserve"> PAGEREF _Toc23975 \h </w:instrText>
          </w:r>
          <w:r>
            <w:rPr>
              <w:sz w:val="24"/>
              <w:szCs w:val="24"/>
            </w:rPr>
            <w:fldChar w:fldCharType="separate"/>
          </w:r>
          <w:r>
            <w:rPr>
              <w:sz w:val="24"/>
              <w:szCs w:val="24"/>
            </w:rPr>
            <w:t>87</w:t>
          </w:r>
          <w:r>
            <w:rPr>
              <w:sz w:val="24"/>
              <w:szCs w:val="24"/>
            </w:rPr>
            <w:fldChar w:fldCharType="end"/>
          </w:r>
          <w:r>
            <w:rPr>
              <w:color w:val="auto"/>
              <w:sz w:val="24"/>
              <w:szCs w:val="24"/>
            </w:rPr>
            <w:fldChar w:fldCharType="end"/>
          </w:r>
        </w:p>
        <w:p w14:paraId="10524DDC">
          <w:pPr>
            <w:pStyle w:val="24"/>
            <w:tabs>
              <w:tab w:val="right" w:leader="dot" w:pos="8844"/>
            </w:tabs>
            <w:rPr>
              <w:sz w:val="24"/>
              <w:szCs w:val="24"/>
            </w:rPr>
          </w:pPr>
          <w:r>
            <w:rPr>
              <w:color w:val="auto"/>
              <w:sz w:val="24"/>
              <w:szCs w:val="24"/>
            </w:rPr>
            <w:fldChar w:fldCharType="begin"/>
          </w:r>
          <w:r>
            <w:rPr>
              <w:sz w:val="24"/>
              <w:szCs w:val="24"/>
            </w:rPr>
            <w:instrText xml:space="preserve"> HYPERLINK \l _Toc20845 </w:instrText>
          </w:r>
          <w:r>
            <w:rPr>
              <w:sz w:val="24"/>
              <w:szCs w:val="24"/>
            </w:rPr>
            <w:fldChar w:fldCharType="separate"/>
          </w:r>
          <w:r>
            <w:rPr>
              <w:rFonts w:hint="eastAsia" w:ascii="黑体" w:hAnsi="黑体" w:eastAsia="黑体"/>
              <w:snapToGrid w:val="0"/>
              <w:sz w:val="24"/>
              <w:szCs w:val="24"/>
            </w:rPr>
            <w:t>六、结论</w:t>
          </w:r>
          <w:r>
            <w:rPr>
              <w:sz w:val="24"/>
              <w:szCs w:val="24"/>
            </w:rPr>
            <w:tab/>
          </w:r>
          <w:r>
            <w:rPr>
              <w:sz w:val="24"/>
              <w:szCs w:val="24"/>
            </w:rPr>
            <w:fldChar w:fldCharType="begin"/>
          </w:r>
          <w:r>
            <w:rPr>
              <w:sz w:val="24"/>
              <w:szCs w:val="24"/>
            </w:rPr>
            <w:instrText xml:space="preserve"> PAGEREF _Toc20845 \h </w:instrText>
          </w:r>
          <w:r>
            <w:rPr>
              <w:sz w:val="24"/>
              <w:szCs w:val="24"/>
            </w:rPr>
            <w:fldChar w:fldCharType="separate"/>
          </w:r>
          <w:r>
            <w:rPr>
              <w:sz w:val="24"/>
              <w:szCs w:val="24"/>
            </w:rPr>
            <w:t>91</w:t>
          </w:r>
          <w:r>
            <w:rPr>
              <w:sz w:val="24"/>
              <w:szCs w:val="24"/>
            </w:rPr>
            <w:fldChar w:fldCharType="end"/>
          </w:r>
          <w:r>
            <w:rPr>
              <w:color w:val="auto"/>
              <w:sz w:val="24"/>
              <w:szCs w:val="24"/>
            </w:rPr>
            <w:fldChar w:fldCharType="end"/>
          </w:r>
        </w:p>
        <w:p w14:paraId="36B9CAD4">
          <w:pPr>
            <w:pStyle w:val="24"/>
            <w:tabs>
              <w:tab w:val="right" w:leader="dot" w:pos="8844"/>
            </w:tabs>
            <w:rPr>
              <w:sz w:val="24"/>
              <w:szCs w:val="24"/>
            </w:rPr>
          </w:pPr>
          <w:r>
            <w:rPr>
              <w:color w:val="auto"/>
              <w:sz w:val="24"/>
              <w:szCs w:val="24"/>
            </w:rPr>
            <w:fldChar w:fldCharType="begin"/>
          </w:r>
          <w:r>
            <w:rPr>
              <w:sz w:val="24"/>
              <w:szCs w:val="24"/>
            </w:rPr>
            <w:instrText xml:space="preserve"> HYPERLINK \l _Toc2103 </w:instrText>
          </w:r>
          <w:r>
            <w:rPr>
              <w:sz w:val="24"/>
              <w:szCs w:val="24"/>
            </w:rPr>
            <w:fldChar w:fldCharType="separate"/>
          </w:r>
          <w:r>
            <w:rPr>
              <w:rFonts w:hint="eastAsia" w:ascii="黑体" w:hAnsi="黑体" w:eastAsia="黑体"/>
              <w:snapToGrid w:val="0"/>
              <w:sz w:val="24"/>
              <w:szCs w:val="24"/>
            </w:rPr>
            <w:t>附表</w:t>
          </w:r>
          <w:r>
            <w:rPr>
              <w:sz w:val="24"/>
              <w:szCs w:val="24"/>
            </w:rPr>
            <w:tab/>
          </w:r>
          <w:r>
            <w:rPr>
              <w:sz w:val="24"/>
              <w:szCs w:val="24"/>
            </w:rPr>
            <w:fldChar w:fldCharType="begin"/>
          </w:r>
          <w:r>
            <w:rPr>
              <w:sz w:val="24"/>
              <w:szCs w:val="24"/>
            </w:rPr>
            <w:instrText xml:space="preserve"> PAGEREF _Toc2103 \h </w:instrText>
          </w:r>
          <w:r>
            <w:rPr>
              <w:sz w:val="24"/>
              <w:szCs w:val="24"/>
            </w:rPr>
            <w:fldChar w:fldCharType="separate"/>
          </w:r>
          <w:r>
            <w:rPr>
              <w:sz w:val="24"/>
              <w:szCs w:val="24"/>
            </w:rPr>
            <w:t>92</w:t>
          </w:r>
          <w:r>
            <w:rPr>
              <w:sz w:val="24"/>
              <w:szCs w:val="24"/>
            </w:rPr>
            <w:fldChar w:fldCharType="end"/>
          </w:r>
          <w:r>
            <w:rPr>
              <w:color w:val="auto"/>
              <w:sz w:val="24"/>
              <w:szCs w:val="24"/>
            </w:rPr>
            <w:fldChar w:fldCharType="end"/>
          </w:r>
        </w:p>
        <w:p w14:paraId="4C2D5180">
          <w:pPr>
            <w:pStyle w:val="6"/>
            <w:keepNext w:val="0"/>
            <w:keepLines w:val="0"/>
            <w:pageBreakBefore w:val="0"/>
            <w:widowControl w:val="0"/>
            <w:kinsoku/>
            <w:wordWrap/>
            <w:overflowPunct/>
            <w:topLinePunct w:val="0"/>
            <w:bidi w:val="0"/>
            <w:snapToGrid/>
            <w:spacing w:line="440" w:lineRule="exact"/>
            <w:ind w:left="0" w:leftChars="0" w:firstLine="0" w:firstLineChars="0"/>
            <w:textAlignment w:val="auto"/>
            <w:rPr>
              <w:color w:val="auto"/>
            </w:rPr>
          </w:pPr>
          <w:r>
            <w:rPr>
              <w:color w:val="auto"/>
              <w:sz w:val="24"/>
              <w:szCs w:val="24"/>
            </w:rPr>
            <w:fldChar w:fldCharType="end"/>
          </w:r>
        </w:p>
      </w:sdtContent>
    </w:sdt>
    <w:p w14:paraId="66A518B9">
      <w:pPr>
        <w:pStyle w:val="6"/>
        <w:keepNext w:val="0"/>
        <w:keepLines w:val="0"/>
        <w:pageBreakBefore w:val="0"/>
        <w:widowControl w:val="0"/>
        <w:kinsoku/>
        <w:wordWrap/>
        <w:overflowPunct/>
        <w:topLinePunct w:val="0"/>
        <w:bidi w:val="0"/>
        <w:snapToGrid/>
        <w:spacing w:line="440" w:lineRule="exact"/>
        <w:ind w:left="0" w:leftChars="0" w:firstLine="0" w:firstLineChars="0"/>
        <w:textAlignment w:val="auto"/>
        <w:rPr>
          <w:rStyle w:val="97"/>
          <w:rFonts w:hint="default" w:ascii="Times New Roman" w:hAnsi="Times New Roman" w:cs="Times New Roman"/>
          <w:b/>
          <w:bCs/>
          <w:color w:val="auto"/>
          <w:sz w:val="24"/>
          <w:szCs w:val="24"/>
          <w:highlight w:val="none"/>
          <w:lang w:val="en-US" w:eastAsia="zh-CN"/>
        </w:rPr>
      </w:pPr>
      <w:r>
        <w:rPr>
          <w:rStyle w:val="97"/>
          <w:rFonts w:hint="default" w:ascii="Times New Roman" w:hAnsi="Times New Roman" w:cs="Times New Roman"/>
          <w:b/>
          <w:bCs/>
          <w:color w:val="auto"/>
          <w:sz w:val="24"/>
          <w:szCs w:val="24"/>
          <w:highlight w:val="none"/>
          <w:lang w:val="en-US" w:eastAsia="zh-CN"/>
        </w:rPr>
        <w:t>附图</w:t>
      </w:r>
    </w:p>
    <w:p w14:paraId="51131DA6">
      <w:pPr>
        <w:pStyle w:val="6"/>
        <w:keepNext w:val="0"/>
        <w:keepLines w:val="0"/>
        <w:pageBreakBefore w:val="0"/>
        <w:widowControl w:val="0"/>
        <w:kinsoku/>
        <w:wordWrap/>
        <w:overflowPunct/>
        <w:topLinePunct w:val="0"/>
        <w:bidi w:val="0"/>
        <w:snapToGrid/>
        <w:spacing w:line="440" w:lineRule="exac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附图1项目地理位置图</w:t>
      </w:r>
      <w:r>
        <w:rPr>
          <w:rFonts w:hint="eastAsia" w:cs="Times New Roman"/>
          <w:color w:val="auto"/>
          <w:sz w:val="24"/>
          <w:szCs w:val="24"/>
          <w:highlight w:val="none"/>
          <w:lang w:val="en-US" w:eastAsia="zh-CN"/>
        </w:rPr>
        <w:t>；</w:t>
      </w:r>
    </w:p>
    <w:p w14:paraId="52B0561C">
      <w:pPr>
        <w:pStyle w:val="6"/>
        <w:keepNext w:val="0"/>
        <w:keepLines w:val="0"/>
        <w:pageBreakBefore w:val="0"/>
        <w:widowControl w:val="0"/>
        <w:kinsoku/>
        <w:wordWrap/>
        <w:overflowPunct/>
        <w:topLinePunct w:val="0"/>
        <w:bidi w:val="0"/>
        <w:snapToGrid/>
        <w:spacing w:line="440" w:lineRule="exac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附图2环境空气监测布点图</w:t>
      </w:r>
      <w:r>
        <w:rPr>
          <w:rFonts w:hint="eastAsia" w:cs="Times New Roman"/>
          <w:color w:val="auto"/>
          <w:sz w:val="24"/>
          <w:szCs w:val="24"/>
          <w:highlight w:val="none"/>
          <w:lang w:val="en-US" w:eastAsia="zh-CN"/>
        </w:rPr>
        <w:t>；</w:t>
      </w:r>
    </w:p>
    <w:p w14:paraId="44566BFD">
      <w:pPr>
        <w:pStyle w:val="6"/>
        <w:keepNext w:val="0"/>
        <w:keepLines w:val="0"/>
        <w:pageBreakBefore w:val="0"/>
        <w:widowControl w:val="0"/>
        <w:kinsoku/>
        <w:wordWrap/>
        <w:overflowPunct/>
        <w:topLinePunct w:val="0"/>
        <w:bidi w:val="0"/>
        <w:snapToGrid/>
        <w:spacing w:line="440" w:lineRule="exac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附图3噪声监测布点图</w:t>
      </w:r>
      <w:r>
        <w:rPr>
          <w:rFonts w:hint="eastAsia" w:cs="Times New Roman"/>
          <w:color w:val="auto"/>
          <w:sz w:val="24"/>
          <w:szCs w:val="24"/>
          <w:highlight w:val="none"/>
          <w:lang w:val="en-US" w:eastAsia="zh-CN"/>
        </w:rPr>
        <w:t>；</w:t>
      </w:r>
    </w:p>
    <w:p w14:paraId="5A2386CD">
      <w:pPr>
        <w:pStyle w:val="6"/>
        <w:keepNext w:val="0"/>
        <w:keepLines w:val="0"/>
        <w:pageBreakBefore w:val="0"/>
        <w:widowControl w:val="0"/>
        <w:kinsoku/>
        <w:wordWrap/>
        <w:overflowPunct/>
        <w:topLinePunct w:val="0"/>
        <w:bidi w:val="0"/>
        <w:snapToGrid/>
        <w:spacing w:line="440" w:lineRule="exac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附图4</w:t>
      </w:r>
      <w:r>
        <w:rPr>
          <w:rFonts w:hint="eastAsia" w:cs="Times New Roman"/>
          <w:color w:val="auto"/>
          <w:sz w:val="24"/>
          <w:szCs w:val="24"/>
          <w:highlight w:val="none"/>
          <w:lang w:val="en-US" w:eastAsia="zh-CN"/>
        </w:rPr>
        <w:t>引用</w:t>
      </w:r>
      <w:r>
        <w:rPr>
          <w:rFonts w:hint="default" w:ascii="Times New Roman" w:hAnsi="Times New Roman" w:cs="Times New Roman"/>
          <w:color w:val="auto"/>
          <w:sz w:val="24"/>
          <w:szCs w:val="24"/>
          <w:highlight w:val="none"/>
          <w:lang w:val="en-US" w:eastAsia="zh-CN"/>
        </w:rPr>
        <w:t>地下水监测布点图</w:t>
      </w:r>
      <w:r>
        <w:rPr>
          <w:rFonts w:hint="eastAsia" w:cs="Times New Roman"/>
          <w:color w:val="auto"/>
          <w:sz w:val="24"/>
          <w:szCs w:val="24"/>
          <w:highlight w:val="none"/>
          <w:lang w:val="en-US" w:eastAsia="zh-CN"/>
        </w:rPr>
        <w:t>；</w:t>
      </w:r>
    </w:p>
    <w:p w14:paraId="55C2F521">
      <w:pPr>
        <w:pStyle w:val="6"/>
        <w:keepNext w:val="0"/>
        <w:keepLines w:val="0"/>
        <w:pageBreakBefore w:val="0"/>
        <w:widowControl w:val="0"/>
        <w:kinsoku/>
        <w:wordWrap/>
        <w:overflowPunct/>
        <w:topLinePunct w:val="0"/>
        <w:bidi w:val="0"/>
        <w:snapToGrid/>
        <w:spacing w:line="440" w:lineRule="exact"/>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附图5功能布置示意图；</w:t>
      </w:r>
    </w:p>
    <w:p w14:paraId="33B698EB">
      <w:pPr>
        <w:pStyle w:val="6"/>
        <w:keepNext w:val="0"/>
        <w:keepLines w:val="0"/>
        <w:pageBreakBefore w:val="0"/>
        <w:widowControl w:val="0"/>
        <w:kinsoku/>
        <w:wordWrap/>
        <w:overflowPunct/>
        <w:topLinePunct w:val="0"/>
        <w:bidi w:val="0"/>
        <w:snapToGrid/>
        <w:spacing w:line="440" w:lineRule="exact"/>
        <w:textAlignment w:val="auto"/>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附图6平面布置示意图；</w:t>
      </w:r>
    </w:p>
    <w:p w14:paraId="0E89E4CA">
      <w:pPr>
        <w:pStyle w:val="6"/>
        <w:keepNext w:val="0"/>
        <w:keepLines w:val="0"/>
        <w:pageBreakBefore w:val="0"/>
        <w:widowControl w:val="0"/>
        <w:kinsoku/>
        <w:wordWrap/>
        <w:overflowPunct/>
        <w:topLinePunct w:val="0"/>
        <w:bidi w:val="0"/>
        <w:snapToGrid/>
        <w:spacing w:line="440" w:lineRule="exact"/>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附图7地下水环境保护目标图；</w:t>
      </w:r>
    </w:p>
    <w:p w14:paraId="0E52BA0C">
      <w:pPr>
        <w:pStyle w:val="6"/>
        <w:keepNext w:val="0"/>
        <w:keepLines w:val="0"/>
        <w:pageBreakBefore w:val="0"/>
        <w:widowControl w:val="0"/>
        <w:kinsoku/>
        <w:wordWrap/>
        <w:overflowPunct/>
        <w:topLinePunct w:val="0"/>
        <w:bidi w:val="0"/>
        <w:snapToGrid/>
        <w:spacing w:line="440" w:lineRule="exact"/>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附图8大气环境风险评价范围图；</w:t>
      </w:r>
    </w:p>
    <w:p w14:paraId="7F97DC9A">
      <w:pPr>
        <w:pStyle w:val="6"/>
        <w:keepNext w:val="0"/>
        <w:keepLines w:val="0"/>
        <w:pageBreakBefore w:val="0"/>
        <w:widowControl w:val="0"/>
        <w:kinsoku/>
        <w:wordWrap/>
        <w:overflowPunct/>
        <w:topLinePunct w:val="0"/>
        <w:bidi w:val="0"/>
        <w:snapToGrid/>
        <w:spacing w:line="440" w:lineRule="exact"/>
        <w:textAlignment w:val="auto"/>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附图9大气环境风险保护目标图（表）。</w:t>
      </w:r>
    </w:p>
    <w:p w14:paraId="12EDB2A0">
      <w:pPr>
        <w:pStyle w:val="6"/>
        <w:keepNext w:val="0"/>
        <w:keepLines w:val="0"/>
        <w:pageBreakBefore w:val="0"/>
        <w:widowControl w:val="0"/>
        <w:kinsoku/>
        <w:wordWrap/>
        <w:overflowPunct/>
        <w:topLinePunct w:val="0"/>
        <w:bidi w:val="0"/>
        <w:snapToGrid/>
        <w:spacing w:line="440" w:lineRule="exact"/>
        <w:ind w:left="0" w:leftChars="0" w:firstLine="0" w:firstLineChars="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附件</w:t>
      </w:r>
    </w:p>
    <w:p w14:paraId="294FCA23">
      <w:pPr>
        <w:pStyle w:val="6"/>
        <w:keepNext w:val="0"/>
        <w:keepLines w:val="0"/>
        <w:pageBreakBefore w:val="0"/>
        <w:widowControl w:val="0"/>
        <w:kinsoku/>
        <w:wordWrap/>
        <w:overflowPunct/>
        <w:topLinePunct w:val="0"/>
        <w:bidi w:val="0"/>
        <w:snapToGrid/>
        <w:spacing w:line="440" w:lineRule="exact"/>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bidi="ar-SA"/>
        </w:rPr>
        <w:t>附件1委</w:t>
      </w:r>
      <w:r>
        <w:rPr>
          <w:rFonts w:hint="default" w:ascii="Times New Roman" w:hAnsi="Times New Roman" w:cs="Times New Roman"/>
          <w:color w:val="auto"/>
          <w:sz w:val="24"/>
          <w:szCs w:val="24"/>
          <w:highlight w:val="none"/>
          <w:lang w:val="en-US" w:eastAsia="zh-CN"/>
        </w:rPr>
        <w:t>托书</w:t>
      </w:r>
      <w:r>
        <w:rPr>
          <w:rFonts w:hint="eastAsia" w:cs="Times New Roman"/>
          <w:color w:val="auto"/>
          <w:sz w:val="24"/>
          <w:szCs w:val="24"/>
          <w:highlight w:val="none"/>
          <w:lang w:val="en-US" w:eastAsia="zh-CN"/>
        </w:rPr>
        <w:t>；</w:t>
      </w:r>
    </w:p>
    <w:p w14:paraId="56D4B1CE">
      <w:pPr>
        <w:pStyle w:val="43"/>
        <w:keepNext w:val="0"/>
        <w:keepLines w:val="0"/>
        <w:pageBreakBefore w:val="0"/>
        <w:widowControl w:val="0"/>
        <w:kinsoku/>
        <w:wordWrap/>
        <w:overflowPunct/>
        <w:topLinePunct w:val="0"/>
        <w:bidi w:val="0"/>
        <w:snapToGrid/>
        <w:spacing w:line="440" w:lineRule="exact"/>
        <w:ind w:firstLine="480" w:firstLineChars="200"/>
        <w:textAlignment w:val="auto"/>
        <w:rPr>
          <w:rFonts w:hint="eastAsia" w:asci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附件2</w:t>
      </w:r>
      <w:r>
        <w:rPr>
          <w:rFonts w:hint="eastAsia" w:ascii="Times New Roman" w:cs="Times New Roman"/>
          <w:color w:val="auto"/>
          <w:sz w:val="24"/>
          <w:szCs w:val="24"/>
          <w:highlight w:val="none"/>
          <w:lang w:val="en-US" w:eastAsia="zh-CN"/>
        </w:rPr>
        <w:t>立项文件；</w:t>
      </w:r>
    </w:p>
    <w:p w14:paraId="7D0F46AA">
      <w:pPr>
        <w:pStyle w:val="43"/>
        <w:keepNext w:val="0"/>
        <w:keepLines w:val="0"/>
        <w:pageBreakBefore w:val="0"/>
        <w:widowControl w:val="0"/>
        <w:kinsoku/>
        <w:wordWrap/>
        <w:overflowPunct/>
        <w:topLinePunct w:val="0"/>
        <w:bidi w:val="0"/>
        <w:snapToGrid/>
        <w:spacing w:line="440" w:lineRule="exact"/>
        <w:ind w:firstLine="480" w:firstLineChars="200"/>
        <w:textAlignment w:val="auto"/>
        <w:rPr>
          <w:rFonts w:hint="default"/>
          <w:color w:val="auto"/>
          <w:highlight w:val="none"/>
          <w:lang w:val="en-US" w:eastAsia="zh-CN"/>
        </w:rPr>
      </w:pPr>
      <w:r>
        <w:rPr>
          <w:rFonts w:hint="eastAsia" w:ascii="Times New Roman" w:cs="Times New Roman"/>
          <w:color w:val="auto"/>
          <w:sz w:val="24"/>
          <w:szCs w:val="24"/>
          <w:highlight w:val="none"/>
          <w:lang w:val="en-US" w:eastAsia="zh-CN"/>
        </w:rPr>
        <w:t>附件3营业执照；</w:t>
      </w:r>
    </w:p>
    <w:p w14:paraId="204FD7E4">
      <w:pPr>
        <w:pStyle w:val="43"/>
        <w:keepNext w:val="0"/>
        <w:keepLines w:val="0"/>
        <w:pageBreakBefore w:val="0"/>
        <w:widowControl w:val="0"/>
        <w:kinsoku/>
        <w:wordWrap/>
        <w:overflowPunct/>
        <w:topLinePunct w:val="0"/>
        <w:bidi w:val="0"/>
        <w:snapToGrid/>
        <w:spacing w:line="440" w:lineRule="exact"/>
        <w:ind w:firstLine="480" w:firstLineChars="200"/>
        <w:textAlignment w:val="auto"/>
        <w:rPr>
          <w:rFonts w:hint="eastAsia" w:ascii="Times New Roman" w:cs="Times New Roman"/>
          <w:color w:val="auto"/>
          <w:sz w:val="24"/>
          <w:szCs w:val="24"/>
          <w:highlight w:val="none"/>
          <w:lang w:val="en-US" w:eastAsia="zh-CN"/>
        </w:rPr>
      </w:pPr>
      <w:r>
        <w:rPr>
          <w:rFonts w:hint="eastAsia" w:ascii="Times New Roman" w:cs="Times New Roman"/>
          <w:color w:val="auto"/>
          <w:sz w:val="24"/>
          <w:szCs w:val="24"/>
          <w:highlight w:val="none"/>
          <w:lang w:val="en-US" w:eastAsia="zh-CN"/>
        </w:rPr>
        <w:t>附件4环境空气、声环境和土壤</w:t>
      </w:r>
      <w:r>
        <w:rPr>
          <w:rFonts w:hint="eastAsia" w:ascii="Times New Roman" w:hAnsi="Times New Roman" w:cs="Times New Roman"/>
          <w:color w:val="auto"/>
          <w:sz w:val="24"/>
          <w:szCs w:val="24"/>
          <w:highlight w:val="none"/>
          <w:lang w:val="en-US" w:eastAsia="zh-CN"/>
        </w:rPr>
        <w:t>监测报告</w:t>
      </w:r>
      <w:r>
        <w:rPr>
          <w:rFonts w:hint="eastAsia" w:ascii="Times New Roman" w:cs="Times New Roman"/>
          <w:color w:val="auto"/>
          <w:sz w:val="24"/>
          <w:szCs w:val="24"/>
          <w:highlight w:val="none"/>
          <w:lang w:val="en-US" w:eastAsia="zh-CN"/>
        </w:rPr>
        <w:t>；</w:t>
      </w:r>
    </w:p>
    <w:p w14:paraId="2AE2734E">
      <w:pPr>
        <w:pStyle w:val="43"/>
        <w:keepNext w:val="0"/>
        <w:keepLines w:val="0"/>
        <w:pageBreakBefore w:val="0"/>
        <w:widowControl w:val="0"/>
        <w:kinsoku/>
        <w:wordWrap/>
        <w:overflowPunct/>
        <w:topLinePunct w:val="0"/>
        <w:bidi w:val="0"/>
        <w:snapToGrid/>
        <w:spacing w:line="440" w:lineRule="exact"/>
        <w:ind w:firstLine="480" w:firstLineChars="200"/>
        <w:textAlignment w:val="auto"/>
        <w:rPr>
          <w:rFonts w:hint="eastAsia" w:ascii="Times New Roman" w:cs="Times New Roman"/>
          <w:color w:val="auto"/>
          <w:sz w:val="24"/>
          <w:szCs w:val="24"/>
          <w:highlight w:val="none"/>
          <w:lang w:val="en-US" w:eastAsia="zh-CN"/>
        </w:rPr>
      </w:pPr>
      <w:r>
        <w:rPr>
          <w:rFonts w:hint="eastAsia" w:ascii="Times New Roman" w:cs="Times New Roman"/>
          <w:color w:val="auto"/>
          <w:sz w:val="24"/>
          <w:szCs w:val="24"/>
          <w:highlight w:val="none"/>
          <w:lang w:val="en-US" w:eastAsia="zh-CN"/>
        </w:rPr>
        <w:t>附件5</w:t>
      </w:r>
      <w:r>
        <w:rPr>
          <w:rFonts w:hint="eastAsia"/>
          <w:color w:val="auto"/>
          <w:sz w:val="24"/>
          <w:lang w:eastAsia="zh-CN"/>
        </w:rPr>
        <w:t>宝鸡军民合用机场建设工程</w:t>
      </w:r>
      <w:r>
        <w:rPr>
          <w:rFonts w:hint="eastAsia" w:ascii="Times New Roman" w:cs="Times New Roman"/>
          <w:color w:val="auto"/>
          <w:sz w:val="24"/>
          <w:szCs w:val="24"/>
          <w:highlight w:val="none"/>
          <w:lang w:val="en-US" w:eastAsia="zh-CN"/>
        </w:rPr>
        <w:t>地下水监测报告；</w:t>
      </w:r>
    </w:p>
    <w:p w14:paraId="11A6266A">
      <w:pPr>
        <w:pStyle w:val="43"/>
        <w:keepNext w:val="0"/>
        <w:keepLines w:val="0"/>
        <w:pageBreakBefore w:val="0"/>
        <w:widowControl w:val="0"/>
        <w:kinsoku/>
        <w:wordWrap/>
        <w:overflowPunct/>
        <w:topLinePunct w:val="0"/>
        <w:bidi w:val="0"/>
        <w:snapToGrid/>
        <w:spacing w:line="440" w:lineRule="exact"/>
        <w:ind w:firstLine="480" w:firstLineChars="200"/>
        <w:textAlignment w:val="auto"/>
        <w:rPr>
          <w:color w:val="auto"/>
          <w:sz w:val="24"/>
          <w:szCs w:val="24"/>
          <w:highlight w:val="none"/>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eastAsia" w:ascii="Times New Roman" w:cs="Times New Roman"/>
          <w:color w:val="auto"/>
          <w:sz w:val="24"/>
          <w:szCs w:val="24"/>
          <w:highlight w:val="none"/>
          <w:lang w:val="en-US" w:eastAsia="zh-CN"/>
        </w:rPr>
        <w:t>附件6危废处理协议。</w:t>
      </w:r>
    </w:p>
    <w:p w14:paraId="4516D519">
      <w:pPr>
        <w:pStyle w:val="29"/>
        <w:jc w:val="both"/>
        <w:outlineLvl w:val="0"/>
        <w:rPr>
          <w:rFonts w:hint="eastAsia" w:ascii="黑体" w:hAnsi="黑体" w:eastAsia="黑体"/>
          <w:snapToGrid w:val="0"/>
          <w:color w:val="auto"/>
          <w:sz w:val="30"/>
          <w:szCs w:val="30"/>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1A6C2129">
      <w:pPr>
        <w:pStyle w:val="29"/>
        <w:jc w:val="center"/>
        <w:outlineLvl w:val="0"/>
        <w:rPr>
          <w:rFonts w:ascii="黑体" w:hAnsi="黑体" w:eastAsia="黑体"/>
          <w:snapToGrid w:val="0"/>
          <w:color w:val="auto"/>
          <w:sz w:val="30"/>
          <w:szCs w:val="30"/>
        </w:rPr>
      </w:pPr>
      <w:bookmarkStart w:id="6" w:name="_Toc18434"/>
      <w:r>
        <w:rPr>
          <w:rFonts w:hint="eastAsia" w:ascii="黑体" w:hAnsi="黑体" w:eastAsia="黑体"/>
          <w:snapToGrid w:val="0"/>
          <w:color w:val="auto"/>
          <w:sz w:val="30"/>
          <w:szCs w:val="30"/>
        </w:rPr>
        <w:t>一、建设项目基本情况</w:t>
      </w:r>
      <w:bookmarkEnd w:id="6"/>
    </w:p>
    <w:tbl>
      <w:tblPr>
        <w:tblStyle w:val="32"/>
        <w:tblW w:w="499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370"/>
        <w:gridCol w:w="1805"/>
        <w:gridCol w:w="2185"/>
        <w:gridCol w:w="3503"/>
      </w:tblGrid>
      <w:tr w14:paraId="1310B5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71" w:type="dxa"/>
            <w:tcMar>
              <w:top w:w="16" w:type="dxa"/>
              <w:left w:w="16" w:type="dxa"/>
              <w:right w:w="16" w:type="dxa"/>
            </w:tcMar>
            <w:vAlign w:val="center"/>
          </w:tcPr>
          <w:p w14:paraId="5A45575B">
            <w:pPr>
              <w:adjustRightInd w:val="0"/>
              <w:snapToGrid w:val="0"/>
              <w:jc w:val="center"/>
              <w:rPr>
                <w:color w:val="auto"/>
                <w:szCs w:val="21"/>
              </w:rPr>
            </w:pPr>
            <w:r>
              <w:rPr>
                <w:rFonts w:hint="eastAsia"/>
                <w:color w:val="auto"/>
                <w:szCs w:val="21"/>
              </w:rPr>
              <w:t>建设项目名称</w:t>
            </w:r>
          </w:p>
        </w:tc>
        <w:tc>
          <w:tcPr>
            <w:tcW w:w="7499" w:type="dxa"/>
            <w:gridSpan w:val="3"/>
            <w:vAlign w:val="center"/>
          </w:tcPr>
          <w:p w14:paraId="731E2529">
            <w:pPr>
              <w:adjustRightInd w:val="0"/>
              <w:snapToGrid w:val="0"/>
              <w:jc w:val="center"/>
              <w:rPr>
                <w:rFonts w:hint="default" w:ascii="宋体" w:hAnsi="宋体" w:eastAsia="宋体" w:cs="宋体"/>
                <w:color w:val="auto"/>
                <w:szCs w:val="21"/>
                <w:lang w:val="en-US" w:eastAsia="zh-CN"/>
              </w:rPr>
            </w:pPr>
            <w:r>
              <w:rPr>
                <w:rFonts w:hint="default" w:ascii="宋体" w:hAnsi="宋体" w:eastAsia="宋体" w:cs="宋体"/>
                <w:color w:val="auto"/>
                <w:szCs w:val="21"/>
                <w:lang w:val="en-US" w:eastAsia="zh-CN"/>
              </w:rPr>
              <w:t>宝鸡机场供油工程项目</w:t>
            </w:r>
          </w:p>
        </w:tc>
      </w:tr>
      <w:tr w14:paraId="51D32E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71" w:type="dxa"/>
            <w:tcMar>
              <w:top w:w="16" w:type="dxa"/>
              <w:left w:w="16" w:type="dxa"/>
              <w:right w:w="16" w:type="dxa"/>
            </w:tcMar>
            <w:vAlign w:val="center"/>
          </w:tcPr>
          <w:p w14:paraId="2DCF3941">
            <w:pPr>
              <w:adjustRightInd w:val="0"/>
              <w:snapToGrid w:val="0"/>
              <w:jc w:val="center"/>
              <w:rPr>
                <w:color w:val="auto"/>
                <w:szCs w:val="21"/>
              </w:rPr>
            </w:pPr>
            <w:r>
              <w:rPr>
                <w:rFonts w:hint="eastAsia"/>
                <w:color w:val="auto"/>
                <w:szCs w:val="21"/>
                <w:highlight w:val="none"/>
              </w:rPr>
              <w:t>项目代码</w:t>
            </w:r>
          </w:p>
        </w:tc>
        <w:tc>
          <w:tcPr>
            <w:tcW w:w="7499" w:type="dxa"/>
            <w:gridSpan w:val="3"/>
            <w:vAlign w:val="center"/>
          </w:tcPr>
          <w:p w14:paraId="12BDAE81">
            <w:pPr>
              <w:adjustRightInd w:val="0"/>
              <w:snapToGrid w:val="0"/>
              <w:jc w:val="center"/>
              <w:rPr>
                <w:rFonts w:hint="default" w:ascii="宋体" w:hAnsi="宋体" w:eastAsia="宋体" w:cs="宋体"/>
                <w:color w:val="auto"/>
                <w:szCs w:val="21"/>
                <w:lang w:val="en-US" w:eastAsia="zh-CN"/>
              </w:rPr>
            </w:pPr>
          </w:p>
        </w:tc>
      </w:tr>
      <w:tr w14:paraId="48255C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71" w:type="dxa"/>
            <w:tcMar>
              <w:top w:w="16" w:type="dxa"/>
              <w:left w:w="16" w:type="dxa"/>
              <w:right w:w="16" w:type="dxa"/>
            </w:tcMar>
            <w:vAlign w:val="center"/>
          </w:tcPr>
          <w:p w14:paraId="48636A77">
            <w:pPr>
              <w:adjustRightInd w:val="0"/>
              <w:snapToGrid w:val="0"/>
              <w:jc w:val="center"/>
              <w:rPr>
                <w:color w:val="auto"/>
                <w:szCs w:val="21"/>
              </w:rPr>
            </w:pPr>
            <w:r>
              <w:rPr>
                <w:rFonts w:hint="eastAsia"/>
                <w:color w:val="auto"/>
                <w:szCs w:val="21"/>
              </w:rPr>
              <w:t>建设单位联系人</w:t>
            </w:r>
          </w:p>
        </w:tc>
        <w:tc>
          <w:tcPr>
            <w:tcW w:w="1806" w:type="dxa"/>
            <w:vAlign w:val="center"/>
          </w:tcPr>
          <w:p w14:paraId="59BD43E4">
            <w:pPr>
              <w:adjustRightInd w:val="0"/>
              <w:snapToGrid w:val="0"/>
              <w:jc w:val="center"/>
              <w:rPr>
                <w:rFonts w:hint="default" w:ascii="Times New Roman" w:hAnsi="Times New Roman" w:eastAsia="宋体" w:cs="Times New Roman"/>
                <w:color w:val="auto"/>
                <w:szCs w:val="21"/>
                <w:lang w:val="en-US" w:eastAsia="zh-CN"/>
              </w:rPr>
            </w:pPr>
          </w:p>
        </w:tc>
        <w:tc>
          <w:tcPr>
            <w:tcW w:w="2187" w:type="dxa"/>
            <w:vAlign w:val="center"/>
          </w:tcPr>
          <w:p w14:paraId="114DB26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联系方式</w:t>
            </w:r>
          </w:p>
        </w:tc>
        <w:tc>
          <w:tcPr>
            <w:tcW w:w="3506" w:type="dxa"/>
            <w:vAlign w:val="center"/>
          </w:tcPr>
          <w:p w14:paraId="120B429F">
            <w:pPr>
              <w:adjustRightInd w:val="0"/>
              <w:snapToGrid w:val="0"/>
              <w:jc w:val="center"/>
              <w:rPr>
                <w:rFonts w:hint="default" w:ascii="Times New Roman" w:hAnsi="Times New Roman" w:eastAsia="宋体" w:cs="Times New Roman"/>
                <w:color w:val="auto"/>
                <w:szCs w:val="21"/>
                <w:lang w:val="en-US" w:eastAsia="zh-CN"/>
              </w:rPr>
            </w:pPr>
            <w:bookmarkStart w:id="22" w:name="_GoBack"/>
            <w:bookmarkEnd w:id="22"/>
          </w:p>
        </w:tc>
      </w:tr>
      <w:tr w14:paraId="015B19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71" w:type="dxa"/>
            <w:tcMar>
              <w:top w:w="16" w:type="dxa"/>
              <w:left w:w="16" w:type="dxa"/>
              <w:right w:w="16" w:type="dxa"/>
            </w:tcMar>
            <w:vAlign w:val="center"/>
          </w:tcPr>
          <w:p w14:paraId="4CE0EF4A">
            <w:pPr>
              <w:adjustRightInd w:val="0"/>
              <w:snapToGrid w:val="0"/>
              <w:jc w:val="center"/>
              <w:rPr>
                <w:color w:val="auto"/>
                <w:szCs w:val="21"/>
              </w:rPr>
            </w:pPr>
            <w:r>
              <w:rPr>
                <w:rFonts w:hint="eastAsia"/>
                <w:color w:val="auto"/>
                <w:szCs w:val="21"/>
              </w:rPr>
              <w:t>建设地点</w:t>
            </w:r>
          </w:p>
        </w:tc>
        <w:tc>
          <w:tcPr>
            <w:tcW w:w="7499" w:type="dxa"/>
            <w:gridSpan w:val="3"/>
            <w:vAlign w:val="center"/>
          </w:tcPr>
          <w:p w14:paraId="0B4D51E3">
            <w:pPr>
              <w:adjustRightInd w:val="0"/>
              <w:snapToGrid w:val="0"/>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陕西省宝鸡市凤翔县东北糜杆桥镇宝鸡机场东南侧</w:t>
            </w:r>
          </w:p>
        </w:tc>
      </w:tr>
      <w:tr w14:paraId="750E81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71" w:type="dxa"/>
            <w:tcMar>
              <w:top w:w="16" w:type="dxa"/>
              <w:left w:w="16" w:type="dxa"/>
              <w:right w:w="16" w:type="dxa"/>
            </w:tcMar>
            <w:vAlign w:val="center"/>
          </w:tcPr>
          <w:p w14:paraId="5210C8ED">
            <w:pPr>
              <w:adjustRightInd w:val="0"/>
              <w:snapToGrid w:val="0"/>
              <w:jc w:val="center"/>
              <w:rPr>
                <w:color w:val="auto"/>
                <w:szCs w:val="21"/>
              </w:rPr>
            </w:pPr>
            <w:r>
              <w:rPr>
                <w:rFonts w:hint="eastAsia"/>
                <w:color w:val="auto"/>
                <w:szCs w:val="21"/>
              </w:rPr>
              <w:t>地理坐标</w:t>
            </w:r>
          </w:p>
        </w:tc>
        <w:tc>
          <w:tcPr>
            <w:tcW w:w="7499" w:type="dxa"/>
            <w:gridSpan w:val="3"/>
            <w:vAlign w:val="center"/>
          </w:tcPr>
          <w:p w14:paraId="1AA849B4">
            <w:pPr>
              <w:jc w:val="center"/>
              <w:rPr>
                <w:rFonts w:hint="eastAsia" w:ascii="宋体" w:hAnsi="宋体" w:eastAsia="宋体" w:cs="宋体"/>
                <w:color w:val="auto"/>
                <w:szCs w:val="21"/>
                <w:lang w:val="en-US" w:eastAsia="zh-CN"/>
              </w:rPr>
            </w:pPr>
            <w:r>
              <w:rPr>
                <w:rFonts w:hint="default"/>
                <w:color w:val="auto"/>
                <w:szCs w:val="21"/>
                <w:highlight w:val="none"/>
              </w:rPr>
              <w:t xml:space="preserve">（ </w:t>
            </w:r>
            <w:r>
              <w:rPr>
                <w:rFonts w:hint="eastAsia"/>
                <w:color w:val="auto"/>
                <w:szCs w:val="21"/>
                <w:highlight w:val="none"/>
                <w:lang w:eastAsia="zh-CN"/>
              </w:rPr>
              <w:t>东经</w:t>
            </w:r>
            <w:r>
              <w:rPr>
                <w:rFonts w:hint="default"/>
                <w:color w:val="auto"/>
                <w:szCs w:val="21"/>
                <w:highlight w:val="none"/>
                <w:lang w:val="en-US" w:eastAsia="zh-CN"/>
              </w:rPr>
              <w:t>107°29'29.00"</w:t>
            </w:r>
            <w:r>
              <w:rPr>
                <w:rFonts w:hint="default"/>
                <w:color w:val="auto"/>
                <w:szCs w:val="21"/>
                <w:highlight w:val="none"/>
              </w:rPr>
              <w:t xml:space="preserve">， </w:t>
            </w:r>
            <w:r>
              <w:rPr>
                <w:rFonts w:hint="eastAsia"/>
                <w:color w:val="auto"/>
                <w:szCs w:val="21"/>
                <w:highlight w:val="none"/>
                <w:lang w:eastAsia="zh-CN"/>
              </w:rPr>
              <w:t>北纬</w:t>
            </w:r>
            <w:r>
              <w:rPr>
                <w:rFonts w:hint="default"/>
                <w:color w:val="auto"/>
                <w:szCs w:val="21"/>
                <w:highlight w:val="none"/>
              </w:rPr>
              <w:t>34°30'58.31"）</w:t>
            </w:r>
          </w:p>
        </w:tc>
      </w:tr>
      <w:tr w14:paraId="391FA0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371" w:type="dxa"/>
            <w:tcMar>
              <w:top w:w="16" w:type="dxa"/>
              <w:left w:w="16" w:type="dxa"/>
              <w:right w:w="16" w:type="dxa"/>
            </w:tcMar>
            <w:vAlign w:val="center"/>
          </w:tcPr>
          <w:p w14:paraId="4AAF453D">
            <w:pPr>
              <w:adjustRightInd w:val="0"/>
              <w:snapToGrid w:val="0"/>
              <w:jc w:val="center"/>
              <w:rPr>
                <w:color w:val="auto"/>
                <w:szCs w:val="21"/>
              </w:rPr>
            </w:pPr>
            <w:r>
              <w:rPr>
                <w:rFonts w:hint="eastAsia"/>
                <w:color w:val="auto"/>
                <w:szCs w:val="21"/>
              </w:rPr>
              <w:t>国民经济</w:t>
            </w:r>
          </w:p>
          <w:p w14:paraId="3DDD336B">
            <w:pPr>
              <w:adjustRightInd w:val="0"/>
              <w:snapToGrid w:val="0"/>
              <w:jc w:val="center"/>
              <w:rPr>
                <w:color w:val="auto"/>
                <w:szCs w:val="21"/>
              </w:rPr>
            </w:pPr>
            <w:r>
              <w:rPr>
                <w:rFonts w:hint="eastAsia"/>
                <w:color w:val="auto"/>
                <w:szCs w:val="21"/>
              </w:rPr>
              <w:t>行业类别</w:t>
            </w:r>
          </w:p>
        </w:tc>
        <w:tc>
          <w:tcPr>
            <w:tcW w:w="1806" w:type="dxa"/>
            <w:vAlign w:val="center"/>
          </w:tcPr>
          <w:p w14:paraId="58A96C98">
            <w:pPr>
              <w:adjustRightInd w:val="0"/>
              <w:snapToGrid w:val="0"/>
              <w:jc w:val="center"/>
              <w:rPr>
                <w:rFonts w:hint="eastAsia" w:ascii="宋体" w:hAnsi="宋体" w:eastAsia="宋体" w:cs="宋体"/>
                <w:color w:val="auto"/>
                <w:szCs w:val="21"/>
                <w:lang w:eastAsia="zh-CN"/>
              </w:rPr>
            </w:pPr>
            <w:r>
              <w:rPr>
                <w:rFonts w:hint="eastAsia"/>
                <w:color w:val="auto"/>
                <w:lang w:val="en-US" w:eastAsia="zh-CN"/>
              </w:rPr>
              <w:t xml:space="preserve">G5941油气仓储   </w:t>
            </w:r>
          </w:p>
        </w:tc>
        <w:tc>
          <w:tcPr>
            <w:tcW w:w="2187" w:type="dxa"/>
            <w:vAlign w:val="center"/>
          </w:tcPr>
          <w:p w14:paraId="1DF73B49">
            <w:pPr>
              <w:adjustRightInd w:val="0"/>
              <w:snapToGrid w:val="0"/>
              <w:jc w:val="center"/>
              <w:rPr>
                <w:color w:val="auto"/>
                <w:szCs w:val="21"/>
              </w:rPr>
            </w:pPr>
            <w:r>
              <w:rPr>
                <w:rFonts w:hint="eastAsia"/>
                <w:color w:val="auto"/>
                <w:szCs w:val="21"/>
              </w:rPr>
              <w:t>建设项目</w:t>
            </w:r>
          </w:p>
          <w:p w14:paraId="15839694">
            <w:pPr>
              <w:adjustRightInd w:val="0"/>
              <w:snapToGrid w:val="0"/>
              <w:jc w:val="center"/>
              <w:rPr>
                <w:color w:val="auto"/>
                <w:szCs w:val="21"/>
              </w:rPr>
            </w:pPr>
            <w:r>
              <w:rPr>
                <w:rFonts w:hint="eastAsia"/>
                <w:color w:val="auto"/>
                <w:szCs w:val="21"/>
              </w:rPr>
              <w:t>行业类别</w:t>
            </w:r>
          </w:p>
        </w:tc>
        <w:tc>
          <w:tcPr>
            <w:tcW w:w="3506" w:type="dxa"/>
            <w:vAlign w:val="center"/>
          </w:tcPr>
          <w:p w14:paraId="72605031">
            <w:pPr>
              <w:adjustRightInd w:val="0"/>
              <w:snapToGrid w:val="0"/>
              <w:rPr>
                <w:rFonts w:hint="eastAsia"/>
                <w:color w:val="auto"/>
                <w:szCs w:val="21"/>
                <w:lang w:val="en-US" w:eastAsia="zh-CN"/>
              </w:rPr>
            </w:pPr>
            <w:r>
              <w:rPr>
                <w:rFonts w:hint="eastAsia"/>
                <w:color w:val="auto"/>
                <w:szCs w:val="21"/>
                <w:lang w:val="en-US" w:eastAsia="zh-CN"/>
              </w:rPr>
              <w:t>五十三</w:t>
            </w:r>
            <w:r>
              <w:rPr>
                <w:color w:val="auto"/>
                <w:szCs w:val="21"/>
              </w:rPr>
              <w:t>、</w:t>
            </w:r>
            <w:r>
              <w:rPr>
                <w:rFonts w:hint="eastAsia"/>
                <w:color w:val="auto"/>
                <w:szCs w:val="21"/>
                <w:lang w:val="en-US" w:eastAsia="zh-CN"/>
              </w:rPr>
              <w:t>装卸搬运和仓储业59</w:t>
            </w:r>
          </w:p>
          <w:p w14:paraId="360D0C87">
            <w:pPr>
              <w:adjustRightInd w:val="0"/>
              <w:snapToGrid w:val="0"/>
              <w:rPr>
                <w:rFonts w:hint="eastAsia" w:ascii="宋体" w:hAnsi="宋体" w:eastAsia="宋体" w:cs="宋体"/>
                <w:color w:val="auto"/>
                <w:szCs w:val="21"/>
                <w:lang w:eastAsia="zh-CN"/>
              </w:rPr>
            </w:pPr>
            <w:r>
              <w:rPr>
                <w:rFonts w:hint="eastAsia"/>
                <w:color w:val="auto"/>
                <w:szCs w:val="21"/>
                <w:lang w:val="en-US" w:eastAsia="zh-CN"/>
              </w:rPr>
              <w:t>149.危险品仓储594（不含加油站的油库；不含加气站的气库）其他（含有毒、有害、危险品的仓储；含液化天然气库）</w:t>
            </w:r>
          </w:p>
        </w:tc>
      </w:tr>
      <w:tr w14:paraId="71CCEB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371" w:type="dxa"/>
            <w:tcMar>
              <w:top w:w="16" w:type="dxa"/>
              <w:left w:w="16" w:type="dxa"/>
              <w:right w:w="16" w:type="dxa"/>
            </w:tcMar>
            <w:vAlign w:val="center"/>
          </w:tcPr>
          <w:p w14:paraId="14ED03BD">
            <w:pPr>
              <w:adjustRightInd w:val="0"/>
              <w:snapToGrid w:val="0"/>
              <w:jc w:val="center"/>
              <w:rPr>
                <w:color w:val="auto"/>
                <w:szCs w:val="21"/>
              </w:rPr>
            </w:pPr>
            <w:r>
              <w:rPr>
                <w:rFonts w:hint="eastAsia"/>
                <w:color w:val="auto"/>
                <w:szCs w:val="21"/>
              </w:rPr>
              <w:t>建设性质</w:t>
            </w:r>
          </w:p>
        </w:tc>
        <w:tc>
          <w:tcPr>
            <w:tcW w:w="1806" w:type="dxa"/>
            <w:vAlign w:val="center"/>
          </w:tcPr>
          <w:p w14:paraId="4A11F741">
            <w:pPr>
              <w:jc w:val="left"/>
              <w:rPr>
                <w:rFonts w:ascii="宋体" w:hAnsi="宋体" w:cs="宋体"/>
                <w:color w:val="auto"/>
                <w:szCs w:val="21"/>
              </w:rPr>
            </w:pPr>
            <w:r>
              <w:rPr>
                <w:rFonts w:hint="eastAsia" w:ascii="宋体" w:hAnsi="宋体" w:cs="宋体"/>
                <w:color w:val="auto"/>
                <w:szCs w:val="21"/>
              </w:rPr>
              <w:sym w:font="Wingdings" w:char="00FE"/>
            </w:r>
            <w:r>
              <w:rPr>
                <w:rFonts w:hint="eastAsia" w:ascii="宋体" w:hAnsi="宋体" w:cs="宋体"/>
                <w:color w:val="auto"/>
                <w:szCs w:val="21"/>
              </w:rPr>
              <w:t>新建（迁建）</w:t>
            </w:r>
          </w:p>
          <w:p w14:paraId="1F4D0292">
            <w:pPr>
              <w:jc w:val="left"/>
              <w:rPr>
                <w:rFonts w:ascii="宋体" w:hAnsi="宋体" w:cs="宋体"/>
                <w:color w:val="auto"/>
                <w:szCs w:val="21"/>
              </w:rPr>
            </w:pPr>
            <w:r>
              <w:rPr>
                <w:rFonts w:hint="eastAsia" w:ascii="宋体" w:hAnsi="宋体" w:cs="宋体"/>
                <w:color w:val="auto"/>
                <w:szCs w:val="21"/>
              </w:rPr>
              <w:sym w:font="Wingdings" w:char="00A8"/>
            </w:r>
            <w:r>
              <w:rPr>
                <w:rFonts w:hint="eastAsia" w:ascii="宋体" w:hAnsi="宋体" w:cs="宋体"/>
                <w:color w:val="auto"/>
                <w:szCs w:val="21"/>
              </w:rPr>
              <w:t>改建</w:t>
            </w:r>
          </w:p>
          <w:p w14:paraId="26729F44">
            <w:pPr>
              <w:jc w:val="left"/>
              <w:rPr>
                <w:rFonts w:ascii="宋体" w:hAnsi="宋体" w:cs="宋体"/>
                <w:color w:val="auto"/>
                <w:szCs w:val="21"/>
              </w:rPr>
            </w:pPr>
            <w:r>
              <w:rPr>
                <w:rFonts w:hint="eastAsia" w:ascii="宋体" w:hAnsi="宋体" w:cs="宋体"/>
                <w:color w:val="auto"/>
                <w:szCs w:val="21"/>
              </w:rPr>
              <w:sym w:font="Wingdings" w:char="00A8"/>
            </w:r>
            <w:r>
              <w:rPr>
                <w:rFonts w:hint="eastAsia" w:ascii="宋体" w:hAnsi="宋体" w:cs="宋体"/>
                <w:color w:val="auto"/>
                <w:szCs w:val="21"/>
              </w:rPr>
              <w:t>扩建</w:t>
            </w:r>
          </w:p>
          <w:p w14:paraId="053D07E8">
            <w:pPr>
              <w:jc w:val="left"/>
              <w:rPr>
                <w:rFonts w:ascii="宋体" w:hAnsi="宋体" w:cs="宋体"/>
                <w:color w:val="auto"/>
                <w:szCs w:val="21"/>
              </w:rPr>
            </w:pPr>
            <w:r>
              <w:rPr>
                <w:rFonts w:hint="eastAsia" w:ascii="宋体" w:hAnsi="宋体" w:cs="宋体"/>
                <w:color w:val="auto"/>
                <w:szCs w:val="21"/>
              </w:rPr>
              <w:sym w:font="Wingdings" w:char="00A8"/>
            </w:r>
            <w:r>
              <w:rPr>
                <w:rFonts w:hint="eastAsia" w:ascii="宋体" w:hAnsi="宋体" w:cs="宋体"/>
                <w:color w:val="auto"/>
                <w:szCs w:val="21"/>
              </w:rPr>
              <w:t>技术改造</w:t>
            </w:r>
          </w:p>
        </w:tc>
        <w:tc>
          <w:tcPr>
            <w:tcW w:w="2187" w:type="dxa"/>
            <w:vAlign w:val="center"/>
          </w:tcPr>
          <w:p w14:paraId="61D14770">
            <w:pPr>
              <w:adjustRightInd w:val="0"/>
              <w:snapToGrid w:val="0"/>
              <w:jc w:val="center"/>
              <w:rPr>
                <w:color w:val="auto"/>
                <w:szCs w:val="21"/>
              </w:rPr>
            </w:pPr>
            <w:r>
              <w:rPr>
                <w:rFonts w:hint="eastAsia"/>
                <w:color w:val="auto"/>
                <w:szCs w:val="21"/>
              </w:rPr>
              <w:t>建设项目</w:t>
            </w:r>
          </w:p>
          <w:p w14:paraId="24AAA5AF">
            <w:pPr>
              <w:adjustRightInd w:val="0"/>
              <w:snapToGrid w:val="0"/>
              <w:jc w:val="center"/>
              <w:rPr>
                <w:color w:val="auto"/>
                <w:szCs w:val="21"/>
              </w:rPr>
            </w:pPr>
            <w:r>
              <w:rPr>
                <w:rFonts w:hint="eastAsia"/>
                <w:color w:val="auto"/>
                <w:szCs w:val="21"/>
              </w:rPr>
              <w:t>申报情形</w:t>
            </w:r>
          </w:p>
        </w:tc>
        <w:tc>
          <w:tcPr>
            <w:tcW w:w="3506" w:type="dxa"/>
            <w:vAlign w:val="center"/>
          </w:tcPr>
          <w:p w14:paraId="32A68A71">
            <w:pPr>
              <w:jc w:val="left"/>
              <w:rPr>
                <w:rFonts w:ascii="宋体" w:hAnsi="宋体" w:cs="宋体"/>
                <w:color w:val="auto"/>
                <w:szCs w:val="21"/>
              </w:rPr>
            </w:pPr>
            <w:r>
              <w:rPr>
                <w:rFonts w:hint="eastAsia" w:ascii="宋体" w:hAnsi="宋体" w:cs="宋体"/>
                <w:color w:val="auto"/>
                <w:szCs w:val="21"/>
              </w:rPr>
              <w:sym w:font="Wingdings" w:char="00FE"/>
            </w:r>
            <w:r>
              <w:rPr>
                <w:rFonts w:hint="eastAsia" w:ascii="宋体" w:hAnsi="宋体" w:cs="宋体"/>
                <w:color w:val="auto"/>
                <w:szCs w:val="21"/>
              </w:rPr>
              <w:t>首次申报项目</w:t>
            </w:r>
            <w:r>
              <w:rPr>
                <w:rFonts w:ascii="宋体" w:hAnsi="宋体" w:cs="宋体"/>
                <w:color w:val="auto"/>
                <w:szCs w:val="21"/>
              </w:rPr>
              <w:t xml:space="preserve">             </w:t>
            </w:r>
          </w:p>
          <w:p w14:paraId="4547EBB1">
            <w:pPr>
              <w:jc w:val="left"/>
              <w:rPr>
                <w:rFonts w:ascii="宋体" w:hAnsi="宋体" w:cs="宋体"/>
                <w:color w:val="auto"/>
                <w:szCs w:val="21"/>
              </w:rPr>
            </w:pPr>
            <w:r>
              <w:rPr>
                <w:rFonts w:hint="eastAsia" w:ascii="宋体" w:hAnsi="宋体" w:cs="宋体"/>
                <w:color w:val="auto"/>
                <w:szCs w:val="21"/>
              </w:rPr>
              <w:sym w:font="Wingdings" w:char="00A8"/>
            </w:r>
            <w:r>
              <w:rPr>
                <w:rFonts w:hint="eastAsia" w:ascii="宋体" w:hAnsi="宋体" w:cs="宋体"/>
                <w:color w:val="auto"/>
                <w:szCs w:val="21"/>
              </w:rPr>
              <w:t>不予批准后再次申报项目</w:t>
            </w:r>
          </w:p>
          <w:p w14:paraId="4E93FA1D">
            <w:pPr>
              <w:jc w:val="left"/>
              <w:rPr>
                <w:rFonts w:ascii="宋体" w:hAnsi="宋体" w:cs="宋体"/>
                <w:color w:val="auto"/>
                <w:szCs w:val="21"/>
              </w:rPr>
            </w:pPr>
            <w:r>
              <w:rPr>
                <w:rFonts w:hint="eastAsia" w:ascii="宋体" w:hAnsi="宋体" w:cs="宋体"/>
                <w:color w:val="auto"/>
                <w:szCs w:val="21"/>
              </w:rPr>
              <w:sym w:font="Wingdings" w:char="00A8"/>
            </w:r>
            <w:r>
              <w:rPr>
                <w:rFonts w:hint="eastAsia" w:ascii="宋体" w:hAnsi="宋体" w:cs="宋体"/>
                <w:color w:val="auto"/>
                <w:szCs w:val="21"/>
              </w:rPr>
              <w:t>超五年重新审核项目</w:t>
            </w:r>
            <w:r>
              <w:rPr>
                <w:rFonts w:ascii="宋体" w:hAnsi="宋体" w:cs="宋体"/>
                <w:color w:val="auto"/>
                <w:szCs w:val="21"/>
              </w:rPr>
              <w:t xml:space="preserve">     </w:t>
            </w:r>
          </w:p>
          <w:p w14:paraId="0E5238CE">
            <w:pPr>
              <w:jc w:val="left"/>
              <w:rPr>
                <w:rFonts w:ascii="宋体" w:hAnsi="宋体" w:cs="宋体"/>
                <w:color w:val="auto"/>
                <w:szCs w:val="21"/>
              </w:rPr>
            </w:pPr>
            <w:r>
              <w:rPr>
                <w:rFonts w:hint="eastAsia" w:ascii="宋体" w:hAnsi="宋体" w:cs="宋体"/>
                <w:color w:val="auto"/>
                <w:szCs w:val="21"/>
              </w:rPr>
              <w:sym w:font="Wingdings" w:char="00A8"/>
            </w:r>
            <w:r>
              <w:rPr>
                <w:rFonts w:hint="eastAsia" w:ascii="宋体" w:hAnsi="宋体" w:cs="宋体"/>
                <w:color w:val="auto"/>
                <w:szCs w:val="21"/>
              </w:rPr>
              <w:t>重大变动重新报批项目</w:t>
            </w:r>
          </w:p>
        </w:tc>
      </w:tr>
      <w:tr w14:paraId="05990E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46" w:hRule="atLeast"/>
          <w:jc w:val="center"/>
        </w:trPr>
        <w:tc>
          <w:tcPr>
            <w:tcW w:w="1371" w:type="dxa"/>
            <w:tcMar>
              <w:top w:w="16" w:type="dxa"/>
              <w:left w:w="16" w:type="dxa"/>
              <w:right w:w="16" w:type="dxa"/>
            </w:tcMar>
            <w:vAlign w:val="center"/>
          </w:tcPr>
          <w:p w14:paraId="54DF27CC">
            <w:pPr>
              <w:adjustRightInd w:val="0"/>
              <w:snapToGrid w:val="0"/>
              <w:jc w:val="center"/>
              <w:rPr>
                <w:color w:val="auto"/>
                <w:szCs w:val="21"/>
                <w:highlight w:val="none"/>
              </w:rPr>
            </w:pPr>
            <w:r>
              <w:rPr>
                <w:rFonts w:hint="eastAsia"/>
                <w:color w:val="auto"/>
                <w:szCs w:val="21"/>
                <w:highlight w:val="none"/>
              </w:rPr>
              <w:t>项目审批（核准/备案）部门（选填）</w:t>
            </w:r>
          </w:p>
        </w:tc>
        <w:tc>
          <w:tcPr>
            <w:tcW w:w="1806" w:type="dxa"/>
            <w:vAlign w:val="center"/>
          </w:tcPr>
          <w:p w14:paraId="0652071F">
            <w:pPr>
              <w:adjustRightInd w:val="0"/>
              <w:snapToGrid w:val="0"/>
              <w:jc w:val="center"/>
              <w:rPr>
                <w:rFonts w:hint="eastAsia" w:ascii="宋体" w:hAnsi="宋体" w:eastAsia="宋体" w:cs="宋体"/>
                <w:color w:val="auto"/>
                <w:szCs w:val="21"/>
                <w:highlight w:val="none"/>
                <w:lang w:val="en-US" w:eastAsia="zh-CN"/>
              </w:rPr>
            </w:pPr>
          </w:p>
        </w:tc>
        <w:tc>
          <w:tcPr>
            <w:tcW w:w="2187" w:type="dxa"/>
            <w:vAlign w:val="center"/>
          </w:tcPr>
          <w:p w14:paraId="32B9556D">
            <w:pPr>
              <w:adjustRightInd w:val="0"/>
              <w:snapToGrid w:val="0"/>
              <w:jc w:val="center"/>
              <w:rPr>
                <w:color w:val="auto"/>
                <w:szCs w:val="21"/>
                <w:highlight w:val="none"/>
              </w:rPr>
            </w:pPr>
            <w:r>
              <w:rPr>
                <w:rFonts w:hint="eastAsia"/>
                <w:color w:val="auto"/>
                <w:szCs w:val="21"/>
                <w:highlight w:val="none"/>
              </w:rPr>
              <w:t>项目审批（核准/</w:t>
            </w:r>
          </w:p>
          <w:p w14:paraId="2B54477C">
            <w:pPr>
              <w:adjustRightInd w:val="0"/>
              <w:snapToGrid w:val="0"/>
              <w:jc w:val="center"/>
              <w:rPr>
                <w:color w:val="auto"/>
                <w:szCs w:val="21"/>
                <w:highlight w:val="none"/>
              </w:rPr>
            </w:pPr>
            <w:r>
              <w:rPr>
                <w:rFonts w:hint="eastAsia"/>
                <w:color w:val="auto"/>
                <w:szCs w:val="21"/>
                <w:highlight w:val="none"/>
              </w:rPr>
              <w:t>备案）文号（选填）</w:t>
            </w:r>
          </w:p>
        </w:tc>
        <w:tc>
          <w:tcPr>
            <w:tcW w:w="3506" w:type="dxa"/>
            <w:vAlign w:val="center"/>
          </w:tcPr>
          <w:p w14:paraId="638E4889">
            <w:pPr>
              <w:adjustRightInd w:val="0"/>
              <w:snapToGrid w:val="0"/>
              <w:jc w:val="center"/>
              <w:rPr>
                <w:rFonts w:hint="eastAsia" w:ascii="宋体" w:hAnsi="宋体" w:eastAsia="宋体" w:cs="宋体"/>
                <w:color w:val="auto"/>
                <w:szCs w:val="21"/>
                <w:highlight w:val="none"/>
                <w:lang w:eastAsia="zh-CN"/>
              </w:rPr>
            </w:pPr>
            <w:r>
              <w:rPr>
                <w:rFonts w:hint="eastAsia"/>
                <w:color w:val="auto"/>
                <w:szCs w:val="21"/>
                <w:highlight w:val="none"/>
                <w:lang w:val="en-US" w:eastAsia="zh-CN"/>
              </w:rPr>
              <w:t>/</w:t>
            </w:r>
          </w:p>
        </w:tc>
      </w:tr>
      <w:tr w14:paraId="531181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71" w:type="dxa"/>
            <w:tcMar>
              <w:top w:w="16" w:type="dxa"/>
              <w:left w:w="16" w:type="dxa"/>
              <w:right w:w="16" w:type="dxa"/>
            </w:tcMar>
            <w:vAlign w:val="center"/>
          </w:tcPr>
          <w:p w14:paraId="217A9EE9">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总投资（万元）</w:t>
            </w:r>
          </w:p>
        </w:tc>
        <w:tc>
          <w:tcPr>
            <w:tcW w:w="1806" w:type="dxa"/>
            <w:vAlign w:val="center"/>
          </w:tcPr>
          <w:p w14:paraId="3D4D785A">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4499.70</w:t>
            </w:r>
          </w:p>
        </w:tc>
        <w:tc>
          <w:tcPr>
            <w:tcW w:w="2187" w:type="dxa"/>
            <w:tcMar>
              <w:top w:w="16" w:type="dxa"/>
              <w:left w:w="16" w:type="dxa"/>
              <w:right w:w="16" w:type="dxa"/>
            </w:tcMar>
            <w:vAlign w:val="center"/>
          </w:tcPr>
          <w:p w14:paraId="65EA3258">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环保投资（万元）</w:t>
            </w:r>
          </w:p>
        </w:tc>
        <w:tc>
          <w:tcPr>
            <w:tcW w:w="3506" w:type="dxa"/>
            <w:vAlign w:val="center"/>
          </w:tcPr>
          <w:p w14:paraId="6E9B360D">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375.0</w:t>
            </w:r>
          </w:p>
        </w:tc>
      </w:tr>
      <w:tr w14:paraId="056B74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71" w:type="dxa"/>
            <w:tcMar>
              <w:top w:w="16" w:type="dxa"/>
              <w:left w:w="16" w:type="dxa"/>
              <w:right w:w="16" w:type="dxa"/>
            </w:tcMar>
            <w:vAlign w:val="center"/>
          </w:tcPr>
          <w:p w14:paraId="0BA4B698">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环保投资占比（%）</w:t>
            </w:r>
          </w:p>
        </w:tc>
        <w:tc>
          <w:tcPr>
            <w:tcW w:w="1806" w:type="dxa"/>
            <w:vAlign w:val="center"/>
          </w:tcPr>
          <w:p w14:paraId="5681B7F3">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8.33%</w:t>
            </w:r>
          </w:p>
        </w:tc>
        <w:tc>
          <w:tcPr>
            <w:tcW w:w="2187" w:type="dxa"/>
            <w:tcMar>
              <w:top w:w="16" w:type="dxa"/>
              <w:left w:w="16" w:type="dxa"/>
              <w:right w:w="16" w:type="dxa"/>
            </w:tcMar>
            <w:vAlign w:val="center"/>
          </w:tcPr>
          <w:p w14:paraId="64E65DE1">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施工工期</w:t>
            </w:r>
          </w:p>
        </w:tc>
        <w:tc>
          <w:tcPr>
            <w:tcW w:w="3506" w:type="dxa"/>
            <w:vAlign w:val="center"/>
          </w:tcPr>
          <w:p w14:paraId="10C3D4B8">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w:t>
            </w:r>
            <w:r>
              <w:rPr>
                <w:rFonts w:hint="default" w:ascii="Times New Roman" w:hAnsi="Times New Roman" w:cs="Times New Roman"/>
                <w:color w:val="auto"/>
                <w:szCs w:val="21"/>
                <w:highlight w:val="none"/>
                <w:lang w:val="en-US" w:eastAsia="zh-CN"/>
              </w:rPr>
              <w:t>个月</w:t>
            </w:r>
          </w:p>
        </w:tc>
      </w:tr>
      <w:tr w14:paraId="431FD1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71" w:type="dxa"/>
            <w:tcMar>
              <w:top w:w="16" w:type="dxa"/>
              <w:left w:w="16" w:type="dxa"/>
              <w:right w:w="16" w:type="dxa"/>
            </w:tcMar>
            <w:vAlign w:val="center"/>
          </w:tcPr>
          <w:p w14:paraId="0CA66923">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是否开工建设</w:t>
            </w:r>
          </w:p>
        </w:tc>
        <w:tc>
          <w:tcPr>
            <w:tcW w:w="1806" w:type="dxa"/>
            <w:vAlign w:val="center"/>
          </w:tcPr>
          <w:p w14:paraId="7D674750">
            <w:pPr>
              <w:adjustRightInd w:val="0"/>
              <w:snapToGrid w:val="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sym w:font="Wingdings" w:char="00FE"/>
            </w:r>
            <w:r>
              <w:rPr>
                <w:rFonts w:hint="default" w:ascii="Times New Roman" w:hAnsi="Times New Roman" w:cs="Times New Roman"/>
                <w:color w:val="auto"/>
                <w:szCs w:val="21"/>
                <w:highlight w:val="none"/>
              </w:rPr>
              <w:t>否</w:t>
            </w:r>
          </w:p>
          <w:p w14:paraId="4283AF85">
            <w:pPr>
              <w:adjustRightInd w:val="0"/>
              <w:snapToGrid w:val="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sym w:font="Wingdings" w:char="00A8"/>
            </w:r>
            <w:r>
              <w:rPr>
                <w:rFonts w:hint="default" w:ascii="Times New Roman" w:hAnsi="Times New Roman" w:cs="Times New Roman"/>
                <w:color w:val="auto"/>
                <w:szCs w:val="21"/>
                <w:highlight w:val="none"/>
              </w:rPr>
              <w:t>是：</w:t>
            </w:r>
            <w:r>
              <w:rPr>
                <w:rFonts w:hint="default" w:ascii="Times New Roman" w:hAnsi="Times New Roman" w:cs="Times New Roman"/>
                <w:color w:val="auto"/>
                <w:szCs w:val="21"/>
                <w:highlight w:val="none"/>
                <w:u w:val="single"/>
              </w:rPr>
              <w:t xml:space="preserve">             </w:t>
            </w:r>
          </w:p>
        </w:tc>
        <w:tc>
          <w:tcPr>
            <w:tcW w:w="2187" w:type="dxa"/>
            <w:tcMar>
              <w:top w:w="16" w:type="dxa"/>
              <w:left w:w="16" w:type="dxa"/>
              <w:right w:w="16" w:type="dxa"/>
            </w:tcMar>
            <w:vAlign w:val="center"/>
          </w:tcPr>
          <w:p w14:paraId="1F93624C">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用地（用海）</w:t>
            </w:r>
          </w:p>
          <w:p w14:paraId="46DD570C">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面积（m</w:t>
            </w:r>
            <w:r>
              <w:rPr>
                <w:rFonts w:hint="default" w:ascii="Times New Roman" w:hAnsi="Times New Roman" w:cs="Times New Roman"/>
                <w:color w:val="auto"/>
                <w:szCs w:val="21"/>
                <w:highlight w:val="none"/>
                <w:vertAlign w:val="superscript"/>
              </w:rPr>
              <w:t>2</w:t>
            </w:r>
            <w:r>
              <w:rPr>
                <w:rFonts w:hint="default" w:ascii="Times New Roman" w:hAnsi="Times New Roman" w:cs="Times New Roman"/>
                <w:color w:val="auto"/>
                <w:szCs w:val="21"/>
                <w:highlight w:val="none"/>
              </w:rPr>
              <w:t>）</w:t>
            </w:r>
          </w:p>
        </w:tc>
        <w:tc>
          <w:tcPr>
            <w:tcW w:w="3506" w:type="dxa"/>
            <w:vAlign w:val="center"/>
          </w:tcPr>
          <w:p w14:paraId="0F2DA057">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22293.3</w:t>
            </w:r>
          </w:p>
        </w:tc>
      </w:tr>
      <w:tr w14:paraId="182234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371" w:type="dxa"/>
            <w:vAlign w:val="center"/>
          </w:tcPr>
          <w:p w14:paraId="333B87E7">
            <w:pPr>
              <w:autoSpaceDE w:val="0"/>
              <w:autoSpaceDN w:val="0"/>
              <w:adjustRightInd w:val="0"/>
              <w:snapToGrid w:val="0"/>
              <w:jc w:val="center"/>
              <w:rPr>
                <w:rFonts w:ascii="宋体" w:hAnsi="宋体" w:cs="宋体"/>
                <w:color w:val="auto"/>
                <w:kern w:val="0"/>
                <w:szCs w:val="21"/>
              </w:rPr>
            </w:pPr>
            <w:r>
              <w:rPr>
                <w:rFonts w:hint="eastAsia" w:ascii="宋体" w:hAnsi="宋体" w:cs="宋体"/>
                <w:color w:val="auto"/>
                <w:kern w:val="0"/>
                <w:szCs w:val="21"/>
              </w:rPr>
              <w:t>专项评价设置情况</w:t>
            </w:r>
          </w:p>
        </w:tc>
        <w:tc>
          <w:tcPr>
            <w:tcW w:w="7499" w:type="dxa"/>
            <w:gridSpan w:val="3"/>
            <w:vAlign w:val="center"/>
          </w:tcPr>
          <w:p w14:paraId="39C745D6">
            <w:pPr>
              <w:spacing w:line="360" w:lineRule="auto"/>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表1-1专项评价设置一览表</w:t>
            </w:r>
          </w:p>
          <w:tbl>
            <w:tblPr>
              <w:tblStyle w:val="32"/>
              <w:tblW w:w="4988" w:type="pct"/>
              <w:tblInd w:w="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16"/>
              <w:gridCol w:w="2367"/>
              <w:gridCol w:w="2520"/>
              <w:gridCol w:w="1027"/>
            </w:tblGrid>
            <w:tr w14:paraId="2C3CA7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0" w:type="pct"/>
                  <w:tcBorders>
                    <w:top w:val="single" w:color="auto" w:sz="6" w:space="0"/>
                    <w:left w:val="single" w:color="auto" w:sz="6" w:space="0"/>
                    <w:bottom w:val="single" w:color="auto" w:sz="6" w:space="0"/>
                    <w:right w:val="single" w:color="auto" w:sz="6" w:space="0"/>
                  </w:tcBorders>
                  <w:noWrap w:val="0"/>
                  <w:vAlign w:val="center"/>
                </w:tcPr>
                <w:p w14:paraId="0934F45D">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专项评价类别</w:t>
                  </w:r>
                </w:p>
              </w:tc>
              <w:tc>
                <w:tcPr>
                  <w:tcW w:w="1636" w:type="pct"/>
                  <w:tcBorders>
                    <w:top w:val="single" w:color="auto" w:sz="6" w:space="0"/>
                    <w:left w:val="single" w:color="auto" w:sz="6" w:space="0"/>
                    <w:bottom w:val="single" w:color="auto" w:sz="6" w:space="0"/>
                    <w:right w:val="single" w:color="auto" w:sz="6" w:space="0"/>
                  </w:tcBorders>
                  <w:noWrap w:val="0"/>
                  <w:vAlign w:val="center"/>
                </w:tcPr>
                <w:p w14:paraId="2E019CCC">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设置原则</w:t>
                  </w:r>
                </w:p>
              </w:tc>
              <w:tc>
                <w:tcPr>
                  <w:tcW w:w="1742" w:type="pct"/>
                  <w:tcBorders>
                    <w:top w:val="single" w:color="auto" w:sz="6" w:space="0"/>
                    <w:left w:val="single" w:color="auto" w:sz="6" w:space="0"/>
                    <w:bottom w:val="single" w:color="auto" w:sz="6" w:space="0"/>
                    <w:right w:val="single" w:color="auto" w:sz="6" w:space="0"/>
                  </w:tcBorders>
                  <w:noWrap w:val="0"/>
                  <w:vAlign w:val="center"/>
                </w:tcPr>
                <w:p w14:paraId="47EA5998">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本项目情况</w:t>
                  </w:r>
                </w:p>
              </w:tc>
              <w:tc>
                <w:tcPr>
                  <w:tcW w:w="710" w:type="pct"/>
                  <w:tcBorders>
                    <w:top w:val="single" w:color="auto" w:sz="6" w:space="0"/>
                    <w:left w:val="single" w:color="auto" w:sz="6" w:space="0"/>
                    <w:bottom w:val="single" w:color="auto" w:sz="6" w:space="0"/>
                    <w:right w:val="single" w:color="auto" w:sz="6" w:space="0"/>
                  </w:tcBorders>
                  <w:noWrap w:val="0"/>
                  <w:vAlign w:val="center"/>
                </w:tcPr>
                <w:p w14:paraId="1B58BC32">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是否设置专项</w:t>
                  </w:r>
                </w:p>
              </w:tc>
            </w:tr>
            <w:tr w14:paraId="280E52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0" w:type="pct"/>
                  <w:tcBorders>
                    <w:top w:val="single" w:color="auto" w:sz="6" w:space="0"/>
                    <w:left w:val="single" w:color="auto" w:sz="6" w:space="0"/>
                    <w:bottom w:val="single" w:color="auto" w:sz="6" w:space="0"/>
                    <w:right w:val="single" w:color="auto" w:sz="6" w:space="0"/>
                  </w:tcBorders>
                  <w:noWrap w:val="0"/>
                  <w:vAlign w:val="center"/>
                </w:tcPr>
                <w:p w14:paraId="64CE69C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大气</w:t>
                  </w:r>
                </w:p>
              </w:tc>
              <w:tc>
                <w:tcPr>
                  <w:tcW w:w="1636" w:type="pct"/>
                  <w:tcBorders>
                    <w:top w:val="single" w:color="auto" w:sz="6" w:space="0"/>
                    <w:left w:val="single" w:color="auto" w:sz="6" w:space="0"/>
                    <w:bottom w:val="single" w:color="auto" w:sz="6" w:space="0"/>
                    <w:right w:val="single" w:color="auto" w:sz="6" w:space="0"/>
                  </w:tcBorders>
                  <w:noWrap w:val="0"/>
                  <w:vAlign w:val="center"/>
                </w:tcPr>
                <w:p w14:paraId="42DC799B">
                  <w:pPr>
                    <w:adjustRightInd w:val="0"/>
                    <w:snapToGrid w:val="0"/>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排放废气含有毒有害污染物 、二噁英、苯并[a]芘、氰化物、氯气，且厂界外500米范围内有环境空气保护目标的建设项目</w:t>
                  </w:r>
                  <w:r>
                    <w:rPr>
                      <w:rFonts w:hint="eastAsia" w:cs="Times New Roman"/>
                      <w:color w:val="auto"/>
                      <w:szCs w:val="21"/>
                      <w:lang w:eastAsia="zh-CN"/>
                    </w:rPr>
                    <w:t>。</w:t>
                  </w:r>
                </w:p>
              </w:tc>
              <w:tc>
                <w:tcPr>
                  <w:tcW w:w="1742" w:type="pct"/>
                  <w:tcBorders>
                    <w:top w:val="single" w:color="auto" w:sz="6" w:space="0"/>
                    <w:left w:val="single" w:color="auto" w:sz="6" w:space="0"/>
                    <w:bottom w:val="single" w:color="auto" w:sz="6" w:space="0"/>
                    <w:right w:val="single" w:color="auto" w:sz="6" w:space="0"/>
                  </w:tcBorders>
                  <w:noWrap w:val="0"/>
                  <w:vAlign w:val="center"/>
                </w:tcPr>
                <w:p w14:paraId="70C0C2C9">
                  <w:pPr>
                    <w:adjustRightInd w:val="0"/>
                    <w:snapToGrid w:val="0"/>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本项目废气主要为</w:t>
                  </w:r>
                  <w:r>
                    <w:rPr>
                      <w:rFonts w:hint="default" w:ascii="Times New Roman" w:hAnsi="Times New Roman" w:cs="Times New Roman"/>
                      <w:color w:val="auto"/>
                      <w:szCs w:val="21"/>
                      <w:lang w:eastAsia="zh-CN"/>
                    </w:rPr>
                    <w:t>非甲烷总烃</w:t>
                  </w:r>
                  <w:r>
                    <w:rPr>
                      <w:rFonts w:hint="default" w:ascii="Times New Roman" w:hAnsi="Times New Roman" w:cs="Times New Roman"/>
                      <w:color w:val="auto"/>
                      <w:szCs w:val="21"/>
                    </w:rPr>
                    <w:t>，不涉及有毒有害污染物、二噁英、苯并[a]芘、氰化物、氯气等</w:t>
                  </w:r>
                  <w:r>
                    <w:rPr>
                      <w:rFonts w:hint="eastAsia" w:cs="Times New Roman"/>
                      <w:color w:val="auto"/>
                      <w:szCs w:val="21"/>
                      <w:lang w:eastAsia="zh-CN"/>
                    </w:rPr>
                    <w:t>。</w:t>
                  </w:r>
                </w:p>
              </w:tc>
              <w:tc>
                <w:tcPr>
                  <w:tcW w:w="710" w:type="pct"/>
                  <w:tcBorders>
                    <w:top w:val="single" w:color="auto" w:sz="6" w:space="0"/>
                    <w:left w:val="single" w:color="auto" w:sz="6" w:space="0"/>
                    <w:bottom w:val="single" w:color="auto" w:sz="6" w:space="0"/>
                    <w:right w:val="single" w:color="auto" w:sz="6" w:space="0"/>
                  </w:tcBorders>
                  <w:noWrap w:val="0"/>
                  <w:vAlign w:val="center"/>
                </w:tcPr>
                <w:p w14:paraId="14F4B64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否</w:t>
                  </w:r>
                </w:p>
              </w:tc>
            </w:tr>
            <w:tr w14:paraId="112FD3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0" w:type="pct"/>
                  <w:tcBorders>
                    <w:top w:val="single" w:color="auto" w:sz="6" w:space="0"/>
                    <w:left w:val="single" w:color="auto" w:sz="6" w:space="0"/>
                    <w:bottom w:val="single" w:color="auto" w:sz="6" w:space="0"/>
                    <w:right w:val="single" w:color="auto" w:sz="6" w:space="0"/>
                  </w:tcBorders>
                  <w:noWrap w:val="0"/>
                  <w:vAlign w:val="center"/>
                </w:tcPr>
                <w:p w14:paraId="012A8CB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地表水</w:t>
                  </w:r>
                </w:p>
              </w:tc>
              <w:tc>
                <w:tcPr>
                  <w:tcW w:w="1636" w:type="pct"/>
                  <w:tcBorders>
                    <w:top w:val="single" w:color="auto" w:sz="6" w:space="0"/>
                    <w:left w:val="single" w:color="auto" w:sz="6" w:space="0"/>
                    <w:bottom w:val="single" w:color="auto" w:sz="6" w:space="0"/>
                    <w:right w:val="single" w:color="auto" w:sz="6" w:space="0"/>
                  </w:tcBorders>
                  <w:noWrap w:val="0"/>
                  <w:vAlign w:val="center"/>
                </w:tcPr>
                <w:p w14:paraId="2928DE6F">
                  <w:pPr>
                    <w:adjustRightInd w:val="0"/>
                    <w:snapToGrid w:val="0"/>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新增工业废水直排建设项目（槽罐车外送污水处理厂的除外）；新增废水直排的污水集中处理厂</w:t>
                  </w:r>
                  <w:r>
                    <w:rPr>
                      <w:rFonts w:hint="eastAsia" w:cs="Times New Roman"/>
                      <w:color w:val="auto"/>
                      <w:szCs w:val="21"/>
                      <w:lang w:eastAsia="zh-CN"/>
                    </w:rPr>
                    <w:t>。</w:t>
                  </w:r>
                </w:p>
              </w:tc>
              <w:tc>
                <w:tcPr>
                  <w:tcW w:w="1742" w:type="pct"/>
                  <w:tcBorders>
                    <w:top w:val="single" w:color="auto" w:sz="6" w:space="0"/>
                    <w:left w:val="single" w:color="auto" w:sz="6" w:space="0"/>
                    <w:bottom w:val="single" w:color="auto" w:sz="6" w:space="0"/>
                    <w:right w:val="single" w:color="auto" w:sz="6" w:space="0"/>
                  </w:tcBorders>
                  <w:noWrap w:val="0"/>
                  <w:vAlign w:val="center"/>
                </w:tcPr>
                <w:p w14:paraId="439F9A22">
                  <w:pPr>
                    <w:adjustRightInd w:val="0"/>
                    <w:snapToGrid w:val="0"/>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本项目</w:t>
                  </w:r>
                  <w:r>
                    <w:rPr>
                      <w:rFonts w:hint="eastAsia" w:ascii="Times New Roman" w:hAnsi="Times New Roman" w:cs="Times New Roman"/>
                      <w:color w:val="auto"/>
                      <w:szCs w:val="21"/>
                      <w:lang w:eastAsia="zh-CN"/>
                    </w:rPr>
                    <w:t>为</w:t>
                  </w:r>
                  <w:r>
                    <w:rPr>
                      <w:rFonts w:hint="eastAsia" w:cs="Times New Roman"/>
                      <w:color w:val="auto"/>
                      <w:szCs w:val="21"/>
                      <w:lang w:eastAsia="zh-CN"/>
                    </w:rPr>
                    <w:t>危险品仓储</w:t>
                  </w:r>
                  <w:r>
                    <w:rPr>
                      <w:rFonts w:hint="eastAsia" w:ascii="Times New Roman" w:hAnsi="Times New Roman" w:cs="Times New Roman"/>
                      <w:color w:val="auto"/>
                      <w:szCs w:val="21"/>
                      <w:lang w:eastAsia="zh-CN"/>
                    </w:rPr>
                    <w:t>项目，</w:t>
                  </w:r>
                  <w:r>
                    <w:rPr>
                      <w:rFonts w:hint="eastAsia" w:cs="Times New Roman"/>
                      <w:color w:val="auto"/>
                      <w:szCs w:val="21"/>
                      <w:lang w:eastAsia="zh-CN"/>
                    </w:rPr>
                    <w:t>生产工艺不涉及水的使用，</w:t>
                  </w:r>
                  <w:r>
                    <w:rPr>
                      <w:rFonts w:hint="eastAsia" w:ascii="Times New Roman" w:hAnsi="Times New Roman" w:cs="Times New Roman"/>
                      <w:color w:val="auto"/>
                      <w:szCs w:val="21"/>
                      <w:lang w:eastAsia="zh-CN"/>
                    </w:rPr>
                    <w:t>不涉及废水及废水处理</w:t>
                  </w:r>
                  <w:r>
                    <w:rPr>
                      <w:rFonts w:hint="eastAsia" w:cs="Times New Roman"/>
                      <w:color w:val="auto"/>
                      <w:szCs w:val="21"/>
                      <w:lang w:eastAsia="zh-CN"/>
                    </w:rPr>
                    <w:t>。</w:t>
                  </w:r>
                </w:p>
              </w:tc>
              <w:tc>
                <w:tcPr>
                  <w:tcW w:w="710" w:type="pct"/>
                  <w:tcBorders>
                    <w:top w:val="single" w:color="auto" w:sz="6" w:space="0"/>
                    <w:left w:val="single" w:color="auto" w:sz="6" w:space="0"/>
                    <w:bottom w:val="single" w:color="auto" w:sz="6" w:space="0"/>
                    <w:right w:val="single" w:color="auto" w:sz="6" w:space="0"/>
                  </w:tcBorders>
                  <w:noWrap w:val="0"/>
                  <w:vAlign w:val="center"/>
                </w:tcPr>
                <w:p w14:paraId="29DBE869">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否</w:t>
                  </w:r>
                </w:p>
              </w:tc>
            </w:tr>
            <w:tr w14:paraId="02D33E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0" w:type="pct"/>
                  <w:tcBorders>
                    <w:top w:val="single" w:color="auto" w:sz="6" w:space="0"/>
                    <w:left w:val="single" w:color="auto" w:sz="6" w:space="0"/>
                    <w:bottom w:val="single" w:color="auto" w:sz="6" w:space="0"/>
                    <w:right w:val="single" w:color="auto" w:sz="6" w:space="0"/>
                  </w:tcBorders>
                  <w:noWrap w:val="0"/>
                  <w:vAlign w:val="center"/>
                </w:tcPr>
                <w:p w14:paraId="01BA364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环境风险</w:t>
                  </w:r>
                </w:p>
              </w:tc>
              <w:tc>
                <w:tcPr>
                  <w:tcW w:w="1636" w:type="pct"/>
                  <w:tcBorders>
                    <w:top w:val="single" w:color="auto" w:sz="6" w:space="0"/>
                    <w:left w:val="single" w:color="auto" w:sz="6" w:space="0"/>
                    <w:bottom w:val="single" w:color="auto" w:sz="6" w:space="0"/>
                    <w:right w:val="single" w:color="auto" w:sz="6" w:space="0"/>
                  </w:tcBorders>
                  <w:noWrap w:val="0"/>
                  <w:vAlign w:val="center"/>
                </w:tcPr>
                <w:p w14:paraId="6B6F8CD2">
                  <w:pPr>
                    <w:adjustRightInd w:val="0"/>
                    <w:snapToGrid w:val="0"/>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有毒有害和易燃易爆危险物质存储量超过临界量的建设项目</w:t>
                  </w:r>
                  <w:r>
                    <w:rPr>
                      <w:rFonts w:hint="eastAsia" w:cs="Times New Roman"/>
                      <w:color w:val="auto"/>
                      <w:szCs w:val="21"/>
                      <w:lang w:eastAsia="zh-CN"/>
                    </w:rPr>
                    <w:t>。</w:t>
                  </w:r>
                </w:p>
              </w:tc>
              <w:tc>
                <w:tcPr>
                  <w:tcW w:w="1742" w:type="pct"/>
                  <w:tcBorders>
                    <w:top w:val="single" w:color="auto" w:sz="6" w:space="0"/>
                    <w:left w:val="single" w:color="auto" w:sz="6" w:space="0"/>
                    <w:bottom w:val="single" w:color="auto" w:sz="6" w:space="0"/>
                    <w:right w:val="single" w:color="auto" w:sz="6" w:space="0"/>
                  </w:tcBorders>
                  <w:noWrap w:val="0"/>
                  <w:vAlign w:val="center"/>
                </w:tcPr>
                <w:p w14:paraId="779E1564">
                  <w:pPr>
                    <w:adjustRightInd w:val="0"/>
                    <w:snapToGrid w:val="0"/>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本项目</w:t>
                  </w:r>
                  <w:r>
                    <w:rPr>
                      <w:rFonts w:hint="eastAsia" w:ascii="Times New Roman" w:hAnsi="Times New Roman" w:cs="Times New Roman"/>
                      <w:color w:val="auto"/>
                      <w:szCs w:val="21"/>
                      <w:lang w:eastAsia="zh-CN"/>
                    </w:rPr>
                    <w:t>为</w:t>
                  </w:r>
                  <w:r>
                    <w:rPr>
                      <w:rFonts w:hint="default" w:ascii="Times New Roman" w:hAnsi="Times New Roman" w:cs="Times New Roman"/>
                      <w:color w:val="auto"/>
                      <w:szCs w:val="21"/>
                    </w:rPr>
                    <w:t>易燃易爆危险物质存储</w:t>
                  </w:r>
                  <w:r>
                    <w:rPr>
                      <w:rFonts w:hint="eastAsia" w:ascii="Times New Roman" w:hAnsi="Times New Roman" w:cs="Times New Roman"/>
                      <w:color w:val="auto"/>
                      <w:szCs w:val="21"/>
                      <w:lang w:eastAsia="zh-CN"/>
                    </w:rPr>
                    <w:t>项目，</w:t>
                  </w:r>
                  <w:r>
                    <w:rPr>
                      <w:rFonts w:hint="default" w:ascii="Times New Roman" w:hAnsi="Times New Roman" w:cs="Times New Roman"/>
                      <w:color w:val="auto"/>
                      <w:szCs w:val="21"/>
                    </w:rPr>
                    <w:t>所涉及的环境风险物质</w:t>
                  </w:r>
                  <w:r>
                    <w:rPr>
                      <w:rFonts w:hint="eastAsia" w:cs="Times New Roman"/>
                      <w:color w:val="auto"/>
                      <w:szCs w:val="21"/>
                      <w:lang w:eastAsia="zh-CN"/>
                    </w:rPr>
                    <w:t>未</w:t>
                  </w:r>
                  <w:r>
                    <w:rPr>
                      <w:rFonts w:hint="default" w:ascii="Times New Roman" w:hAnsi="Times New Roman" w:cs="Times New Roman"/>
                      <w:color w:val="auto"/>
                      <w:szCs w:val="21"/>
                    </w:rPr>
                    <w:t>超过临界量</w:t>
                  </w:r>
                  <w:r>
                    <w:rPr>
                      <w:rFonts w:hint="eastAsia" w:cs="Times New Roman"/>
                      <w:color w:val="auto"/>
                      <w:szCs w:val="21"/>
                      <w:lang w:eastAsia="zh-CN"/>
                    </w:rPr>
                    <w:t>。</w:t>
                  </w:r>
                </w:p>
              </w:tc>
              <w:tc>
                <w:tcPr>
                  <w:tcW w:w="710" w:type="pct"/>
                  <w:tcBorders>
                    <w:top w:val="single" w:color="auto" w:sz="6" w:space="0"/>
                    <w:left w:val="single" w:color="auto" w:sz="6" w:space="0"/>
                    <w:bottom w:val="single" w:color="auto" w:sz="6" w:space="0"/>
                    <w:right w:val="single" w:color="auto" w:sz="6" w:space="0"/>
                  </w:tcBorders>
                  <w:noWrap w:val="0"/>
                  <w:vAlign w:val="center"/>
                </w:tcPr>
                <w:p w14:paraId="2206224B">
                  <w:pPr>
                    <w:adjustRightInd w:val="0"/>
                    <w:snapToGrid w:val="0"/>
                    <w:jc w:val="center"/>
                    <w:rPr>
                      <w:rFonts w:hint="eastAsia" w:ascii="Times New Roman" w:hAnsi="Times New Roman" w:eastAsia="宋体" w:cs="Times New Roman"/>
                      <w:color w:val="auto"/>
                      <w:szCs w:val="21"/>
                      <w:lang w:eastAsia="zh-CN"/>
                    </w:rPr>
                  </w:pPr>
                  <w:r>
                    <w:rPr>
                      <w:rFonts w:hint="eastAsia" w:cs="Times New Roman"/>
                      <w:color w:val="auto"/>
                      <w:szCs w:val="21"/>
                      <w:lang w:eastAsia="zh-CN"/>
                    </w:rPr>
                    <w:t>否</w:t>
                  </w:r>
                </w:p>
              </w:tc>
            </w:tr>
            <w:tr w14:paraId="1C50D5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0" w:type="pct"/>
                  <w:tcBorders>
                    <w:top w:val="single" w:color="auto" w:sz="6" w:space="0"/>
                    <w:left w:val="single" w:color="auto" w:sz="6" w:space="0"/>
                    <w:bottom w:val="single" w:color="auto" w:sz="6" w:space="0"/>
                    <w:right w:val="single" w:color="auto" w:sz="6" w:space="0"/>
                  </w:tcBorders>
                  <w:noWrap w:val="0"/>
                  <w:vAlign w:val="center"/>
                </w:tcPr>
                <w:p w14:paraId="0DE67D5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生态</w:t>
                  </w:r>
                </w:p>
              </w:tc>
              <w:tc>
                <w:tcPr>
                  <w:tcW w:w="1636" w:type="pct"/>
                  <w:tcBorders>
                    <w:top w:val="single" w:color="auto" w:sz="6" w:space="0"/>
                    <w:left w:val="single" w:color="auto" w:sz="6" w:space="0"/>
                    <w:bottom w:val="single" w:color="auto" w:sz="6" w:space="0"/>
                    <w:right w:val="single" w:color="auto" w:sz="6" w:space="0"/>
                  </w:tcBorders>
                  <w:noWrap w:val="0"/>
                  <w:vAlign w:val="center"/>
                </w:tcPr>
                <w:p w14:paraId="012D09DD">
                  <w:pPr>
                    <w:adjustRightInd w:val="0"/>
                    <w:snapToGrid w:val="0"/>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取水口下游500米范围内有重要水生生物的自然产卵场、索饵场、越冬场和 洄游通道的新增河道取水的污染类建设项目</w:t>
                  </w:r>
                  <w:r>
                    <w:rPr>
                      <w:rFonts w:hint="eastAsia" w:cs="Times New Roman"/>
                      <w:color w:val="auto"/>
                      <w:szCs w:val="21"/>
                      <w:lang w:eastAsia="zh-CN"/>
                    </w:rPr>
                    <w:t>。</w:t>
                  </w:r>
                </w:p>
              </w:tc>
              <w:tc>
                <w:tcPr>
                  <w:tcW w:w="1742" w:type="pct"/>
                  <w:tcBorders>
                    <w:top w:val="single" w:color="auto" w:sz="6" w:space="0"/>
                    <w:left w:val="single" w:color="auto" w:sz="6" w:space="0"/>
                    <w:bottom w:val="single" w:color="auto" w:sz="6" w:space="0"/>
                    <w:right w:val="single" w:color="auto" w:sz="6" w:space="0"/>
                  </w:tcBorders>
                  <w:noWrap w:val="0"/>
                  <w:vAlign w:val="center"/>
                </w:tcPr>
                <w:p w14:paraId="521C10D3">
                  <w:pPr>
                    <w:adjustRightInd w:val="0"/>
                    <w:snapToGrid w:val="0"/>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本项目不涉及取水口</w:t>
                  </w:r>
                  <w:r>
                    <w:rPr>
                      <w:rFonts w:hint="eastAsia" w:cs="Times New Roman"/>
                      <w:color w:val="auto"/>
                      <w:szCs w:val="21"/>
                      <w:lang w:eastAsia="zh-CN"/>
                    </w:rPr>
                    <w:t>。</w:t>
                  </w:r>
                </w:p>
              </w:tc>
              <w:tc>
                <w:tcPr>
                  <w:tcW w:w="710" w:type="pct"/>
                  <w:tcBorders>
                    <w:top w:val="single" w:color="auto" w:sz="6" w:space="0"/>
                    <w:left w:val="single" w:color="auto" w:sz="6" w:space="0"/>
                    <w:bottom w:val="single" w:color="auto" w:sz="6" w:space="0"/>
                    <w:right w:val="single" w:color="auto" w:sz="6" w:space="0"/>
                  </w:tcBorders>
                  <w:noWrap w:val="0"/>
                  <w:vAlign w:val="center"/>
                </w:tcPr>
                <w:p w14:paraId="403208C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否</w:t>
                  </w:r>
                </w:p>
              </w:tc>
            </w:tr>
            <w:tr w14:paraId="7318D7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0" w:type="pct"/>
                  <w:tcBorders>
                    <w:top w:val="single" w:color="auto" w:sz="6" w:space="0"/>
                    <w:left w:val="single" w:color="auto" w:sz="6" w:space="0"/>
                    <w:bottom w:val="single" w:color="auto" w:sz="6" w:space="0"/>
                    <w:right w:val="single" w:color="auto" w:sz="6" w:space="0"/>
                  </w:tcBorders>
                  <w:noWrap w:val="0"/>
                  <w:vAlign w:val="center"/>
                </w:tcPr>
                <w:p w14:paraId="3111D7A9">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海洋</w:t>
                  </w:r>
                </w:p>
              </w:tc>
              <w:tc>
                <w:tcPr>
                  <w:tcW w:w="1636" w:type="pct"/>
                  <w:tcBorders>
                    <w:top w:val="single" w:color="auto" w:sz="6" w:space="0"/>
                    <w:left w:val="single" w:color="auto" w:sz="6" w:space="0"/>
                    <w:bottom w:val="single" w:color="auto" w:sz="6" w:space="0"/>
                    <w:right w:val="single" w:color="auto" w:sz="6" w:space="0"/>
                  </w:tcBorders>
                  <w:noWrap w:val="0"/>
                  <w:vAlign w:val="center"/>
                </w:tcPr>
                <w:p w14:paraId="798503B4">
                  <w:pPr>
                    <w:adjustRightInd w:val="0"/>
                    <w:snapToGrid w:val="0"/>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直接向海排放污染物的海洋工程建设项目</w:t>
                  </w:r>
                  <w:r>
                    <w:rPr>
                      <w:rFonts w:hint="eastAsia" w:cs="Times New Roman"/>
                      <w:color w:val="auto"/>
                      <w:szCs w:val="21"/>
                      <w:lang w:eastAsia="zh-CN"/>
                    </w:rPr>
                    <w:t>。</w:t>
                  </w:r>
                </w:p>
              </w:tc>
              <w:tc>
                <w:tcPr>
                  <w:tcW w:w="1742" w:type="pct"/>
                  <w:tcBorders>
                    <w:top w:val="single" w:color="auto" w:sz="6" w:space="0"/>
                    <w:left w:val="single" w:color="auto" w:sz="6" w:space="0"/>
                    <w:bottom w:val="single" w:color="auto" w:sz="6" w:space="0"/>
                    <w:right w:val="single" w:color="auto" w:sz="6" w:space="0"/>
                  </w:tcBorders>
                  <w:noWrap w:val="0"/>
                  <w:vAlign w:val="center"/>
                </w:tcPr>
                <w:p w14:paraId="7B1DC720">
                  <w:pPr>
                    <w:adjustRightInd w:val="0"/>
                    <w:snapToGrid w:val="0"/>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本项目不涉及海洋工程</w:t>
                  </w:r>
                  <w:r>
                    <w:rPr>
                      <w:rFonts w:hint="eastAsia" w:cs="Times New Roman"/>
                      <w:color w:val="auto"/>
                      <w:szCs w:val="21"/>
                      <w:lang w:eastAsia="zh-CN"/>
                    </w:rPr>
                    <w:t>。</w:t>
                  </w:r>
                </w:p>
              </w:tc>
              <w:tc>
                <w:tcPr>
                  <w:tcW w:w="710" w:type="pct"/>
                  <w:tcBorders>
                    <w:top w:val="single" w:color="auto" w:sz="6" w:space="0"/>
                    <w:left w:val="single" w:color="auto" w:sz="6" w:space="0"/>
                    <w:bottom w:val="single" w:color="auto" w:sz="6" w:space="0"/>
                    <w:right w:val="single" w:color="auto" w:sz="6" w:space="0"/>
                  </w:tcBorders>
                  <w:noWrap w:val="0"/>
                  <w:vAlign w:val="center"/>
                </w:tcPr>
                <w:p w14:paraId="51BDA8A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否</w:t>
                  </w:r>
                </w:p>
              </w:tc>
            </w:tr>
          </w:tbl>
          <w:p w14:paraId="13FEB13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ascii="宋体" w:hAnsi="宋体" w:cs="宋体"/>
                <w:color w:val="auto"/>
                <w:kern w:val="0"/>
                <w:szCs w:val="21"/>
              </w:rPr>
            </w:pPr>
          </w:p>
        </w:tc>
      </w:tr>
      <w:tr w14:paraId="06A4EC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71" w:type="dxa"/>
            <w:vAlign w:val="center"/>
          </w:tcPr>
          <w:p w14:paraId="5244239B">
            <w:pPr>
              <w:autoSpaceDE w:val="0"/>
              <w:autoSpaceDN w:val="0"/>
              <w:adjustRightInd w:val="0"/>
              <w:snapToGrid w:val="0"/>
              <w:jc w:val="center"/>
              <w:rPr>
                <w:rFonts w:ascii="宋体" w:hAnsi="宋体" w:cs="宋体"/>
                <w:color w:val="auto"/>
                <w:kern w:val="0"/>
                <w:szCs w:val="21"/>
              </w:rPr>
            </w:pPr>
            <w:r>
              <w:rPr>
                <w:rFonts w:hint="eastAsia" w:ascii="宋体" w:hAnsi="宋体" w:cs="宋体"/>
                <w:color w:val="auto"/>
                <w:szCs w:val="21"/>
              </w:rPr>
              <w:t>规划情况</w:t>
            </w:r>
          </w:p>
        </w:tc>
        <w:tc>
          <w:tcPr>
            <w:tcW w:w="7499" w:type="dxa"/>
            <w:gridSpan w:val="3"/>
            <w:vAlign w:val="center"/>
          </w:tcPr>
          <w:p w14:paraId="12126892">
            <w:pPr>
              <w:keepNext w:val="0"/>
              <w:keepLines w:val="0"/>
              <w:pageBreakBefore w:val="0"/>
              <w:widowControl w:val="0"/>
              <w:numPr>
                <w:ilvl w:val="0"/>
                <w:numId w:val="0"/>
              </w:numPr>
              <w:kinsoku/>
              <w:wordWrap/>
              <w:overflowPunct/>
              <w:topLinePunct w:val="0"/>
              <w:bidi w:val="0"/>
              <w:spacing w:line="360" w:lineRule="auto"/>
              <w:jc w:val="center"/>
              <w:textAlignment w:val="auto"/>
              <w:rPr>
                <w:rFonts w:hint="eastAsia" w:eastAsia="宋体"/>
                <w:color w:val="auto"/>
                <w:sz w:val="24"/>
                <w:szCs w:val="24"/>
                <w:lang w:val="en-US" w:eastAsia="zh-CN"/>
              </w:rPr>
            </w:pPr>
            <w:r>
              <w:rPr>
                <w:rFonts w:hint="eastAsia"/>
                <w:color w:val="auto"/>
                <w:sz w:val="24"/>
                <w:szCs w:val="24"/>
                <w:lang w:eastAsia="zh-CN"/>
              </w:rPr>
              <w:t>无</w:t>
            </w:r>
          </w:p>
        </w:tc>
      </w:tr>
      <w:tr w14:paraId="130A94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371" w:type="dxa"/>
            <w:vAlign w:val="center"/>
          </w:tcPr>
          <w:p w14:paraId="3FF62534">
            <w:pPr>
              <w:adjustRightInd w:val="0"/>
              <w:snapToGrid w:val="0"/>
              <w:jc w:val="center"/>
              <w:rPr>
                <w:rFonts w:ascii="宋体" w:hAnsi="宋体" w:cs="宋体"/>
                <w:color w:val="auto"/>
                <w:kern w:val="0"/>
                <w:szCs w:val="21"/>
              </w:rPr>
            </w:pPr>
            <w:r>
              <w:rPr>
                <w:rFonts w:hint="eastAsia" w:ascii="宋体" w:hAnsi="宋体" w:cs="宋体"/>
                <w:color w:val="auto"/>
                <w:szCs w:val="21"/>
              </w:rPr>
              <w:t>规划环境影响评价情况</w:t>
            </w:r>
          </w:p>
        </w:tc>
        <w:tc>
          <w:tcPr>
            <w:tcW w:w="7499" w:type="dxa"/>
            <w:gridSpan w:val="3"/>
            <w:vAlign w:val="center"/>
          </w:tcPr>
          <w:p w14:paraId="574114B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center"/>
              <w:textAlignment w:val="auto"/>
              <w:rPr>
                <w:rFonts w:hint="eastAsia" w:eastAsia="宋体"/>
                <w:color w:val="auto"/>
                <w:sz w:val="24"/>
                <w:szCs w:val="24"/>
                <w:lang w:val="en-US" w:eastAsia="zh-CN"/>
              </w:rPr>
            </w:pPr>
            <w:r>
              <w:rPr>
                <w:rFonts w:hint="eastAsia"/>
                <w:color w:val="auto"/>
                <w:sz w:val="24"/>
                <w:szCs w:val="24"/>
                <w:lang w:eastAsia="zh-CN"/>
              </w:rPr>
              <w:t>无</w:t>
            </w:r>
          </w:p>
        </w:tc>
      </w:tr>
      <w:tr w14:paraId="50327A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1371" w:type="dxa"/>
            <w:vAlign w:val="center"/>
          </w:tcPr>
          <w:p w14:paraId="5A82DBFB">
            <w:pPr>
              <w:autoSpaceDE w:val="0"/>
              <w:autoSpaceDN w:val="0"/>
              <w:adjustRightInd w:val="0"/>
              <w:snapToGrid w:val="0"/>
              <w:jc w:val="center"/>
              <w:rPr>
                <w:rFonts w:ascii="宋体" w:hAnsi="宋体" w:cs="宋体"/>
                <w:color w:val="auto"/>
                <w:kern w:val="0"/>
                <w:szCs w:val="21"/>
              </w:rPr>
            </w:pPr>
            <w:r>
              <w:rPr>
                <w:rFonts w:hint="eastAsia" w:ascii="宋体" w:hAnsi="宋体" w:cs="宋体"/>
                <w:color w:val="auto"/>
                <w:kern w:val="0"/>
                <w:szCs w:val="21"/>
              </w:rPr>
              <w:t>规划及规划环境影响评价符合性分析</w:t>
            </w:r>
          </w:p>
        </w:tc>
        <w:tc>
          <w:tcPr>
            <w:tcW w:w="7499" w:type="dxa"/>
            <w:gridSpan w:val="3"/>
            <w:vAlign w:val="center"/>
          </w:tcPr>
          <w:p w14:paraId="5B4D50D3">
            <w:pPr>
              <w:tabs>
                <w:tab w:val="left" w:pos="2324"/>
              </w:tabs>
              <w:bidi w:val="0"/>
              <w:jc w:val="center"/>
              <w:rPr>
                <w:color w:val="auto"/>
                <w:lang w:val="en-US" w:eastAsia="zh-CN"/>
              </w:rPr>
            </w:pPr>
            <w:r>
              <w:rPr>
                <w:rFonts w:hint="eastAsia"/>
                <w:color w:val="auto"/>
                <w:sz w:val="24"/>
                <w:szCs w:val="24"/>
                <w:lang w:val="en-US" w:eastAsia="zh-CN"/>
              </w:rPr>
              <w:t>无</w:t>
            </w:r>
          </w:p>
        </w:tc>
      </w:tr>
      <w:tr w14:paraId="7AF743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1371" w:type="dxa"/>
            <w:vAlign w:val="center"/>
          </w:tcPr>
          <w:p w14:paraId="6C83FACA">
            <w:pPr>
              <w:autoSpaceDE w:val="0"/>
              <w:autoSpaceDN w:val="0"/>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其他符合性分析</w:t>
            </w:r>
          </w:p>
        </w:tc>
        <w:tc>
          <w:tcPr>
            <w:tcW w:w="7499" w:type="dxa"/>
            <w:gridSpan w:val="3"/>
            <w:vAlign w:val="top"/>
          </w:tcPr>
          <w:p w14:paraId="387F2AA3">
            <w:pPr>
              <w:adjustRightInd w:val="0"/>
              <w:snapToGrid w:val="0"/>
              <w:spacing w:line="360" w:lineRule="auto"/>
              <w:rPr>
                <w:b/>
                <w:bCs/>
                <w:color w:val="auto"/>
                <w:sz w:val="24"/>
              </w:rPr>
            </w:pPr>
            <w:r>
              <w:rPr>
                <w:rFonts w:hint="eastAsia"/>
                <w:b/>
                <w:bCs/>
                <w:color w:val="auto"/>
                <w:sz w:val="24"/>
              </w:rPr>
              <w:t>1、与产业政策符合性分析</w:t>
            </w:r>
          </w:p>
          <w:p w14:paraId="262C79ED">
            <w:pPr>
              <w:autoSpaceDE w:val="0"/>
              <w:autoSpaceDN w:val="0"/>
              <w:adjustRightInd w:val="0"/>
              <w:snapToGrid w:val="0"/>
              <w:spacing w:line="360" w:lineRule="auto"/>
              <w:ind w:firstLine="480" w:firstLineChars="200"/>
              <w:rPr>
                <w:color w:val="auto"/>
                <w:sz w:val="24"/>
              </w:rPr>
            </w:pPr>
            <w:r>
              <w:rPr>
                <w:rFonts w:hint="eastAsia"/>
                <w:color w:val="auto"/>
                <w:sz w:val="24"/>
              </w:rPr>
              <w:t>本项目行业类别为</w:t>
            </w:r>
            <w:r>
              <w:rPr>
                <w:rFonts w:hint="eastAsia"/>
                <w:color w:val="auto"/>
                <w:sz w:val="24"/>
                <w:lang w:val="en-US" w:eastAsia="zh-CN"/>
              </w:rPr>
              <w:t>G5941油气仓储</w:t>
            </w:r>
            <w:r>
              <w:rPr>
                <w:rFonts w:hint="eastAsia"/>
                <w:color w:val="auto"/>
                <w:sz w:val="24"/>
                <w:lang w:eastAsia="zh-CN"/>
              </w:rPr>
              <w:t>，</w:t>
            </w:r>
            <w:r>
              <w:rPr>
                <w:rFonts w:hint="eastAsia"/>
                <w:color w:val="auto"/>
                <w:sz w:val="24"/>
              </w:rPr>
              <w:t>根据《产业结构调整指导目录（2019年本）》（2021年修改），均不属于其中的鼓励类，也不在其限制类和禁止类，视为允许类；同时本项目也不属于《市场准入负面清单（2022年版）》中禁止准入类和许可准入类项目，不属于禁止新建、扩建《环境保护综合名录（2021年版）》及其最新名录所列“高污染、高风险”管控项目，不属于《陕西省“两高”项目管理暂行目录（2022年版）》中规定的高耗能、高污染建设项目。</w:t>
            </w:r>
          </w:p>
          <w:p w14:paraId="17F35CC8">
            <w:pPr>
              <w:autoSpaceDE w:val="0"/>
              <w:autoSpaceDN w:val="0"/>
              <w:adjustRightInd w:val="0"/>
              <w:snapToGrid w:val="0"/>
              <w:spacing w:line="360" w:lineRule="auto"/>
              <w:ind w:firstLine="480" w:firstLineChars="200"/>
              <w:rPr>
                <w:color w:val="auto"/>
                <w:sz w:val="24"/>
              </w:rPr>
            </w:pPr>
            <w:r>
              <w:rPr>
                <w:rFonts w:hint="eastAsia"/>
                <w:color w:val="auto"/>
                <w:sz w:val="24"/>
              </w:rPr>
              <w:t>因此</w:t>
            </w:r>
            <w:r>
              <w:rPr>
                <w:rFonts w:hint="eastAsia"/>
                <w:color w:val="auto"/>
                <w:sz w:val="24"/>
                <w:lang w:eastAsia="zh-CN"/>
              </w:rPr>
              <w:t>，</w:t>
            </w:r>
            <w:r>
              <w:rPr>
                <w:rFonts w:hint="eastAsia"/>
                <w:color w:val="auto"/>
                <w:sz w:val="24"/>
              </w:rPr>
              <w:t>本项目的建设符合国家产业政策。</w:t>
            </w:r>
          </w:p>
          <w:p w14:paraId="26F3C4BC">
            <w:pPr>
              <w:numPr>
                <w:ilvl w:val="0"/>
                <w:numId w:val="2"/>
              </w:numPr>
              <w:adjustRightInd w:val="0"/>
              <w:snapToGrid w:val="0"/>
              <w:spacing w:line="360" w:lineRule="auto"/>
              <w:rPr>
                <w:b/>
                <w:bCs/>
                <w:color w:val="auto"/>
                <w:sz w:val="24"/>
                <w:szCs w:val="24"/>
              </w:rPr>
            </w:pPr>
            <w:r>
              <w:rPr>
                <w:rFonts w:hint="eastAsia"/>
                <w:b/>
                <w:bCs/>
                <w:color w:val="auto"/>
                <w:sz w:val="24"/>
                <w:szCs w:val="24"/>
              </w:rPr>
              <w:t>与“三线一单”符合性分析</w:t>
            </w:r>
          </w:p>
          <w:p w14:paraId="60EF20AF">
            <w:pPr>
              <w:bidi w:val="0"/>
              <w:jc w:val="center"/>
              <w:rPr>
                <w:rFonts w:hint="default" w:ascii="Times New Roman" w:hAnsi="Times New Roman" w:cs="Times New Roman"/>
                <w:b/>
                <w:bCs/>
                <w:color w:val="auto"/>
                <w:sz w:val="24"/>
                <w:szCs w:val="24"/>
                <w:lang w:val="en-US" w:eastAsia="zh-CN"/>
              </w:rPr>
            </w:pPr>
          </w:p>
          <w:p w14:paraId="0A813EDE">
            <w:pPr>
              <w:bidi w:val="0"/>
              <w:jc w:val="center"/>
              <w:rPr>
                <w:rFonts w:hint="default" w:ascii="Times New Roman" w:hAnsi="Times New Roman" w:cs="Times New Roman"/>
                <w:b/>
                <w:bCs/>
                <w:color w:val="auto"/>
                <w:sz w:val="24"/>
                <w:szCs w:val="24"/>
                <w:lang w:val="en-US" w:eastAsia="zh-CN"/>
              </w:rPr>
            </w:pPr>
          </w:p>
          <w:p w14:paraId="09545110">
            <w:pPr>
              <w:bidi w:val="0"/>
              <w:jc w:val="center"/>
              <w:rPr>
                <w:rFonts w:hint="default" w:ascii="Times New Roman" w:hAnsi="Times New Roman" w:cs="Times New Roman"/>
                <w:b/>
                <w:bCs/>
                <w:color w:val="auto"/>
                <w:sz w:val="24"/>
                <w:szCs w:val="24"/>
                <w:lang w:val="en-US" w:eastAsia="zh-CN"/>
              </w:rPr>
            </w:pPr>
          </w:p>
          <w:p w14:paraId="54E715BC">
            <w:pPr>
              <w:bidi w:val="0"/>
              <w:jc w:val="center"/>
              <w:rPr>
                <w:rFonts w:hint="default" w:ascii="Times New Roman" w:hAnsi="Times New Roman" w:cs="Times New Roman"/>
                <w:b/>
                <w:bCs/>
                <w:color w:val="auto"/>
                <w:sz w:val="24"/>
                <w:szCs w:val="24"/>
                <w:lang w:val="en-US" w:eastAsia="zh-CN"/>
              </w:rPr>
            </w:pPr>
          </w:p>
          <w:p w14:paraId="333F98F4">
            <w:pPr>
              <w:bidi w:val="0"/>
              <w:jc w:val="center"/>
              <w:rPr>
                <w:rFonts w:hint="default" w:ascii="Times New Roman" w:hAnsi="Times New Roman" w:cs="Times New Roman"/>
                <w:b/>
                <w:bCs/>
                <w:color w:val="auto"/>
                <w:sz w:val="24"/>
                <w:szCs w:val="24"/>
                <w:lang w:val="en-US" w:eastAsia="zh-CN"/>
              </w:rPr>
            </w:pPr>
          </w:p>
          <w:p w14:paraId="27842667">
            <w:pPr>
              <w:bidi w:val="0"/>
              <w:jc w:val="center"/>
              <w:rPr>
                <w:rFonts w:hint="default" w:ascii="Times New Roman" w:hAnsi="Times New Roman" w:cs="Times New Roman"/>
                <w:b/>
                <w:bCs/>
                <w:color w:val="auto"/>
                <w:sz w:val="24"/>
                <w:szCs w:val="24"/>
                <w:lang w:val="en-US" w:eastAsia="zh-CN"/>
              </w:rPr>
            </w:pPr>
          </w:p>
          <w:p w14:paraId="711EC382">
            <w:pPr>
              <w:bidi w:val="0"/>
              <w:jc w:val="center"/>
              <w:rPr>
                <w:rFonts w:hint="default" w:ascii="Times New Roman" w:hAnsi="Times New Roman" w:cs="Times New Roman"/>
                <w:b/>
                <w:bCs/>
                <w:color w:val="auto"/>
                <w:sz w:val="24"/>
                <w:szCs w:val="24"/>
                <w:lang w:val="en-US" w:eastAsia="zh-CN"/>
              </w:rPr>
            </w:pPr>
          </w:p>
          <w:p w14:paraId="3A18F234">
            <w:pPr>
              <w:bidi w:val="0"/>
              <w:jc w:val="center"/>
              <w:rPr>
                <w:rFonts w:hint="default" w:ascii="Times New Roman" w:hAnsi="Times New Roman" w:cs="Times New Roman"/>
                <w:b/>
                <w:bCs/>
                <w:color w:val="auto"/>
                <w:sz w:val="24"/>
                <w:szCs w:val="24"/>
                <w:lang w:val="en-US" w:eastAsia="zh-CN"/>
              </w:rPr>
            </w:pPr>
          </w:p>
          <w:p w14:paraId="3CF8C45F">
            <w:pPr>
              <w:bidi w:val="0"/>
              <w:jc w:val="center"/>
              <w:rPr>
                <w:rFonts w:hint="default" w:ascii="Times New Roman" w:hAnsi="Times New Roman" w:cs="Times New Roman"/>
                <w:b/>
                <w:bCs/>
                <w:color w:val="auto"/>
                <w:sz w:val="24"/>
                <w:szCs w:val="24"/>
                <w:lang w:val="en-US" w:eastAsia="zh-CN"/>
              </w:rPr>
            </w:pPr>
          </w:p>
          <w:p w14:paraId="64DE9266">
            <w:pPr>
              <w:bidi w:val="0"/>
              <w:jc w:val="center"/>
              <w:rPr>
                <w:rFonts w:hint="default" w:ascii="Times New Roman" w:hAnsi="Times New Roman" w:cs="Times New Roman"/>
                <w:b/>
                <w:bCs/>
                <w:color w:val="auto"/>
                <w:sz w:val="24"/>
                <w:szCs w:val="24"/>
                <w:lang w:val="en-US" w:eastAsia="zh-CN"/>
              </w:rPr>
            </w:pPr>
          </w:p>
          <w:p w14:paraId="4815507C">
            <w:pPr>
              <w:bidi w:val="0"/>
              <w:jc w:val="center"/>
              <w:rPr>
                <w:rFonts w:hint="default" w:ascii="Times New Roman" w:hAnsi="Times New Roman" w:cs="Times New Roman"/>
                <w:b/>
                <w:bCs/>
                <w:color w:val="auto"/>
                <w:sz w:val="24"/>
                <w:szCs w:val="24"/>
                <w:lang w:val="en-US" w:eastAsia="zh-CN"/>
              </w:rPr>
            </w:pPr>
          </w:p>
          <w:p w14:paraId="60840411">
            <w:pPr>
              <w:bidi w:val="0"/>
              <w:jc w:val="center"/>
              <w:rPr>
                <w:rFonts w:hint="default" w:ascii="Times New Roman" w:hAnsi="Times New Roman" w:cs="Times New Roman"/>
                <w:b/>
                <w:bCs/>
                <w:color w:val="auto"/>
                <w:sz w:val="24"/>
                <w:szCs w:val="24"/>
                <w:lang w:val="en-US" w:eastAsia="zh-CN"/>
              </w:rPr>
            </w:pPr>
          </w:p>
          <w:p w14:paraId="281EBFDA">
            <w:pPr>
              <w:bidi w:val="0"/>
              <w:jc w:val="center"/>
              <w:rPr>
                <w:rFonts w:hint="default" w:ascii="Times New Roman" w:hAnsi="Times New Roman" w:cs="Times New Roman"/>
                <w:b/>
                <w:bCs/>
                <w:color w:val="auto"/>
                <w:sz w:val="24"/>
                <w:szCs w:val="24"/>
                <w:lang w:val="en-US" w:eastAsia="zh-CN"/>
              </w:rPr>
            </w:pPr>
          </w:p>
          <w:p w14:paraId="108899B3">
            <w:pPr>
              <w:bidi w:val="0"/>
              <w:jc w:val="center"/>
              <w:rPr>
                <w:rFonts w:hint="default" w:ascii="Times New Roman" w:hAnsi="Times New Roman" w:cs="Times New Roman"/>
                <w:b/>
                <w:bCs/>
                <w:color w:val="auto"/>
                <w:sz w:val="24"/>
                <w:szCs w:val="24"/>
                <w:lang w:val="en-US" w:eastAsia="zh-CN"/>
              </w:rPr>
            </w:pPr>
          </w:p>
          <w:p w14:paraId="39E56B72">
            <w:pPr>
              <w:bidi w:val="0"/>
              <w:jc w:val="center"/>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表1</w:t>
            </w:r>
            <w:r>
              <w:rPr>
                <w:rFonts w:hint="eastAsia" w:ascii="Times New Roman" w:hAnsi="Times New Roman" w:cs="Times New Roman"/>
                <w:b/>
                <w:bCs/>
                <w:color w:val="auto"/>
                <w:sz w:val="24"/>
                <w:szCs w:val="24"/>
                <w:lang w:val="en-US" w:eastAsia="zh-CN"/>
              </w:rPr>
              <w:t>-</w:t>
            </w:r>
            <w:r>
              <w:rPr>
                <w:rFonts w:hint="eastAsia" w:cs="Times New Roman"/>
                <w:b/>
                <w:bCs/>
                <w:color w:val="auto"/>
                <w:sz w:val="24"/>
                <w:szCs w:val="24"/>
                <w:lang w:val="en-US" w:eastAsia="zh-CN"/>
              </w:rPr>
              <w:t>1</w:t>
            </w:r>
            <w:r>
              <w:rPr>
                <w:rFonts w:hint="default" w:ascii="Times New Roman" w:hAnsi="Times New Roman" w:cs="Times New Roman"/>
                <w:b/>
                <w:bCs/>
                <w:color w:val="auto"/>
                <w:sz w:val="24"/>
                <w:szCs w:val="24"/>
                <w:lang w:val="en-US" w:eastAsia="zh-CN"/>
              </w:rPr>
              <w:t xml:space="preserve">  本项目与相关政策符合性分析</w:t>
            </w:r>
          </w:p>
          <w:tbl>
            <w:tblPr>
              <w:tblStyle w:val="32"/>
              <w:tblW w:w="4996" w:type="pct"/>
              <w:tblInd w:w="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17"/>
              <w:gridCol w:w="517"/>
              <w:gridCol w:w="518"/>
              <w:gridCol w:w="518"/>
              <w:gridCol w:w="2893"/>
              <w:gridCol w:w="1773"/>
              <w:gridCol w:w="520"/>
            </w:tblGrid>
            <w:tr w14:paraId="67900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356" w:type="pct"/>
                  <w:tcBorders>
                    <w:tl2br w:val="nil"/>
                    <w:tr2bl w:val="nil"/>
                  </w:tcBorders>
                  <w:noWrap w:val="0"/>
                  <w:vAlign w:val="center"/>
                </w:tcPr>
                <w:p w14:paraId="780C4AAB">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序号</w:t>
                  </w:r>
                </w:p>
              </w:tc>
              <w:tc>
                <w:tcPr>
                  <w:tcW w:w="356" w:type="pct"/>
                  <w:tcBorders>
                    <w:tl2br w:val="nil"/>
                    <w:tr2bl w:val="nil"/>
                  </w:tcBorders>
                  <w:noWrap w:val="0"/>
                  <w:vAlign w:val="center"/>
                </w:tcPr>
                <w:p w14:paraId="306429C2">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区域名称</w:t>
                  </w:r>
                </w:p>
              </w:tc>
              <w:tc>
                <w:tcPr>
                  <w:tcW w:w="357" w:type="pct"/>
                  <w:tcBorders>
                    <w:tl2br w:val="nil"/>
                    <w:tr2bl w:val="nil"/>
                  </w:tcBorders>
                  <w:noWrap w:val="0"/>
                  <w:vAlign w:val="center"/>
                </w:tcPr>
                <w:p w14:paraId="198432C5">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省份</w:t>
                  </w:r>
                </w:p>
              </w:tc>
              <w:tc>
                <w:tcPr>
                  <w:tcW w:w="357" w:type="pct"/>
                  <w:tcBorders>
                    <w:tl2br w:val="nil"/>
                    <w:tr2bl w:val="nil"/>
                  </w:tcBorders>
                  <w:noWrap w:val="0"/>
                  <w:vAlign w:val="center"/>
                </w:tcPr>
                <w:p w14:paraId="3B7F1C8D">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管控类别</w:t>
                  </w:r>
                </w:p>
              </w:tc>
              <w:tc>
                <w:tcPr>
                  <w:tcW w:w="1993" w:type="pct"/>
                  <w:tcBorders>
                    <w:tl2br w:val="nil"/>
                    <w:tr2bl w:val="nil"/>
                  </w:tcBorders>
                  <w:noWrap w:val="0"/>
                  <w:vAlign w:val="center"/>
                </w:tcPr>
                <w:p w14:paraId="327C2217">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管控要求</w:t>
                  </w:r>
                </w:p>
              </w:tc>
              <w:tc>
                <w:tcPr>
                  <w:tcW w:w="1221" w:type="pct"/>
                  <w:tcBorders>
                    <w:tl2br w:val="nil"/>
                    <w:tr2bl w:val="nil"/>
                  </w:tcBorders>
                  <w:noWrap/>
                  <w:vAlign w:val="center"/>
                </w:tcPr>
                <w:p w14:paraId="16DC53D4">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项目情况</w:t>
                  </w:r>
                </w:p>
              </w:tc>
              <w:tc>
                <w:tcPr>
                  <w:tcW w:w="358" w:type="pct"/>
                  <w:tcBorders>
                    <w:tl2br w:val="nil"/>
                    <w:tr2bl w:val="nil"/>
                  </w:tcBorders>
                  <w:noWrap w:val="0"/>
                  <w:vAlign w:val="center"/>
                </w:tcPr>
                <w:p w14:paraId="655D64B5">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相符性</w:t>
                  </w:r>
                </w:p>
              </w:tc>
            </w:tr>
            <w:tr w14:paraId="24A8E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8" w:hRule="atLeast"/>
              </w:trPr>
              <w:tc>
                <w:tcPr>
                  <w:tcW w:w="356" w:type="pct"/>
                  <w:vMerge w:val="restart"/>
                  <w:tcBorders>
                    <w:tl2br w:val="nil"/>
                    <w:tr2bl w:val="nil"/>
                  </w:tcBorders>
                  <w:noWrap w:val="0"/>
                  <w:vAlign w:val="center"/>
                </w:tcPr>
                <w:p w14:paraId="1B41199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56" w:type="pct"/>
                  <w:vMerge w:val="restart"/>
                  <w:tcBorders>
                    <w:tl2br w:val="nil"/>
                    <w:tr2bl w:val="nil"/>
                  </w:tcBorders>
                  <w:noWrap w:val="0"/>
                  <w:vAlign w:val="center"/>
                </w:tcPr>
                <w:p w14:paraId="04595CF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省域</w:t>
                  </w:r>
                </w:p>
              </w:tc>
              <w:tc>
                <w:tcPr>
                  <w:tcW w:w="357" w:type="pct"/>
                  <w:vMerge w:val="restart"/>
                  <w:tcBorders>
                    <w:tl2br w:val="nil"/>
                    <w:tr2bl w:val="nil"/>
                  </w:tcBorders>
                  <w:noWrap w:val="0"/>
                  <w:vAlign w:val="center"/>
                </w:tcPr>
                <w:p w14:paraId="14C0986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陕西省</w:t>
                  </w:r>
                </w:p>
              </w:tc>
              <w:tc>
                <w:tcPr>
                  <w:tcW w:w="357" w:type="pct"/>
                  <w:vMerge w:val="restart"/>
                  <w:tcBorders>
                    <w:tl2br w:val="nil"/>
                    <w:tr2bl w:val="nil"/>
                  </w:tcBorders>
                  <w:noWrap w:val="0"/>
                  <w:vAlign w:val="center"/>
                </w:tcPr>
                <w:p w14:paraId="206BF56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空间布局约束</w:t>
                  </w:r>
                </w:p>
              </w:tc>
              <w:tc>
                <w:tcPr>
                  <w:tcW w:w="1993" w:type="pct"/>
                  <w:tcBorders>
                    <w:tl2br w:val="nil"/>
                    <w:tr2bl w:val="nil"/>
                  </w:tcBorders>
                  <w:noWrap w:val="0"/>
                  <w:vAlign w:val="center"/>
                </w:tcPr>
                <w:p w14:paraId="4850D938">
                  <w:pPr>
                    <w:spacing w:line="240" w:lineRule="auto"/>
                    <w:jc w:val="center"/>
                    <w:rPr>
                      <w:rFonts w:hint="default" w:ascii="Times New Roman" w:hAnsi="Times New Roman" w:eastAsia="宋体" w:cs="Times New Roman"/>
                      <w:i w:val="0"/>
                      <w:iCs w:val="0"/>
                      <w:color w:val="auto"/>
                      <w:sz w:val="21"/>
                      <w:szCs w:val="21"/>
                      <w:u w:val="none"/>
                      <w:lang w:eastAsia="zh-CN"/>
                    </w:rPr>
                  </w:pPr>
                  <w:r>
                    <w:rPr>
                      <w:rFonts w:hint="default" w:ascii="Times New Roman" w:hAnsi="Times New Roman" w:eastAsia="宋体" w:cs="Times New Roman"/>
                      <w:i w:val="0"/>
                      <w:iCs w:val="0"/>
                      <w:color w:val="auto"/>
                      <w:sz w:val="21"/>
                      <w:szCs w:val="21"/>
                      <w:u w:val="none"/>
                      <w:lang w:val="en-US" w:eastAsia="zh-CN"/>
                    </w:rPr>
                    <w:t>执行国家法律法规对自然保护区、风景名胜区、森林公园、地质公园、世界自然和文化遗产、重要湿地、重要水源地等法定保护地的禁止性和限制性要求。</w:t>
                  </w:r>
                </w:p>
              </w:tc>
              <w:tc>
                <w:tcPr>
                  <w:tcW w:w="1221" w:type="pct"/>
                  <w:tcBorders>
                    <w:tl2br w:val="nil"/>
                    <w:tr2bl w:val="nil"/>
                  </w:tcBorders>
                  <w:noWrap w:val="0"/>
                  <w:vAlign w:val="center"/>
                </w:tcPr>
                <w:p w14:paraId="60C75128">
                  <w:pPr>
                    <w:spacing w:line="240" w:lineRule="auto"/>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本项目不涉及自然保护区、风景名胜区、森林公园、地质公园、世界自然和文化遗产、重要湿地、重要水源地等法定保护地</w:t>
                  </w:r>
                  <w:r>
                    <w:rPr>
                      <w:rFonts w:hint="eastAsia" w:cs="Times New Roman"/>
                      <w:i w:val="0"/>
                      <w:iCs w:val="0"/>
                      <w:color w:val="auto"/>
                      <w:sz w:val="21"/>
                      <w:szCs w:val="21"/>
                      <w:u w:val="none"/>
                      <w:lang w:val="en-US" w:eastAsia="zh-CN"/>
                    </w:rPr>
                    <w:t>。</w:t>
                  </w:r>
                </w:p>
              </w:tc>
              <w:tc>
                <w:tcPr>
                  <w:tcW w:w="358" w:type="pct"/>
                  <w:tcBorders>
                    <w:tl2br w:val="nil"/>
                    <w:tr2bl w:val="nil"/>
                  </w:tcBorders>
                  <w:noWrap w:val="0"/>
                  <w:vAlign w:val="center"/>
                </w:tcPr>
                <w:p w14:paraId="577910F6">
                  <w:pPr>
                    <w:spacing w:line="240" w:lineRule="auto"/>
                    <w:jc w:val="center"/>
                    <w:rPr>
                      <w:rFonts w:hint="default" w:ascii="Times New Roman" w:hAnsi="Times New Roman" w:eastAsia="宋体" w:cs="Times New Roman"/>
                      <w:i w:val="0"/>
                      <w:iCs w:val="0"/>
                      <w:color w:val="auto"/>
                      <w:sz w:val="21"/>
                      <w:szCs w:val="21"/>
                      <w:u w:val="none"/>
                      <w:lang w:eastAsia="zh-CN"/>
                    </w:rPr>
                  </w:pPr>
                  <w:r>
                    <w:rPr>
                      <w:rFonts w:hint="default" w:ascii="Times New Roman" w:hAnsi="Times New Roman" w:eastAsia="宋体" w:cs="Times New Roman"/>
                      <w:i w:val="0"/>
                      <w:iCs w:val="0"/>
                      <w:color w:val="auto"/>
                      <w:sz w:val="21"/>
                      <w:szCs w:val="21"/>
                      <w:u w:val="none"/>
                      <w:lang w:eastAsia="zh-CN"/>
                    </w:rPr>
                    <w:t>符合</w:t>
                  </w:r>
                </w:p>
              </w:tc>
            </w:tr>
            <w:tr w14:paraId="1819B4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110" w:hRule="atLeast"/>
              </w:trPr>
              <w:tc>
                <w:tcPr>
                  <w:tcW w:w="356" w:type="pct"/>
                  <w:vMerge w:val="continue"/>
                  <w:tcBorders>
                    <w:tl2br w:val="nil"/>
                    <w:tr2bl w:val="nil"/>
                  </w:tcBorders>
                  <w:noWrap w:val="0"/>
                  <w:vAlign w:val="center"/>
                </w:tcPr>
                <w:p w14:paraId="51295CCE">
                  <w:pPr>
                    <w:spacing w:line="240" w:lineRule="auto"/>
                    <w:jc w:val="center"/>
                    <w:rPr>
                      <w:rFonts w:hint="default" w:ascii="Times New Roman" w:hAnsi="Times New Roman" w:eastAsia="宋体" w:cs="Times New Roman"/>
                      <w:i w:val="0"/>
                      <w:iCs w:val="0"/>
                      <w:color w:val="auto"/>
                      <w:sz w:val="21"/>
                      <w:szCs w:val="21"/>
                      <w:u w:val="none"/>
                    </w:rPr>
                  </w:pPr>
                </w:p>
              </w:tc>
              <w:tc>
                <w:tcPr>
                  <w:tcW w:w="356" w:type="pct"/>
                  <w:vMerge w:val="continue"/>
                  <w:tcBorders>
                    <w:tl2br w:val="nil"/>
                    <w:tr2bl w:val="nil"/>
                  </w:tcBorders>
                  <w:noWrap w:val="0"/>
                  <w:vAlign w:val="center"/>
                </w:tcPr>
                <w:p w14:paraId="24E29AE3">
                  <w:pPr>
                    <w:spacing w:line="240" w:lineRule="auto"/>
                    <w:jc w:val="center"/>
                    <w:rPr>
                      <w:rFonts w:hint="default" w:ascii="Times New Roman" w:hAnsi="Times New Roman" w:eastAsia="宋体" w:cs="Times New Roman"/>
                      <w:i w:val="0"/>
                      <w:iCs w:val="0"/>
                      <w:color w:val="auto"/>
                      <w:sz w:val="21"/>
                      <w:szCs w:val="21"/>
                      <w:u w:val="none"/>
                    </w:rPr>
                  </w:pPr>
                </w:p>
              </w:tc>
              <w:tc>
                <w:tcPr>
                  <w:tcW w:w="357" w:type="pct"/>
                  <w:vMerge w:val="continue"/>
                  <w:tcBorders>
                    <w:tl2br w:val="nil"/>
                    <w:tr2bl w:val="nil"/>
                  </w:tcBorders>
                  <w:noWrap w:val="0"/>
                  <w:vAlign w:val="center"/>
                </w:tcPr>
                <w:p w14:paraId="0122BDAF">
                  <w:pPr>
                    <w:spacing w:line="240" w:lineRule="auto"/>
                    <w:jc w:val="center"/>
                    <w:rPr>
                      <w:rFonts w:hint="default" w:ascii="Times New Roman" w:hAnsi="Times New Roman" w:eastAsia="宋体" w:cs="Times New Roman"/>
                      <w:i w:val="0"/>
                      <w:iCs w:val="0"/>
                      <w:color w:val="auto"/>
                      <w:sz w:val="21"/>
                      <w:szCs w:val="21"/>
                      <w:u w:val="none"/>
                    </w:rPr>
                  </w:pPr>
                </w:p>
              </w:tc>
              <w:tc>
                <w:tcPr>
                  <w:tcW w:w="357" w:type="pct"/>
                  <w:vMerge w:val="continue"/>
                  <w:tcBorders>
                    <w:tl2br w:val="nil"/>
                    <w:tr2bl w:val="nil"/>
                  </w:tcBorders>
                  <w:noWrap w:val="0"/>
                  <w:vAlign w:val="center"/>
                </w:tcPr>
                <w:p w14:paraId="371AB97B">
                  <w:pPr>
                    <w:spacing w:line="240" w:lineRule="auto"/>
                    <w:jc w:val="center"/>
                    <w:rPr>
                      <w:rFonts w:hint="default" w:ascii="Times New Roman" w:hAnsi="Times New Roman" w:eastAsia="宋体" w:cs="Times New Roman"/>
                      <w:i w:val="0"/>
                      <w:iCs w:val="0"/>
                      <w:color w:val="auto"/>
                      <w:sz w:val="21"/>
                      <w:szCs w:val="21"/>
                      <w:u w:val="none"/>
                    </w:rPr>
                  </w:pPr>
                </w:p>
              </w:tc>
              <w:tc>
                <w:tcPr>
                  <w:tcW w:w="1993" w:type="pct"/>
                  <w:tcBorders>
                    <w:tl2br w:val="nil"/>
                    <w:tr2bl w:val="nil"/>
                  </w:tcBorders>
                  <w:noWrap w:val="0"/>
                  <w:vAlign w:val="center"/>
                </w:tcPr>
                <w:p w14:paraId="19C63C6D">
                  <w:pPr>
                    <w:spacing w:line="240" w:lineRule="auto"/>
                    <w:jc w:val="center"/>
                    <w:rPr>
                      <w:rFonts w:hint="default" w:ascii="Times New Roman" w:hAnsi="Times New Roman" w:eastAsia="宋体" w:cs="Times New Roman"/>
                      <w:i w:val="0"/>
                      <w:iCs w:val="0"/>
                      <w:color w:val="auto"/>
                      <w:sz w:val="21"/>
                      <w:szCs w:val="21"/>
                      <w:u w:val="none"/>
                      <w:lang w:eastAsia="zh-CN"/>
                    </w:rPr>
                  </w:pPr>
                  <w:r>
                    <w:rPr>
                      <w:rFonts w:hint="default" w:ascii="Times New Roman" w:hAnsi="Times New Roman" w:eastAsia="宋体" w:cs="Times New Roman"/>
                      <w:i w:val="0"/>
                      <w:iCs w:val="0"/>
                      <w:color w:val="auto"/>
                      <w:sz w:val="21"/>
                      <w:szCs w:val="21"/>
                      <w:u w:val="none"/>
                      <w:lang w:val="en-US" w:eastAsia="zh-CN"/>
                    </w:rPr>
                    <w:t>城市建成区内现有钢铁、有色金属、造纸、印染、原粮药制造、化工等污染严重企业须有序搬迁、改造入园（区）或依法关闭。</w:t>
                  </w:r>
                </w:p>
              </w:tc>
              <w:tc>
                <w:tcPr>
                  <w:tcW w:w="1221" w:type="pct"/>
                  <w:tcBorders>
                    <w:tl2br w:val="nil"/>
                    <w:tr2bl w:val="nil"/>
                  </w:tcBorders>
                  <w:noWrap w:val="0"/>
                  <w:vAlign w:val="center"/>
                </w:tcPr>
                <w:p w14:paraId="05705924">
                  <w:pPr>
                    <w:spacing w:line="240" w:lineRule="auto"/>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本项目不属于城市建成区及上述有严重污染的企业</w:t>
                  </w:r>
                  <w:r>
                    <w:rPr>
                      <w:rFonts w:hint="eastAsia" w:cs="Times New Roman"/>
                      <w:i w:val="0"/>
                      <w:iCs w:val="0"/>
                      <w:color w:val="auto"/>
                      <w:sz w:val="21"/>
                      <w:szCs w:val="21"/>
                      <w:u w:val="none"/>
                      <w:lang w:val="en-US" w:eastAsia="zh-CN"/>
                    </w:rPr>
                    <w:t>。</w:t>
                  </w:r>
                </w:p>
              </w:tc>
              <w:tc>
                <w:tcPr>
                  <w:tcW w:w="358" w:type="pct"/>
                  <w:tcBorders>
                    <w:tl2br w:val="nil"/>
                    <w:tr2bl w:val="nil"/>
                  </w:tcBorders>
                  <w:noWrap w:val="0"/>
                  <w:vAlign w:val="center"/>
                </w:tcPr>
                <w:p w14:paraId="47B08D2F">
                  <w:pPr>
                    <w:spacing w:line="240" w:lineRule="auto"/>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符合</w:t>
                  </w:r>
                </w:p>
              </w:tc>
            </w:tr>
            <w:tr w14:paraId="273C71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110" w:hRule="atLeast"/>
              </w:trPr>
              <w:tc>
                <w:tcPr>
                  <w:tcW w:w="356" w:type="pct"/>
                  <w:vMerge w:val="continue"/>
                  <w:tcBorders>
                    <w:tl2br w:val="nil"/>
                    <w:tr2bl w:val="nil"/>
                  </w:tcBorders>
                  <w:noWrap w:val="0"/>
                  <w:vAlign w:val="center"/>
                </w:tcPr>
                <w:p w14:paraId="201373E7">
                  <w:pPr>
                    <w:spacing w:line="240" w:lineRule="auto"/>
                    <w:jc w:val="center"/>
                    <w:rPr>
                      <w:rFonts w:hint="default" w:ascii="Times New Roman" w:hAnsi="Times New Roman" w:eastAsia="宋体" w:cs="Times New Roman"/>
                      <w:i w:val="0"/>
                      <w:iCs w:val="0"/>
                      <w:color w:val="auto"/>
                      <w:sz w:val="21"/>
                      <w:szCs w:val="21"/>
                      <w:u w:val="none"/>
                    </w:rPr>
                  </w:pPr>
                </w:p>
              </w:tc>
              <w:tc>
                <w:tcPr>
                  <w:tcW w:w="356" w:type="pct"/>
                  <w:vMerge w:val="continue"/>
                  <w:tcBorders>
                    <w:tl2br w:val="nil"/>
                    <w:tr2bl w:val="nil"/>
                  </w:tcBorders>
                  <w:noWrap w:val="0"/>
                  <w:vAlign w:val="center"/>
                </w:tcPr>
                <w:p w14:paraId="47137866">
                  <w:pPr>
                    <w:spacing w:line="240" w:lineRule="auto"/>
                    <w:jc w:val="center"/>
                    <w:rPr>
                      <w:rFonts w:hint="default" w:ascii="Times New Roman" w:hAnsi="Times New Roman" w:eastAsia="宋体" w:cs="Times New Roman"/>
                      <w:i w:val="0"/>
                      <w:iCs w:val="0"/>
                      <w:color w:val="auto"/>
                      <w:sz w:val="21"/>
                      <w:szCs w:val="21"/>
                      <w:u w:val="none"/>
                    </w:rPr>
                  </w:pPr>
                </w:p>
              </w:tc>
              <w:tc>
                <w:tcPr>
                  <w:tcW w:w="357" w:type="pct"/>
                  <w:vMerge w:val="continue"/>
                  <w:tcBorders>
                    <w:tl2br w:val="nil"/>
                    <w:tr2bl w:val="nil"/>
                  </w:tcBorders>
                  <w:noWrap w:val="0"/>
                  <w:vAlign w:val="center"/>
                </w:tcPr>
                <w:p w14:paraId="579956FE">
                  <w:pPr>
                    <w:spacing w:line="240" w:lineRule="auto"/>
                    <w:jc w:val="center"/>
                    <w:rPr>
                      <w:rFonts w:hint="default" w:ascii="Times New Roman" w:hAnsi="Times New Roman" w:eastAsia="宋体" w:cs="Times New Roman"/>
                      <w:i w:val="0"/>
                      <w:iCs w:val="0"/>
                      <w:color w:val="auto"/>
                      <w:sz w:val="21"/>
                      <w:szCs w:val="21"/>
                      <w:u w:val="none"/>
                    </w:rPr>
                  </w:pPr>
                </w:p>
              </w:tc>
              <w:tc>
                <w:tcPr>
                  <w:tcW w:w="357" w:type="pct"/>
                  <w:vMerge w:val="continue"/>
                  <w:tcBorders>
                    <w:tl2br w:val="nil"/>
                    <w:tr2bl w:val="nil"/>
                  </w:tcBorders>
                  <w:noWrap w:val="0"/>
                  <w:vAlign w:val="center"/>
                </w:tcPr>
                <w:p w14:paraId="31309C91">
                  <w:pPr>
                    <w:spacing w:line="240" w:lineRule="auto"/>
                    <w:jc w:val="center"/>
                    <w:rPr>
                      <w:rFonts w:hint="default" w:ascii="Times New Roman" w:hAnsi="Times New Roman" w:eastAsia="宋体" w:cs="Times New Roman"/>
                      <w:i w:val="0"/>
                      <w:iCs w:val="0"/>
                      <w:color w:val="auto"/>
                      <w:sz w:val="21"/>
                      <w:szCs w:val="21"/>
                      <w:u w:val="none"/>
                    </w:rPr>
                  </w:pPr>
                </w:p>
              </w:tc>
              <w:tc>
                <w:tcPr>
                  <w:tcW w:w="1993" w:type="pct"/>
                  <w:tcBorders>
                    <w:tl2br w:val="nil"/>
                    <w:tr2bl w:val="nil"/>
                  </w:tcBorders>
                  <w:noWrap w:val="0"/>
                  <w:vAlign w:val="center"/>
                </w:tcPr>
                <w:p w14:paraId="37845B9A">
                  <w:pPr>
                    <w:spacing w:line="240" w:lineRule="auto"/>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禁止在居民区、学校、医疗和养老机构等周边新建、扩建有色金属冶炼、焦化等行业企业；结合推进新型城镇化、产业结构调整和化解过剩产能等，有序搬迁或依法关闭对土壤造成严重污染的现有企业。</w:t>
                  </w:r>
                </w:p>
              </w:tc>
              <w:tc>
                <w:tcPr>
                  <w:tcW w:w="1221" w:type="pct"/>
                  <w:tcBorders>
                    <w:tl2br w:val="nil"/>
                    <w:tr2bl w:val="nil"/>
                  </w:tcBorders>
                  <w:noWrap w:val="0"/>
                  <w:vAlign w:val="center"/>
                </w:tcPr>
                <w:p w14:paraId="1604EB6D">
                  <w:pPr>
                    <w:spacing w:line="240" w:lineRule="auto"/>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本项目不属于有色金属冶炼、焦化等行业企业，且本项目不属于对土壤有严重污染的企业</w:t>
                  </w:r>
                  <w:r>
                    <w:rPr>
                      <w:rFonts w:hint="eastAsia" w:cs="Times New Roman"/>
                      <w:i w:val="0"/>
                      <w:iCs w:val="0"/>
                      <w:color w:val="auto"/>
                      <w:sz w:val="21"/>
                      <w:szCs w:val="21"/>
                      <w:u w:val="none"/>
                      <w:lang w:val="en-US" w:eastAsia="zh-CN"/>
                    </w:rPr>
                    <w:t>。</w:t>
                  </w:r>
                </w:p>
              </w:tc>
              <w:tc>
                <w:tcPr>
                  <w:tcW w:w="358" w:type="pct"/>
                  <w:tcBorders>
                    <w:tl2br w:val="nil"/>
                    <w:tr2bl w:val="nil"/>
                  </w:tcBorders>
                  <w:noWrap w:val="0"/>
                  <w:vAlign w:val="center"/>
                </w:tcPr>
                <w:p w14:paraId="6749DFDC">
                  <w:pPr>
                    <w:spacing w:line="240" w:lineRule="auto"/>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符合</w:t>
                  </w:r>
                </w:p>
              </w:tc>
            </w:tr>
            <w:tr w14:paraId="192095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5" w:hRule="atLeast"/>
              </w:trPr>
              <w:tc>
                <w:tcPr>
                  <w:tcW w:w="356" w:type="pct"/>
                  <w:vMerge w:val="continue"/>
                  <w:tcBorders>
                    <w:tl2br w:val="nil"/>
                    <w:tr2bl w:val="nil"/>
                  </w:tcBorders>
                  <w:noWrap w:val="0"/>
                  <w:vAlign w:val="center"/>
                </w:tcPr>
                <w:p w14:paraId="4A4E8635">
                  <w:pPr>
                    <w:spacing w:line="240" w:lineRule="auto"/>
                    <w:jc w:val="center"/>
                    <w:rPr>
                      <w:rFonts w:hint="default" w:ascii="Times New Roman" w:hAnsi="Times New Roman" w:eastAsia="宋体" w:cs="Times New Roman"/>
                      <w:i w:val="0"/>
                      <w:iCs w:val="0"/>
                      <w:color w:val="auto"/>
                      <w:sz w:val="21"/>
                      <w:szCs w:val="21"/>
                      <w:u w:val="none"/>
                    </w:rPr>
                  </w:pPr>
                </w:p>
              </w:tc>
              <w:tc>
                <w:tcPr>
                  <w:tcW w:w="356" w:type="pct"/>
                  <w:vMerge w:val="continue"/>
                  <w:tcBorders>
                    <w:tl2br w:val="nil"/>
                    <w:tr2bl w:val="nil"/>
                  </w:tcBorders>
                  <w:noWrap w:val="0"/>
                  <w:vAlign w:val="center"/>
                </w:tcPr>
                <w:p w14:paraId="3FDD08CA">
                  <w:pPr>
                    <w:spacing w:line="240" w:lineRule="auto"/>
                    <w:jc w:val="center"/>
                    <w:rPr>
                      <w:rFonts w:hint="default" w:ascii="Times New Roman" w:hAnsi="Times New Roman" w:eastAsia="宋体" w:cs="Times New Roman"/>
                      <w:i w:val="0"/>
                      <w:iCs w:val="0"/>
                      <w:color w:val="auto"/>
                      <w:sz w:val="21"/>
                      <w:szCs w:val="21"/>
                      <w:u w:val="none"/>
                    </w:rPr>
                  </w:pPr>
                </w:p>
              </w:tc>
              <w:tc>
                <w:tcPr>
                  <w:tcW w:w="357" w:type="pct"/>
                  <w:vMerge w:val="continue"/>
                  <w:tcBorders>
                    <w:tl2br w:val="nil"/>
                    <w:tr2bl w:val="nil"/>
                  </w:tcBorders>
                  <w:noWrap w:val="0"/>
                  <w:vAlign w:val="center"/>
                </w:tcPr>
                <w:p w14:paraId="4CB88B66">
                  <w:pPr>
                    <w:spacing w:line="240" w:lineRule="auto"/>
                    <w:jc w:val="center"/>
                    <w:rPr>
                      <w:rFonts w:hint="default" w:ascii="Times New Roman" w:hAnsi="Times New Roman" w:eastAsia="宋体" w:cs="Times New Roman"/>
                      <w:i w:val="0"/>
                      <w:iCs w:val="0"/>
                      <w:color w:val="auto"/>
                      <w:sz w:val="21"/>
                      <w:szCs w:val="21"/>
                      <w:u w:val="none"/>
                    </w:rPr>
                  </w:pPr>
                </w:p>
              </w:tc>
              <w:tc>
                <w:tcPr>
                  <w:tcW w:w="357" w:type="pct"/>
                  <w:vMerge w:val="continue"/>
                  <w:tcBorders>
                    <w:tl2br w:val="nil"/>
                    <w:tr2bl w:val="nil"/>
                  </w:tcBorders>
                  <w:noWrap w:val="0"/>
                  <w:vAlign w:val="center"/>
                </w:tcPr>
                <w:p w14:paraId="01BEEF82">
                  <w:pPr>
                    <w:spacing w:line="240" w:lineRule="auto"/>
                    <w:jc w:val="center"/>
                    <w:rPr>
                      <w:rFonts w:hint="default" w:ascii="Times New Roman" w:hAnsi="Times New Roman" w:eastAsia="宋体" w:cs="Times New Roman"/>
                      <w:i w:val="0"/>
                      <w:iCs w:val="0"/>
                      <w:color w:val="auto"/>
                      <w:sz w:val="21"/>
                      <w:szCs w:val="21"/>
                      <w:u w:val="none"/>
                    </w:rPr>
                  </w:pPr>
                </w:p>
              </w:tc>
              <w:tc>
                <w:tcPr>
                  <w:tcW w:w="1993" w:type="pct"/>
                  <w:tcBorders>
                    <w:tl2br w:val="nil"/>
                    <w:tr2bl w:val="nil"/>
                  </w:tcBorders>
                  <w:noWrap w:val="0"/>
                  <w:vAlign w:val="center"/>
                </w:tcPr>
                <w:p w14:paraId="47DB8859">
                  <w:pPr>
                    <w:spacing w:line="240" w:lineRule="auto"/>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执行《市场准入负面清单（2022年版）》。</w:t>
                  </w:r>
                </w:p>
              </w:tc>
              <w:tc>
                <w:tcPr>
                  <w:tcW w:w="1221" w:type="pct"/>
                  <w:tcBorders>
                    <w:tl2br w:val="nil"/>
                    <w:tr2bl w:val="nil"/>
                  </w:tcBorders>
                  <w:noWrap w:val="0"/>
                  <w:vAlign w:val="center"/>
                </w:tcPr>
                <w:p w14:paraId="7BECB22C">
                  <w:pPr>
                    <w:spacing w:line="240" w:lineRule="auto"/>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本项目不属于市场准入清单负面清单中所列内容</w:t>
                  </w:r>
                  <w:r>
                    <w:rPr>
                      <w:rFonts w:hint="eastAsia" w:cs="Times New Roman"/>
                      <w:i w:val="0"/>
                      <w:iCs w:val="0"/>
                      <w:color w:val="auto"/>
                      <w:sz w:val="21"/>
                      <w:szCs w:val="21"/>
                      <w:u w:val="none"/>
                      <w:lang w:val="en-US" w:eastAsia="zh-CN"/>
                    </w:rPr>
                    <w:t>。</w:t>
                  </w:r>
                </w:p>
              </w:tc>
              <w:tc>
                <w:tcPr>
                  <w:tcW w:w="358" w:type="pct"/>
                  <w:tcBorders>
                    <w:tl2br w:val="nil"/>
                    <w:tr2bl w:val="nil"/>
                  </w:tcBorders>
                  <w:noWrap w:val="0"/>
                  <w:vAlign w:val="center"/>
                </w:tcPr>
                <w:p w14:paraId="3EBF6156">
                  <w:pPr>
                    <w:spacing w:line="240" w:lineRule="auto"/>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符合</w:t>
                  </w:r>
                </w:p>
              </w:tc>
            </w:tr>
            <w:tr w14:paraId="567498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356" w:type="pct"/>
                  <w:vMerge w:val="continue"/>
                  <w:tcBorders>
                    <w:tl2br w:val="nil"/>
                    <w:tr2bl w:val="nil"/>
                  </w:tcBorders>
                  <w:noWrap w:val="0"/>
                  <w:vAlign w:val="center"/>
                </w:tcPr>
                <w:p w14:paraId="0E0D9826">
                  <w:pPr>
                    <w:spacing w:line="240" w:lineRule="auto"/>
                    <w:jc w:val="center"/>
                    <w:rPr>
                      <w:rFonts w:hint="default" w:ascii="Times New Roman" w:hAnsi="Times New Roman" w:eastAsia="宋体" w:cs="Times New Roman"/>
                      <w:i w:val="0"/>
                      <w:iCs w:val="0"/>
                      <w:color w:val="auto"/>
                      <w:sz w:val="21"/>
                      <w:szCs w:val="21"/>
                      <w:u w:val="none"/>
                    </w:rPr>
                  </w:pPr>
                </w:p>
              </w:tc>
              <w:tc>
                <w:tcPr>
                  <w:tcW w:w="356" w:type="pct"/>
                  <w:vMerge w:val="continue"/>
                  <w:tcBorders>
                    <w:tl2br w:val="nil"/>
                    <w:tr2bl w:val="nil"/>
                  </w:tcBorders>
                  <w:noWrap w:val="0"/>
                  <w:vAlign w:val="center"/>
                </w:tcPr>
                <w:p w14:paraId="4ECEAD48">
                  <w:pPr>
                    <w:spacing w:line="240" w:lineRule="auto"/>
                    <w:jc w:val="center"/>
                    <w:rPr>
                      <w:rFonts w:hint="default" w:ascii="Times New Roman" w:hAnsi="Times New Roman" w:eastAsia="宋体" w:cs="Times New Roman"/>
                      <w:i w:val="0"/>
                      <w:iCs w:val="0"/>
                      <w:color w:val="auto"/>
                      <w:sz w:val="21"/>
                      <w:szCs w:val="21"/>
                      <w:u w:val="none"/>
                    </w:rPr>
                  </w:pPr>
                </w:p>
              </w:tc>
              <w:tc>
                <w:tcPr>
                  <w:tcW w:w="357" w:type="pct"/>
                  <w:vMerge w:val="continue"/>
                  <w:tcBorders>
                    <w:tl2br w:val="nil"/>
                    <w:tr2bl w:val="nil"/>
                  </w:tcBorders>
                  <w:noWrap w:val="0"/>
                  <w:vAlign w:val="center"/>
                </w:tcPr>
                <w:p w14:paraId="68AC0651">
                  <w:pPr>
                    <w:spacing w:line="240" w:lineRule="auto"/>
                    <w:jc w:val="center"/>
                    <w:rPr>
                      <w:rFonts w:hint="default" w:ascii="Times New Roman" w:hAnsi="Times New Roman" w:eastAsia="宋体" w:cs="Times New Roman"/>
                      <w:i w:val="0"/>
                      <w:iCs w:val="0"/>
                      <w:color w:val="auto"/>
                      <w:sz w:val="21"/>
                      <w:szCs w:val="21"/>
                      <w:u w:val="none"/>
                    </w:rPr>
                  </w:pPr>
                </w:p>
              </w:tc>
              <w:tc>
                <w:tcPr>
                  <w:tcW w:w="357" w:type="pct"/>
                  <w:vMerge w:val="continue"/>
                  <w:tcBorders>
                    <w:tl2br w:val="nil"/>
                    <w:tr2bl w:val="nil"/>
                  </w:tcBorders>
                  <w:noWrap w:val="0"/>
                  <w:vAlign w:val="center"/>
                </w:tcPr>
                <w:p w14:paraId="68E3CB30">
                  <w:pPr>
                    <w:spacing w:line="240" w:lineRule="auto"/>
                    <w:jc w:val="center"/>
                    <w:rPr>
                      <w:rFonts w:hint="default" w:ascii="Times New Roman" w:hAnsi="Times New Roman" w:eastAsia="宋体" w:cs="Times New Roman"/>
                      <w:i w:val="0"/>
                      <w:iCs w:val="0"/>
                      <w:color w:val="auto"/>
                      <w:sz w:val="21"/>
                      <w:szCs w:val="21"/>
                      <w:u w:val="none"/>
                    </w:rPr>
                  </w:pPr>
                </w:p>
              </w:tc>
              <w:tc>
                <w:tcPr>
                  <w:tcW w:w="1993" w:type="pct"/>
                  <w:tcBorders>
                    <w:tl2br w:val="nil"/>
                    <w:tr2bl w:val="nil"/>
                  </w:tcBorders>
                  <w:noWrap w:val="0"/>
                  <w:vAlign w:val="center"/>
                </w:tcPr>
                <w:p w14:paraId="756599B7">
                  <w:pPr>
                    <w:spacing w:line="240" w:lineRule="auto"/>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执行《产业结构调整指导目录（2019 年本）》及21年修改。</w:t>
                  </w:r>
                </w:p>
              </w:tc>
              <w:tc>
                <w:tcPr>
                  <w:tcW w:w="1221" w:type="pct"/>
                  <w:tcBorders>
                    <w:tl2br w:val="nil"/>
                    <w:tr2bl w:val="nil"/>
                  </w:tcBorders>
                  <w:noWrap w:val="0"/>
                  <w:vAlign w:val="center"/>
                </w:tcPr>
                <w:p w14:paraId="08AF621B">
                  <w:pPr>
                    <w:spacing w:line="240" w:lineRule="auto"/>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本项目为允许类</w:t>
                  </w:r>
                  <w:r>
                    <w:rPr>
                      <w:rFonts w:hint="eastAsia" w:cs="Times New Roman"/>
                      <w:i w:val="0"/>
                      <w:iCs w:val="0"/>
                      <w:color w:val="auto"/>
                      <w:sz w:val="21"/>
                      <w:szCs w:val="21"/>
                      <w:u w:val="none"/>
                      <w:lang w:val="en-US" w:eastAsia="zh-CN"/>
                    </w:rPr>
                    <w:t>。</w:t>
                  </w:r>
                </w:p>
              </w:tc>
              <w:tc>
                <w:tcPr>
                  <w:tcW w:w="358" w:type="pct"/>
                  <w:tcBorders>
                    <w:tl2br w:val="nil"/>
                    <w:tr2bl w:val="nil"/>
                  </w:tcBorders>
                  <w:noWrap w:val="0"/>
                  <w:vAlign w:val="center"/>
                </w:tcPr>
                <w:p w14:paraId="2813857A">
                  <w:pPr>
                    <w:spacing w:line="240" w:lineRule="auto"/>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符合</w:t>
                  </w:r>
                </w:p>
              </w:tc>
            </w:tr>
            <w:tr w14:paraId="5C4E8A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356" w:type="pct"/>
                  <w:vMerge w:val="continue"/>
                  <w:tcBorders>
                    <w:tl2br w:val="nil"/>
                    <w:tr2bl w:val="nil"/>
                  </w:tcBorders>
                  <w:noWrap w:val="0"/>
                  <w:vAlign w:val="center"/>
                </w:tcPr>
                <w:p w14:paraId="3304B792">
                  <w:pPr>
                    <w:spacing w:line="240" w:lineRule="auto"/>
                    <w:jc w:val="center"/>
                    <w:rPr>
                      <w:rFonts w:hint="default" w:ascii="Times New Roman" w:hAnsi="Times New Roman" w:eastAsia="宋体" w:cs="Times New Roman"/>
                      <w:i w:val="0"/>
                      <w:iCs w:val="0"/>
                      <w:color w:val="auto"/>
                      <w:sz w:val="21"/>
                      <w:szCs w:val="21"/>
                      <w:u w:val="none"/>
                      <w:lang w:val="en-US" w:eastAsia="zh-CN"/>
                    </w:rPr>
                  </w:pPr>
                </w:p>
              </w:tc>
              <w:tc>
                <w:tcPr>
                  <w:tcW w:w="356" w:type="pct"/>
                  <w:vMerge w:val="continue"/>
                  <w:tcBorders>
                    <w:tl2br w:val="nil"/>
                    <w:tr2bl w:val="nil"/>
                  </w:tcBorders>
                  <w:noWrap w:val="0"/>
                  <w:vAlign w:val="center"/>
                </w:tcPr>
                <w:p w14:paraId="6B35A6FA">
                  <w:pPr>
                    <w:spacing w:line="240" w:lineRule="auto"/>
                    <w:jc w:val="center"/>
                    <w:rPr>
                      <w:rFonts w:hint="default" w:ascii="Times New Roman" w:hAnsi="Times New Roman" w:eastAsia="宋体" w:cs="Times New Roman"/>
                      <w:i w:val="0"/>
                      <w:iCs w:val="0"/>
                      <w:color w:val="auto"/>
                      <w:sz w:val="21"/>
                      <w:szCs w:val="21"/>
                      <w:u w:val="none"/>
                      <w:lang w:val="en-US" w:eastAsia="zh-CN"/>
                    </w:rPr>
                  </w:pPr>
                </w:p>
              </w:tc>
              <w:tc>
                <w:tcPr>
                  <w:tcW w:w="357" w:type="pct"/>
                  <w:vMerge w:val="continue"/>
                  <w:tcBorders>
                    <w:tl2br w:val="nil"/>
                    <w:tr2bl w:val="nil"/>
                  </w:tcBorders>
                  <w:noWrap w:val="0"/>
                  <w:vAlign w:val="center"/>
                </w:tcPr>
                <w:p w14:paraId="62C09672">
                  <w:pPr>
                    <w:spacing w:line="240" w:lineRule="auto"/>
                    <w:jc w:val="center"/>
                    <w:rPr>
                      <w:rFonts w:hint="default" w:ascii="Times New Roman" w:hAnsi="Times New Roman" w:eastAsia="宋体" w:cs="Times New Roman"/>
                      <w:i w:val="0"/>
                      <w:iCs w:val="0"/>
                      <w:color w:val="auto"/>
                      <w:sz w:val="21"/>
                      <w:szCs w:val="21"/>
                      <w:u w:val="none"/>
                      <w:lang w:val="en-US" w:eastAsia="zh-CN"/>
                    </w:rPr>
                  </w:pPr>
                </w:p>
              </w:tc>
              <w:tc>
                <w:tcPr>
                  <w:tcW w:w="357" w:type="pct"/>
                  <w:vMerge w:val="restart"/>
                  <w:tcBorders>
                    <w:tl2br w:val="nil"/>
                    <w:tr2bl w:val="nil"/>
                  </w:tcBorders>
                  <w:noWrap w:val="0"/>
                  <w:vAlign w:val="center"/>
                </w:tcPr>
                <w:p w14:paraId="28D28FD4">
                  <w:pPr>
                    <w:spacing w:line="240" w:lineRule="auto"/>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污染物排放管控</w:t>
                  </w:r>
                </w:p>
              </w:tc>
              <w:tc>
                <w:tcPr>
                  <w:tcW w:w="1993" w:type="pct"/>
                  <w:tcBorders>
                    <w:tl2br w:val="nil"/>
                    <w:tr2bl w:val="nil"/>
                  </w:tcBorders>
                  <w:noWrap w:val="0"/>
                  <w:vAlign w:val="center"/>
                </w:tcPr>
                <w:p w14:paraId="06029927">
                  <w:pPr>
                    <w:spacing w:line="240" w:lineRule="auto"/>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禁止新建燃煤集中供热站；有序淘汰排放不达标小火电机组；不再新建35蒸吨以下的燃煤锅炉；65蒸吨及以上燃煤锅炉全部完成节能改造；10万千瓦及以上燃煤火电机组全部实现超低排放</w:t>
                  </w:r>
                  <w:r>
                    <w:rPr>
                      <w:rFonts w:hint="eastAsia" w:cs="Times New Roman"/>
                      <w:i w:val="0"/>
                      <w:iCs w:val="0"/>
                      <w:color w:val="auto"/>
                      <w:sz w:val="21"/>
                      <w:szCs w:val="21"/>
                      <w:u w:val="none"/>
                      <w:lang w:val="en-US" w:eastAsia="zh-CN"/>
                    </w:rPr>
                    <w:t>。</w:t>
                  </w:r>
                </w:p>
              </w:tc>
              <w:tc>
                <w:tcPr>
                  <w:tcW w:w="1221" w:type="pct"/>
                  <w:tcBorders>
                    <w:tl2br w:val="nil"/>
                    <w:tr2bl w:val="nil"/>
                  </w:tcBorders>
                  <w:noWrap w:val="0"/>
                  <w:vAlign w:val="center"/>
                </w:tcPr>
                <w:p w14:paraId="487F3163">
                  <w:pPr>
                    <w:spacing w:line="240" w:lineRule="auto"/>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本项目</w:t>
                  </w:r>
                  <w:r>
                    <w:rPr>
                      <w:rFonts w:hint="eastAsia" w:ascii="Times New Roman" w:hAnsi="Times New Roman" w:eastAsia="宋体" w:cs="Times New Roman"/>
                      <w:i w:val="0"/>
                      <w:iCs w:val="0"/>
                      <w:color w:val="auto"/>
                      <w:sz w:val="21"/>
                      <w:szCs w:val="21"/>
                      <w:u w:val="none"/>
                      <w:lang w:val="en-US" w:eastAsia="zh-CN"/>
                    </w:rPr>
                    <w:t>不涉及锅炉</w:t>
                  </w:r>
                  <w:r>
                    <w:rPr>
                      <w:rFonts w:hint="eastAsia" w:cs="Times New Roman"/>
                      <w:i w:val="0"/>
                      <w:iCs w:val="0"/>
                      <w:color w:val="auto"/>
                      <w:sz w:val="21"/>
                      <w:szCs w:val="21"/>
                      <w:u w:val="none"/>
                      <w:lang w:val="en-US" w:eastAsia="zh-CN"/>
                    </w:rPr>
                    <w:t>。</w:t>
                  </w:r>
                </w:p>
              </w:tc>
              <w:tc>
                <w:tcPr>
                  <w:tcW w:w="358" w:type="pct"/>
                  <w:tcBorders>
                    <w:tl2br w:val="nil"/>
                    <w:tr2bl w:val="nil"/>
                  </w:tcBorders>
                  <w:noWrap w:val="0"/>
                  <w:vAlign w:val="center"/>
                </w:tcPr>
                <w:p w14:paraId="6EAEDD88">
                  <w:pPr>
                    <w:spacing w:line="240" w:lineRule="auto"/>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符合</w:t>
                  </w:r>
                </w:p>
              </w:tc>
            </w:tr>
            <w:tr w14:paraId="3F0405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5" w:hRule="atLeast"/>
              </w:trPr>
              <w:tc>
                <w:tcPr>
                  <w:tcW w:w="356" w:type="pct"/>
                  <w:vMerge w:val="continue"/>
                  <w:tcBorders>
                    <w:tl2br w:val="nil"/>
                    <w:tr2bl w:val="nil"/>
                  </w:tcBorders>
                  <w:noWrap w:val="0"/>
                  <w:vAlign w:val="center"/>
                </w:tcPr>
                <w:p w14:paraId="3EFA7E5C">
                  <w:pPr>
                    <w:spacing w:line="240" w:lineRule="auto"/>
                    <w:jc w:val="center"/>
                    <w:rPr>
                      <w:rFonts w:hint="default" w:ascii="Times New Roman" w:hAnsi="Times New Roman" w:eastAsia="宋体" w:cs="Times New Roman"/>
                      <w:i w:val="0"/>
                      <w:iCs w:val="0"/>
                      <w:color w:val="auto"/>
                      <w:sz w:val="21"/>
                      <w:szCs w:val="21"/>
                      <w:u w:val="none"/>
                      <w:lang w:val="en-US" w:eastAsia="zh-CN"/>
                    </w:rPr>
                  </w:pPr>
                </w:p>
              </w:tc>
              <w:tc>
                <w:tcPr>
                  <w:tcW w:w="356" w:type="pct"/>
                  <w:vMerge w:val="continue"/>
                  <w:tcBorders>
                    <w:tl2br w:val="nil"/>
                    <w:tr2bl w:val="nil"/>
                  </w:tcBorders>
                  <w:noWrap w:val="0"/>
                  <w:vAlign w:val="center"/>
                </w:tcPr>
                <w:p w14:paraId="54B1271C">
                  <w:pPr>
                    <w:spacing w:line="240" w:lineRule="auto"/>
                    <w:jc w:val="center"/>
                    <w:rPr>
                      <w:rFonts w:hint="default" w:ascii="Times New Roman" w:hAnsi="Times New Roman" w:eastAsia="宋体" w:cs="Times New Roman"/>
                      <w:i w:val="0"/>
                      <w:iCs w:val="0"/>
                      <w:color w:val="auto"/>
                      <w:sz w:val="21"/>
                      <w:szCs w:val="21"/>
                      <w:u w:val="none"/>
                      <w:lang w:val="en-US" w:eastAsia="zh-CN"/>
                    </w:rPr>
                  </w:pPr>
                </w:p>
              </w:tc>
              <w:tc>
                <w:tcPr>
                  <w:tcW w:w="357" w:type="pct"/>
                  <w:vMerge w:val="continue"/>
                  <w:tcBorders>
                    <w:tl2br w:val="nil"/>
                    <w:tr2bl w:val="nil"/>
                  </w:tcBorders>
                  <w:noWrap w:val="0"/>
                  <w:vAlign w:val="center"/>
                </w:tcPr>
                <w:p w14:paraId="63B2A379">
                  <w:pPr>
                    <w:spacing w:line="240" w:lineRule="auto"/>
                    <w:jc w:val="center"/>
                    <w:rPr>
                      <w:rFonts w:hint="default" w:ascii="Times New Roman" w:hAnsi="Times New Roman" w:eastAsia="宋体" w:cs="Times New Roman"/>
                      <w:i w:val="0"/>
                      <w:iCs w:val="0"/>
                      <w:color w:val="auto"/>
                      <w:sz w:val="21"/>
                      <w:szCs w:val="21"/>
                      <w:u w:val="none"/>
                      <w:lang w:val="en-US" w:eastAsia="zh-CN"/>
                    </w:rPr>
                  </w:pPr>
                </w:p>
              </w:tc>
              <w:tc>
                <w:tcPr>
                  <w:tcW w:w="357" w:type="pct"/>
                  <w:vMerge w:val="continue"/>
                  <w:tcBorders>
                    <w:tl2br w:val="nil"/>
                    <w:tr2bl w:val="nil"/>
                  </w:tcBorders>
                  <w:noWrap w:val="0"/>
                  <w:vAlign w:val="center"/>
                </w:tcPr>
                <w:p w14:paraId="642CE411">
                  <w:pPr>
                    <w:spacing w:line="240" w:lineRule="auto"/>
                    <w:jc w:val="center"/>
                    <w:rPr>
                      <w:rFonts w:hint="default" w:ascii="Times New Roman" w:hAnsi="Times New Roman" w:eastAsia="宋体" w:cs="Times New Roman"/>
                      <w:i w:val="0"/>
                      <w:iCs w:val="0"/>
                      <w:color w:val="auto"/>
                      <w:sz w:val="21"/>
                      <w:szCs w:val="21"/>
                      <w:u w:val="none"/>
                      <w:lang w:val="en-US" w:eastAsia="zh-CN"/>
                    </w:rPr>
                  </w:pPr>
                </w:p>
              </w:tc>
              <w:tc>
                <w:tcPr>
                  <w:tcW w:w="1993" w:type="pct"/>
                  <w:tcBorders>
                    <w:tl2br w:val="nil"/>
                    <w:tr2bl w:val="nil"/>
                  </w:tcBorders>
                  <w:noWrap w:val="0"/>
                  <w:vAlign w:val="center"/>
                </w:tcPr>
                <w:p w14:paraId="29A7B192">
                  <w:pPr>
                    <w:spacing w:line="240" w:lineRule="auto"/>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工业集聚区内工业废水必须经预处理达到集中处理要求，方可进入污水集中处理设施</w:t>
                  </w:r>
                  <w:r>
                    <w:rPr>
                      <w:rFonts w:hint="eastAsia" w:cs="Times New Roman"/>
                      <w:i w:val="0"/>
                      <w:iCs w:val="0"/>
                      <w:color w:val="auto"/>
                      <w:sz w:val="21"/>
                      <w:szCs w:val="21"/>
                      <w:u w:val="none"/>
                      <w:lang w:val="en-US" w:eastAsia="zh-CN"/>
                    </w:rPr>
                    <w:t>。</w:t>
                  </w:r>
                </w:p>
              </w:tc>
              <w:tc>
                <w:tcPr>
                  <w:tcW w:w="1221" w:type="pct"/>
                  <w:tcBorders>
                    <w:tl2br w:val="nil"/>
                    <w:tr2bl w:val="nil"/>
                  </w:tcBorders>
                  <w:noWrap w:val="0"/>
                  <w:vAlign w:val="center"/>
                </w:tcPr>
                <w:p w14:paraId="3A362237">
                  <w:pPr>
                    <w:spacing w:line="240" w:lineRule="auto"/>
                    <w:jc w:val="center"/>
                    <w:rPr>
                      <w:rFonts w:hint="default" w:ascii="Times New Roman" w:hAnsi="Times New Roman" w:eastAsia="宋体" w:cs="Times New Roman"/>
                      <w:i w:val="0"/>
                      <w:iCs w:val="0"/>
                      <w:color w:val="auto"/>
                      <w:sz w:val="21"/>
                      <w:szCs w:val="21"/>
                      <w:u w:val="none"/>
                      <w:lang w:val="en-US" w:eastAsia="zh-CN"/>
                    </w:rPr>
                  </w:pPr>
                  <w:r>
                    <w:rPr>
                      <w:rFonts w:hint="eastAsia"/>
                      <w:color w:val="auto"/>
                      <w:sz w:val="21"/>
                      <w:szCs w:val="21"/>
                      <w:lang w:val="en-US" w:eastAsia="zh-CN"/>
                    </w:rPr>
                    <w:t>项目位于</w:t>
                  </w:r>
                  <w:r>
                    <w:rPr>
                      <w:rFonts w:hint="eastAsia" w:ascii="宋体" w:hAnsi="宋体" w:eastAsia="宋体" w:cs="宋体"/>
                      <w:color w:val="auto"/>
                      <w:szCs w:val="21"/>
                      <w:lang w:val="en-US" w:eastAsia="zh-CN"/>
                    </w:rPr>
                    <w:t>陕西省宝鸡市凤翔县宝鸡市凤翔县东北糜杆桥镇宝鸡机场东南侧</w:t>
                  </w:r>
                  <w:r>
                    <w:rPr>
                      <w:rFonts w:hint="eastAsia" w:ascii="宋体" w:hAnsi="宋体" w:eastAsia="宋体" w:cs="宋体"/>
                      <w:color w:val="auto"/>
                      <w:sz w:val="21"/>
                      <w:szCs w:val="21"/>
                      <w:lang w:val="en-US" w:eastAsia="zh-CN"/>
                    </w:rPr>
                    <w:t>，项目用地为工业用地</w:t>
                  </w:r>
                  <w:r>
                    <w:rPr>
                      <w:rFonts w:hint="default" w:ascii="Times New Roman" w:hAnsi="Times New Roman" w:eastAsia="宋体" w:cs="Times New Roman"/>
                      <w:i w:val="0"/>
                      <w:iCs w:val="0"/>
                      <w:color w:val="auto"/>
                      <w:sz w:val="21"/>
                      <w:szCs w:val="21"/>
                      <w:u w:val="none"/>
                      <w:lang w:val="en-US" w:eastAsia="zh-CN"/>
                    </w:rPr>
                    <w:t>，不属于工业聚集区，废水经一体化污水处理设施达标</w:t>
                  </w:r>
                  <w:r>
                    <w:rPr>
                      <w:rFonts w:hint="eastAsia" w:ascii="Times New Roman" w:hAnsi="Times New Roman" w:eastAsia="宋体" w:cs="Times New Roman"/>
                      <w:i w:val="0"/>
                      <w:iCs w:val="0"/>
                      <w:color w:val="auto"/>
                      <w:sz w:val="21"/>
                      <w:szCs w:val="21"/>
                      <w:u w:val="none"/>
                      <w:lang w:val="en-US" w:eastAsia="zh-CN"/>
                    </w:rPr>
                    <w:t>排至水处理厂</w:t>
                  </w:r>
                  <w:r>
                    <w:rPr>
                      <w:rFonts w:hint="eastAsia" w:cs="Times New Roman"/>
                      <w:i w:val="0"/>
                      <w:iCs w:val="0"/>
                      <w:color w:val="auto"/>
                      <w:sz w:val="21"/>
                      <w:szCs w:val="21"/>
                      <w:u w:val="none"/>
                      <w:lang w:val="en-US" w:eastAsia="zh-CN"/>
                    </w:rPr>
                    <w:t>。</w:t>
                  </w:r>
                </w:p>
              </w:tc>
              <w:tc>
                <w:tcPr>
                  <w:tcW w:w="358" w:type="pct"/>
                  <w:tcBorders>
                    <w:tl2br w:val="nil"/>
                    <w:tr2bl w:val="nil"/>
                  </w:tcBorders>
                  <w:noWrap w:val="0"/>
                  <w:vAlign w:val="center"/>
                </w:tcPr>
                <w:p w14:paraId="5A8EDC03">
                  <w:pPr>
                    <w:spacing w:line="240" w:lineRule="auto"/>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符合</w:t>
                  </w:r>
                </w:p>
              </w:tc>
            </w:tr>
            <w:tr w14:paraId="45746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0" w:hRule="atLeast"/>
              </w:trPr>
              <w:tc>
                <w:tcPr>
                  <w:tcW w:w="356" w:type="pct"/>
                  <w:vMerge w:val="continue"/>
                  <w:tcBorders>
                    <w:tl2br w:val="nil"/>
                    <w:tr2bl w:val="nil"/>
                  </w:tcBorders>
                  <w:noWrap w:val="0"/>
                  <w:vAlign w:val="center"/>
                </w:tcPr>
                <w:p w14:paraId="1D1307D5">
                  <w:pPr>
                    <w:spacing w:line="240" w:lineRule="auto"/>
                    <w:jc w:val="center"/>
                    <w:rPr>
                      <w:rFonts w:hint="default" w:ascii="Times New Roman" w:hAnsi="Times New Roman" w:eastAsia="宋体" w:cs="Times New Roman"/>
                      <w:i w:val="0"/>
                      <w:iCs w:val="0"/>
                      <w:color w:val="auto"/>
                      <w:sz w:val="21"/>
                      <w:szCs w:val="21"/>
                      <w:u w:val="none"/>
                      <w:lang w:val="en-US" w:eastAsia="zh-CN"/>
                    </w:rPr>
                  </w:pPr>
                </w:p>
              </w:tc>
              <w:tc>
                <w:tcPr>
                  <w:tcW w:w="356" w:type="pct"/>
                  <w:vMerge w:val="continue"/>
                  <w:tcBorders>
                    <w:tl2br w:val="nil"/>
                    <w:tr2bl w:val="nil"/>
                  </w:tcBorders>
                  <w:noWrap w:val="0"/>
                  <w:vAlign w:val="center"/>
                </w:tcPr>
                <w:p w14:paraId="3F141111">
                  <w:pPr>
                    <w:spacing w:line="240" w:lineRule="auto"/>
                    <w:jc w:val="center"/>
                    <w:rPr>
                      <w:rFonts w:hint="default" w:ascii="Times New Roman" w:hAnsi="Times New Roman" w:eastAsia="宋体" w:cs="Times New Roman"/>
                      <w:i w:val="0"/>
                      <w:iCs w:val="0"/>
                      <w:color w:val="auto"/>
                      <w:sz w:val="21"/>
                      <w:szCs w:val="21"/>
                      <w:u w:val="none"/>
                      <w:lang w:val="en-US" w:eastAsia="zh-CN"/>
                    </w:rPr>
                  </w:pPr>
                </w:p>
              </w:tc>
              <w:tc>
                <w:tcPr>
                  <w:tcW w:w="357" w:type="pct"/>
                  <w:vMerge w:val="continue"/>
                  <w:tcBorders>
                    <w:tl2br w:val="nil"/>
                    <w:tr2bl w:val="nil"/>
                  </w:tcBorders>
                  <w:noWrap w:val="0"/>
                  <w:vAlign w:val="center"/>
                </w:tcPr>
                <w:p w14:paraId="02CA2D0B">
                  <w:pPr>
                    <w:spacing w:line="240" w:lineRule="auto"/>
                    <w:jc w:val="center"/>
                    <w:rPr>
                      <w:rFonts w:hint="default" w:ascii="Times New Roman" w:hAnsi="Times New Roman" w:eastAsia="宋体" w:cs="Times New Roman"/>
                      <w:i w:val="0"/>
                      <w:iCs w:val="0"/>
                      <w:color w:val="auto"/>
                      <w:sz w:val="21"/>
                      <w:szCs w:val="21"/>
                      <w:u w:val="none"/>
                      <w:lang w:val="en-US" w:eastAsia="zh-CN"/>
                    </w:rPr>
                  </w:pPr>
                </w:p>
              </w:tc>
              <w:tc>
                <w:tcPr>
                  <w:tcW w:w="357" w:type="pct"/>
                  <w:vMerge w:val="continue"/>
                  <w:tcBorders>
                    <w:tl2br w:val="nil"/>
                    <w:tr2bl w:val="nil"/>
                  </w:tcBorders>
                  <w:noWrap w:val="0"/>
                  <w:vAlign w:val="center"/>
                </w:tcPr>
                <w:p w14:paraId="3BE62B2B">
                  <w:pPr>
                    <w:spacing w:line="240" w:lineRule="auto"/>
                    <w:jc w:val="center"/>
                    <w:rPr>
                      <w:rFonts w:hint="default" w:ascii="Times New Roman" w:hAnsi="Times New Roman" w:eastAsia="宋体" w:cs="Times New Roman"/>
                      <w:i w:val="0"/>
                      <w:iCs w:val="0"/>
                      <w:color w:val="auto"/>
                      <w:sz w:val="21"/>
                      <w:szCs w:val="21"/>
                      <w:u w:val="none"/>
                      <w:lang w:val="en-US" w:eastAsia="zh-CN"/>
                    </w:rPr>
                  </w:pPr>
                </w:p>
              </w:tc>
              <w:tc>
                <w:tcPr>
                  <w:tcW w:w="1993" w:type="pct"/>
                  <w:tcBorders>
                    <w:tl2br w:val="nil"/>
                    <w:tr2bl w:val="nil"/>
                  </w:tcBorders>
                  <w:noWrap w:val="0"/>
                  <w:vAlign w:val="center"/>
                </w:tcPr>
                <w:p w14:paraId="07A5F309">
                  <w:pPr>
                    <w:spacing w:line="240" w:lineRule="auto"/>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黄河流域城镇污水处理设施执行《黄河流域（陕西段）污水综合排放标准》；汉江、丹江流域城镇污水处理设施执行《汉丹江流域（陕西段）重点行业水污染物排放限值》</w:t>
                  </w:r>
                  <w:r>
                    <w:rPr>
                      <w:rFonts w:hint="eastAsia" w:cs="Times New Roman"/>
                      <w:i w:val="0"/>
                      <w:iCs w:val="0"/>
                      <w:color w:val="auto"/>
                      <w:sz w:val="21"/>
                      <w:szCs w:val="21"/>
                      <w:u w:val="none"/>
                      <w:lang w:val="en-US" w:eastAsia="zh-CN"/>
                    </w:rPr>
                    <w:t>。</w:t>
                  </w:r>
                </w:p>
              </w:tc>
              <w:tc>
                <w:tcPr>
                  <w:tcW w:w="1221" w:type="pct"/>
                  <w:tcBorders>
                    <w:tl2br w:val="nil"/>
                    <w:tr2bl w:val="nil"/>
                  </w:tcBorders>
                  <w:noWrap w:val="0"/>
                  <w:vAlign w:val="center"/>
                </w:tcPr>
                <w:p w14:paraId="7C38BFD6">
                  <w:pPr>
                    <w:spacing w:line="240" w:lineRule="auto"/>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本项目废水经一体化污水处理设施达标</w:t>
                  </w:r>
                  <w:r>
                    <w:rPr>
                      <w:rFonts w:hint="eastAsia" w:ascii="Times New Roman" w:hAnsi="Times New Roman" w:eastAsia="宋体" w:cs="Times New Roman"/>
                      <w:i w:val="0"/>
                      <w:iCs w:val="0"/>
                      <w:color w:val="auto"/>
                      <w:sz w:val="21"/>
                      <w:szCs w:val="21"/>
                      <w:u w:val="none"/>
                      <w:lang w:val="en-US" w:eastAsia="zh-CN"/>
                    </w:rPr>
                    <w:t>排至污水处理厂</w:t>
                  </w:r>
                  <w:r>
                    <w:rPr>
                      <w:rFonts w:hint="eastAsia" w:cs="Times New Roman"/>
                      <w:i w:val="0"/>
                      <w:iCs w:val="0"/>
                      <w:color w:val="auto"/>
                      <w:sz w:val="21"/>
                      <w:szCs w:val="21"/>
                      <w:u w:val="none"/>
                      <w:lang w:val="en-US" w:eastAsia="zh-CN"/>
                    </w:rPr>
                    <w:t>。</w:t>
                  </w:r>
                </w:p>
              </w:tc>
              <w:tc>
                <w:tcPr>
                  <w:tcW w:w="358" w:type="pct"/>
                  <w:tcBorders>
                    <w:tl2br w:val="nil"/>
                    <w:tr2bl w:val="nil"/>
                  </w:tcBorders>
                  <w:noWrap w:val="0"/>
                  <w:vAlign w:val="center"/>
                </w:tcPr>
                <w:p w14:paraId="60015044">
                  <w:pPr>
                    <w:spacing w:line="240" w:lineRule="auto"/>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符合</w:t>
                  </w:r>
                </w:p>
              </w:tc>
            </w:tr>
            <w:tr w14:paraId="707D3E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110" w:hRule="atLeast"/>
              </w:trPr>
              <w:tc>
                <w:tcPr>
                  <w:tcW w:w="356" w:type="pct"/>
                  <w:vMerge w:val="continue"/>
                  <w:tcBorders>
                    <w:tl2br w:val="nil"/>
                    <w:tr2bl w:val="nil"/>
                  </w:tcBorders>
                  <w:noWrap w:val="0"/>
                  <w:vAlign w:val="center"/>
                </w:tcPr>
                <w:p w14:paraId="7547AD04">
                  <w:pPr>
                    <w:spacing w:line="240" w:lineRule="auto"/>
                    <w:jc w:val="center"/>
                    <w:rPr>
                      <w:rFonts w:hint="default" w:ascii="Times New Roman" w:hAnsi="Times New Roman" w:eastAsia="宋体" w:cs="Times New Roman"/>
                      <w:i w:val="0"/>
                      <w:iCs w:val="0"/>
                      <w:color w:val="auto"/>
                      <w:sz w:val="21"/>
                      <w:szCs w:val="21"/>
                      <w:u w:val="none"/>
                      <w:lang w:val="en-US" w:eastAsia="zh-CN"/>
                    </w:rPr>
                  </w:pPr>
                </w:p>
              </w:tc>
              <w:tc>
                <w:tcPr>
                  <w:tcW w:w="356" w:type="pct"/>
                  <w:vMerge w:val="continue"/>
                  <w:tcBorders>
                    <w:tl2br w:val="nil"/>
                    <w:tr2bl w:val="nil"/>
                  </w:tcBorders>
                  <w:noWrap w:val="0"/>
                  <w:vAlign w:val="center"/>
                </w:tcPr>
                <w:p w14:paraId="6B5775BC">
                  <w:pPr>
                    <w:spacing w:line="240" w:lineRule="auto"/>
                    <w:jc w:val="center"/>
                    <w:rPr>
                      <w:rFonts w:hint="default" w:ascii="Times New Roman" w:hAnsi="Times New Roman" w:eastAsia="宋体" w:cs="Times New Roman"/>
                      <w:i w:val="0"/>
                      <w:iCs w:val="0"/>
                      <w:color w:val="auto"/>
                      <w:sz w:val="21"/>
                      <w:szCs w:val="21"/>
                      <w:u w:val="none"/>
                      <w:lang w:val="en-US" w:eastAsia="zh-CN"/>
                    </w:rPr>
                  </w:pPr>
                </w:p>
              </w:tc>
              <w:tc>
                <w:tcPr>
                  <w:tcW w:w="357" w:type="pct"/>
                  <w:vMerge w:val="continue"/>
                  <w:tcBorders>
                    <w:tl2br w:val="nil"/>
                    <w:tr2bl w:val="nil"/>
                  </w:tcBorders>
                  <w:noWrap w:val="0"/>
                  <w:vAlign w:val="center"/>
                </w:tcPr>
                <w:p w14:paraId="02C57297">
                  <w:pPr>
                    <w:spacing w:line="240" w:lineRule="auto"/>
                    <w:jc w:val="center"/>
                    <w:rPr>
                      <w:rFonts w:hint="default" w:ascii="Times New Roman" w:hAnsi="Times New Roman" w:eastAsia="宋体" w:cs="Times New Roman"/>
                      <w:i w:val="0"/>
                      <w:iCs w:val="0"/>
                      <w:color w:val="auto"/>
                      <w:sz w:val="21"/>
                      <w:szCs w:val="21"/>
                      <w:u w:val="none"/>
                      <w:lang w:val="en-US" w:eastAsia="zh-CN"/>
                    </w:rPr>
                  </w:pPr>
                </w:p>
              </w:tc>
              <w:tc>
                <w:tcPr>
                  <w:tcW w:w="357" w:type="pct"/>
                  <w:vMerge w:val="restart"/>
                  <w:tcBorders>
                    <w:tl2br w:val="nil"/>
                    <w:tr2bl w:val="nil"/>
                  </w:tcBorders>
                  <w:noWrap w:val="0"/>
                  <w:vAlign w:val="center"/>
                </w:tcPr>
                <w:p w14:paraId="134F9D2F">
                  <w:pPr>
                    <w:spacing w:line="240" w:lineRule="auto"/>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环境风险防控</w:t>
                  </w:r>
                </w:p>
              </w:tc>
              <w:tc>
                <w:tcPr>
                  <w:tcW w:w="1993" w:type="pct"/>
                  <w:tcBorders>
                    <w:tl2br w:val="nil"/>
                    <w:tr2bl w:val="nil"/>
                  </w:tcBorders>
                  <w:noWrap w:val="0"/>
                  <w:vAlign w:val="center"/>
                </w:tcPr>
                <w:p w14:paraId="5A4CB958">
                  <w:pPr>
                    <w:spacing w:line="240" w:lineRule="auto"/>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重点加强饮用水源地、化工企业、工业园区、陕北原油管道、陕南尾矿库等领域的环境风险防控</w:t>
                  </w:r>
                  <w:r>
                    <w:rPr>
                      <w:rFonts w:hint="eastAsia" w:cs="Times New Roman"/>
                      <w:i w:val="0"/>
                      <w:iCs w:val="0"/>
                      <w:color w:val="auto"/>
                      <w:sz w:val="21"/>
                      <w:szCs w:val="21"/>
                      <w:u w:val="none"/>
                      <w:lang w:val="en-US" w:eastAsia="zh-CN"/>
                    </w:rPr>
                    <w:t>。</w:t>
                  </w:r>
                </w:p>
              </w:tc>
              <w:tc>
                <w:tcPr>
                  <w:tcW w:w="1221" w:type="pct"/>
                  <w:tcBorders>
                    <w:tl2br w:val="nil"/>
                    <w:tr2bl w:val="nil"/>
                  </w:tcBorders>
                  <w:noWrap w:val="0"/>
                  <w:vAlign w:val="center"/>
                </w:tcPr>
                <w:p w14:paraId="5E630124">
                  <w:pPr>
                    <w:spacing w:line="240" w:lineRule="auto"/>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本项目不属于上述行业领域</w:t>
                  </w:r>
                  <w:r>
                    <w:rPr>
                      <w:rFonts w:hint="eastAsia" w:cs="Times New Roman"/>
                      <w:i w:val="0"/>
                      <w:iCs w:val="0"/>
                      <w:color w:val="auto"/>
                      <w:sz w:val="21"/>
                      <w:szCs w:val="21"/>
                      <w:u w:val="none"/>
                      <w:lang w:val="en-US" w:eastAsia="zh-CN"/>
                    </w:rPr>
                    <w:t>。</w:t>
                  </w:r>
                </w:p>
              </w:tc>
              <w:tc>
                <w:tcPr>
                  <w:tcW w:w="358" w:type="pct"/>
                  <w:tcBorders>
                    <w:tl2br w:val="nil"/>
                    <w:tr2bl w:val="nil"/>
                  </w:tcBorders>
                  <w:noWrap w:val="0"/>
                  <w:vAlign w:val="center"/>
                </w:tcPr>
                <w:p w14:paraId="0879416E">
                  <w:pPr>
                    <w:spacing w:line="240" w:lineRule="auto"/>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符合</w:t>
                  </w:r>
                </w:p>
              </w:tc>
            </w:tr>
            <w:tr w14:paraId="33BCF0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176" w:hRule="atLeast"/>
              </w:trPr>
              <w:tc>
                <w:tcPr>
                  <w:tcW w:w="356" w:type="pct"/>
                  <w:vMerge w:val="continue"/>
                  <w:tcBorders>
                    <w:tl2br w:val="nil"/>
                    <w:tr2bl w:val="nil"/>
                  </w:tcBorders>
                  <w:noWrap w:val="0"/>
                  <w:vAlign w:val="center"/>
                </w:tcPr>
                <w:p w14:paraId="43F6B506">
                  <w:pPr>
                    <w:spacing w:line="240" w:lineRule="auto"/>
                    <w:jc w:val="center"/>
                    <w:rPr>
                      <w:rFonts w:hint="default" w:ascii="Times New Roman" w:hAnsi="Times New Roman" w:eastAsia="宋体" w:cs="Times New Roman"/>
                      <w:i w:val="0"/>
                      <w:iCs w:val="0"/>
                      <w:color w:val="auto"/>
                      <w:sz w:val="21"/>
                      <w:szCs w:val="21"/>
                      <w:u w:val="none"/>
                      <w:lang w:val="en-US" w:eastAsia="zh-CN"/>
                    </w:rPr>
                  </w:pPr>
                </w:p>
              </w:tc>
              <w:tc>
                <w:tcPr>
                  <w:tcW w:w="356" w:type="pct"/>
                  <w:vMerge w:val="continue"/>
                  <w:tcBorders>
                    <w:tl2br w:val="nil"/>
                    <w:tr2bl w:val="nil"/>
                  </w:tcBorders>
                  <w:noWrap w:val="0"/>
                  <w:vAlign w:val="center"/>
                </w:tcPr>
                <w:p w14:paraId="3E31754A">
                  <w:pPr>
                    <w:spacing w:line="240" w:lineRule="auto"/>
                    <w:jc w:val="center"/>
                    <w:rPr>
                      <w:rFonts w:hint="default" w:ascii="Times New Roman" w:hAnsi="Times New Roman" w:eastAsia="宋体" w:cs="Times New Roman"/>
                      <w:i w:val="0"/>
                      <w:iCs w:val="0"/>
                      <w:color w:val="auto"/>
                      <w:sz w:val="21"/>
                      <w:szCs w:val="21"/>
                      <w:u w:val="none"/>
                      <w:lang w:val="en-US" w:eastAsia="zh-CN"/>
                    </w:rPr>
                  </w:pPr>
                </w:p>
              </w:tc>
              <w:tc>
                <w:tcPr>
                  <w:tcW w:w="357" w:type="pct"/>
                  <w:vMerge w:val="continue"/>
                  <w:tcBorders>
                    <w:tl2br w:val="nil"/>
                    <w:tr2bl w:val="nil"/>
                  </w:tcBorders>
                  <w:noWrap w:val="0"/>
                  <w:vAlign w:val="center"/>
                </w:tcPr>
                <w:p w14:paraId="753A353F">
                  <w:pPr>
                    <w:spacing w:line="240" w:lineRule="auto"/>
                    <w:jc w:val="center"/>
                    <w:rPr>
                      <w:rFonts w:hint="default" w:ascii="Times New Roman" w:hAnsi="Times New Roman" w:eastAsia="宋体" w:cs="Times New Roman"/>
                      <w:i w:val="0"/>
                      <w:iCs w:val="0"/>
                      <w:color w:val="auto"/>
                      <w:sz w:val="21"/>
                      <w:szCs w:val="21"/>
                      <w:u w:val="none"/>
                      <w:lang w:val="en-US" w:eastAsia="zh-CN"/>
                    </w:rPr>
                  </w:pPr>
                </w:p>
              </w:tc>
              <w:tc>
                <w:tcPr>
                  <w:tcW w:w="357" w:type="pct"/>
                  <w:vMerge w:val="continue"/>
                  <w:tcBorders>
                    <w:tl2br w:val="nil"/>
                    <w:tr2bl w:val="nil"/>
                  </w:tcBorders>
                  <w:noWrap w:val="0"/>
                  <w:vAlign w:val="center"/>
                </w:tcPr>
                <w:p w14:paraId="4DC76CED">
                  <w:pPr>
                    <w:spacing w:line="240" w:lineRule="auto"/>
                    <w:jc w:val="center"/>
                    <w:rPr>
                      <w:rFonts w:hint="default" w:ascii="Times New Roman" w:hAnsi="Times New Roman" w:eastAsia="宋体" w:cs="Times New Roman"/>
                      <w:i w:val="0"/>
                      <w:iCs w:val="0"/>
                      <w:color w:val="auto"/>
                      <w:sz w:val="21"/>
                      <w:szCs w:val="21"/>
                      <w:u w:val="none"/>
                      <w:lang w:val="en-US" w:eastAsia="zh-CN"/>
                    </w:rPr>
                  </w:pPr>
                </w:p>
              </w:tc>
              <w:tc>
                <w:tcPr>
                  <w:tcW w:w="1993" w:type="pct"/>
                  <w:tcBorders>
                    <w:tl2br w:val="nil"/>
                    <w:tr2bl w:val="nil"/>
                  </w:tcBorders>
                  <w:noWrap w:val="0"/>
                  <w:vAlign w:val="center"/>
                </w:tcPr>
                <w:p w14:paraId="6BBAAF3C">
                  <w:pPr>
                    <w:spacing w:line="240" w:lineRule="auto"/>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渭河、延河、无定河、汉江、丹江、嘉陵江等六条主要河流干流沿岸，要严格控制石油加工、化学 原料和化学制品制造、医药制造、化学纤维制造、有色金属冶炼、纺织印染等项目，合理布局生产装置及危险化学品仓储等设施</w:t>
                  </w:r>
                  <w:r>
                    <w:rPr>
                      <w:rFonts w:hint="eastAsia" w:cs="Times New Roman"/>
                      <w:i w:val="0"/>
                      <w:iCs w:val="0"/>
                      <w:color w:val="auto"/>
                      <w:sz w:val="21"/>
                      <w:szCs w:val="21"/>
                      <w:u w:val="none"/>
                      <w:lang w:val="en-US" w:eastAsia="zh-CN"/>
                    </w:rPr>
                    <w:t>。</w:t>
                  </w:r>
                </w:p>
              </w:tc>
              <w:tc>
                <w:tcPr>
                  <w:tcW w:w="1221" w:type="pct"/>
                  <w:tcBorders>
                    <w:tl2br w:val="nil"/>
                    <w:tr2bl w:val="nil"/>
                  </w:tcBorders>
                  <w:noWrap w:val="0"/>
                  <w:vAlign w:val="center"/>
                </w:tcPr>
                <w:p w14:paraId="77F3B276">
                  <w:pPr>
                    <w:spacing w:line="240" w:lineRule="auto"/>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本项目不属于上述行业项目</w:t>
                  </w:r>
                  <w:r>
                    <w:rPr>
                      <w:rFonts w:hint="eastAsia" w:cs="Times New Roman"/>
                      <w:i w:val="0"/>
                      <w:iCs w:val="0"/>
                      <w:color w:val="auto"/>
                      <w:sz w:val="21"/>
                      <w:szCs w:val="21"/>
                      <w:u w:val="none"/>
                      <w:lang w:val="en-US" w:eastAsia="zh-CN"/>
                    </w:rPr>
                    <w:t>。</w:t>
                  </w:r>
                </w:p>
              </w:tc>
              <w:tc>
                <w:tcPr>
                  <w:tcW w:w="358" w:type="pct"/>
                  <w:tcBorders>
                    <w:tl2br w:val="nil"/>
                    <w:tr2bl w:val="nil"/>
                  </w:tcBorders>
                  <w:noWrap w:val="0"/>
                  <w:vAlign w:val="center"/>
                </w:tcPr>
                <w:p w14:paraId="780AD2EA">
                  <w:pPr>
                    <w:spacing w:line="240" w:lineRule="auto"/>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符合</w:t>
                  </w:r>
                </w:p>
              </w:tc>
            </w:tr>
            <w:tr w14:paraId="7217E2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110" w:hRule="atLeast"/>
              </w:trPr>
              <w:tc>
                <w:tcPr>
                  <w:tcW w:w="356" w:type="pct"/>
                  <w:vMerge w:val="continue"/>
                  <w:tcBorders>
                    <w:tl2br w:val="nil"/>
                    <w:tr2bl w:val="nil"/>
                  </w:tcBorders>
                  <w:noWrap w:val="0"/>
                  <w:vAlign w:val="center"/>
                </w:tcPr>
                <w:p w14:paraId="7946873C">
                  <w:pPr>
                    <w:spacing w:line="240" w:lineRule="auto"/>
                    <w:jc w:val="center"/>
                    <w:rPr>
                      <w:rFonts w:hint="default" w:ascii="Times New Roman" w:hAnsi="Times New Roman" w:eastAsia="宋体" w:cs="Times New Roman"/>
                      <w:i w:val="0"/>
                      <w:iCs w:val="0"/>
                      <w:color w:val="auto"/>
                      <w:sz w:val="21"/>
                      <w:szCs w:val="21"/>
                      <w:u w:val="none"/>
                      <w:lang w:val="en-US" w:eastAsia="zh-CN"/>
                    </w:rPr>
                  </w:pPr>
                </w:p>
              </w:tc>
              <w:tc>
                <w:tcPr>
                  <w:tcW w:w="356" w:type="pct"/>
                  <w:vMerge w:val="continue"/>
                  <w:tcBorders>
                    <w:tl2br w:val="nil"/>
                    <w:tr2bl w:val="nil"/>
                  </w:tcBorders>
                  <w:noWrap w:val="0"/>
                  <w:vAlign w:val="center"/>
                </w:tcPr>
                <w:p w14:paraId="66951306">
                  <w:pPr>
                    <w:spacing w:line="240" w:lineRule="auto"/>
                    <w:jc w:val="center"/>
                    <w:rPr>
                      <w:rFonts w:hint="default" w:ascii="Times New Roman" w:hAnsi="Times New Roman" w:eastAsia="宋体" w:cs="Times New Roman"/>
                      <w:i w:val="0"/>
                      <w:iCs w:val="0"/>
                      <w:color w:val="auto"/>
                      <w:sz w:val="21"/>
                      <w:szCs w:val="21"/>
                      <w:u w:val="none"/>
                      <w:lang w:val="en-US" w:eastAsia="zh-CN"/>
                    </w:rPr>
                  </w:pPr>
                </w:p>
              </w:tc>
              <w:tc>
                <w:tcPr>
                  <w:tcW w:w="357" w:type="pct"/>
                  <w:vMerge w:val="continue"/>
                  <w:tcBorders>
                    <w:tl2br w:val="nil"/>
                    <w:tr2bl w:val="nil"/>
                  </w:tcBorders>
                  <w:noWrap w:val="0"/>
                  <w:vAlign w:val="center"/>
                </w:tcPr>
                <w:p w14:paraId="0257D540">
                  <w:pPr>
                    <w:spacing w:line="240" w:lineRule="auto"/>
                    <w:jc w:val="center"/>
                    <w:rPr>
                      <w:rFonts w:hint="default" w:ascii="Times New Roman" w:hAnsi="Times New Roman" w:eastAsia="宋体" w:cs="Times New Roman"/>
                      <w:i w:val="0"/>
                      <w:iCs w:val="0"/>
                      <w:color w:val="auto"/>
                      <w:sz w:val="21"/>
                      <w:szCs w:val="21"/>
                      <w:u w:val="none"/>
                      <w:lang w:val="en-US" w:eastAsia="zh-CN"/>
                    </w:rPr>
                  </w:pPr>
                </w:p>
              </w:tc>
              <w:tc>
                <w:tcPr>
                  <w:tcW w:w="357" w:type="pct"/>
                  <w:tcBorders>
                    <w:tl2br w:val="nil"/>
                    <w:tr2bl w:val="nil"/>
                  </w:tcBorders>
                  <w:noWrap w:val="0"/>
                  <w:vAlign w:val="center"/>
                </w:tcPr>
                <w:p w14:paraId="77B1EFF9">
                  <w:pPr>
                    <w:spacing w:line="240" w:lineRule="auto"/>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资源开发效率要求</w:t>
                  </w:r>
                </w:p>
              </w:tc>
              <w:tc>
                <w:tcPr>
                  <w:tcW w:w="1993" w:type="pct"/>
                  <w:tcBorders>
                    <w:tl2br w:val="nil"/>
                    <w:tr2bl w:val="nil"/>
                  </w:tcBorders>
                  <w:noWrap w:val="0"/>
                  <w:vAlign w:val="center"/>
                </w:tcPr>
                <w:p w14:paraId="73DE1DC7">
                  <w:pPr>
                    <w:numPr>
                      <w:ilvl w:val="0"/>
                      <w:numId w:val="0"/>
                    </w:numPr>
                    <w:spacing w:line="240" w:lineRule="auto"/>
                    <w:jc w:val="both"/>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cs="Times New Roman"/>
                      <w:i w:val="0"/>
                      <w:iCs w:val="0"/>
                      <w:color w:val="auto"/>
                      <w:sz w:val="21"/>
                      <w:szCs w:val="21"/>
                      <w:u w:val="none"/>
                      <w:lang w:val="en-US" w:eastAsia="zh-CN"/>
                    </w:rPr>
                    <w:t>1</w:t>
                  </w:r>
                  <w:r>
                    <w:rPr>
                      <w:rFonts w:hint="eastAsia" w:cs="Times New Roman"/>
                      <w:i w:val="0"/>
                      <w:iCs w:val="0"/>
                      <w:color w:val="auto"/>
                      <w:sz w:val="21"/>
                      <w:szCs w:val="21"/>
                      <w:u w:val="none"/>
                      <w:lang w:val="en-US" w:eastAsia="zh-CN"/>
                    </w:rPr>
                    <w:t>.</w:t>
                  </w:r>
                  <w:r>
                    <w:rPr>
                      <w:rFonts w:hint="default" w:ascii="Times New Roman" w:hAnsi="Times New Roman" w:eastAsia="宋体" w:cs="Times New Roman"/>
                      <w:i w:val="0"/>
                      <w:iCs w:val="0"/>
                      <w:color w:val="auto"/>
                      <w:sz w:val="21"/>
                      <w:szCs w:val="21"/>
                      <w:u w:val="none"/>
                      <w:lang w:val="en-US" w:eastAsia="zh-CN"/>
                    </w:rPr>
                    <w:t xml:space="preserve">严格限制高耗水行业发展，提高水资源利用水平； 严禁挤占生态用水。 </w:t>
                  </w:r>
                </w:p>
                <w:p w14:paraId="6F3303E0">
                  <w:pPr>
                    <w:numPr>
                      <w:ilvl w:val="0"/>
                      <w:numId w:val="0"/>
                    </w:numPr>
                    <w:spacing w:line="240" w:lineRule="auto"/>
                    <w:jc w:val="both"/>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cs="Times New Roman"/>
                      <w:i w:val="0"/>
                      <w:iCs w:val="0"/>
                      <w:color w:val="auto"/>
                      <w:sz w:val="21"/>
                      <w:szCs w:val="21"/>
                      <w:u w:val="none"/>
                      <w:lang w:val="en-US" w:eastAsia="zh-CN"/>
                    </w:rPr>
                    <w:t>2</w:t>
                  </w:r>
                  <w:r>
                    <w:rPr>
                      <w:rFonts w:hint="eastAsia" w:cs="Times New Roman"/>
                      <w:i w:val="0"/>
                      <w:iCs w:val="0"/>
                      <w:color w:val="auto"/>
                      <w:sz w:val="21"/>
                      <w:szCs w:val="21"/>
                      <w:u w:val="none"/>
                      <w:lang w:val="en-US" w:eastAsia="zh-CN"/>
                    </w:rPr>
                    <w:t>.</w:t>
                  </w:r>
                  <w:r>
                    <w:rPr>
                      <w:rFonts w:hint="default" w:ascii="Times New Roman" w:hAnsi="Times New Roman" w:eastAsia="宋体" w:cs="Times New Roman"/>
                      <w:i w:val="0"/>
                      <w:iCs w:val="0"/>
                      <w:color w:val="auto"/>
                      <w:sz w:val="21"/>
                      <w:szCs w:val="21"/>
                      <w:u w:val="none"/>
                      <w:lang w:val="en-US" w:eastAsia="zh-CN"/>
                    </w:rPr>
                    <w:t xml:space="preserve">对已接近或达到用水总量指标的地区，限制和停止审批新增取水。 </w:t>
                  </w:r>
                </w:p>
                <w:p w14:paraId="23F17FB9">
                  <w:pPr>
                    <w:numPr>
                      <w:ilvl w:val="0"/>
                      <w:numId w:val="0"/>
                    </w:numPr>
                    <w:spacing w:line="240" w:lineRule="auto"/>
                    <w:jc w:val="both"/>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cs="Times New Roman"/>
                      <w:i w:val="0"/>
                      <w:iCs w:val="0"/>
                      <w:color w:val="auto"/>
                      <w:sz w:val="21"/>
                      <w:szCs w:val="21"/>
                      <w:u w:val="none"/>
                      <w:lang w:val="en-US" w:eastAsia="zh-CN"/>
                    </w:rPr>
                    <w:t>3</w:t>
                  </w:r>
                  <w:r>
                    <w:rPr>
                      <w:rFonts w:hint="eastAsia" w:cs="Times New Roman"/>
                      <w:i w:val="0"/>
                      <w:iCs w:val="0"/>
                      <w:color w:val="auto"/>
                      <w:sz w:val="21"/>
                      <w:szCs w:val="21"/>
                      <w:u w:val="none"/>
                      <w:lang w:val="en-US" w:eastAsia="zh-CN"/>
                    </w:rPr>
                    <w:t>.</w:t>
                  </w:r>
                  <w:r>
                    <w:rPr>
                      <w:rFonts w:hint="default" w:ascii="Times New Roman" w:hAnsi="Times New Roman" w:eastAsia="宋体" w:cs="Times New Roman"/>
                      <w:i w:val="0"/>
                      <w:iCs w:val="0"/>
                      <w:color w:val="auto"/>
                      <w:sz w:val="21"/>
                      <w:szCs w:val="21"/>
                      <w:u w:val="none"/>
                      <w:lang w:val="en-US" w:eastAsia="zh-CN"/>
                    </w:rPr>
                    <w:t>煤炭矿区的补充用水、周边地区生产和生态用水 应优先使用矿井水，洗煤废水闭路循环不外排。</w:t>
                  </w:r>
                </w:p>
                <w:p w14:paraId="21382D0D">
                  <w:pPr>
                    <w:numPr>
                      <w:ilvl w:val="0"/>
                      <w:numId w:val="0"/>
                    </w:numPr>
                    <w:spacing w:line="240" w:lineRule="auto"/>
                    <w:jc w:val="both"/>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cs="Times New Roman"/>
                      <w:i w:val="0"/>
                      <w:iCs w:val="0"/>
                      <w:color w:val="auto"/>
                      <w:sz w:val="21"/>
                      <w:szCs w:val="21"/>
                      <w:u w:val="none"/>
                      <w:lang w:val="en-US" w:eastAsia="zh-CN"/>
                    </w:rPr>
                    <w:t>4</w:t>
                  </w:r>
                  <w:r>
                    <w:rPr>
                      <w:rFonts w:hint="eastAsia" w:cs="Times New Roman"/>
                      <w:i w:val="0"/>
                      <w:iCs w:val="0"/>
                      <w:color w:val="auto"/>
                      <w:sz w:val="21"/>
                      <w:szCs w:val="21"/>
                      <w:u w:val="none"/>
                      <w:lang w:val="en-US" w:eastAsia="zh-CN"/>
                    </w:rPr>
                    <w:t>.</w:t>
                  </w:r>
                  <w:r>
                    <w:rPr>
                      <w:rFonts w:hint="default" w:ascii="Times New Roman" w:hAnsi="Times New Roman" w:eastAsia="宋体" w:cs="Times New Roman"/>
                      <w:i w:val="0"/>
                      <w:iCs w:val="0"/>
                      <w:color w:val="auto"/>
                      <w:sz w:val="21"/>
                      <w:szCs w:val="21"/>
                      <w:u w:val="none"/>
                      <w:lang w:val="en-US" w:eastAsia="zh-CN"/>
                    </w:rPr>
                    <w:t xml:space="preserve">具备使用再生水条件但未充分利用的钢铁、火电、化工、制浆造纸、印染等项目，不得批准其新增取水许可。 </w:t>
                  </w:r>
                </w:p>
                <w:p w14:paraId="1D946ABA">
                  <w:pPr>
                    <w:numPr>
                      <w:ilvl w:val="0"/>
                      <w:numId w:val="0"/>
                    </w:numPr>
                    <w:spacing w:line="240" w:lineRule="auto"/>
                    <w:jc w:val="both"/>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cs="Times New Roman"/>
                      <w:i w:val="0"/>
                      <w:iCs w:val="0"/>
                      <w:color w:val="auto"/>
                      <w:sz w:val="21"/>
                      <w:szCs w:val="21"/>
                      <w:u w:val="none"/>
                      <w:lang w:val="en-US" w:eastAsia="zh-CN"/>
                    </w:rPr>
                    <w:t>5</w:t>
                  </w:r>
                  <w:r>
                    <w:rPr>
                      <w:rFonts w:hint="eastAsia" w:cs="Times New Roman"/>
                      <w:i w:val="0"/>
                      <w:iCs w:val="0"/>
                      <w:color w:val="auto"/>
                      <w:sz w:val="21"/>
                      <w:szCs w:val="21"/>
                      <w:u w:val="none"/>
                      <w:lang w:val="en-US" w:eastAsia="zh-CN"/>
                    </w:rPr>
                    <w:t>.</w:t>
                  </w:r>
                  <w:r>
                    <w:rPr>
                      <w:rFonts w:hint="default" w:ascii="Times New Roman" w:hAnsi="Times New Roman" w:eastAsia="宋体" w:cs="Times New Roman"/>
                      <w:i w:val="0"/>
                      <w:iCs w:val="0"/>
                      <w:color w:val="auto"/>
                      <w:sz w:val="21"/>
                      <w:szCs w:val="21"/>
                      <w:u w:val="none"/>
                      <w:lang w:val="en-US" w:eastAsia="zh-CN"/>
                    </w:rPr>
                    <w:t xml:space="preserve">在地面沉降、地裂缝、岩溶塌陷等地质灾害易发 区开发利用地下水应进行地质灾害危险性评估。 </w:t>
                  </w:r>
                </w:p>
                <w:p w14:paraId="173A73C5">
                  <w:pPr>
                    <w:numPr>
                      <w:ilvl w:val="0"/>
                      <w:numId w:val="0"/>
                    </w:numPr>
                    <w:spacing w:line="240" w:lineRule="auto"/>
                    <w:jc w:val="both"/>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cs="Times New Roman"/>
                      <w:i w:val="0"/>
                      <w:iCs w:val="0"/>
                      <w:color w:val="auto"/>
                      <w:sz w:val="21"/>
                      <w:szCs w:val="21"/>
                      <w:u w:val="none"/>
                      <w:lang w:val="en-US" w:eastAsia="zh-CN"/>
                    </w:rPr>
                    <w:t>6</w:t>
                  </w:r>
                  <w:r>
                    <w:rPr>
                      <w:rFonts w:hint="eastAsia" w:cs="Times New Roman"/>
                      <w:i w:val="0"/>
                      <w:iCs w:val="0"/>
                      <w:color w:val="auto"/>
                      <w:sz w:val="21"/>
                      <w:szCs w:val="21"/>
                      <w:u w:val="none"/>
                      <w:lang w:val="en-US" w:eastAsia="zh-CN"/>
                    </w:rPr>
                    <w:t>.</w:t>
                  </w:r>
                  <w:r>
                    <w:rPr>
                      <w:rFonts w:hint="default" w:ascii="Times New Roman" w:hAnsi="Times New Roman" w:eastAsia="宋体" w:cs="Times New Roman"/>
                      <w:i w:val="0"/>
                      <w:iCs w:val="0"/>
                      <w:color w:val="auto"/>
                      <w:sz w:val="21"/>
                      <w:szCs w:val="21"/>
                      <w:u w:val="none"/>
                      <w:lang w:val="en-US" w:eastAsia="zh-CN"/>
                    </w:rPr>
                    <w:t xml:space="preserve">断流河流所在流域范围、地下水降落漏斗范围内不得新增工业企业用水规模。 </w:t>
                  </w:r>
                </w:p>
                <w:p w14:paraId="674A12F3">
                  <w:pPr>
                    <w:numPr>
                      <w:ilvl w:val="0"/>
                      <w:numId w:val="0"/>
                    </w:numPr>
                    <w:spacing w:line="240" w:lineRule="auto"/>
                    <w:jc w:val="both"/>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cs="Times New Roman"/>
                      <w:i w:val="0"/>
                      <w:iCs w:val="0"/>
                      <w:color w:val="auto"/>
                      <w:sz w:val="21"/>
                      <w:szCs w:val="21"/>
                      <w:u w:val="none"/>
                      <w:lang w:val="en-US" w:eastAsia="zh-CN"/>
                    </w:rPr>
                    <w:t>7</w:t>
                  </w:r>
                  <w:r>
                    <w:rPr>
                      <w:rFonts w:hint="eastAsia" w:cs="Times New Roman"/>
                      <w:i w:val="0"/>
                      <w:iCs w:val="0"/>
                      <w:color w:val="auto"/>
                      <w:sz w:val="21"/>
                      <w:szCs w:val="21"/>
                      <w:u w:val="none"/>
                      <w:lang w:val="en-US" w:eastAsia="zh-CN"/>
                    </w:rPr>
                    <w:t>.</w:t>
                  </w:r>
                  <w:r>
                    <w:rPr>
                      <w:rFonts w:hint="default" w:ascii="Times New Roman" w:hAnsi="Times New Roman" w:eastAsia="宋体" w:cs="Times New Roman"/>
                      <w:i w:val="0"/>
                      <w:iCs w:val="0"/>
                      <w:color w:val="auto"/>
                      <w:sz w:val="21"/>
                      <w:szCs w:val="21"/>
                      <w:u w:val="none"/>
                      <w:lang w:val="en-US" w:eastAsia="zh-CN"/>
                    </w:rPr>
                    <w:t>地下水超采区内禁止工农业生产及服务业新增取用地下水。</w:t>
                  </w:r>
                </w:p>
                <w:p w14:paraId="629F5230">
                  <w:pPr>
                    <w:spacing w:line="240" w:lineRule="auto"/>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cs="Times New Roman"/>
                      <w:i w:val="0"/>
                      <w:iCs w:val="0"/>
                      <w:color w:val="auto"/>
                      <w:sz w:val="21"/>
                      <w:szCs w:val="21"/>
                      <w:u w:val="none"/>
                      <w:lang w:val="en-US" w:eastAsia="zh-CN"/>
                    </w:rPr>
                    <w:t>8</w:t>
                  </w:r>
                  <w:r>
                    <w:rPr>
                      <w:rFonts w:hint="eastAsia" w:cs="Times New Roman"/>
                      <w:i w:val="0"/>
                      <w:iCs w:val="0"/>
                      <w:color w:val="auto"/>
                      <w:sz w:val="21"/>
                      <w:szCs w:val="21"/>
                      <w:u w:val="none"/>
                      <w:lang w:val="en-US" w:eastAsia="zh-CN"/>
                    </w:rPr>
                    <w:t>.</w:t>
                  </w:r>
                  <w:r>
                    <w:rPr>
                      <w:rFonts w:hint="default" w:ascii="Times New Roman" w:hAnsi="Times New Roman" w:eastAsia="宋体" w:cs="Times New Roman"/>
                      <w:i w:val="0"/>
                      <w:iCs w:val="0"/>
                      <w:color w:val="auto"/>
                      <w:sz w:val="21"/>
                      <w:szCs w:val="21"/>
                      <w:u w:val="none"/>
                      <w:lang w:val="en-US" w:eastAsia="zh-CN"/>
                    </w:rPr>
                    <w:t>延河、无定河总体生态水量不低于天然径流量的30%</w:t>
                  </w:r>
                  <w:r>
                    <w:rPr>
                      <w:rFonts w:hint="eastAsia" w:cs="Times New Roman"/>
                      <w:i w:val="0"/>
                      <w:iCs w:val="0"/>
                      <w:color w:val="auto"/>
                      <w:sz w:val="21"/>
                      <w:szCs w:val="21"/>
                      <w:u w:val="none"/>
                      <w:lang w:val="en-US" w:eastAsia="zh-CN"/>
                    </w:rPr>
                    <w:t>。</w:t>
                  </w:r>
                </w:p>
              </w:tc>
              <w:tc>
                <w:tcPr>
                  <w:tcW w:w="1221" w:type="pct"/>
                  <w:tcBorders>
                    <w:tl2br w:val="nil"/>
                    <w:tr2bl w:val="nil"/>
                  </w:tcBorders>
                  <w:noWrap w:val="0"/>
                  <w:vAlign w:val="center"/>
                </w:tcPr>
                <w:p w14:paraId="660E2C89">
                  <w:pPr>
                    <w:spacing w:line="240" w:lineRule="auto"/>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本项目</w:t>
                  </w:r>
                  <w:r>
                    <w:rPr>
                      <w:rFonts w:hint="default" w:ascii="Times New Roman" w:hAnsi="Times New Roman" w:cs="Times New Roman"/>
                      <w:color w:val="auto"/>
                      <w:lang w:val="en-US" w:eastAsia="zh-CN"/>
                    </w:rPr>
                    <w:t>不涉及上述开发效率的要求</w:t>
                  </w:r>
                  <w:r>
                    <w:rPr>
                      <w:rFonts w:hint="eastAsia" w:cs="Times New Roman"/>
                      <w:color w:val="auto"/>
                      <w:lang w:val="en-US" w:eastAsia="zh-CN"/>
                    </w:rPr>
                    <w:t>。</w:t>
                  </w:r>
                </w:p>
              </w:tc>
              <w:tc>
                <w:tcPr>
                  <w:tcW w:w="358" w:type="pct"/>
                  <w:tcBorders>
                    <w:tl2br w:val="nil"/>
                    <w:tr2bl w:val="nil"/>
                  </w:tcBorders>
                  <w:noWrap w:val="0"/>
                  <w:vAlign w:val="center"/>
                </w:tcPr>
                <w:p w14:paraId="5CBA5D5D">
                  <w:pPr>
                    <w:spacing w:line="240" w:lineRule="auto"/>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cs="Times New Roman"/>
                      <w:i w:val="0"/>
                      <w:iCs w:val="0"/>
                      <w:color w:val="auto"/>
                      <w:sz w:val="21"/>
                      <w:szCs w:val="21"/>
                      <w:u w:val="none"/>
                      <w:lang w:val="en-US" w:eastAsia="zh-CN"/>
                    </w:rPr>
                    <w:t>符合</w:t>
                  </w:r>
                </w:p>
              </w:tc>
            </w:tr>
          </w:tbl>
          <w:p w14:paraId="47EFA7F0">
            <w:pPr>
              <w:pStyle w:val="26"/>
              <w:rPr>
                <w:rFonts w:hint="default" w:ascii="Times New Roman" w:hAnsi="Times New Roman" w:cs="Times New Roman"/>
                <w:b/>
                <w:bCs/>
                <w:color w:val="auto"/>
                <w:sz w:val="24"/>
                <w:szCs w:val="24"/>
                <w:lang w:val="en-US" w:eastAsia="zh-CN"/>
              </w:rPr>
            </w:pPr>
          </w:p>
          <w:p w14:paraId="4DF18F72">
            <w:pPr>
              <w:bidi w:val="0"/>
              <w:jc w:val="center"/>
              <w:rPr>
                <w:rFonts w:hint="default" w:ascii="Times New Roman" w:hAnsi="Times New Roman" w:cs="Times New Roman"/>
                <w:b/>
                <w:bCs/>
                <w:color w:val="auto"/>
                <w:sz w:val="24"/>
                <w:szCs w:val="24"/>
                <w:lang w:val="en-US" w:eastAsia="zh-CN"/>
              </w:rPr>
            </w:pPr>
          </w:p>
          <w:p w14:paraId="4FC8CA95">
            <w:pPr>
              <w:bidi w:val="0"/>
              <w:jc w:val="center"/>
              <w:rPr>
                <w:rFonts w:hint="default" w:ascii="Times New Roman" w:hAnsi="Times New Roman" w:cs="Times New Roman"/>
                <w:b/>
                <w:bCs/>
                <w:color w:val="auto"/>
                <w:sz w:val="24"/>
                <w:szCs w:val="24"/>
                <w:lang w:val="en-US" w:eastAsia="zh-CN"/>
              </w:rPr>
            </w:pPr>
          </w:p>
          <w:p w14:paraId="11A88380">
            <w:pPr>
              <w:pStyle w:val="81"/>
              <w:widowControl/>
              <w:spacing w:line="360" w:lineRule="auto"/>
              <w:jc w:val="center"/>
              <w:rPr>
                <w:rFonts w:ascii="Times New Roman" w:eastAsia="黑体" w:cs="Times New Roman"/>
                <w:bCs/>
                <w:color w:val="auto"/>
                <w:sz w:val="24"/>
                <w:szCs w:val="24"/>
              </w:rPr>
            </w:pPr>
            <w:r>
              <w:rPr>
                <w:rFonts w:ascii="Times New Roman" w:eastAsia="黑体" w:cs="Times New Roman"/>
                <w:bCs/>
                <w:color w:val="auto"/>
                <w:sz w:val="24"/>
                <w:szCs w:val="24"/>
              </w:rPr>
              <w:t>表1-</w:t>
            </w:r>
            <w:r>
              <w:rPr>
                <w:rFonts w:hint="eastAsia" w:ascii="Times New Roman" w:eastAsia="黑体" w:cs="Times New Roman"/>
                <w:bCs/>
                <w:color w:val="auto"/>
                <w:sz w:val="24"/>
                <w:szCs w:val="24"/>
                <w:lang w:val="en-US" w:eastAsia="zh-CN"/>
              </w:rPr>
              <w:t>2</w:t>
            </w:r>
            <w:r>
              <w:rPr>
                <w:rFonts w:ascii="Times New Roman" w:eastAsia="黑体" w:cs="Times New Roman"/>
                <w:bCs/>
                <w:color w:val="auto"/>
                <w:sz w:val="24"/>
                <w:szCs w:val="24"/>
              </w:rPr>
              <w:t xml:space="preserve">  项目涉及宝鸡市生态环境分区管控单元准入要求</w:t>
            </w:r>
          </w:p>
          <w:tbl>
            <w:tblPr>
              <w:tblStyle w:val="32"/>
              <w:tblW w:w="724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Layout w:type="fixed"/>
              <w:tblCellMar>
                <w:top w:w="0" w:type="dxa"/>
                <w:left w:w="108" w:type="dxa"/>
                <w:bottom w:w="0" w:type="dxa"/>
                <w:right w:w="108" w:type="dxa"/>
              </w:tblCellMar>
            </w:tblPr>
            <w:tblGrid>
              <w:gridCol w:w="353"/>
              <w:gridCol w:w="356"/>
              <w:gridCol w:w="380"/>
              <w:gridCol w:w="370"/>
              <w:gridCol w:w="370"/>
              <w:gridCol w:w="402"/>
              <w:gridCol w:w="2827"/>
              <w:gridCol w:w="1533"/>
              <w:gridCol w:w="657"/>
            </w:tblGrid>
            <w:tr w14:paraId="757E5C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329" w:hRule="atLeast"/>
                <w:jc w:val="center"/>
              </w:trPr>
              <w:tc>
                <w:tcPr>
                  <w:tcW w:w="243" w:type="pct"/>
                  <w:tcBorders>
                    <w:tl2br w:val="nil"/>
                    <w:tr2bl w:val="nil"/>
                  </w:tcBorders>
                  <w:shd w:val="clear" w:color="auto" w:fill="auto"/>
                  <w:vAlign w:val="center"/>
                </w:tcPr>
                <w:p w14:paraId="732F7D7A">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rPr>
                    <w:t>序号</w:t>
                  </w:r>
                </w:p>
              </w:tc>
              <w:tc>
                <w:tcPr>
                  <w:tcW w:w="245" w:type="pct"/>
                  <w:tcBorders>
                    <w:tl2br w:val="nil"/>
                    <w:tr2bl w:val="nil"/>
                  </w:tcBorders>
                  <w:shd w:val="clear" w:color="auto" w:fill="auto"/>
                  <w:vAlign w:val="center"/>
                </w:tcPr>
                <w:p w14:paraId="2EE4F4B2">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rPr>
                    <w:t>市区</w:t>
                  </w:r>
                </w:p>
              </w:tc>
              <w:tc>
                <w:tcPr>
                  <w:tcW w:w="262" w:type="pct"/>
                  <w:tcBorders>
                    <w:tl2br w:val="nil"/>
                    <w:tr2bl w:val="nil"/>
                  </w:tcBorders>
                  <w:shd w:val="clear" w:color="auto" w:fill="auto"/>
                  <w:vAlign w:val="center"/>
                </w:tcPr>
                <w:p w14:paraId="03C31CD6">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rPr>
                    <w:t>区县</w:t>
                  </w:r>
                </w:p>
              </w:tc>
              <w:tc>
                <w:tcPr>
                  <w:tcW w:w="255" w:type="pct"/>
                  <w:tcBorders>
                    <w:tl2br w:val="nil"/>
                    <w:tr2bl w:val="nil"/>
                  </w:tcBorders>
                  <w:shd w:val="clear" w:color="auto" w:fill="auto"/>
                  <w:vAlign w:val="center"/>
                </w:tcPr>
                <w:p w14:paraId="273B9685">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rPr>
                    <w:t>环境管控单元名称</w:t>
                  </w:r>
                </w:p>
              </w:tc>
              <w:tc>
                <w:tcPr>
                  <w:tcW w:w="255" w:type="pct"/>
                  <w:tcBorders>
                    <w:tl2br w:val="nil"/>
                    <w:tr2bl w:val="nil"/>
                  </w:tcBorders>
                  <w:shd w:val="clear" w:color="auto" w:fill="auto"/>
                  <w:vAlign w:val="center"/>
                </w:tcPr>
                <w:p w14:paraId="63FD7690">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rPr>
                    <w:t>单元要素属性</w:t>
                  </w:r>
                </w:p>
              </w:tc>
              <w:tc>
                <w:tcPr>
                  <w:tcW w:w="277" w:type="pct"/>
                  <w:tcBorders>
                    <w:tl2br w:val="nil"/>
                    <w:tr2bl w:val="nil"/>
                  </w:tcBorders>
                  <w:shd w:val="clear" w:color="auto" w:fill="auto"/>
                  <w:vAlign w:val="center"/>
                </w:tcPr>
                <w:p w14:paraId="7F640B96">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rPr>
                    <w:t>管控要求分类</w:t>
                  </w:r>
                </w:p>
              </w:tc>
              <w:tc>
                <w:tcPr>
                  <w:tcW w:w="1948" w:type="pct"/>
                  <w:tcBorders>
                    <w:tl2br w:val="nil"/>
                    <w:tr2bl w:val="nil"/>
                  </w:tcBorders>
                  <w:shd w:val="clear" w:color="auto" w:fill="auto"/>
                  <w:vAlign w:val="center"/>
                </w:tcPr>
                <w:p w14:paraId="7BFC4E81">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rPr>
                    <w:t>管控要求</w:t>
                  </w:r>
                </w:p>
              </w:tc>
              <w:tc>
                <w:tcPr>
                  <w:tcW w:w="1056" w:type="pct"/>
                  <w:tcBorders>
                    <w:tl2br w:val="nil"/>
                    <w:tr2bl w:val="nil"/>
                  </w:tcBorders>
                  <w:shd w:val="clear" w:color="auto" w:fill="auto"/>
                  <w:noWrap/>
                  <w:vAlign w:val="center"/>
                </w:tcPr>
                <w:p w14:paraId="6BC1F6ED">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rPr>
                    <w:t>项目情况</w:t>
                  </w:r>
                </w:p>
              </w:tc>
              <w:tc>
                <w:tcPr>
                  <w:tcW w:w="453" w:type="pct"/>
                  <w:tcBorders>
                    <w:tl2br w:val="nil"/>
                    <w:tr2bl w:val="nil"/>
                  </w:tcBorders>
                  <w:shd w:val="clear" w:color="auto" w:fill="auto"/>
                  <w:vAlign w:val="center"/>
                </w:tcPr>
                <w:p w14:paraId="52CF6E68">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rPr>
                    <w:t>相符性</w:t>
                  </w:r>
                </w:p>
              </w:tc>
            </w:tr>
            <w:tr w14:paraId="33A5F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90" w:hRule="atLeast"/>
                <w:jc w:val="center"/>
              </w:trPr>
              <w:tc>
                <w:tcPr>
                  <w:tcW w:w="243" w:type="pct"/>
                  <w:vMerge w:val="restart"/>
                  <w:tcBorders>
                    <w:tl2br w:val="nil"/>
                    <w:tr2bl w:val="nil"/>
                  </w:tcBorders>
                  <w:shd w:val="clear" w:color="auto" w:fill="auto"/>
                  <w:vAlign w:val="center"/>
                </w:tcPr>
                <w:p w14:paraId="314A19E7">
                  <w:pPr>
                    <w:keepNext w:val="0"/>
                    <w:keepLines w:val="0"/>
                    <w:widowControl/>
                    <w:suppressLineNumbers w:val="0"/>
                    <w:spacing w:line="240" w:lineRule="auto"/>
                    <w:jc w:val="center"/>
                    <w:textAlignment w:val="center"/>
                    <w:rPr>
                      <w:rFonts w:hint="default" w:cs="Times New Roman"/>
                      <w:i w:val="0"/>
                      <w:iCs w:val="0"/>
                      <w:color w:val="auto"/>
                      <w:kern w:val="0"/>
                      <w:sz w:val="21"/>
                      <w:szCs w:val="21"/>
                      <w:highlight w:val="none"/>
                      <w:u w:val="none"/>
                      <w:lang w:val="en-US" w:eastAsia="zh-CN"/>
                    </w:rPr>
                  </w:pPr>
                  <w:r>
                    <w:rPr>
                      <w:rFonts w:hint="default" w:cs="Times New Roman"/>
                      <w:i w:val="0"/>
                      <w:iCs w:val="0"/>
                      <w:color w:val="auto"/>
                      <w:kern w:val="0"/>
                      <w:sz w:val="21"/>
                      <w:szCs w:val="21"/>
                      <w:highlight w:val="none"/>
                      <w:u w:val="none"/>
                      <w:lang w:val="en-US" w:eastAsia="zh-CN"/>
                    </w:rPr>
                    <w:t>1</w:t>
                  </w:r>
                </w:p>
              </w:tc>
              <w:tc>
                <w:tcPr>
                  <w:tcW w:w="245" w:type="pct"/>
                  <w:vMerge w:val="restart"/>
                  <w:tcBorders>
                    <w:tl2br w:val="nil"/>
                    <w:tr2bl w:val="nil"/>
                  </w:tcBorders>
                  <w:shd w:val="clear" w:color="auto" w:fill="auto"/>
                  <w:vAlign w:val="center"/>
                </w:tcPr>
                <w:p w14:paraId="236E0322">
                  <w:pPr>
                    <w:keepNext w:val="0"/>
                    <w:keepLines w:val="0"/>
                    <w:widowControl/>
                    <w:suppressLineNumbers w:val="0"/>
                    <w:spacing w:line="240" w:lineRule="auto"/>
                    <w:jc w:val="center"/>
                    <w:textAlignment w:val="center"/>
                    <w:rPr>
                      <w:rFonts w:hint="default" w:cs="Times New Roman"/>
                      <w:i w:val="0"/>
                      <w:iCs w:val="0"/>
                      <w:color w:val="auto"/>
                      <w:kern w:val="0"/>
                      <w:sz w:val="21"/>
                      <w:szCs w:val="21"/>
                      <w:highlight w:val="none"/>
                      <w:u w:val="none"/>
                      <w:lang w:val="en-US" w:eastAsia="zh-CN"/>
                    </w:rPr>
                  </w:pPr>
                  <w:r>
                    <w:rPr>
                      <w:rFonts w:hint="default" w:cs="Times New Roman"/>
                      <w:i w:val="0"/>
                      <w:iCs w:val="0"/>
                      <w:color w:val="auto"/>
                      <w:kern w:val="0"/>
                      <w:sz w:val="21"/>
                      <w:szCs w:val="21"/>
                      <w:highlight w:val="none"/>
                      <w:u w:val="none"/>
                      <w:lang w:val="en-US" w:eastAsia="zh-CN"/>
                    </w:rPr>
                    <w:t>宝鸡市</w:t>
                  </w:r>
                </w:p>
              </w:tc>
              <w:tc>
                <w:tcPr>
                  <w:tcW w:w="262" w:type="pct"/>
                  <w:vMerge w:val="restart"/>
                  <w:tcBorders>
                    <w:tl2br w:val="nil"/>
                    <w:tr2bl w:val="nil"/>
                  </w:tcBorders>
                  <w:shd w:val="clear" w:color="auto" w:fill="auto"/>
                  <w:vAlign w:val="center"/>
                </w:tcPr>
                <w:p w14:paraId="4158DA0C">
                  <w:pPr>
                    <w:keepNext w:val="0"/>
                    <w:keepLines w:val="0"/>
                    <w:widowControl/>
                    <w:suppressLineNumbers w:val="0"/>
                    <w:spacing w:line="240" w:lineRule="auto"/>
                    <w:jc w:val="center"/>
                    <w:textAlignment w:val="center"/>
                    <w:rPr>
                      <w:rFonts w:hint="default"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凤翔区</w:t>
                  </w:r>
                </w:p>
              </w:tc>
              <w:tc>
                <w:tcPr>
                  <w:tcW w:w="255" w:type="pct"/>
                  <w:vMerge w:val="restart"/>
                  <w:tcBorders>
                    <w:tl2br w:val="nil"/>
                    <w:tr2bl w:val="nil"/>
                  </w:tcBorders>
                  <w:shd w:val="clear" w:color="auto" w:fill="auto"/>
                  <w:vAlign w:val="center"/>
                </w:tcPr>
                <w:p w14:paraId="5548929A">
                  <w:pPr>
                    <w:keepNext w:val="0"/>
                    <w:keepLines w:val="0"/>
                    <w:widowControl/>
                    <w:suppressLineNumbers w:val="0"/>
                    <w:spacing w:line="240" w:lineRule="auto"/>
                    <w:jc w:val="center"/>
                    <w:textAlignment w:val="center"/>
                    <w:rPr>
                      <w:rFonts w:hint="default"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凤翔区重点管控单元</w:t>
                  </w:r>
                </w:p>
              </w:tc>
              <w:tc>
                <w:tcPr>
                  <w:tcW w:w="255" w:type="pct"/>
                  <w:vMerge w:val="restart"/>
                  <w:tcBorders>
                    <w:tl2br w:val="nil"/>
                    <w:tr2bl w:val="nil"/>
                  </w:tcBorders>
                  <w:shd w:val="clear" w:color="auto" w:fill="auto"/>
                  <w:vAlign w:val="center"/>
                </w:tcPr>
                <w:p w14:paraId="23E9EDC7">
                  <w:pPr>
                    <w:keepNext w:val="0"/>
                    <w:keepLines w:val="0"/>
                    <w:widowControl/>
                    <w:suppressLineNumbers w:val="0"/>
                    <w:spacing w:line="240" w:lineRule="auto"/>
                    <w:jc w:val="center"/>
                    <w:textAlignment w:val="center"/>
                    <w:rPr>
                      <w:rFonts w:hint="eastAsia"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大气环境布局</w:t>
                  </w:r>
                </w:p>
                <w:p w14:paraId="7276BE2A">
                  <w:pPr>
                    <w:keepNext w:val="0"/>
                    <w:keepLines w:val="0"/>
                    <w:widowControl/>
                    <w:suppressLineNumbers w:val="0"/>
                    <w:spacing w:line="240" w:lineRule="auto"/>
                    <w:jc w:val="center"/>
                    <w:textAlignment w:val="center"/>
                    <w:rPr>
                      <w:rFonts w:hint="eastAsia"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敏感重点管控</w:t>
                  </w:r>
                </w:p>
                <w:p w14:paraId="6B2F4137">
                  <w:pPr>
                    <w:keepNext w:val="0"/>
                    <w:keepLines w:val="0"/>
                    <w:widowControl/>
                    <w:suppressLineNumbers w:val="0"/>
                    <w:spacing w:line="240" w:lineRule="auto"/>
                    <w:jc w:val="center"/>
                    <w:textAlignment w:val="center"/>
                    <w:rPr>
                      <w:rFonts w:hint="eastAsia"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区</w:t>
                  </w:r>
                </w:p>
                <w:p w14:paraId="5B9F6DFE">
                  <w:pPr>
                    <w:keepNext w:val="0"/>
                    <w:keepLines w:val="0"/>
                    <w:widowControl/>
                    <w:suppressLineNumbers w:val="0"/>
                    <w:spacing w:line="240" w:lineRule="auto"/>
                    <w:jc w:val="center"/>
                    <w:textAlignment w:val="center"/>
                    <w:rPr>
                      <w:rFonts w:hint="default" w:cs="Times New Roman"/>
                      <w:i w:val="0"/>
                      <w:iCs w:val="0"/>
                      <w:color w:val="auto"/>
                      <w:kern w:val="0"/>
                      <w:sz w:val="21"/>
                      <w:szCs w:val="21"/>
                      <w:highlight w:val="none"/>
                      <w:u w:val="none"/>
                      <w:lang w:val="en-US" w:eastAsia="zh-CN"/>
                    </w:rPr>
                  </w:pPr>
                </w:p>
              </w:tc>
              <w:tc>
                <w:tcPr>
                  <w:tcW w:w="277" w:type="pct"/>
                  <w:tcBorders>
                    <w:tl2br w:val="nil"/>
                    <w:tr2bl w:val="nil"/>
                  </w:tcBorders>
                  <w:shd w:val="clear" w:color="auto" w:fill="auto"/>
                  <w:vAlign w:val="center"/>
                </w:tcPr>
                <w:p w14:paraId="1E1617D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空间布局约束</w:t>
                  </w:r>
                </w:p>
              </w:tc>
              <w:tc>
                <w:tcPr>
                  <w:tcW w:w="1948" w:type="pct"/>
                  <w:tcBorders>
                    <w:tl2br w:val="nil"/>
                    <w:tr2bl w:val="nil"/>
                  </w:tcBorders>
                  <w:shd w:val="clear" w:color="auto" w:fill="auto"/>
                  <w:vAlign w:val="center"/>
                </w:tcPr>
                <w:p w14:paraId="6E3556F7">
                  <w:pPr>
                    <w:spacing w:line="240" w:lineRule="auto"/>
                    <w:jc w:val="left"/>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大气环境布局敏感重点管控区：严格控制煤电、石化、化工、钢铁、有色金属冶炼、建材等</w:t>
                  </w:r>
                  <w:r>
                    <w:rPr>
                      <w:rFonts w:hint="eastAsia" w:cs="Times New Roman"/>
                      <w:i w:val="0"/>
                      <w:iCs w:val="0"/>
                      <w:color w:val="auto"/>
                      <w:sz w:val="21"/>
                      <w:szCs w:val="21"/>
                      <w:highlight w:val="none"/>
                      <w:u w:val="none"/>
                      <w:lang w:val="en-US" w:eastAsia="zh-CN"/>
                    </w:rPr>
                    <w:t>“</w:t>
                  </w:r>
                  <w:r>
                    <w:rPr>
                      <w:rFonts w:hint="default" w:ascii="Times New Roman" w:hAnsi="Times New Roman" w:eastAsia="宋体" w:cs="Times New Roman"/>
                      <w:i w:val="0"/>
                      <w:iCs w:val="0"/>
                      <w:color w:val="auto"/>
                      <w:sz w:val="21"/>
                      <w:szCs w:val="21"/>
                      <w:highlight w:val="none"/>
                      <w:u w:val="none"/>
                      <w:lang w:val="en-US" w:eastAsia="zh-CN"/>
                    </w:rPr>
                    <w:t>两高</w:t>
                  </w:r>
                  <w:r>
                    <w:rPr>
                      <w:rFonts w:hint="eastAsia" w:cs="Times New Roman"/>
                      <w:i w:val="0"/>
                      <w:iCs w:val="0"/>
                      <w:color w:val="auto"/>
                      <w:sz w:val="21"/>
                      <w:szCs w:val="21"/>
                      <w:highlight w:val="none"/>
                      <w:u w:val="none"/>
                      <w:lang w:val="en-US" w:eastAsia="zh-CN"/>
                    </w:rPr>
                    <w:t>”</w:t>
                  </w:r>
                  <w:r>
                    <w:rPr>
                      <w:rFonts w:hint="default" w:ascii="Times New Roman" w:hAnsi="Times New Roman" w:eastAsia="宋体" w:cs="Times New Roman"/>
                      <w:i w:val="0"/>
                      <w:iCs w:val="0"/>
                      <w:color w:val="auto"/>
                      <w:sz w:val="21"/>
                      <w:szCs w:val="21"/>
                      <w:highlight w:val="none"/>
                      <w:u w:val="none"/>
                      <w:lang w:val="en-US" w:eastAsia="zh-CN"/>
                    </w:rPr>
                    <w:t>行业项目（民生等项目除外，后续对</w:t>
                  </w:r>
                  <w:r>
                    <w:rPr>
                      <w:rFonts w:hint="eastAsia" w:cs="Times New Roman"/>
                      <w:i w:val="0"/>
                      <w:iCs w:val="0"/>
                      <w:color w:val="auto"/>
                      <w:sz w:val="21"/>
                      <w:szCs w:val="21"/>
                      <w:highlight w:val="none"/>
                      <w:u w:val="none"/>
                      <w:lang w:val="en-US" w:eastAsia="zh-CN"/>
                    </w:rPr>
                    <w:t>“</w:t>
                  </w:r>
                  <w:r>
                    <w:rPr>
                      <w:rFonts w:hint="default" w:ascii="Times New Roman" w:hAnsi="Times New Roman" w:eastAsia="宋体" w:cs="Times New Roman"/>
                      <w:i w:val="0"/>
                      <w:iCs w:val="0"/>
                      <w:color w:val="auto"/>
                      <w:sz w:val="21"/>
                      <w:szCs w:val="21"/>
                      <w:highlight w:val="none"/>
                      <w:u w:val="none"/>
                      <w:lang w:val="en-US" w:eastAsia="zh-CN"/>
                    </w:rPr>
                    <w:t>两高</w:t>
                  </w:r>
                  <w:r>
                    <w:rPr>
                      <w:rFonts w:hint="eastAsia" w:cs="Times New Roman"/>
                      <w:i w:val="0"/>
                      <w:iCs w:val="0"/>
                      <w:color w:val="auto"/>
                      <w:sz w:val="21"/>
                      <w:szCs w:val="21"/>
                      <w:highlight w:val="none"/>
                      <w:u w:val="none"/>
                      <w:lang w:val="en-US" w:eastAsia="zh-CN"/>
                    </w:rPr>
                    <w:t>”</w:t>
                  </w:r>
                  <w:r>
                    <w:rPr>
                      <w:rFonts w:hint="default" w:ascii="Times New Roman" w:hAnsi="Times New Roman" w:eastAsia="宋体" w:cs="Times New Roman"/>
                      <w:i w:val="0"/>
                      <w:iCs w:val="0"/>
                      <w:color w:val="auto"/>
                      <w:sz w:val="21"/>
                      <w:szCs w:val="21"/>
                      <w:highlight w:val="none"/>
                      <w:u w:val="none"/>
                      <w:lang w:val="en-US" w:eastAsia="zh-CN"/>
                    </w:rPr>
                    <w:t>范围有新规定的，从其规定）。</w:t>
                  </w:r>
                </w:p>
              </w:tc>
              <w:tc>
                <w:tcPr>
                  <w:tcW w:w="1056" w:type="pct"/>
                  <w:tcBorders>
                    <w:tl2br w:val="nil"/>
                    <w:tr2bl w:val="nil"/>
                  </w:tcBorders>
                  <w:shd w:val="clear" w:color="auto" w:fill="auto"/>
                  <w:noWrap/>
                  <w:vAlign w:val="center"/>
                </w:tcPr>
                <w:p w14:paraId="0F4DFB8F">
                  <w:pPr>
                    <w:spacing w:line="240" w:lineRule="auto"/>
                    <w:jc w:val="left"/>
                    <w:rPr>
                      <w:rFonts w:hint="default" w:ascii="Times New Roman" w:hAnsi="Times New Roman" w:eastAsia="宋体" w:cs="Times New Roman"/>
                      <w:i w:val="0"/>
                      <w:iCs w:val="0"/>
                      <w:color w:val="auto"/>
                      <w:sz w:val="21"/>
                      <w:szCs w:val="21"/>
                      <w:highlight w:val="none"/>
                      <w:u w:val="none"/>
                      <w:lang w:val="en-US"/>
                    </w:rPr>
                  </w:pPr>
                  <w:r>
                    <w:rPr>
                      <w:rFonts w:hint="eastAsia"/>
                      <w:color w:val="auto"/>
                      <w:sz w:val="21"/>
                      <w:szCs w:val="21"/>
                      <w:lang w:val="en-US" w:eastAsia="zh-CN"/>
                    </w:rPr>
                    <w:t>项目位于</w:t>
                  </w:r>
                  <w:r>
                    <w:rPr>
                      <w:rFonts w:hint="eastAsia" w:ascii="宋体" w:hAnsi="宋体" w:eastAsia="宋体" w:cs="宋体"/>
                      <w:color w:val="auto"/>
                      <w:szCs w:val="21"/>
                      <w:lang w:val="en-US" w:eastAsia="zh-CN"/>
                    </w:rPr>
                    <w:t>陕西省宝鸡市凤翔县东北糜杆桥镇宝鸡机场东南侧</w:t>
                  </w:r>
                  <w:r>
                    <w:rPr>
                      <w:rFonts w:hint="eastAsia" w:ascii="宋体" w:hAnsi="宋体" w:eastAsia="宋体" w:cs="宋体"/>
                      <w:color w:val="auto"/>
                      <w:sz w:val="21"/>
                      <w:szCs w:val="21"/>
                      <w:lang w:val="en-US" w:eastAsia="zh-CN"/>
                    </w:rPr>
                    <w:t>，项目用地为工业用地</w:t>
                  </w:r>
                  <w:r>
                    <w:rPr>
                      <w:color w:val="auto"/>
                    </w:rPr>
                    <w:t>，项目不属于</w:t>
                  </w:r>
                  <w:r>
                    <w:rPr>
                      <w:color w:val="auto"/>
                      <w:kern w:val="0"/>
                      <w:szCs w:val="21"/>
                    </w:rPr>
                    <w:t>煤电、石化、化工、钢铁、有色金属冶炼、建材等</w:t>
                  </w:r>
                  <w:r>
                    <w:rPr>
                      <w:rFonts w:hint="eastAsia"/>
                      <w:color w:val="auto"/>
                      <w:kern w:val="0"/>
                      <w:szCs w:val="21"/>
                      <w:lang w:eastAsia="zh-CN"/>
                    </w:rPr>
                    <w:t>“</w:t>
                  </w:r>
                  <w:r>
                    <w:rPr>
                      <w:color w:val="auto"/>
                      <w:kern w:val="0"/>
                      <w:szCs w:val="21"/>
                    </w:rPr>
                    <w:t>两高</w:t>
                  </w:r>
                  <w:r>
                    <w:rPr>
                      <w:rFonts w:hint="eastAsia"/>
                      <w:color w:val="auto"/>
                      <w:kern w:val="0"/>
                      <w:szCs w:val="21"/>
                      <w:lang w:eastAsia="zh-CN"/>
                    </w:rPr>
                    <w:t>”</w:t>
                  </w:r>
                  <w:r>
                    <w:rPr>
                      <w:color w:val="auto"/>
                      <w:kern w:val="0"/>
                      <w:szCs w:val="21"/>
                    </w:rPr>
                    <w:t>行业项目。同时项目</w:t>
                  </w:r>
                  <w:r>
                    <w:rPr>
                      <w:rFonts w:hint="default" w:ascii="Times New Roman" w:hAnsi="Times New Roman" w:eastAsia="宋体" w:cs="Times New Roman"/>
                      <w:color w:val="auto"/>
                      <w:sz w:val="21"/>
                      <w:szCs w:val="21"/>
                      <w:lang w:val="en-US" w:eastAsia="zh-CN"/>
                    </w:rPr>
                    <w:t>按环评要求</w:t>
                  </w:r>
                  <w:r>
                    <w:rPr>
                      <w:rFonts w:hint="default" w:ascii="Times New Roman" w:hAnsi="Times New Roman" w:eastAsia="宋体" w:cs="Times New Roman"/>
                      <w:color w:val="auto"/>
                      <w:kern w:val="0"/>
                      <w:sz w:val="21"/>
                      <w:szCs w:val="21"/>
                      <w:lang w:val="en-US" w:eastAsia="zh-CN"/>
                    </w:rPr>
                    <w:t>建设污染物处理措施，减少污染物排放量</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i w:val="0"/>
                      <w:iCs w:val="0"/>
                      <w:color w:val="auto"/>
                      <w:sz w:val="21"/>
                      <w:szCs w:val="21"/>
                      <w:highlight w:val="none"/>
                      <w:u w:val="none"/>
                      <w:lang w:val="en-US" w:eastAsia="zh-CN"/>
                    </w:rPr>
                    <w:t>项目建成后项目废气、废水、固废污染物均</w:t>
                  </w:r>
                  <w:r>
                    <w:rPr>
                      <w:rFonts w:hint="eastAsia" w:ascii="Times New Roman" w:hAnsi="Times New Roman" w:eastAsia="宋体" w:cs="Times New Roman"/>
                      <w:i w:val="0"/>
                      <w:iCs w:val="0"/>
                      <w:color w:val="auto"/>
                      <w:sz w:val="21"/>
                      <w:szCs w:val="21"/>
                      <w:highlight w:val="none"/>
                      <w:u w:val="none"/>
                      <w:lang w:val="en-US" w:eastAsia="zh-CN"/>
                    </w:rPr>
                    <w:t>有效治理</w:t>
                  </w:r>
                  <w:r>
                    <w:rPr>
                      <w:rFonts w:hint="default" w:ascii="Times New Roman" w:hAnsi="Times New Roman" w:eastAsia="宋体" w:cs="Times New Roman"/>
                      <w:i w:val="0"/>
                      <w:iCs w:val="0"/>
                      <w:color w:val="auto"/>
                      <w:sz w:val="21"/>
                      <w:szCs w:val="21"/>
                      <w:highlight w:val="none"/>
                      <w:u w:val="none"/>
                      <w:lang w:val="en-US" w:eastAsia="zh-CN"/>
                    </w:rPr>
                    <w:t>。</w:t>
                  </w:r>
                </w:p>
              </w:tc>
              <w:tc>
                <w:tcPr>
                  <w:tcW w:w="453" w:type="pct"/>
                  <w:tcBorders>
                    <w:tl2br w:val="nil"/>
                    <w:tr2bl w:val="nil"/>
                  </w:tcBorders>
                  <w:shd w:val="clear" w:color="auto" w:fill="auto"/>
                  <w:vAlign w:val="center"/>
                </w:tcPr>
                <w:p w14:paraId="5B25F325">
                  <w:pPr>
                    <w:spacing w:line="240" w:lineRule="auto"/>
                    <w:jc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cs="Times New Roman"/>
                      <w:i w:val="0"/>
                      <w:iCs w:val="0"/>
                      <w:color w:val="auto"/>
                      <w:sz w:val="21"/>
                      <w:szCs w:val="21"/>
                      <w:highlight w:val="none"/>
                      <w:u w:val="none"/>
                      <w:lang w:val="en-US" w:eastAsia="zh-CN"/>
                    </w:rPr>
                    <w:t>符合</w:t>
                  </w:r>
                </w:p>
              </w:tc>
            </w:tr>
            <w:tr w14:paraId="3861D2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1161" w:hRule="atLeast"/>
                <w:jc w:val="center"/>
              </w:trPr>
              <w:tc>
                <w:tcPr>
                  <w:tcW w:w="243" w:type="pct"/>
                  <w:vMerge w:val="continue"/>
                  <w:tcBorders>
                    <w:tl2br w:val="nil"/>
                    <w:tr2bl w:val="nil"/>
                  </w:tcBorders>
                  <w:shd w:val="clear" w:color="auto" w:fill="auto"/>
                  <w:vAlign w:val="center"/>
                </w:tcPr>
                <w:p w14:paraId="778DC29A">
                  <w:pPr>
                    <w:spacing w:line="240" w:lineRule="auto"/>
                    <w:jc w:val="center"/>
                    <w:rPr>
                      <w:rFonts w:hint="default" w:ascii="Times New Roman" w:hAnsi="Times New Roman" w:eastAsia="宋体" w:cs="Times New Roman"/>
                      <w:i w:val="0"/>
                      <w:iCs w:val="0"/>
                      <w:color w:val="auto"/>
                      <w:sz w:val="21"/>
                      <w:szCs w:val="21"/>
                      <w:highlight w:val="none"/>
                      <w:u w:val="none"/>
                    </w:rPr>
                  </w:pPr>
                </w:p>
              </w:tc>
              <w:tc>
                <w:tcPr>
                  <w:tcW w:w="245" w:type="pct"/>
                  <w:vMerge w:val="continue"/>
                  <w:tcBorders>
                    <w:tl2br w:val="nil"/>
                    <w:tr2bl w:val="nil"/>
                  </w:tcBorders>
                  <w:shd w:val="clear" w:color="auto" w:fill="auto"/>
                  <w:vAlign w:val="center"/>
                </w:tcPr>
                <w:p w14:paraId="6172B5D5">
                  <w:pPr>
                    <w:spacing w:line="240" w:lineRule="auto"/>
                    <w:jc w:val="center"/>
                    <w:rPr>
                      <w:rFonts w:hint="default" w:ascii="Times New Roman" w:hAnsi="Times New Roman" w:eastAsia="宋体" w:cs="Times New Roman"/>
                      <w:i w:val="0"/>
                      <w:iCs w:val="0"/>
                      <w:color w:val="auto"/>
                      <w:sz w:val="21"/>
                      <w:szCs w:val="21"/>
                      <w:highlight w:val="none"/>
                      <w:u w:val="none"/>
                    </w:rPr>
                  </w:pPr>
                </w:p>
              </w:tc>
              <w:tc>
                <w:tcPr>
                  <w:tcW w:w="262" w:type="pct"/>
                  <w:vMerge w:val="continue"/>
                  <w:tcBorders>
                    <w:tl2br w:val="nil"/>
                    <w:tr2bl w:val="nil"/>
                  </w:tcBorders>
                  <w:shd w:val="clear" w:color="auto" w:fill="auto"/>
                  <w:vAlign w:val="center"/>
                </w:tcPr>
                <w:p w14:paraId="5D0FA7D0">
                  <w:pPr>
                    <w:spacing w:line="240" w:lineRule="auto"/>
                    <w:jc w:val="center"/>
                    <w:rPr>
                      <w:rFonts w:hint="default" w:ascii="Times New Roman" w:hAnsi="Times New Roman" w:eastAsia="宋体" w:cs="Times New Roman"/>
                      <w:i w:val="0"/>
                      <w:iCs w:val="0"/>
                      <w:color w:val="auto"/>
                      <w:sz w:val="21"/>
                      <w:szCs w:val="21"/>
                      <w:highlight w:val="none"/>
                      <w:u w:val="none"/>
                    </w:rPr>
                  </w:pPr>
                </w:p>
              </w:tc>
              <w:tc>
                <w:tcPr>
                  <w:tcW w:w="255" w:type="pct"/>
                  <w:vMerge w:val="continue"/>
                  <w:tcBorders>
                    <w:tl2br w:val="nil"/>
                    <w:tr2bl w:val="nil"/>
                  </w:tcBorders>
                  <w:shd w:val="clear" w:color="auto" w:fill="auto"/>
                  <w:vAlign w:val="center"/>
                </w:tcPr>
                <w:p w14:paraId="3399C3A8">
                  <w:pPr>
                    <w:spacing w:line="240" w:lineRule="auto"/>
                    <w:jc w:val="center"/>
                    <w:rPr>
                      <w:rFonts w:hint="default" w:ascii="Times New Roman" w:hAnsi="Times New Roman" w:eastAsia="宋体" w:cs="Times New Roman"/>
                      <w:i w:val="0"/>
                      <w:iCs w:val="0"/>
                      <w:color w:val="auto"/>
                      <w:sz w:val="21"/>
                      <w:szCs w:val="21"/>
                      <w:highlight w:val="none"/>
                      <w:u w:val="none"/>
                    </w:rPr>
                  </w:pPr>
                </w:p>
              </w:tc>
              <w:tc>
                <w:tcPr>
                  <w:tcW w:w="255" w:type="pct"/>
                  <w:vMerge w:val="continue"/>
                  <w:tcBorders>
                    <w:tl2br w:val="nil"/>
                    <w:tr2bl w:val="nil"/>
                  </w:tcBorders>
                  <w:shd w:val="clear" w:color="auto" w:fill="auto"/>
                  <w:vAlign w:val="center"/>
                </w:tcPr>
                <w:p w14:paraId="1A4A4DE6">
                  <w:pPr>
                    <w:spacing w:line="240" w:lineRule="auto"/>
                    <w:jc w:val="center"/>
                    <w:rPr>
                      <w:rFonts w:hint="default" w:ascii="Times New Roman" w:hAnsi="Times New Roman" w:eastAsia="宋体" w:cs="Times New Roman"/>
                      <w:i w:val="0"/>
                      <w:iCs w:val="0"/>
                      <w:color w:val="auto"/>
                      <w:sz w:val="21"/>
                      <w:szCs w:val="21"/>
                      <w:highlight w:val="none"/>
                      <w:u w:val="none"/>
                    </w:rPr>
                  </w:pPr>
                </w:p>
              </w:tc>
              <w:tc>
                <w:tcPr>
                  <w:tcW w:w="277" w:type="pct"/>
                  <w:tcBorders>
                    <w:tl2br w:val="nil"/>
                    <w:tr2bl w:val="nil"/>
                  </w:tcBorders>
                  <w:shd w:val="clear" w:color="auto" w:fill="auto"/>
                  <w:vAlign w:val="center"/>
                </w:tcPr>
                <w:p w14:paraId="7461F6C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污染物排放管控</w:t>
                  </w:r>
                </w:p>
              </w:tc>
              <w:tc>
                <w:tcPr>
                  <w:tcW w:w="1948" w:type="pct"/>
                  <w:tcBorders>
                    <w:tl2br w:val="nil"/>
                    <w:tr2bl w:val="nil"/>
                  </w:tcBorders>
                  <w:shd w:val="clear" w:color="auto" w:fill="auto"/>
                  <w:vAlign w:val="center"/>
                </w:tcPr>
                <w:p w14:paraId="3DC11D37">
                  <w:pPr>
                    <w:spacing w:line="240" w:lineRule="auto"/>
                    <w:jc w:val="both"/>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sz w:val="21"/>
                      <w:szCs w:val="21"/>
                      <w:highlight w:val="none"/>
                      <w:u w:val="none"/>
                      <w:lang w:val="en-US" w:eastAsia="zh-CN"/>
                    </w:rPr>
                    <w:t>大气环境布局敏感重点管控区：</w:t>
                  </w:r>
                </w:p>
                <w:p w14:paraId="3E1D8828">
                  <w:pPr>
                    <w:spacing w:line="240" w:lineRule="auto"/>
                    <w:jc w:val="both"/>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lang w:val="en-US" w:eastAsia="zh-CN"/>
                    </w:rPr>
                    <w:t>1.</w:t>
                  </w:r>
                  <w:r>
                    <w:rPr>
                      <w:rFonts w:hint="eastAsia" w:ascii="Times New Roman" w:hAnsi="Times New Roman" w:eastAsia="宋体" w:cs="Times New Roman"/>
                      <w:i w:val="0"/>
                      <w:iCs w:val="0"/>
                      <w:color w:val="auto"/>
                      <w:sz w:val="21"/>
                      <w:szCs w:val="21"/>
                      <w:highlight w:val="none"/>
                      <w:u w:val="none"/>
                      <w:lang w:val="en-US" w:eastAsia="zh-CN"/>
                    </w:rPr>
                    <w:t>区域内企业采用先进生产工艺、严格落实污染治理设施，污染物执行超低排放或特别排放限值。</w:t>
                  </w:r>
                </w:p>
                <w:p w14:paraId="162792D3">
                  <w:pPr>
                    <w:spacing w:line="240" w:lineRule="auto"/>
                    <w:jc w:val="both"/>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lang w:val="en-US" w:eastAsia="zh-CN"/>
                    </w:rPr>
                    <w:t>2.</w:t>
                  </w:r>
                  <w:r>
                    <w:rPr>
                      <w:rFonts w:hint="eastAsia" w:ascii="Times New Roman" w:hAnsi="Times New Roman" w:eastAsia="宋体" w:cs="Times New Roman"/>
                      <w:i w:val="0"/>
                      <w:iCs w:val="0"/>
                      <w:color w:val="auto"/>
                      <w:sz w:val="21"/>
                      <w:szCs w:val="21"/>
                      <w:highlight w:val="none"/>
                      <w:u w:val="none"/>
                      <w:lang w:val="en-US" w:eastAsia="zh-CN"/>
                    </w:rPr>
                    <w:t>控制机动车增速，推动汽车（除政府特种车辆外）全面实现新能源化。</w:t>
                  </w:r>
                </w:p>
                <w:p w14:paraId="2ED06A4D">
                  <w:pPr>
                    <w:spacing w:line="240" w:lineRule="auto"/>
                    <w:jc w:val="both"/>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lang w:val="en-US" w:eastAsia="zh-CN"/>
                    </w:rPr>
                    <w:t>3.</w:t>
                  </w:r>
                  <w:r>
                    <w:rPr>
                      <w:rFonts w:hint="eastAsia" w:ascii="Times New Roman" w:hAnsi="Times New Roman" w:eastAsia="宋体" w:cs="Times New Roman"/>
                      <w:i w:val="0"/>
                      <w:iCs w:val="0"/>
                      <w:color w:val="auto"/>
                      <w:sz w:val="21"/>
                      <w:szCs w:val="21"/>
                      <w:highlight w:val="none"/>
                      <w:u w:val="none"/>
                      <w:lang w:val="en-US" w:eastAsia="zh-CN"/>
                    </w:rPr>
                    <w:t>进行散煤替代，加快有条件地区铺设天然气管网和集中供暖管网。</w:t>
                  </w:r>
                </w:p>
                <w:p w14:paraId="6A972691">
                  <w:pPr>
                    <w:spacing w:line="240" w:lineRule="auto"/>
                    <w:jc w:val="both"/>
                    <w:rPr>
                      <w:rFonts w:hint="default" w:ascii="Times New Roman" w:hAnsi="Times New Roman" w:eastAsia="宋体" w:cs="Times New Roman"/>
                      <w:i w:val="0"/>
                      <w:iCs w:val="0"/>
                      <w:color w:val="auto"/>
                      <w:sz w:val="21"/>
                      <w:szCs w:val="21"/>
                      <w:highlight w:val="none"/>
                      <w:u w:val="none"/>
                    </w:rPr>
                  </w:pPr>
                </w:p>
              </w:tc>
              <w:tc>
                <w:tcPr>
                  <w:tcW w:w="1056" w:type="pct"/>
                  <w:tcBorders>
                    <w:tl2br w:val="nil"/>
                    <w:tr2bl w:val="nil"/>
                  </w:tcBorders>
                  <w:shd w:val="clear" w:color="auto" w:fill="auto"/>
                  <w:vAlign w:val="center"/>
                </w:tcPr>
                <w:p w14:paraId="7166AF76">
                  <w:pPr>
                    <w:spacing w:line="240" w:lineRule="auto"/>
                    <w:jc w:val="both"/>
                    <w:rPr>
                      <w:rFonts w:hint="default" w:ascii="Times New Roman" w:hAnsi="Times New Roman" w:eastAsia="宋体" w:cs="Times New Roman"/>
                      <w:i w:val="0"/>
                      <w:iCs w:val="0"/>
                      <w:color w:val="auto"/>
                      <w:sz w:val="21"/>
                      <w:szCs w:val="21"/>
                      <w:highlight w:val="none"/>
                      <w:u w:val="none"/>
                      <w:lang w:val="en-US"/>
                    </w:rPr>
                  </w:pPr>
                  <w:r>
                    <w:rPr>
                      <w:rFonts w:hint="eastAsia" w:ascii="Times New Roman" w:hAnsi="Times New Roman" w:eastAsia="宋体" w:cs="Times New Roman"/>
                      <w:i w:val="0"/>
                      <w:iCs w:val="0"/>
                      <w:color w:val="auto"/>
                      <w:sz w:val="21"/>
                      <w:szCs w:val="21"/>
                      <w:highlight w:val="none"/>
                      <w:u w:val="none"/>
                      <w:lang w:val="en-US" w:eastAsia="zh-CN"/>
                    </w:rPr>
                    <w:t>本项目</w:t>
                  </w:r>
                  <w:r>
                    <w:rPr>
                      <w:rFonts w:hint="eastAsia" w:cs="Times New Roman"/>
                      <w:i w:val="0"/>
                      <w:iCs w:val="0"/>
                      <w:color w:val="auto"/>
                      <w:sz w:val="21"/>
                      <w:szCs w:val="21"/>
                      <w:highlight w:val="none"/>
                      <w:u w:val="none"/>
                      <w:lang w:val="en-US" w:eastAsia="zh-CN"/>
                    </w:rPr>
                    <w:t>不涉及煤炭使用。</w:t>
                  </w:r>
                </w:p>
              </w:tc>
              <w:tc>
                <w:tcPr>
                  <w:tcW w:w="453" w:type="pct"/>
                  <w:tcBorders>
                    <w:tl2br w:val="nil"/>
                    <w:tr2bl w:val="nil"/>
                  </w:tcBorders>
                  <w:shd w:val="clear" w:color="auto" w:fill="auto"/>
                  <w:vAlign w:val="center"/>
                </w:tcPr>
                <w:p w14:paraId="3EF11CA9">
                  <w:pPr>
                    <w:spacing w:line="240" w:lineRule="auto"/>
                    <w:jc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符合</w:t>
                  </w:r>
                </w:p>
              </w:tc>
            </w:tr>
            <w:tr w14:paraId="1202EC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772" w:hRule="atLeast"/>
                <w:jc w:val="center"/>
              </w:trPr>
              <w:tc>
                <w:tcPr>
                  <w:tcW w:w="243" w:type="pct"/>
                  <w:tcBorders>
                    <w:tl2br w:val="nil"/>
                    <w:tr2bl w:val="nil"/>
                  </w:tcBorders>
                  <w:shd w:val="clear" w:color="auto" w:fill="auto"/>
                  <w:vAlign w:val="center"/>
                </w:tcPr>
                <w:p w14:paraId="60B64A1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2</w:t>
                  </w:r>
                </w:p>
              </w:tc>
              <w:tc>
                <w:tcPr>
                  <w:tcW w:w="245" w:type="pct"/>
                  <w:tcBorders>
                    <w:tl2br w:val="nil"/>
                    <w:tr2bl w:val="nil"/>
                  </w:tcBorders>
                  <w:shd w:val="clear" w:color="auto" w:fill="auto"/>
                  <w:vAlign w:val="center"/>
                </w:tcPr>
                <w:p w14:paraId="09F4D5D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宝鸡市</w:t>
                  </w:r>
                </w:p>
              </w:tc>
              <w:tc>
                <w:tcPr>
                  <w:tcW w:w="262" w:type="pct"/>
                  <w:tcBorders>
                    <w:tl2br w:val="nil"/>
                    <w:tr2bl w:val="nil"/>
                  </w:tcBorders>
                  <w:shd w:val="clear" w:color="auto" w:fill="auto"/>
                  <w:vAlign w:val="center"/>
                </w:tcPr>
                <w:p w14:paraId="1BBD1E5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rPr>
                    <w:t>凤翔区</w:t>
                  </w:r>
                </w:p>
              </w:tc>
              <w:tc>
                <w:tcPr>
                  <w:tcW w:w="255" w:type="pct"/>
                  <w:tcBorders>
                    <w:tl2br w:val="nil"/>
                    <w:tr2bl w:val="nil"/>
                  </w:tcBorders>
                  <w:shd w:val="clear" w:color="auto" w:fill="auto"/>
                  <w:vAlign w:val="center"/>
                </w:tcPr>
                <w:p w14:paraId="728FB352">
                  <w:pPr>
                    <w:spacing w:line="240" w:lineRule="auto"/>
                    <w:jc w:val="both"/>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sz w:val="21"/>
                      <w:szCs w:val="21"/>
                      <w:highlight w:val="none"/>
                      <w:u w:val="none"/>
                      <w:lang w:val="en-US" w:eastAsia="zh-CN"/>
                    </w:rPr>
                    <w:t>凤翔区重点管控单元</w:t>
                  </w:r>
                </w:p>
              </w:tc>
              <w:tc>
                <w:tcPr>
                  <w:tcW w:w="255" w:type="pct"/>
                  <w:tcBorders>
                    <w:tl2br w:val="nil"/>
                    <w:tr2bl w:val="nil"/>
                  </w:tcBorders>
                  <w:shd w:val="clear" w:color="auto" w:fill="auto"/>
                  <w:vAlign w:val="center"/>
                </w:tcPr>
                <w:p w14:paraId="7463EB0E">
                  <w:pPr>
                    <w:spacing w:line="240" w:lineRule="auto"/>
                    <w:jc w:val="both"/>
                    <w:rPr>
                      <w:rFonts w:hint="eastAsia"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sz w:val="21"/>
                      <w:szCs w:val="21"/>
                      <w:highlight w:val="none"/>
                      <w:u w:val="none"/>
                      <w:lang w:val="en-US" w:eastAsia="zh-CN"/>
                    </w:rPr>
                    <w:t>地下水开采重</w:t>
                  </w:r>
                </w:p>
                <w:p w14:paraId="3BFACF1E">
                  <w:pPr>
                    <w:spacing w:line="240" w:lineRule="auto"/>
                    <w:jc w:val="both"/>
                    <w:rPr>
                      <w:rFonts w:hint="eastAsia"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sz w:val="21"/>
                      <w:szCs w:val="21"/>
                      <w:highlight w:val="none"/>
                      <w:u w:val="none"/>
                      <w:lang w:val="en-US" w:eastAsia="zh-CN"/>
                    </w:rPr>
                    <w:t>点管控区</w:t>
                  </w:r>
                </w:p>
                <w:p w14:paraId="413BF52B">
                  <w:pPr>
                    <w:spacing w:line="240" w:lineRule="auto"/>
                    <w:jc w:val="both"/>
                    <w:rPr>
                      <w:rFonts w:hint="default" w:ascii="Times New Roman" w:hAnsi="Times New Roman" w:eastAsia="宋体" w:cs="Times New Roman"/>
                      <w:i w:val="0"/>
                      <w:iCs w:val="0"/>
                      <w:color w:val="auto"/>
                      <w:sz w:val="21"/>
                      <w:szCs w:val="21"/>
                      <w:highlight w:val="none"/>
                      <w:u w:val="none"/>
                    </w:rPr>
                  </w:pPr>
                </w:p>
              </w:tc>
              <w:tc>
                <w:tcPr>
                  <w:tcW w:w="277" w:type="pct"/>
                  <w:tcBorders>
                    <w:tl2br w:val="nil"/>
                    <w:tr2bl w:val="nil"/>
                  </w:tcBorders>
                  <w:shd w:val="clear" w:color="auto" w:fill="auto"/>
                  <w:vAlign w:val="center"/>
                </w:tcPr>
                <w:p w14:paraId="14665976">
                  <w:pPr>
                    <w:spacing w:line="240" w:lineRule="auto"/>
                    <w:jc w:val="both"/>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lang w:val="en-US" w:eastAsia="zh-CN"/>
                    </w:rPr>
                    <w:t>空间布局约束</w:t>
                  </w:r>
                </w:p>
              </w:tc>
              <w:tc>
                <w:tcPr>
                  <w:tcW w:w="1948" w:type="pct"/>
                  <w:tcBorders>
                    <w:tl2br w:val="nil"/>
                    <w:tr2bl w:val="nil"/>
                  </w:tcBorders>
                  <w:shd w:val="clear" w:color="auto" w:fill="auto"/>
                  <w:vAlign w:val="center"/>
                </w:tcPr>
                <w:p w14:paraId="675188D6">
                  <w:pPr>
                    <w:spacing w:line="240" w:lineRule="auto"/>
                    <w:jc w:val="both"/>
                    <w:rPr>
                      <w:rFonts w:hint="eastAsia" w:ascii="Times New Roman" w:hAnsi="Times New Roman" w:eastAsia="宋体" w:cs="Times New Roman"/>
                      <w:i w:val="0"/>
                      <w:iCs w:val="0"/>
                      <w:color w:val="auto"/>
                      <w:sz w:val="21"/>
                      <w:szCs w:val="21"/>
                      <w:highlight w:val="none"/>
                      <w:u w:val="none"/>
                      <w:lang w:eastAsia="zh-CN"/>
                    </w:rPr>
                  </w:pPr>
                  <w:r>
                    <w:rPr>
                      <w:rFonts w:hint="eastAsia" w:ascii="Times New Roman" w:hAnsi="Times New Roman" w:eastAsia="宋体" w:cs="Times New Roman"/>
                      <w:i w:val="0"/>
                      <w:iCs w:val="0"/>
                      <w:color w:val="auto"/>
                      <w:sz w:val="21"/>
                      <w:szCs w:val="21"/>
                      <w:highlight w:val="none"/>
                      <w:u w:val="none"/>
                    </w:rPr>
                    <w:t>地下水超采区：加强地下水监督管理，在地下水开发利用过程中，应严格取水许可审批与监督，新建、改建和扩建项目必须开展水资源论证，并以此作为建设项目立项审批的先决条件。在地下水禁采区，严禁新建、改建、扩建的建设项目取用地下水；已建地下水取水工程应结合地表水等替代水源工程建设，按照治理目标期限封停；在地下水限采区，应以地下水限采量作为刚性约束，及时调整年度用水总量控制目标，合理拟定地下水开采计划</w:t>
                  </w:r>
                  <w:r>
                    <w:rPr>
                      <w:rFonts w:hint="eastAsia" w:cs="Times New Roman"/>
                      <w:i w:val="0"/>
                      <w:iCs w:val="0"/>
                      <w:color w:val="auto"/>
                      <w:sz w:val="21"/>
                      <w:szCs w:val="21"/>
                      <w:highlight w:val="none"/>
                      <w:u w:val="none"/>
                      <w:lang w:eastAsia="zh-CN"/>
                    </w:rPr>
                    <w:t>。</w:t>
                  </w:r>
                </w:p>
              </w:tc>
              <w:tc>
                <w:tcPr>
                  <w:tcW w:w="1056" w:type="pct"/>
                  <w:tcBorders>
                    <w:tl2br w:val="nil"/>
                    <w:tr2bl w:val="nil"/>
                  </w:tcBorders>
                  <w:shd w:val="clear" w:color="auto" w:fill="auto"/>
                  <w:vAlign w:val="center"/>
                </w:tcPr>
                <w:p w14:paraId="72377587">
                  <w:pPr>
                    <w:spacing w:line="240" w:lineRule="auto"/>
                    <w:jc w:val="both"/>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本项目</w:t>
                  </w:r>
                  <w:r>
                    <w:rPr>
                      <w:rFonts w:hint="eastAsia" w:cs="Times New Roman"/>
                      <w:i w:val="0"/>
                      <w:iCs w:val="0"/>
                      <w:color w:val="auto"/>
                      <w:sz w:val="21"/>
                      <w:szCs w:val="21"/>
                      <w:highlight w:val="none"/>
                      <w:u w:val="none"/>
                      <w:lang w:val="en-US" w:eastAsia="zh-CN"/>
                    </w:rPr>
                    <w:t>用水仅为生活用水，污水仅为生活污水，不涉及生产废水，</w:t>
                  </w:r>
                  <w:r>
                    <w:rPr>
                      <w:rFonts w:hint="eastAsia" w:ascii="Times New Roman" w:hAnsi="Times New Roman" w:eastAsia="宋体" w:cs="Times New Roman"/>
                      <w:i w:val="0"/>
                      <w:iCs w:val="0"/>
                      <w:color w:val="auto"/>
                      <w:sz w:val="21"/>
                      <w:szCs w:val="21"/>
                      <w:highlight w:val="none"/>
                      <w:u w:val="none"/>
                      <w:lang w:val="en-US" w:eastAsia="zh-CN"/>
                    </w:rPr>
                    <w:t>供水采用集中式供水管网，</w:t>
                  </w:r>
                  <w:r>
                    <w:rPr>
                      <w:rFonts w:hint="eastAsia" w:cs="Times New Roman"/>
                      <w:i w:val="0"/>
                      <w:iCs w:val="0"/>
                      <w:color w:val="auto"/>
                      <w:sz w:val="21"/>
                      <w:szCs w:val="21"/>
                      <w:highlight w:val="none"/>
                      <w:u w:val="none"/>
                      <w:lang w:val="en-US" w:eastAsia="zh-CN"/>
                    </w:rPr>
                    <w:t>不</w:t>
                  </w:r>
                  <w:r>
                    <w:rPr>
                      <w:rFonts w:hint="eastAsia" w:ascii="Times New Roman" w:hAnsi="Times New Roman" w:eastAsia="宋体" w:cs="Times New Roman"/>
                      <w:i w:val="0"/>
                      <w:iCs w:val="0"/>
                      <w:color w:val="auto"/>
                      <w:sz w:val="21"/>
                      <w:szCs w:val="21"/>
                      <w:highlight w:val="none"/>
                      <w:u w:val="none"/>
                      <w:lang w:val="en-US" w:eastAsia="zh-CN"/>
                    </w:rPr>
                    <w:t>涉及地下水开采。</w:t>
                  </w:r>
                </w:p>
              </w:tc>
              <w:tc>
                <w:tcPr>
                  <w:tcW w:w="453" w:type="pct"/>
                  <w:tcBorders>
                    <w:tl2br w:val="nil"/>
                    <w:tr2bl w:val="nil"/>
                  </w:tcBorders>
                  <w:shd w:val="clear" w:color="auto" w:fill="auto"/>
                  <w:vAlign w:val="center"/>
                </w:tcPr>
                <w:p w14:paraId="3388F6F8">
                  <w:pPr>
                    <w:spacing w:line="240" w:lineRule="auto"/>
                    <w:jc w:val="both"/>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lang w:val="en-US" w:eastAsia="zh-CN"/>
                    </w:rPr>
                    <w:t>符合</w:t>
                  </w:r>
                </w:p>
              </w:tc>
            </w:tr>
          </w:tbl>
          <w:p w14:paraId="48395923">
            <w:pPr>
              <w:pStyle w:val="6"/>
              <w:keepNext w:val="0"/>
              <w:keepLines w:val="0"/>
              <w:pageBreakBefore w:val="0"/>
              <w:widowControl w:val="0"/>
              <w:kinsoku/>
              <w:wordWrap/>
              <w:overflowPunct/>
              <w:topLinePunct w:val="0"/>
              <w:autoSpaceDE/>
              <w:autoSpaceDN/>
              <w:bidi w:val="0"/>
              <w:adjustRightInd/>
              <w:snapToGrid/>
              <w:ind w:left="0" w:leftChars="0" w:firstLine="480" w:firstLineChars="200"/>
              <w:jc w:val="left"/>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根据陕西省生态环境厅文件陕环办发【2022】76 文件，《陕西省“三线一单”生态环境分区管理应用技术指南》：环境影响评价（试行）通知，进行建设项目与“三线一单”生态环境分区管控符合性分析，采用一图、一表、一说明的形式表达。本项目采用陕西省“三线一单”数据应用系统平台查询后，具体数据及符合性分析如下</w:t>
            </w:r>
            <w:r>
              <w:rPr>
                <w:rFonts w:hint="eastAsia" w:cs="Times New Roman"/>
                <w:b w:val="0"/>
                <w:bCs w:val="0"/>
                <w:color w:val="auto"/>
                <w:sz w:val="24"/>
                <w:szCs w:val="24"/>
                <w:lang w:val="en-US" w:eastAsia="zh-CN"/>
              </w:rPr>
              <w:t>（详见附件关于本项目的《陕西省“三线一单”生态环境管控单元对照分析报告》）</w:t>
            </w:r>
            <w:r>
              <w:rPr>
                <w:rFonts w:hint="default" w:ascii="Times New Roman" w:hAnsi="Times New Roman" w:cs="Times New Roman"/>
                <w:b w:val="0"/>
                <w:bCs w:val="0"/>
                <w:color w:val="auto"/>
                <w:sz w:val="24"/>
                <w:szCs w:val="24"/>
                <w:lang w:val="en-US" w:eastAsia="zh-CN"/>
              </w:rPr>
              <w:t>：</w:t>
            </w:r>
          </w:p>
          <w:p w14:paraId="7B48A827">
            <w:pPr>
              <w:pStyle w:val="73"/>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表1-</w:t>
            </w:r>
            <w:r>
              <w:rPr>
                <w:rFonts w:hint="eastAsia" w:eastAsia="宋体" w:cs="Times New Roman"/>
                <w:b/>
                <w:bCs/>
                <w:color w:val="auto"/>
                <w:kern w:val="2"/>
                <w:sz w:val="24"/>
                <w:szCs w:val="24"/>
                <w:lang w:val="en-US" w:eastAsia="zh-CN" w:bidi="ar-SA"/>
              </w:rPr>
              <w:t>3</w:t>
            </w:r>
            <w:r>
              <w:rPr>
                <w:rFonts w:hint="default" w:ascii="Times New Roman" w:hAnsi="Times New Roman" w:eastAsia="宋体" w:cs="Times New Roman"/>
                <w:b/>
                <w:bCs/>
                <w:color w:val="auto"/>
                <w:kern w:val="2"/>
                <w:sz w:val="24"/>
                <w:szCs w:val="24"/>
                <w:lang w:val="en-US" w:eastAsia="zh-CN" w:bidi="ar-SA"/>
              </w:rPr>
              <w:t xml:space="preserve"> </w:t>
            </w:r>
            <w:r>
              <w:rPr>
                <w:rFonts w:hint="eastAsia" w:eastAsia="宋体" w:cs="Times New Roman"/>
                <w:b/>
                <w:bCs/>
                <w:color w:val="auto"/>
                <w:kern w:val="2"/>
                <w:sz w:val="24"/>
                <w:szCs w:val="24"/>
                <w:lang w:val="en-US" w:eastAsia="zh-CN" w:bidi="ar-SA"/>
              </w:rPr>
              <w:t xml:space="preserve"> </w:t>
            </w:r>
            <w:r>
              <w:rPr>
                <w:rFonts w:hint="default" w:ascii="Times New Roman" w:hAnsi="Times New Roman" w:eastAsia="宋体" w:cs="Times New Roman"/>
                <w:b/>
                <w:bCs/>
                <w:color w:val="auto"/>
                <w:kern w:val="2"/>
                <w:sz w:val="24"/>
                <w:szCs w:val="24"/>
                <w:lang w:val="en-US" w:eastAsia="zh-CN" w:bidi="ar-SA"/>
              </w:rPr>
              <w:t>环境管控单元涉及情况表</w:t>
            </w:r>
          </w:p>
          <w:tbl>
            <w:tblPr>
              <w:tblStyle w:val="32"/>
              <w:tblW w:w="499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
            <w:tblGrid>
              <w:gridCol w:w="2052"/>
              <w:gridCol w:w="2084"/>
              <w:gridCol w:w="3122"/>
            </w:tblGrid>
            <w:tr w14:paraId="5867F5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23" w:hRule="atLeast"/>
                <w:jc w:val="center"/>
              </w:trPr>
              <w:tc>
                <w:tcPr>
                  <w:tcW w:w="1413" w:type="pct"/>
                  <w:tcBorders>
                    <w:tl2br w:val="nil"/>
                    <w:tr2bl w:val="nil"/>
                  </w:tcBorders>
                  <w:noWrap w:val="0"/>
                  <w:vAlign w:val="center"/>
                </w:tcPr>
                <w:p w14:paraId="77C43F9D">
                  <w:pPr>
                    <w:pStyle w:val="57"/>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环境管控单元分类</w:t>
                  </w:r>
                </w:p>
              </w:tc>
              <w:tc>
                <w:tcPr>
                  <w:tcW w:w="1435" w:type="pct"/>
                  <w:tcBorders>
                    <w:tl2br w:val="nil"/>
                    <w:tr2bl w:val="nil"/>
                  </w:tcBorders>
                  <w:noWrap w:val="0"/>
                  <w:vAlign w:val="center"/>
                </w:tcPr>
                <w:p w14:paraId="01DC5EA5">
                  <w:pPr>
                    <w:pStyle w:val="57"/>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是否涉及</w:t>
                  </w:r>
                </w:p>
              </w:tc>
              <w:tc>
                <w:tcPr>
                  <w:tcW w:w="2150" w:type="pct"/>
                  <w:tcBorders>
                    <w:tl2br w:val="nil"/>
                    <w:tr2bl w:val="nil"/>
                  </w:tcBorders>
                  <w:noWrap w:val="0"/>
                  <w:vAlign w:val="center"/>
                </w:tcPr>
                <w:p w14:paraId="1C98B25A">
                  <w:pPr>
                    <w:pStyle w:val="57"/>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面积/长度</w:t>
                  </w:r>
                </w:p>
              </w:tc>
            </w:tr>
            <w:tr w14:paraId="3CDC46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23" w:hRule="atLeast"/>
                <w:jc w:val="center"/>
              </w:trPr>
              <w:tc>
                <w:tcPr>
                  <w:tcW w:w="1413" w:type="pct"/>
                  <w:tcBorders>
                    <w:tl2br w:val="nil"/>
                    <w:tr2bl w:val="nil"/>
                  </w:tcBorders>
                  <w:noWrap w:val="0"/>
                  <w:vAlign w:val="center"/>
                </w:tcPr>
                <w:p w14:paraId="3EF29E0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优先保护单元</w:t>
                  </w:r>
                </w:p>
              </w:tc>
              <w:tc>
                <w:tcPr>
                  <w:tcW w:w="1435" w:type="pct"/>
                  <w:tcBorders>
                    <w:tl2br w:val="nil"/>
                    <w:tr2bl w:val="nil"/>
                  </w:tcBorders>
                  <w:noWrap w:val="0"/>
                  <w:vAlign w:val="center"/>
                </w:tcPr>
                <w:p w14:paraId="639A4C24">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eastAsia="zh-CN"/>
                    </w:rPr>
                    <w:t>否</w:t>
                  </w:r>
                </w:p>
              </w:tc>
              <w:tc>
                <w:tcPr>
                  <w:tcW w:w="2150" w:type="pct"/>
                  <w:tcBorders>
                    <w:tl2br w:val="nil"/>
                    <w:tr2bl w:val="nil"/>
                  </w:tcBorders>
                  <w:noWrap w:val="0"/>
                  <w:vAlign w:val="center"/>
                </w:tcPr>
                <w:p w14:paraId="5923D946">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w:t>
                  </w:r>
                  <w:r>
                    <w:rPr>
                      <w:rFonts w:hint="default" w:ascii="Times New Roman" w:hAnsi="Times New Roman" w:eastAsia="宋体" w:cs="Times New Roman"/>
                      <w:color w:val="auto"/>
                      <w:kern w:val="2"/>
                      <w:sz w:val="21"/>
                      <w:szCs w:val="21"/>
                      <w:lang w:val="en-US" w:eastAsia="zh-CN" w:bidi="ar-SA"/>
                    </w:rPr>
                    <w:t>平方米</w:t>
                  </w:r>
                </w:p>
              </w:tc>
            </w:tr>
            <w:tr w14:paraId="055696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23" w:hRule="atLeast"/>
                <w:jc w:val="center"/>
              </w:trPr>
              <w:tc>
                <w:tcPr>
                  <w:tcW w:w="1413" w:type="pct"/>
                  <w:tcBorders>
                    <w:tl2br w:val="nil"/>
                    <w:tr2bl w:val="nil"/>
                  </w:tcBorders>
                  <w:noWrap w:val="0"/>
                  <w:vAlign w:val="center"/>
                </w:tcPr>
                <w:p w14:paraId="16429130">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重点管控单元</w:t>
                  </w:r>
                </w:p>
              </w:tc>
              <w:tc>
                <w:tcPr>
                  <w:tcW w:w="1435" w:type="pct"/>
                  <w:tcBorders>
                    <w:tl2br w:val="nil"/>
                    <w:tr2bl w:val="nil"/>
                  </w:tcBorders>
                  <w:noWrap w:val="0"/>
                  <w:vAlign w:val="center"/>
                </w:tcPr>
                <w:p w14:paraId="019B5F0B">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否</w:t>
                  </w:r>
                </w:p>
              </w:tc>
              <w:tc>
                <w:tcPr>
                  <w:tcW w:w="2150" w:type="pct"/>
                  <w:tcBorders>
                    <w:tl2br w:val="nil"/>
                    <w:tr2bl w:val="nil"/>
                  </w:tcBorders>
                  <w:noWrap w:val="0"/>
                  <w:vAlign w:val="center"/>
                </w:tcPr>
                <w:p w14:paraId="252B2528">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22293.3</w:t>
                  </w:r>
                  <w:r>
                    <w:rPr>
                      <w:rFonts w:hint="default" w:ascii="Times New Roman" w:hAnsi="Times New Roman" w:eastAsia="宋体" w:cs="Times New Roman"/>
                      <w:color w:val="auto"/>
                      <w:kern w:val="2"/>
                      <w:sz w:val="21"/>
                      <w:szCs w:val="21"/>
                      <w:lang w:val="en-US" w:eastAsia="zh-CN" w:bidi="ar-SA"/>
                    </w:rPr>
                    <w:t>平方米</w:t>
                  </w:r>
                </w:p>
              </w:tc>
            </w:tr>
            <w:tr w14:paraId="563FE8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23" w:hRule="atLeast"/>
                <w:jc w:val="center"/>
              </w:trPr>
              <w:tc>
                <w:tcPr>
                  <w:tcW w:w="1413" w:type="pct"/>
                  <w:tcBorders>
                    <w:tl2br w:val="nil"/>
                    <w:tr2bl w:val="nil"/>
                  </w:tcBorders>
                  <w:noWrap w:val="0"/>
                  <w:vAlign w:val="center"/>
                </w:tcPr>
                <w:p w14:paraId="280D6A3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一般管控单元</w:t>
                  </w:r>
                </w:p>
              </w:tc>
              <w:tc>
                <w:tcPr>
                  <w:tcW w:w="1435" w:type="pct"/>
                  <w:tcBorders>
                    <w:tl2br w:val="nil"/>
                    <w:tr2bl w:val="nil"/>
                  </w:tcBorders>
                  <w:noWrap w:val="0"/>
                  <w:vAlign w:val="center"/>
                </w:tcPr>
                <w:p w14:paraId="08FC6A5B">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eastAsia="zh-CN"/>
                    </w:rPr>
                    <w:t>否</w:t>
                  </w:r>
                </w:p>
              </w:tc>
              <w:tc>
                <w:tcPr>
                  <w:tcW w:w="2150" w:type="pct"/>
                  <w:tcBorders>
                    <w:tl2br w:val="nil"/>
                    <w:tr2bl w:val="nil"/>
                  </w:tcBorders>
                  <w:noWrap w:val="0"/>
                  <w:vAlign w:val="center"/>
                </w:tcPr>
                <w:p w14:paraId="0FA282F5">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w:t>
                  </w:r>
                  <w:r>
                    <w:rPr>
                      <w:rFonts w:hint="default" w:ascii="Times New Roman" w:hAnsi="Times New Roman" w:eastAsia="宋体" w:cs="Times New Roman"/>
                      <w:color w:val="auto"/>
                      <w:kern w:val="2"/>
                      <w:sz w:val="21"/>
                      <w:szCs w:val="21"/>
                      <w:lang w:val="en-US" w:eastAsia="zh-CN" w:bidi="ar-SA"/>
                    </w:rPr>
                    <w:t>平方米</w:t>
                  </w:r>
                </w:p>
              </w:tc>
            </w:tr>
          </w:tbl>
          <w:p w14:paraId="6CB4DF4F">
            <w:pPr>
              <w:pStyle w:val="6"/>
              <w:keepNext w:val="0"/>
              <w:keepLines w:val="0"/>
              <w:pageBreakBefore w:val="0"/>
              <w:widowControl w:val="0"/>
              <w:kinsoku/>
              <w:wordWrap/>
              <w:overflowPunct/>
              <w:topLinePunct w:val="0"/>
              <w:autoSpaceDE/>
              <w:autoSpaceDN/>
              <w:bidi w:val="0"/>
              <w:adjustRightInd/>
              <w:snapToGrid/>
              <w:ind w:left="0" w:leftChars="0" w:firstLine="480" w:firstLineChars="200"/>
              <w:jc w:val="left"/>
              <w:textAlignment w:val="auto"/>
              <w:rPr>
                <w:rFonts w:hint="default" w:ascii="Times New Roman" w:hAnsi="Times New Roman" w:cs="Times New Roman"/>
                <w:b w:val="0"/>
                <w:bCs w:val="0"/>
                <w:color w:val="auto"/>
                <w:sz w:val="24"/>
                <w:szCs w:val="24"/>
                <w:lang w:val="en-US" w:eastAsia="zh-CN"/>
              </w:rPr>
            </w:pPr>
          </w:p>
          <w:p w14:paraId="624E1B86">
            <w:pPr>
              <w:pStyle w:val="6"/>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cs="Times New Roman"/>
                <w:b w:val="0"/>
                <w:bCs w:val="0"/>
                <w:color w:val="auto"/>
                <w:sz w:val="24"/>
                <w:szCs w:val="24"/>
                <w:lang w:val="en-US" w:eastAsia="zh-CN"/>
              </w:rPr>
            </w:pPr>
          </w:p>
          <w:p w14:paraId="4490282C">
            <w:pPr>
              <w:pStyle w:val="7"/>
              <w:rPr>
                <w:rFonts w:hint="eastAsia" w:cs="Times New Roman"/>
                <w:b w:val="0"/>
                <w:bCs w:val="0"/>
                <w:color w:val="auto"/>
                <w:sz w:val="24"/>
                <w:szCs w:val="24"/>
                <w:lang w:val="en-US" w:eastAsia="zh-CN"/>
              </w:rPr>
            </w:pPr>
          </w:p>
          <w:p w14:paraId="4CD9AA27">
            <w:pPr>
              <w:rPr>
                <w:rFonts w:hint="eastAsia" w:cs="Times New Roman"/>
                <w:b w:val="0"/>
                <w:bCs w:val="0"/>
                <w:color w:val="auto"/>
                <w:sz w:val="24"/>
                <w:szCs w:val="24"/>
                <w:lang w:val="en-US" w:eastAsia="zh-CN"/>
              </w:rPr>
            </w:pPr>
          </w:p>
          <w:p w14:paraId="0E8131DD">
            <w:pPr>
              <w:pStyle w:val="3"/>
              <w:rPr>
                <w:rFonts w:hint="eastAsia" w:cs="Times New Roman"/>
                <w:b w:val="0"/>
                <w:bCs w:val="0"/>
                <w:color w:val="auto"/>
                <w:sz w:val="24"/>
                <w:szCs w:val="24"/>
                <w:lang w:val="en-US" w:eastAsia="zh-CN"/>
              </w:rPr>
            </w:pPr>
          </w:p>
          <w:p w14:paraId="6BC3455F">
            <w:pPr>
              <w:rPr>
                <w:rFonts w:hint="eastAsia" w:cs="Times New Roman"/>
                <w:b w:val="0"/>
                <w:bCs w:val="0"/>
                <w:color w:val="auto"/>
                <w:sz w:val="24"/>
                <w:szCs w:val="24"/>
                <w:lang w:val="en-US" w:eastAsia="zh-CN"/>
              </w:rPr>
            </w:pPr>
          </w:p>
          <w:p w14:paraId="7F79A29D">
            <w:pPr>
              <w:pStyle w:val="3"/>
              <w:rPr>
                <w:rFonts w:hint="eastAsia" w:cs="Times New Roman"/>
                <w:b w:val="0"/>
                <w:bCs w:val="0"/>
                <w:color w:val="auto"/>
                <w:sz w:val="24"/>
                <w:szCs w:val="24"/>
                <w:lang w:val="en-US" w:eastAsia="zh-CN"/>
              </w:rPr>
            </w:pPr>
          </w:p>
          <w:p w14:paraId="42D43C9C">
            <w:pPr>
              <w:rPr>
                <w:rFonts w:hint="eastAsia" w:cs="Times New Roman"/>
                <w:b w:val="0"/>
                <w:bCs w:val="0"/>
                <w:color w:val="auto"/>
                <w:sz w:val="24"/>
                <w:szCs w:val="24"/>
                <w:lang w:val="en-US" w:eastAsia="zh-CN"/>
              </w:rPr>
            </w:pPr>
          </w:p>
          <w:p w14:paraId="7ECEFC34">
            <w:pPr>
              <w:pStyle w:val="3"/>
              <w:rPr>
                <w:rFonts w:hint="eastAsia" w:cs="Times New Roman"/>
                <w:b w:val="0"/>
                <w:bCs w:val="0"/>
                <w:color w:val="auto"/>
                <w:sz w:val="24"/>
                <w:szCs w:val="24"/>
                <w:lang w:val="en-US" w:eastAsia="zh-CN"/>
              </w:rPr>
            </w:pPr>
          </w:p>
          <w:p w14:paraId="1D3D7C41">
            <w:pPr>
              <w:rPr>
                <w:rFonts w:hint="eastAsia" w:cs="Times New Roman"/>
                <w:b w:val="0"/>
                <w:bCs w:val="0"/>
                <w:color w:val="auto"/>
                <w:sz w:val="24"/>
                <w:szCs w:val="24"/>
                <w:lang w:val="en-US" w:eastAsia="zh-CN"/>
              </w:rPr>
            </w:pPr>
          </w:p>
          <w:p w14:paraId="6B70B0F4">
            <w:pPr>
              <w:pStyle w:val="3"/>
              <w:rPr>
                <w:rFonts w:hint="eastAsia" w:cs="Times New Roman"/>
                <w:b w:val="0"/>
                <w:bCs w:val="0"/>
                <w:color w:val="auto"/>
                <w:sz w:val="24"/>
                <w:szCs w:val="24"/>
                <w:lang w:val="en-US" w:eastAsia="zh-CN"/>
              </w:rPr>
            </w:pPr>
          </w:p>
          <w:p w14:paraId="26B56DFE">
            <w:pPr>
              <w:rPr>
                <w:rFonts w:hint="eastAsia"/>
                <w:color w:val="auto"/>
                <w:lang w:val="en-US" w:eastAsia="zh-CN"/>
              </w:rPr>
            </w:pPr>
          </w:p>
          <w:p w14:paraId="6BAEC609">
            <w:pPr>
              <w:pStyle w:val="6"/>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cs="Times New Roman"/>
                <w:b w:val="0"/>
                <w:bCs w:val="0"/>
                <w:color w:val="auto"/>
                <w:sz w:val="24"/>
                <w:szCs w:val="24"/>
                <w:lang w:val="en-US" w:eastAsia="zh-CN"/>
              </w:rPr>
            </w:pPr>
            <w:r>
              <w:rPr>
                <w:color w:val="auto"/>
                <w:sz w:val="21"/>
              </w:rPr>
              <mc:AlternateContent>
                <mc:Choice Requires="wps">
                  <w:drawing>
                    <wp:anchor distT="0" distB="0" distL="114300" distR="114300" simplePos="0" relativeHeight="251660288" behindDoc="0" locked="0" layoutInCell="1" allowOverlap="1">
                      <wp:simplePos x="0" y="0"/>
                      <wp:positionH relativeFrom="column">
                        <wp:posOffset>-22860</wp:posOffset>
                      </wp:positionH>
                      <wp:positionV relativeFrom="paragraph">
                        <wp:posOffset>35560</wp:posOffset>
                      </wp:positionV>
                      <wp:extent cx="4473575" cy="7017385"/>
                      <wp:effectExtent l="10795" t="10795" r="11430" b="20320"/>
                      <wp:wrapNone/>
                      <wp:docPr id="13" name="矩形 13"/>
                      <wp:cNvGraphicFramePr/>
                      <a:graphic xmlns:a="http://schemas.openxmlformats.org/drawingml/2006/main">
                        <a:graphicData uri="http://schemas.microsoft.com/office/word/2010/wordprocessingShape">
                          <wps:wsp>
                            <wps:cNvSpPr/>
                            <wps:spPr>
                              <a:xfrm>
                                <a:off x="1851660" y="2343150"/>
                                <a:ext cx="4473575" cy="7017385"/>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pt;margin-top:2.8pt;height:552.55pt;width:352.25pt;z-index:251660288;v-text-anchor:middle;mso-width-relative:page;mso-height-relative:page;" filled="f" stroked="t" coordsize="21600,21600" o:gfxdata="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Clf3mLXAAAACQEAAA8AAAAAAAAAAQAgAAAAIgAAAGRycy9kb3ducmV2LnhtbFBL&#10;AQIUABQAAAAIAIdO4kDLsUv+aQIAAMMEAAAOAAAAAAAAAAEAIAAAACYBAABkcnMvZTJvRG9jLnht&#10;bFBLBQYAAAAABgAGAFkBAAABBgAAAAA=&#10;">
                      <v:fill on="f" focussize="0,0"/>
                      <v:stroke weight="1.75pt" color="#000000 [3213]" joinstyle="round"/>
                      <v:imagedata o:title=""/>
                      <o:lock v:ext="edit" aspectratio="f"/>
                    </v:rect>
                  </w:pict>
                </mc:Fallback>
              </mc:AlternateContent>
            </w:r>
            <w:r>
              <w:rPr>
                <w:color w:val="auto"/>
              </w:rPr>
              <w:drawing>
                <wp:inline distT="0" distB="0" distL="114300" distR="114300">
                  <wp:extent cx="4505325" cy="70866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4505325" cy="7086600"/>
                          </a:xfrm>
                          <a:prstGeom prst="rect">
                            <a:avLst/>
                          </a:prstGeom>
                          <a:noFill/>
                          <a:ln>
                            <a:noFill/>
                          </a:ln>
                        </pic:spPr>
                      </pic:pic>
                    </a:graphicData>
                  </a:graphic>
                </wp:inline>
              </w:drawing>
            </w:r>
          </w:p>
          <w:p w14:paraId="2BFCE558">
            <w:pPr>
              <w:pStyle w:val="6"/>
              <w:bidi w:val="0"/>
              <w:ind w:left="0" w:leftChars="0" w:firstLine="0" w:firstLineChars="0"/>
              <w:jc w:val="center"/>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图1-</w:t>
            </w:r>
            <w:r>
              <w:rPr>
                <w:rFonts w:hint="eastAsia" w:cs="Times New Roman"/>
                <w:b/>
                <w:bCs/>
                <w:color w:val="auto"/>
                <w:sz w:val="24"/>
                <w:szCs w:val="24"/>
                <w:lang w:val="en-US" w:eastAsia="zh-CN"/>
              </w:rPr>
              <w:t>1</w:t>
            </w:r>
            <w:r>
              <w:rPr>
                <w:rFonts w:hint="default" w:ascii="Times New Roman" w:hAnsi="Times New Roman" w:cs="Times New Roman"/>
                <w:b/>
                <w:bCs/>
                <w:color w:val="auto"/>
                <w:sz w:val="24"/>
                <w:szCs w:val="24"/>
                <w:lang w:val="en-US" w:eastAsia="zh-CN"/>
              </w:rPr>
              <w:t xml:space="preserve"> 本项目空间冲突附图</w:t>
            </w:r>
          </w:p>
          <w:p w14:paraId="05A73B49">
            <w:pPr>
              <w:pStyle w:val="6"/>
              <w:bidi w:val="0"/>
              <w:ind w:left="0" w:leftChars="0" w:firstLine="480" w:firstLineChars="200"/>
              <w:jc w:val="both"/>
              <w:rPr>
                <w:rFonts w:hint="default" w:ascii="Times New Roman" w:hAnsi="Times New Roman" w:cs="Times New Roman"/>
                <w:b w:val="0"/>
                <w:bCs w:val="0"/>
                <w:color w:val="auto"/>
                <w:sz w:val="24"/>
                <w:szCs w:val="24"/>
                <w:lang w:val="en-US"/>
              </w:rPr>
            </w:pPr>
            <w:r>
              <w:rPr>
                <w:rFonts w:hint="eastAsia" w:cs="Times New Roman"/>
                <w:b w:val="0"/>
                <w:bCs w:val="0"/>
                <w:color w:val="auto"/>
                <w:sz w:val="24"/>
                <w:szCs w:val="24"/>
                <w:lang w:val="en-US" w:eastAsia="zh-CN"/>
              </w:rPr>
              <w:t>根据</w:t>
            </w:r>
            <w:r>
              <w:rPr>
                <w:rFonts w:hint="default" w:ascii="Times New Roman" w:hAnsi="Times New Roman" w:cs="Times New Roman"/>
                <w:b w:val="0"/>
                <w:bCs w:val="0"/>
                <w:color w:val="auto"/>
                <w:sz w:val="24"/>
                <w:szCs w:val="24"/>
                <w:lang w:val="en-US" w:eastAsia="zh-CN"/>
              </w:rPr>
              <w:t>陕西省“三线一单”数据应用系统平台查询</w:t>
            </w:r>
            <w:r>
              <w:rPr>
                <w:rFonts w:hint="eastAsia" w:cs="Times New Roman"/>
                <w:b w:val="0"/>
                <w:bCs w:val="0"/>
                <w:color w:val="auto"/>
                <w:sz w:val="24"/>
                <w:szCs w:val="24"/>
                <w:lang w:val="en-US" w:eastAsia="zh-CN"/>
              </w:rPr>
              <w:t>的关于本项目的《陕西省“三线一单”生态环境管控单元对照分析报告》可知，本项目位于重点管控单元，因项目位于重点管控单元，项目实施不会影响区域生态环境管控单元。</w:t>
            </w:r>
          </w:p>
          <w:p w14:paraId="4903CB15">
            <w:pPr>
              <w:adjustRightInd w:val="0"/>
              <w:snapToGrid w:val="0"/>
              <w:spacing w:line="360" w:lineRule="auto"/>
              <w:rPr>
                <w:b/>
                <w:bCs/>
                <w:color w:val="auto"/>
                <w:sz w:val="24"/>
                <w:szCs w:val="24"/>
              </w:rPr>
            </w:pPr>
            <w:r>
              <w:rPr>
                <w:rFonts w:hint="eastAsia"/>
                <w:b/>
                <w:bCs/>
                <w:color w:val="auto"/>
                <w:sz w:val="24"/>
                <w:szCs w:val="24"/>
                <w:lang w:val="en-US" w:eastAsia="zh-CN"/>
              </w:rPr>
              <w:t>3</w:t>
            </w:r>
            <w:r>
              <w:rPr>
                <w:rFonts w:hint="eastAsia"/>
                <w:b/>
                <w:bCs/>
                <w:color w:val="auto"/>
                <w:sz w:val="24"/>
                <w:szCs w:val="24"/>
              </w:rPr>
              <w:t>、与相关</w:t>
            </w:r>
            <w:r>
              <w:rPr>
                <w:rFonts w:hint="eastAsia"/>
                <w:b/>
                <w:bCs/>
                <w:color w:val="auto"/>
                <w:sz w:val="24"/>
                <w:szCs w:val="24"/>
                <w:lang w:val="en-US" w:eastAsia="zh-CN"/>
              </w:rPr>
              <w:t>相关法规条例的</w:t>
            </w:r>
            <w:r>
              <w:rPr>
                <w:rFonts w:hint="eastAsia"/>
                <w:b/>
                <w:bCs/>
                <w:color w:val="auto"/>
                <w:sz w:val="24"/>
                <w:szCs w:val="24"/>
              </w:rPr>
              <w:t>相符性分析</w:t>
            </w:r>
          </w:p>
          <w:p w14:paraId="4CAF48B8">
            <w:pPr>
              <w:keepNext w:val="0"/>
              <w:keepLines w:val="0"/>
              <w:pageBreakBefore w:val="0"/>
              <w:widowControl w:val="0"/>
              <w:kinsoku/>
              <w:wordWrap/>
              <w:overflowPunct/>
              <w:topLinePunct w:val="0"/>
              <w:autoSpaceDE/>
              <w:autoSpaceDN/>
              <w:bidi w:val="0"/>
              <w:adjustRightInd/>
              <w:snapToGrid w:val="0"/>
              <w:spacing w:before="157" w:beforeLines="50" w:line="360" w:lineRule="auto"/>
              <w:jc w:val="center"/>
              <w:textAlignment w:val="auto"/>
              <w:rPr>
                <w:b/>
                <w:bCs/>
                <w:color w:val="auto"/>
                <w:sz w:val="24"/>
                <w:szCs w:val="24"/>
              </w:rPr>
            </w:pPr>
            <w:r>
              <w:rPr>
                <w:rFonts w:hint="eastAsia"/>
                <w:b/>
                <w:bCs/>
                <w:color w:val="auto"/>
                <w:sz w:val="24"/>
                <w:szCs w:val="24"/>
                <w:lang w:val="en-US" w:eastAsia="zh-CN"/>
              </w:rPr>
              <w:t>表1-5</w:t>
            </w:r>
            <w:r>
              <w:rPr>
                <w:b/>
                <w:bCs/>
                <w:color w:val="auto"/>
                <w:sz w:val="24"/>
                <w:szCs w:val="24"/>
              </w:rPr>
              <w:t>本项目与环境管理政策相符性分析</w:t>
            </w:r>
          </w:p>
          <w:tbl>
            <w:tblPr>
              <w:tblStyle w:val="32"/>
              <w:tblW w:w="4924" w:type="pct"/>
              <w:tblInd w:w="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80"/>
              <w:gridCol w:w="2713"/>
              <w:gridCol w:w="2086"/>
              <w:gridCol w:w="873"/>
            </w:tblGrid>
            <w:tr w14:paraId="29AB71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pct"/>
                  <w:tcBorders>
                    <w:tl2br w:val="nil"/>
                    <w:tr2bl w:val="nil"/>
                  </w:tcBorders>
                  <w:vAlign w:val="center"/>
                </w:tcPr>
                <w:p w14:paraId="1503F80D">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baseline"/>
                    <w:rPr>
                      <w:rFonts w:hint="eastAsia"/>
                      <w:color w:val="auto"/>
                      <w:lang w:val="en" w:eastAsia="zh-CN"/>
                    </w:rPr>
                  </w:pPr>
                  <w:r>
                    <w:rPr>
                      <w:rFonts w:hint="default"/>
                      <w:b/>
                      <w:bCs/>
                      <w:color w:val="auto"/>
                    </w:rPr>
                    <w:t>名称</w:t>
                  </w:r>
                </w:p>
              </w:tc>
              <w:tc>
                <w:tcPr>
                  <w:tcW w:w="1896" w:type="pct"/>
                  <w:tcBorders>
                    <w:tl2br w:val="nil"/>
                    <w:tr2bl w:val="nil"/>
                  </w:tcBorders>
                  <w:vAlign w:val="center"/>
                </w:tcPr>
                <w:p w14:paraId="25C62737">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rPr>
                      <w:rFonts w:hint="default" w:ascii="Times New Roman" w:hAnsi="Times New Roman" w:cs="Times New Roman"/>
                      <w:color w:val="auto"/>
                      <w:sz w:val="21"/>
                      <w:szCs w:val="21"/>
                      <w:lang w:val="en" w:eastAsia="zh-CN"/>
                    </w:rPr>
                  </w:pPr>
                  <w:r>
                    <w:rPr>
                      <w:rFonts w:hint="default"/>
                      <w:b/>
                      <w:bCs/>
                      <w:color w:val="auto"/>
                    </w:rPr>
                    <w:t>要求</w:t>
                  </w:r>
                </w:p>
              </w:tc>
              <w:tc>
                <w:tcPr>
                  <w:tcW w:w="1458" w:type="pct"/>
                  <w:tcBorders>
                    <w:tl2br w:val="nil"/>
                    <w:tr2bl w:val="nil"/>
                  </w:tcBorders>
                  <w:vAlign w:val="center"/>
                </w:tcPr>
                <w:p w14:paraId="1D1327C9">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rPr>
                      <w:rFonts w:hint="eastAsia"/>
                      <w:color w:val="auto"/>
                      <w:lang w:val="en-US" w:eastAsia="zh-CN"/>
                    </w:rPr>
                  </w:pPr>
                  <w:r>
                    <w:rPr>
                      <w:rFonts w:hint="default"/>
                      <w:b/>
                      <w:bCs/>
                      <w:color w:val="auto"/>
                    </w:rPr>
                    <w:t>本项目情况</w:t>
                  </w:r>
                </w:p>
              </w:tc>
              <w:tc>
                <w:tcPr>
                  <w:tcW w:w="610" w:type="pct"/>
                  <w:tcBorders>
                    <w:tl2br w:val="nil"/>
                    <w:tr2bl w:val="nil"/>
                  </w:tcBorders>
                  <w:vAlign w:val="center"/>
                </w:tcPr>
                <w:p w14:paraId="5FCEC4BC">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baseline"/>
                    <w:rPr>
                      <w:rFonts w:hint="eastAsia"/>
                      <w:color w:val="auto"/>
                      <w:lang w:val="en-US" w:eastAsia="zh-CN"/>
                    </w:rPr>
                  </w:pPr>
                  <w:r>
                    <w:rPr>
                      <w:rFonts w:hint="default"/>
                      <w:b/>
                      <w:bCs/>
                      <w:color w:val="auto"/>
                    </w:rPr>
                    <w:t>符合性</w:t>
                  </w:r>
                </w:p>
              </w:tc>
            </w:tr>
            <w:tr w14:paraId="18C1FD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pct"/>
                  <w:tcBorders>
                    <w:tl2br w:val="nil"/>
                    <w:tr2bl w:val="nil"/>
                  </w:tcBorders>
                  <w:vAlign w:val="center"/>
                </w:tcPr>
                <w:p w14:paraId="432E9A81">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baseline"/>
                    <w:rPr>
                      <w:rFonts w:hint="default" w:eastAsia="宋体"/>
                      <w:b w:val="0"/>
                      <w:bCs w:val="0"/>
                      <w:color w:val="auto"/>
                      <w:lang w:val="en-US" w:eastAsia="zh-CN"/>
                    </w:rPr>
                  </w:pPr>
                  <w:r>
                    <w:rPr>
                      <w:rFonts w:hint="eastAsia"/>
                      <w:b w:val="0"/>
                      <w:bCs w:val="0"/>
                      <w:color w:val="auto"/>
                      <w:lang w:eastAsia="zh-CN"/>
                    </w:rPr>
                    <w:t>《中华人民共和国水污染防治法》（</w:t>
                  </w:r>
                  <w:r>
                    <w:rPr>
                      <w:rFonts w:hint="eastAsia"/>
                      <w:b w:val="0"/>
                      <w:bCs w:val="0"/>
                      <w:color w:val="auto"/>
                      <w:lang w:val="en-US" w:eastAsia="zh-CN"/>
                    </w:rPr>
                    <w:t>2018.1.1</w:t>
                  </w:r>
                  <w:r>
                    <w:rPr>
                      <w:rFonts w:hint="eastAsia"/>
                      <w:b w:val="0"/>
                      <w:bCs w:val="0"/>
                      <w:color w:val="auto"/>
                      <w:lang w:eastAsia="zh-CN"/>
                    </w:rPr>
                    <w:t>）</w:t>
                  </w:r>
                </w:p>
              </w:tc>
              <w:tc>
                <w:tcPr>
                  <w:tcW w:w="1896" w:type="pct"/>
                  <w:tcBorders>
                    <w:tl2br w:val="nil"/>
                    <w:tr2bl w:val="nil"/>
                  </w:tcBorders>
                  <w:vAlign w:val="center"/>
                </w:tcPr>
                <w:p w14:paraId="75D978CA">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left"/>
                    <w:rPr>
                      <w:rFonts w:hint="default"/>
                      <w:b w:val="0"/>
                      <w:bCs w:val="0"/>
                      <w:color w:val="auto"/>
                    </w:rPr>
                  </w:pPr>
                  <w:r>
                    <w:rPr>
                      <w:rFonts w:hint="default"/>
                      <w:b w:val="0"/>
                      <w:bCs w:val="0"/>
                      <w:color w:val="auto"/>
                    </w:rPr>
                    <w:t>第六十四条 在饮用水水源保护区内，禁止设置排污口。</w:t>
                  </w:r>
                </w:p>
                <w:p w14:paraId="02D68F7C">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left"/>
                    <w:rPr>
                      <w:rFonts w:hint="default"/>
                      <w:b w:val="0"/>
                      <w:bCs w:val="0"/>
                      <w:color w:val="auto"/>
                    </w:rPr>
                  </w:pPr>
                  <w:r>
                    <w:rPr>
                      <w:rFonts w:hint="default"/>
                      <w:b w:val="0"/>
                      <w:bCs w:val="0"/>
                      <w:color w:val="auto"/>
                    </w:rPr>
                    <w:t>第六十五条 禁止在饮用水水源一级保护区内新建、改建、扩建与供水设施和保护水源无关的建设项目；已建成的与供水设施和保护水源无关的建设项目</w:t>
                  </w:r>
                  <w:r>
                    <w:rPr>
                      <w:rFonts w:hint="eastAsia"/>
                      <w:b w:val="0"/>
                      <w:bCs w:val="0"/>
                      <w:color w:val="auto"/>
                      <w:lang w:eastAsia="zh-CN"/>
                    </w:rPr>
                    <w:t>，</w:t>
                  </w:r>
                  <w:r>
                    <w:rPr>
                      <w:rFonts w:hint="default"/>
                      <w:b w:val="0"/>
                      <w:bCs w:val="0"/>
                      <w:color w:val="auto"/>
                    </w:rPr>
                    <w:t>由县级以上人民政府责令拆除或者关闭。</w:t>
                  </w:r>
                </w:p>
                <w:p w14:paraId="00F7C71A">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left"/>
                    <w:rPr>
                      <w:rFonts w:hint="default"/>
                      <w:b w:val="0"/>
                      <w:bCs w:val="0"/>
                      <w:color w:val="auto"/>
                    </w:rPr>
                  </w:pPr>
                  <w:r>
                    <w:rPr>
                      <w:rFonts w:hint="default"/>
                      <w:b w:val="0"/>
                      <w:bCs w:val="0"/>
                      <w:color w:val="auto"/>
                    </w:rPr>
                    <w:t>禁止在饮用水水源一级保护区内从事网箱养殖、旅游、游泳、垂钓或者其他可能污染饮用水水体的活动。</w:t>
                  </w:r>
                </w:p>
                <w:p w14:paraId="4E019E63">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left"/>
                    <w:rPr>
                      <w:rFonts w:hint="default"/>
                      <w:b w:val="0"/>
                      <w:bCs w:val="0"/>
                      <w:color w:val="auto"/>
                    </w:rPr>
                  </w:pPr>
                  <w:r>
                    <w:rPr>
                      <w:rFonts w:hint="default"/>
                      <w:b w:val="0"/>
                      <w:bCs w:val="0"/>
                      <w:color w:val="auto"/>
                    </w:rPr>
                    <w:t>第六十六条 禁止在饮用水水源二级保护区内新建、改建、扩建排放污染物的建设项目；已建成的排放污染物的建设项目，由县级以上人民政府责令拆除或者关闭。在饮用水水源二级保护区内从事网箱养殖、旅游等活动的，应当按照规定采取措施，防止污染饮用水水体。</w:t>
                  </w:r>
                </w:p>
                <w:p w14:paraId="15CD816D">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left"/>
                    <w:rPr>
                      <w:rFonts w:hint="default"/>
                      <w:b w:val="0"/>
                      <w:bCs w:val="0"/>
                      <w:color w:val="auto"/>
                    </w:rPr>
                  </w:pPr>
                  <w:r>
                    <w:rPr>
                      <w:rFonts w:hint="default"/>
                      <w:b w:val="0"/>
                      <w:bCs w:val="0"/>
                      <w:color w:val="auto"/>
                    </w:rPr>
                    <w:t>第六十七条 禁止在饮用水水源准保护区内新建、扩建对水体污染严重的建设项目；改建建设项目，不得增加排污量。</w:t>
                  </w:r>
                </w:p>
              </w:tc>
              <w:tc>
                <w:tcPr>
                  <w:tcW w:w="1458" w:type="pct"/>
                  <w:tcBorders>
                    <w:tl2br w:val="nil"/>
                    <w:tr2bl w:val="nil"/>
                  </w:tcBorders>
                  <w:vAlign w:val="center"/>
                </w:tcPr>
                <w:p w14:paraId="0E13BB8A">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rPr>
                      <w:rFonts w:hint="default"/>
                      <w:b w:val="0"/>
                      <w:bCs w:val="0"/>
                      <w:color w:val="auto"/>
                    </w:rPr>
                  </w:pPr>
                  <w:r>
                    <w:rPr>
                      <w:rFonts w:hint="eastAsia"/>
                      <w:color w:val="auto"/>
                      <w:sz w:val="21"/>
                      <w:szCs w:val="21"/>
                      <w:lang w:val="en-US" w:eastAsia="zh-CN"/>
                    </w:rPr>
                    <w:t>项目位于</w:t>
                  </w:r>
                  <w:r>
                    <w:rPr>
                      <w:rFonts w:hint="eastAsia" w:ascii="宋体" w:hAnsi="宋体" w:eastAsia="宋体" w:cs="宋体"/>
                      <w:color w:val="auto"/>
                      <w:szCs w:val="21"/>
                      <w:lang w:val="en-US" w:eastAsia="zh-CN"/>
                    </w:rPr>
                    <w:t>陕西省宝鸡市凤翔县东北糜杆桥镇宝鸡机场东南侧</w:t>
                  </w:r>
                  <w:r>
                    <w:rPr>
                      <w:rFonts w:hint="eastAsia" w:ascii="宋体" w:hAnsi="宋体" w:eastAsia="宋体" w:cs="宋体"/>
                      <w:color w:val="auto"/>
                      <w:sz w:val="21"/>
                      <w:szCs w:val="21"/>
                      <w:lang w:val="en-US" w:eastAsia="zh-CN"/>
                    </w:rPr>
                    <w:t>，项目用地为工业用地</w:t>
                  </w:r>
                  <w:r>
                    <w:rPr>
                      <w:rFonts w:hint="eastAsia" w:eastAsia="宋体"/>
                      <w:color w:val="auto"/>
                      <w:lang w:eastAsia="zh-CN"/>
                    </w:rPr>
                    <w:t>。</w:t>
                  </w:r>
                  <w:r>
                    <w:rPr>
                      <w:rFonts w:hint="eastAsia"/>
                      <w:b w:val="0"/>
                      <w:bCs w:val="0"/>
                      <w:color w:val="auto"/>
                      <w:lang w:val="en-US" w:eastAsia="zh-CN"/>
                    </w:rPr>
                    <w:t>大气污染物仅为极少量无组织非甲烷总烃。本项目运营过程中只有少量生活污水，不涉及生产废水产生。生活污水水质简单经化粪池处理后，及时清掏由罐车运输至污水处理厂处理，不外排。不属于对水体污染严重的建设项目，不增加废水污染物排放量。</w:t>
                  </w:r>
                </w:p>
              </w:tc>
              <w:tc>
                <w:tcPr>
                  <w:tcW w:w="610" w:type="pct"/>
                  <w:tcBorders>
                    <w:tl2br w:val="nil"/>
                    <w:tr2bl w:val="nil"/>
                  </w:tcBorders>
                  <w:vAlign w:val="center"/>
                </w:tcPr>
                <w:p w14:paraId="7520BAF8">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baseline"/>
                    <w:rPr>
                      <w:rFonts w:hint="eastAsia" w:eastAsia="宋体"/>
                      <w:b w:val="0"/>
                      <w:bCs w:val="0"/>
                      <w:color w:val="auto"/>
                      <w:lang w:eastAsia="zh-CN"/>
                    </w:rPr>
                  </w:pPr>
                  <w:r>
                    <w:rPr>
                      <w:rFonts w:hint="eastAsia"/>
                      <w:b w:val="0"/>
                      <w:bCs w:val="0"/>
                      <w:color w:val="auto"/>
                      <w:lang w:eastAsia="zh-CN"/>
                    </w:rPr>
                    <w:t>符合</w:t>
                  </w:r>
                </w:p>
              </w:tc>
            </w:tr>
            <w:tr w14:paraId="10EBB5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pct"/>
                  <w:tcBorders>
                    <w:tl2br w:val="nil"/>
                    <w:tr2bl w:val="nil"/>
                  </w:tcBorders>
                  <w:vAlign w:val="center"/>
                </w:tcPr>
                <w:p w14:paraId="3EB4E86D">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baseline"/>
                    <w:rPr>
                      <w:rFonts w:hint="default"/>
                      <w:b w:val="0"/>
                      <w:bCs w:val="0"/>
                      <w:color w:val="auto"/>
                    </w:rPr>
                  </w:pPr>
                  <w:r>
                    <w:rPr>
                      <w:rFonts w:hint="eastAsia"/>
                      <w:b w:val="0"/>
                      <w:bCs w:val="0"/>
                      <w:color w:val="auto"/>
                      <w:lang w:val="en-US" w:eastAsia="zh-CN"/>
                    </w:rPr>
                    <w:t>《</w:t>
                  </w:r>
                  <w:r>
                    <w:rPr>
                      <w:rFonts w:hint="default"/>
                      <w:b w:val="0"/>
                      <w:bCs w:val="0"/>
                      <w:color w:val="auto"/>
                      <w:lang w:val="en-US" w:eastAsia="zh-CN"/>
                    </w:rPr>
                    <w:t xml:space="preserve">陕西省饮用水水源保护条例 </w:t>
                  </w:r>
                  <w:r>
                    <w:rPr>
                      <w:rFonts w:hint="eastAsia"/>
                      <w:b w:val="0"/>
                      <w:bCs w:val="0"/>
                      <w:color w:val="auto"/>
                      <w:lang w:val="en-US" w:eastAsia="zh-CN"/>
                    </w:rPr>
                    <w:t>》</w:t>
                  </w:r>
                  <w:r>
                    <w:rPr>
                      <w:rFonts w:hint="default"/>
                      <w:b w:val="0"/>
                      <w:bCs w:val="0"/>
                      <w:color w:val="auto"/>
                      <w:lang w:val="en-US" w:eastAsia="zh-CN"/>
                    </w:rPr>
                    <w:t>（ 2021 年 1 月 21 日陕西省第十三届人民代表大会常务委员会第二十四次会议修订）</w:t>
                  </w:r>
                </w:p>
                <w:p w14:paraId="12162609">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baseline"/>
                    <w:rPr>
                      <w:rFonts w:hint="default"/>
                      <w:b/>
                      <w:bCs/>
                      <w:color w:val="auto"/>
                    </w:rPr>
                  </w:pPr>
                </w:p>
              </w:tc>
              <w:tc>
                <w:tcPr>
                  <w:tcW w:w="1896" w:type="pct"/>
                  <w:tcBorders>
                    <w:tl2br w:val="nil"/>
                    <w:tr2bl w:val="nil"/>
                  </w:tcBorders>
                  <w:vAlign w:val="center"/>
                </w:tcPr>
                <w:p w14:paraId="4C995ADD">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left"/>
                    <w:rPr>
                      <w:rFonts w:hint="default"/>
                      <w:b w:val="0"/>
                      <w:bCs w:val="0"/>
                      <w:color w:val="auto"/>
                    </w:rPr>
                  </w:pPr>
                  <w:r>
                    <w:rPr>
                      <w:rFonts w:hint="default"/>
                      <w:b w:val="0"/>
                      <w:bCs w:val="0"/>
                      <w:color w:val="auto"/>
                      <w:lang w:val="en-US" w:eastAsia="zh-CN"/>
                    </w:rPr>
                    <w:t xml:space="preserve">第二十六条 在地下水饮用水水源准保护区内，禁止下列行为： </w:t>
                  </w:r>
                </w:p>
                <w:p w14:paraId="0C8D3CBD">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left"/>
                    <w:rPr>
                      <w:rFonts w:hint="default"/>
                      <w:b w:val="0"/>
                      <w:bCs w:val="0"/>
                      <w:color w:val="auto"/>
                    </w:rPr>
                  </w:pPr>
                  <w:r>
                    <w:rPr>
                      <w:rFonts w:hint="default"/>
                      <w:b w:val="0"/>
                      <w:bCs w:val="0"/>
                      <w:color w:val="auto"/>
                      <w:lang w:val="en-US" w:eastAsia="zh-CN"/>
                    </w:rPr>
                    <w:t xml:space="preserve">（一）新建、扩建对水体污染严重的建设项目，改建增加排污量的建设项目； </w:t>
                  </w:r>
                </w:p>
                <w:p w14:paraId="0B5CBCB4">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left"/>
                    <w:rPr>
                      <w:rFonts w:hint="default"/>
                      <w:b w:val="0"/>
                      <w:bCs w:val="0"/>
                      <w:color w:val="auto"/>
                    </w:rPr>
                  </w:pPr>
                  <w:r>
                    <w:rPr>
                      <w:rFonts w:hint="default"/>
                      <w:b w:val="0"/>
                      <w:bCs w:val="0"/>
                      <w:color w:val="auto"/>
                      <w:lang w:val="en-US" w:eastAsia="zh-CN"/>
                    </w:rPr>
                    <w:t xml:space="preserve">（二）利用渗坑、渗井、深井、裂隙、溶洞等排放污水和其他有害废弃物； </w:t>
                  </w:r>
                </w:p>
                <w:p w14:paraId="2FD46ADB">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left"/>
                    <w:rPr>
                      <w:rFonts w:hint="default"/>
                      <w:b w:val="0"/>
                      <w:bCs w:val="0"/>
                      <w:color w:val="auto"/>
                    </w:rPr>
                  </w:pPr>
                  <w:r>
                    <w:rPr>
                      <w:rFonts w:hint="default"/>
                      <w:b w:val="0"/>
                      <w:bCs w:val="0"/>
                      <w:color w:val="auto"/>
                      <w:lang w:val="en-US" w:eastAsia="zh-CN"/>
                    </w:rPr>
                    <w:t xml:space="preserve">（三）利用透水层孔隙、裂隙、溶洞及废弃矿坑储存石油、天然气、放射性物质、有毒有害化工原料、农药等； </w:t>
                  </w:r>
                </w:p>
                <w:p w14:paraId="55BDC72F">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left"/>
                    <w:rPr>
                      <w:rFonts w:hint="default"/>
                      <w:b w:val="0"/>
                      <w:bCs w:val="0"/>
                      <w:color w:val="auto"/>
                    </w:rPr>
                  </w:pPr>
                  <w:r>
                    <w:rPr>
                      <w:rFonts w:hint="default"/>
                      <w:b w:val="0"/>
                      <w:bCs w:val="0"/>
                      <w:color w:val="auto"/>
                      <w:lang w:val="en-US" w:eastAsia="zh-CN"/>
                    </w:rPr>
                    <w:t xml:space="preserve">（四）利用无防渗漏措施的沟渠、坑塘等输送或者存贮含有毒污染物的废水、含病原体的污水和其他废物； </w:t>
                  </w:r>
                </w:p>
                <w:p w14:paraId="6ACD269C">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left"/>
                    <w:rPr>
                      <w:rFonts w:hint="default"/>
                      <w:b w:val="0"/>
                      <w:bCs w:val="0"/>
                      <w:color w:val="auto"/>
                    </w:rPr>
                  </w:pPr>
                  <w:r>
                    <w:rPr>
                      <w:rFonts w:hint="default"/>
                      <w:b w:val="0"/>
                      <w:bCs w:val="0"/>
                      <w:color w:val="auto"/>
                      <w:lang w:val="en-US" w:eastAsia="zh-CN"/>
                    </w:rPr>
                    <w:t xml:space="preserve">（五）设置化工原料、危险废物和易溶性、有毒有害废弃物的暂存及转运站； </w:t>
                  </w:r>
                </w:p>
                <w:p w14:paraId="67B47875">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left"/>
                    <w:rPr>
                      <w:rFonts w:hint="default"/>
                      <w:b w:val="0"/>
                      <w:bCs w:val="0"/>
                      <w:color w:val="auto"/>
                    </w:rPr>
                  </w:pPr>
                  <w:r>
                    <w:rPr>
                      <w:rFonts w:hint="default"/>
                      <w:b w:val="0"/>
                      <w:bCs w:val="0"/>
                      <w:color w:val="auto"/>
                      <w:lang w:val="en-US" w:eastAsia="zh-CN"/>
                    </w:rPr>
                    <w:t xml:space="preserve">（六）毁林开荒、非更新采伐水源涵养林； </w:t>
                  </w:r>
                </w:p>
                <w:p w14:paraId="739C894A">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left"/>
                    <w:rPr>
                      <w:rFonts w:hint="default"/>
                      <w:b w:val="0"/>
                      <w:bCs w:val="0"/>
                      <w:color w:val="auto"/>
                    </w:rPr>
                  </w:pPr>
                  <w:r>
                    <w:rPr>
                      <w:rFonts w:hint="default"/>
                      <w:b w:val="0"/>
                      <w:bCs w:val="0"/>
                      <w:color w:val="auto"/>
                      <w:lang w:val="en-US" w:eastAsia="zh-CN"/>
                    </w:rPr>
                    <w:t xml:space="preserve">（七）使用剧毒、高残留农药以及滥用化肥； </w:t>
                  </w:r>
                </w:p>
                <w:p w14:paraId="46F0166E">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left"/>
                    <w:rPr>
                      <w:rFonts w:hint="default"/>
                      <w:b w:val="0"/>
                      <w:bCs w:val="0"/>
                      <w:color w:val="auto"/>
                    </w:rPr>
                  </w:pPr>
                  <w:r>
                    <w:rPr>
                      <w:rFonts w:hint="default"/>
                      <w:b w:val="0"/>
                      <w:bCs w:val="0"/>
                      <w:color w:val="auto"/>
                      <w:lang w:val="en-US" w:eastAsia="zh-CN"/>
                    </w:rPr>
                    <w:t xml:space="preserve">（八）使用不符合国家农田灌溉水质标准的污水灌溉农田； </w:t>
                  </w:r>
                </w:p>
                <w:p w14:paraId="53A146F0">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left"/>
                    <w:rPr>
                      <w:rFonts w:hint="default"/>
                      <w:b/>
                      <w:bCs/>
                      <w:color w:val="auto"/>
                    </w:rPr>
                  </w:pPr>
                  <w:r>
                    <w:rPr>
                      <w:rFonts w:hint="default"/>
                      <w:b w:val="0"/>
                      <w:bCs w:val="0"/>
                      <w:color w:val="auto"/>
                      <w:lang w:val="en-US" w:eastAsia="zh-CN"/>
                    </w:rPr>
                    <w:t>（九）其他可能污染、破坏饮用水水源生态环境的行为</w:t>
                  </w:r>
                  <w:r>
                    <w:rPr>
                      <w:rFonts w:hint="default"/>
                      <w:b/>
                      <w:bCs/>
                      <w:color w:val="auto"/>
                      <w:lang w:val="en-US" w:eastAsia="zh-CN"/>
                    </w:rPr>
                    <w:t>。</w:t>
                  </w:r>
                </w:p>
              </w:tc>
              <w:tc>
                <w:tcPr>
                  <w:tcW w:w="1458" w:type="pct"/>
                  <w:tcBorders>
                    <w:tl2br w:val="nil"/>
                    <w:tr2bl w:val="nil"/>
                  </w:tcBorders>
                  <w:vAlign w:val="center"/>
                </w:tcPr>
                <w:p w14:paraId="70EE6C46">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both"/>
                    <w:rPr>
                      <w:rFonts w:hint="default"/>
                      <w:b w:val="0"/>
                      <w:bCs w:val="0"/>
                      <w:color w:val="auto"/>
                      <w:lang w:val="en-US"/>
                    </w:rPr>
                  </w:pPr>
                  <w:r>
                    <w:rPr>
                      <w:rFonts w:hint="eastAsia"/>
                      <w:color w:val="auto"/>
                      <w:sz w:val="21"/>
                      <w:szCs w:val="21"/>
                      <w:lang w:val="en-US" w:eastAsia="zh-CN"/>
                    </w:rPr>
                    <w:t>1、项目位于</w:t>
                  </w:r>
                  <w:r>
                    <w:rPr>
                      <w:rFonts w:hint="eastAsia" w:ascii="宋体" w:hAnsi="宋体" w:eastAsia="宋体" w:cs="宋体"/>
                      <w:color w:val="auto"/>
                      <w:szCs w:val="21"/>
                      <w:lang w:val="en-US" w:eastAsia="zh-CN"/>
                    </w:rPr>
                    <w:t>陕西省宝鸡市凤翔县东北糜杆桥镇宝鸡机场东南侧</w:t>
                  </w:r>
                  <w:r>
                    <w:rPr>
                      <w:rFonts w:hint="eastAsia" w:ascii="宋体" w:hAnsi="宋体" w:eastAsia="宋体" w:cs="宋体"/>
                      <w:color w:val="auto"/>
                      <w:sz w:val="21"/>
                      <w:szCs w:val="21"/>
                      <w:lang w:val="en-US" w:eastAsia="zh-CN"/>
                    </w:rPr>
                    <w:t>，项目用地为工业用地</w:t>
                  </w:r>
                  <w:r>
                    <w:rPr>
                      <w:rFonts w:hint="eastAsia" w:eastAsia="宋体"/>
                      <w:color w:val="auto"/>
                      <w:lang w:eastAsia="zh-CN"/>
                    </w:rPr>
                    <w:t>。</w:t>
                  </w:r>
                  <w:r>
                    <w:rPr>
                      <w:rFonts w:hint="eastAsia"/>
                      <w:b w:val="0"/>
                      <w:bCs w:val="0"/>
                      <w:color w:val="auto"/>
                      <w:lang w:val="en-US" w:eastAsia="zh-CN"/>
                    </w:rPr>
                    <w:t>大气污染物仅为极少量无组织非甲烷总烃。本项目运营过程中只有少量生活污水，不涉及生产废水产生。生活污水水质简单经化粪池处理后，及时清掏由罐车运输至污水处理厂处理，不外排。不属于对水体污染严重的建设项目，不增加废水污染物排放量。2、</w:t>
                  </w:r>
                  <w:r>
                    <w:rPr>
                      <w:rFonts w:hint="eastAsia" w:ascii="Times New Roman" w:hAnsi="Times New Roman"/>
                      <w:color w:val="auto"/>
                      <w:kern w:val="0"/>
                      <w:szCs w:val="21"/>
                    </w:rPr>
                    <w:t>清罐油泥属危险废物，收集后暂存危废暂存间，定期委托有危险废物处理资质单位进行处置；生活垃圾经垃圾桶收集由环卫部门统一处理</w:t>
                  </w:r>
                  <w:r>
                    <w:rPr>
                      <w:rFonts w:hint="eastAsia" w:ascii="Times New Roman" w:hAnsi="Times New Roman" w:eastAsia="宋体" w:cs="Times New Roman"/>
                      <w:color w:val="auto"/>
                      <w:sz w:val="21"/>
                      <w:szCs w:val="21"/>
                      <w:highlight w:val="none"/>
                      <w:lang w:val="en-US" w:eastAsia="zh-CN"/>
                    </w:rPr>
                    <w:t>。</w:t>
                  </w:r>
                </w:p>
              </w:tc>
              <w:tc>
                <w:tcPr>
                  <w:tcW w:w="610" w:type="pct"/>
                  <w:tcBorders>
                    <w:tl2br w:val="nil"/>
                    <w:tr2bl w:val="nil"/>
                  </w:tcBorders>
                  <w:vAlign w:val="center"/>
                </w:tcPr>
                <w:p w14:paraId="350DB75E">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baseline"/>
                    <w:rPr>
                      <w:rFonts w:hint="eastAsia" w:eastAsia="宋体"/>
                      <w:b w:val="0"/>
                      <w:bCs w:val="0"/>
                      <w:color w:val="auto"/>
                      <w:lang w:eastAsia="zh-CN"/>
                    </w:rPr>
                  </w:pPr>
                  <w:r>
                    <w:rPr>
                      <w:rFonts w:hint="eastAsia"/>
                      <w:b w:val="0"/>
                      <w:bCs w:val="0"/>
                      <w:color w:val="auto"/>
                      <w:lang w:eastAsia="zh-CN"/>
                    </w:rPr>
                    <w:t>符合</w:t>
                  </w:r>
                </w:p>
              </w:tc>
            </w:tr>
            <w:tr w14:paraId="609B31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pct"/>
                  <w:tcBorders>
                    <w:tl2br w:val="nil"/>
                    <w:tr2bl w:val="nil"/>
                  </w:tcBorders>
                  <w:vAlign w:val="center"/>
                </w:tcPr>
                <w:p w14:paraId="65C694B9">
                  <w:pPr>
                    <w:pStyle w:val="2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150" w:afterAutospacing="0" w:line="240" w:lineRule="auto"/>
                    <w:ind w:left="0" w:leftChars="0" w:right="0" w:rightChars="0" w:firstLine="0" w:firstLineChars="0"/>
                    <w:jc w:val="center"/>
                    <w:rPr>
                      <w:rFonts w:hint="default"/>
                      <w:b/>
                      <w:bCs/>
                      <w:color w:val="auto"/>
                    </w:rPr>
                  </w:pPr>
                  <w:r>
                    <w:rPr>
                      <w:rFonts w:hint="default" w:ascii="Times New Roman" w:hAnsi="Times New Roman" w:eastAsia="宋体" w:cs="Times New Roman"/>
                      <w:snapToGrid w:val="0"/>
                      <w:color w:val="auto"/>
                      <w:kern w:val="2"/>
                      <w:sz w:val="21"/>
                      <w:szCs w:val="21"/>
                      <w:lang w:val="en-US" w:eastAsia="zh-CN" w:bidi="ar-SA"/>
                    </w:rPr>
                    <w:t>《宝鸡市水污染防治工作方案》（宝政发〔2016〕24号）</w:t>
                  </w:r>
                </w:p>
              </w:tc>
              <w:tc>
                <w:tcPr>
                  <w:tcW w:w="1896" w:type="pct"/>
                  <w:tcBorders>
                    <w:tl2br w:val="nil"/>
                    <w:tr2bl w:val="nil"/>
                  </w:tcBorders>
                  <w:vAlign w:val="center"/>
                </w:tcPr>
                <w:p w14:paraId="2C86B4FD">
                  <w:pPr>
                    <w:keepLines w:val="0"/>
                    <w:widowControl w:val="0"/>
                    <w:snapToGrid w:val="0"/>
                    <w:spacing w:before="0" w:beforeAutospacing="0" w:after="0" w:afterAutospacing="0" w:line="240" w:lineRule="auto"/>
                    <w:jc w:val="left"/>
                    <w:textAlignment w:val="baseline"/>
                    <w:rPr>
                      <w:rFonts w:hint="default"/>
                      <w:b/>
                      <w:bCs/>
                      <w:color w:val="auto"/>
                    </w:rPr>
                  </w:pPr>
                  <w:r>
                    <w:rPr>
                      <w:rFonts w:hint="default" w:ascii="Times New Roman" w:hAnsi="Times New Roman" w:eastAsia="宋体" w:cs="Times New Roman"/>
                      <w:b w:val="0"/>
                      <w:bCs/>
                      <w:i w:val="0"/>
                      <w:caps w:val="0"/>
                      <w:color w:val="auto"/>
                      <w:spacing w:val="0"/>
                      <w:w w:val="100"/>
                      <w:sz w:val="21"/>
                      <w:szCs w:val="21"/>
                      <w:lang w:val="en-US" w:eastAsia="zh-CN"/>
                    </w:rPr>
                    <w:t>（五）严格环境准入政策。根据流域水质目标和主体功能区规划要求，严格环境准入条件，细化功能分区，实施差别化环境准入政策。渭河流域禁止新建、扩建化学制浆造纸、化工、印染、果汁和淀粉加工等高耗水、高污染项目。</w:t>
                  </w:r>
                </w:p>
              </w:tc>
              <w:tc>
                <w:tcPr>
                  <w:tcW w:w="1458" w:type="pct"/>
                  <w:tcBorders>
                    <w:tl2br w:val="nil"/>
                    <w:tr2bl w:val="nil"/>
                  </w:tcBorders>
                  <w:vAlign w:val="center"/>
                </w:tcPr>
                <w:p w14:paraId="3E2AF04B">
                  <w:pPr>
                    <w:keepLines w:val="0"/>
                    <w:widowControl w:val="0"/>
                    <w:snapToGrid w:val="0"/>
                    <w:spacing w:before="0" w:beforeAutospacing="0" w:after="0" w:afterAutospacing="0" w:line="240" w:lineRule="auto"/>
                    <w:jc w:val="left"/>
                    <w:textAlignment w:val="baseline"/>
                    <w:rPr>
                      <w:rFonts w:hint="default"/>
                      <w:b/>
                      <w:bCs/>
                      <w:color w:val="auto"/>
                    </w:rPr>
                  </w:pPr>
                  <w:r>
                    <w:rPr>
                      <w:rFonts w:hint="default" w:ascii="Times New Roman" w:hAnsi="Times New Roman" w:eastAsia="宋体" w:cs="Times New Roman"/>
                      <w:color w:val="auto"/>
                      <w:kern w:val="2"/>
                      <w:sz w:val="21"/>
                      <w:szCs w:val="21"/>
                      <w:lang w:val="en-US" w:eastAsia="zh-CN" w:bidi="ar-SA"/>
                    </w:rPr>
                    <w:t>陕西省宝鸡市凤翔县东北糜杆桥镇宝鸡机场东南侧</w:t>
                  </w:r>
                  <w:r>
                    <w:rPr>
                      <w:rFonts w:hint="default" w:ascii="Times New Roman" w:hAnsi="Times New Roman" w:eastAsia="宋体" w:cs="Times New Roman"/>
                      <w:snapToGrid w:val="0"/>
                      <w:color w:val="auto"/>
                      <w:sz w:val="21"/>
                      <w:szCs w:val="21"/>
                      <w:lang w:val="en-US" w:eastAsia="zh-CN"/>
                    </w:rPr>
                    <w:t>，</w:t>
                  </w:r>
                  <w:r>
                    <w:rPr>
                      <w:rFonts w:hint="default" w:ascii="Times New Roman" w:hAnsi="Times New Roman" w:eastAsia="宋体" w:cs="Times New Roman"/>
                      <w:snapToGrid w:val="0"/>
                      <w:color w:val="auto"/>
                      <w:sz w:val="21"/>
                      <w:szCs w:val="21"/>
                      <w:lang w:eastAsia="zh-CN"/>
                    </w:rPr>
                    <w:t>所在地区属于渭河流域，但项目不属于禁止的高耗水、高污染项目</w:t>
                  </w:r>
                </w:p>
              </w:tc>
              <w:tc>
                <w:tcPr>
                  <w:tcW w:w="610" w:type="pct"/>
                  <w:tcBorders>
                    <w:tl2br w:val="nil"/>
                    <w:tr2bl w:val="nil"/>
                  </w:tcBorders>
                  <w:vAlign w:val="center"/>
                </w:tcPr>
                <w:p w14:paraId="083327A0">
                  <w:pPr>
                    <w:pStyle w:val="2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150" w:afterAutospacing="0" w:line="240" w:lineRule="auto"/>
                    <w:ind w:left="0" w:leftChars="0" w:right="0" w:rightChars="0" w:firstLine="0" w:firstLineChars="0"/>
                    <w:jc w:val="center"/>
                    <w:rPr>
                      <w:rFonts w:hint="default"/>
                      <w:b/>
                      <w:bCs/>
                      <w:color w:val="auto"/>
                    </w:rPr>
                  </w:pPr>
                  <w:r>
                    <w:rPr>
                      <w:rFonts w:hint="eastAsia" w:ascii="Times New Roman" w:hAnsi="Times New Roman" w:eastAsia="宋体" w:cs="Times New Roman"/>
                      <w:snapToGrid w:val="0"/>
                      <w:color w:val="auto"/>
                      <w:kern w:val="2"/>
                      <w:sz w:val="21"/>
                      <w:szCs w:val="21"/>
                      <w:lang w:val="en-US" w:eastAsia="zh-CN" w:bidi="ar-SA"/>
                    </w:rPr>
                    <w:t>符合</w:t>
                  </w:r>
                </w:p>
              </w:tc>
            </w:tr>
            <w:tr w14:paraId="42C7BE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pct"/>
                  <w:tcBorders>
                    <w:tl2br w:val="nil"/>
                    <w:tr2bl w:val="nil"/>
                  </w:tcBorders>
                  <w:vAlign w:val="center"/>
                </w:tcPr>
                <w:p w14:paraId="3EBCAB0A">
                  <w:pPr>
                    <w:pStyle w:val="105"/>
                    <w:rPr>
                      <w:rFonts w:hint="default"/>
                      <w:b/>
                      <w:bCs/>
                      <w:color w:val="auto"/>
                    </w:rPr>
                  </w:pPr>
                  <w:r>
                    <w:rPr>
                      <w:rFonts w:hint="eastAsia"/>
                      <w:bCs/>
                      <w:color w:val="auto"/>
                      <w:sz w:val="21"/>
                      <w:szCs w:val="21"/>
                      <w:lang w:eastAsia="zh-CN"/>
                    </w:rPr>
                    <w:t>《</w:t>
                  </w:r>
                  <w:r>
                    <w:rPr>
                      <w:rFonts w:hint="eastAsia"/>
                      <w:bCs/>
                      <w:color w:val="auto"/>
                      <w:sz w:val="21"/>
                      <w:szCs w:val="21"/>
                      <w:lang w:val="en-US" w:eastAsia="zh-CN"/>
                    </w:rPr>
                    <w:t>挥发性有机物污染防治技术政策</w:t>
                  </w:r>
                  <w:r>
                    <w:rPr>
                      <w:rFonts w:hint="eastAsia"/>
                      <w:bCs/>
                      <w:color w:val="auto"/>
                      <w:sz w:val="21"/>
                      <w:szCs w:val="21"/>
                      <w:lang w:eastAsia="zh-CN"/>
                    </w:rPr>
                    <w:t>》</w:t>
                  </w:r>
                </w:p>
              </w:tc>
              <w:tc>
                <w:tcPr>
                  <w:tcW w:w="1896" w:type="pct"/>
                  <w:tcBorders>
                    <w:tl2br w:val="nil"/>
                    <w:tr2bl w:val="nil"/>
                  </w:tcBorders>
                  <w:vAlign w:val="center"/>
                </w:tcPr>
                <w:p w14:paraId="6DC7FB5C">
                  <w:pPr>
                    <w:jc w:val="left"/>
                    <w:rPr>
                      <w:rFonts w:hint="default"/>
                      <w:b/>
                      <w:bCs/>
                      <w:color w:val="auto"/>
                    </w:rPr>
                  </w:pPr>
                  <w:r>
                    <w:rPr>
                      <w:rFonts w:hint="eastAsia" w:cs="Times New Roman"/>
                      <w:color w:val="auto"/>
                      <w:kern w:val="2"/>
                      <w:sz w:val="21"/>
                      <w:szCs w:val="21"/>
                      <w:lang w:val="en-US" w:eastAsia="zh-CN" w:bidi="ar-SA"/>
                    </w:rPr>
                    <w:t>VOCs污染防治应遵循源头和过程控制与末端治理相结合的综合防治原则。在工业生产中采用清洁生产技术，严格控制含VOCs原料与产品在生产和储运销过程中的VOCs排放，鼓励对资源和能源的回收利用；鼓励在生产和生活中使用不含VOCs的替代产品或低VOCs含量的产品。</w:t>
                  </w:r>
                </w:p>
              </w:tc>
              <w:tc>
                <w:tcPr>
                  <w:tcW w:w="1458" w:type="pct"/>
                  <w:tcBorders>
                    <w:tl2br w:val="nil"/>
                    <w:tr2bl w:val="nil"/>
                  </w:tcBorders>
                  <w:vAlign w:val="center"/>
                </w:tcPr>
                <w:p w14:paraId="2D7F82EE">
                  <w:pPr>
                    <w:pStyle w:val="106"/>
                    <w:spacing w:after="0"/>
                    <w:ind w:left="0" w:leftChars="0" w:firstLine="0" w:firstLineChars="0"/>
                    <w:jc w:val="left"/>
                    <w:rPr>
                      <w:rFonts w:hint="default"/>
                      <w:b/>
                      <w:bCs/>
                      <w:color w:val="auto"/>
                    </w:rPr>
                  </w:pPr>
                  <w:r>
                    <w:rPr>
                      <w:rFonts w:hint="eastAsia"/>
                      <w:b w:val="0"/>
                      <w:bCs w:val="0"/>
                      <w:color w:val="auto"/>
                      <w:sz w:val="21"/>
                      <w:szCs w:val="21"/>
                      <w:lang w:val="en-US" w:eastAsia="zh-CN"/>
                    </w:rPr>
                    <w:t>大气污染物仅为极少量无组织非甲烷总烃</w:t>
                  </w:r>
                  <w:r>
                    <w:rPr>
                      <w:rFonts w:hint="eastAsia"/>
                      <w:color w:val="auto"/>
                      <w:kern w:val="2"/>
                      <w:sz w:val="21"/>
                      <w:szCs w:val="21"/>
                      <w:lang w:val="en-US" w:eastAsia="zh-CN" w:bidi="ar-SA"/>
                    </w:rPr>
                    <w:t>，对环境空气影响不大。</w:t>
                  </w:r>
                </w:p>
              </w:tc>
              <w:tc>
                <w:tcPr>
                  <w:tcW w:w="610" w:type="pct"/>
                  <w:tcBorders>
                    <w:tl2br w:val="nil"/>
                    <w:tr2bl w:val="nil"/>
                  </w:tcBorders>
                  <w:vAlign w:val="center"/>
                </w:tcPr>
                <w:p w14:paraId="520149AB">
                  <w:pPr>
                    <w:pStyle w:val="105"/>
                    <w:rPr>
                      <w:rFonts w:hint="default"/>
                      <w:b/>
                      <w:bCs/>
                      <w:color w:val="auto"/>
                    </w:rPr>
                  </w:pPr>
                  <w:r>
                    <w:rPr>
                      <w:rFonts w:hint="eastAsia"/>
                      <w:color w:val="auto"/>
                      <w:sz w:val="21"/>
                      <w:szCs w:val="21"/>
                      <w:lang w:val="en-US" w:eastAsia="zh-CN"/>
                    </w:rPr>
                    <w:t>符合</w:t>
                  </w:r>
                </w:p>
              </w:tc>
            </w:tr>
            <w:tr w14:paraId="24EC10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pct"/>
                  <w:vMerge w:val="restart"/>
                  <w:tcBorders>
                    <w:tl2br w:val="nil"/>
                    <w:tr2bl w:val="nil"/>
                  </w:tcBorders>
                  <w:vAlign w:val="center"/>
                </w:tcPr>
                <w:p w14:paraId="0E5CA7D7">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baseline"/>
                    <w:rPr>
                      <w:rFonts w:hint="default"/>
                      <w:b/>
                      <w:bCs/>
                      <w:color w:val="auto"/>
                    </w:rPr>
                  </w:pPr>
                  <w:r>
                    <w:rPr>
                      <w:rFonts w:hint="eastAsia" w:cs="Times New Roman"/>
                      <w:color w:val="auto"/>
                      <w:kern w:val="2"/>
                      <w:sz w:val="21"/>
                      <w:szCs w:val="21"/>
                      <w:lang w:val="en-US" w:eastAsia="zh-CN" w:bidi="ar-SA"/>
                    </w:rPr>
                    <w:t>《陕西省蓝天保卫战2022年工作方案》</w:t>
                  </w:r>
                </w:p>
              </w:tc>
              <w:tc>
                <w:tcPr>
                  <w:tcW w:w="1896" w:type="pct"/>
                  <w:tcBorders>
                    <w:tl2br w:val="nil"/>
                    <w:tr2bl w:val="nil"/>
                  </w:tcBorders>
                  <w:vAlign w:val="center"/>
                </w:tcPr>
                <w:p w14:paraId="72FA877D">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textAlignment w:val="auto"/>
                    <w:rPr>
                      <w:rFonts w:hint="default"/>
                      <w:b/>
                      <w:bCs/>
                      <w:color w:val="auto"/>
                    </w:rPr>
                  </w:pPr>
                  <w:r>
                    <w:rPr>
                      <w:rFonts w:hint="default" w:ascii="Times New Roman" w:hAnsi="Times New Roman" w:eastAsia="宋体" w:cs="Times New Roman"/>
                      <w:color w:val="auto"/>
                      <w:kern w:val="2"/>
                      <w:sz w:val="21"/>
                      <w:szCs w:val="21"/>
                      <w:lang w:val="en-US" w:eastAsia="zh-CN" w:bidi="ar-SA"/>
                    </w:rPr>
                    <w:t>4.优化产业结构布局。严格执行《产业结构调整指导目录》。重点区域严禁新增钢铁、焦化、水泥熟料、平板玻璃、电解铝、煤化工产能，合理控制煤制油气产能规模，严控新增炼油产能。</w:t>
                  </w:r>
                </w:p>
              </w:tc>
              <w:tc>
                <w:tcPr>
                  <w:tcW w:w="1458" w:type="pct"/>
                  <w:tcBorders>
                    <w:tl2br w:val="nil"/>
                    <w:tr2bl w:val="nil"/>
                  </w:tcBorders>
                  <w:vAlign w:val="center"/>
                </w:tcPr>
                <w:p w14:paraId="2443FA3C">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rPr>
                      <w:rFonts w:hint="default"/>
                      <w:b/>
                      <w:bCs/>
                      <w:color w:val="auto"/>
                    </w:rPr>
                  </w:pPr>
                  <w:r>
                    <w:rPr>
                      <w:rFonts w:hint="eastAsia"/>
                      <w:b w:val="0"/>
                      <w:bCs w:val="0"/>
                      <w:color w:val="auto"/>
                      <w:lang w:val="en-US" w:eastAsia="zh-CN"/>
                    </w:rPr>
                    <w:t>大气污染物仅为极少量无组织非甲烷总烃</w:t>
                  </w:r>
                  <w:r>
                    <w:rPr>
                      <w:rFonts w:hint="eastAsia"/>
                      <w:color w:val="auto"/>
                      <w:kern w:val="2"/>
                      <w:sz w:val="21"/>
                      <w:szCs w:val="21"/>
                      <w:lang w:val="en-US" w:eastAsia="zh-CN" w:bidi="ar-SA"/>
                    </w:rPr>
                    <w:t>，对环境空气影响不大</w:t>
                  </w:r>
                  <w:r>
                    <w:rPr>
                      <w:rFonts w:hint="eastAsia" w:cs="Times New Roman"/>
                      <w:color w:val="auto"/>
                      <w:kern w:val="2"/>
                      <w:sz w:val="21"/>
                      <w:szCs w:val="21"/>
                      <w:lang w:val="en-US" w:eastAsia="zh-CN" w:bidi="ar-SA"/>
                    </w:rPr>
                    <w:t>，不在禁止建设项目的范围之内。</w:t>
                  </w:r>
                </w:p>
              </w:tc>
              <w:tc>
                <w:tcPr>
                  <w:tcW w:w="610" w:type="pct"/>
                  <w:tcBorders>
                    <w:tl2br w:val="nil"/>
                    <w:tr2bl w:val="nil"/>
                  </w:tcBorders>
                  <w:vAlign w:val="center"/>
                </w:tcPr>
                <w:p w14:paraId="231582CE">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baseline"/>
                    <w:rPr>
                      <w:rFonts w:hint="eastAsia" w:eastAsia="宋体"/>
                      <w:b/>
                      <w:bCs/>
                      <w:color w:val="auto"/>
                      <w:lang w:eastAsia="zh-CN"/>
                    </w:rPr>
                  </w:pPr>
                  <w:r>
                    <w:rPr>
                      <w:rFonts w:hint="eastAsia"/>
                      <w:b w:val="0"/>
                      <w:bCs w:val="0"/>
                      <w:color w:val="auto"/>
                      <w:lang w:eastAsia="zh-CN"/>
                    </w:rPr>
                    <w:t>符合</w:t>
                  </w:r>
                </w:p>
              </w:tc>
            </w:tr>
            <w:tr w14:paraId="715E8A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pct"/>
                  <w:vMerge w:val="continue"/>
                  <w:tcBorders>
                    <w:tl2br w:val="nil"/>
                    <w:tr2bl w:val="nil"/>
                  </w:tcBorders>
                  <w:vAlign w:val="center"/>
                </w:tcPr>
                <w:p w14:paraId="2B355200">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baseline"/>
                    <w:rPr>
                      <w:rFonts w:hint="default"/>
                      <w:b/>
                      <w:bCs/>
                      <w:color w:val="auto"/>
                    </w:rPr>
                  </w:pPr>
                </w:p>
              </w:tc>
              <w:tc>
                <w:tcPr>
                  <w:tcW w:w="1896" w:type="pct"/>
                  <w:tcBorders>
                    <w:tl2br w:val="nil"/>
                    <w:tr2bl w:val="nil"/>
                  </w:tcBorders>
                  <w:vAlign w:val="center"/>
                </w:tcPr>
                <w:p w14:paraId="31C887B1">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textAlignment w:val="auto"/>
                    <w:rPr>
                      <w:rFonts w:hint="default"/>
                      <w:b/>
                      <w:bCs/>
                      <w:color w:val="auto"/>
                    </w:rPr>
                  </w:pPr>
                  <w:r>
                    <w:rPr>
                      <w:rFonts w:hint="default" w:ascii="Times New Roman" w:hAnsi="Times New Roman" w:eastAsia="宋体" w:cs="Times New Roman"/>
                      <w:color w:val="auto"/>
                      <w:kern w:val="2"/>
                      <w:sz w:val="21"/>
                      <w:szCs w:val="21"/>
                      <w:lang w:val="en-US" w:eastAsia="zh-CN" w:bidi="ar-SA"/>
                    </w:rPr>
                    <w:t>19.加快推动机动车新能源化发展。以公共领域用车为重点推进新能源化，关中地区新增或更新的城市公交、城市物流配送、轻型邮政快递、出租车、网约车、公务用车、轻型环卫车辆等新能源汽车比例不低于80%。</w:t>
                  </w:r>
                </w:p>
              </w:tc>
              <w:tc>
                <w:tcPr>
                  <w:tcW w:w="1458" w:type="pct"/>
                  <w:tcBorders>
                    <w:tl2br w:val="nil"/>
                    <w:tr2bl w:val="nil"/>
                  </w:tcBorders>
                  <w:shd w:val="clear" w:color="auto" w:fill="auto"/>
                  <w:vAlign w:val="center"/>
                </w:tcPr>
                <w:p w14:paraId="0A5C7E39">
                  <w:pPr>
                    <w:pStyle w:val="106"/>
                    <w:spacing w:after="0"/>
                    <w:ind w:left="0" w:leftChars="0" w:firstLine="0" w:firstLineChars="0"/>
                    <w:jc w:val="left"/>
                    <w:rPr>
                      <w:rFonts w:hint="default" w:ascii="Times New Roman" w:hAnsi="Times New Roman" w:eastAsia="宋体" w:cs="Times New Roman"/>
                      <w:color w:val="auto"/>
                      <w:kern w:val="2"/>
                      <w:sz w:val="21"/>
                      <w:szCs w:val="21"/>
                      <w:lang w:val="en-US" w:eastAsia="zh-CN" w:bidi="ar-SA"/>
                    </w:rPr>
                  </w:pPr>
                  <w:r>
                    <w:rPr>
                      <w:rFonts w:hint="eastAsia"/>
                      <w:color w:val="auto"/>
                      <w:kern w:val="2"/>
                      <w:sz w:val="21"/>
                      <w:szCs w:val="21"/>
                      <w:lang w:val="en-US" w:eastAsia="zh-CN"/>
                    </w:rPr>
                    <w:t>本项目航空煤油来油依托第三方运输公司油罐运输车辆，均为满足当前现行国家政策车辆尾气排放标准。</w:t>
                  </w:r>
                </w:p>
              </w:tc>
              <w:tc>
                <w:tcPr>
                  <w:tcW w:w="610" w:type="pct"/>
                  <w:tcBorders>
                    <w:tl2br w:val="nil"/>
                    <w:tr2bl w:val="nil"/>
                  </w:tcBorders>
                  <w:vAlign w:val="center"/>
                </w:tcPr>
                <w:p w14:paraId="7DC0599A">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baseline"/>
                    <w:rPr>
                      <w:rFonts w:hint="eastAsia" w:eastAsia="宋体"/>
                      <w:b/>
                      <w:bCs/>
                      <w:color w:val="auto"/>
                      <w:lang w:eastAsia="zh-CN"/>
                    </w:rPr>
                  </w:pPr>
                  <w:r>
                    <w:rPr>
                      <w:rFonts w:hint="eastAsia"/>
                      <w:b w:val="0"/>
                      <w:bCs w:val="0"/>
                      <w:color w:val="auto"/>
                      <w:lang w:eastAsia="zh-CN"/>
                    </w:rPr>
                    <w:t>符合</w:t>
                  </w:r>
                </w:p>
              </w:tc>
            </w:tr>
            <w:tr w14:paraId="2B8CB2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pct"/>
                  <w:vMerge w:val="continue"/>
                  <w:tcBorders>
                    <w:tl2br w:val="nil"/>
                    <w:tr2bl w:val="nil"/>
                  </w:tcBorders>
                  <w:vAlign w:val="center"/>
                </w:tcPr>
                <w:p w14:paraId="6700A564">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baseline"/>
                    <w:rPr>
                      <w:rFonts w:hint="default"/>
                      <w:b/>
                      <w:bCs/>
                      <w:color w:val="auto"/>
                    </w:rPr>
                  </w:pPr>
                </w:p>
              </w:tc>
              <w:tc>
                <w:tcPr>
                  <w:tcW w:w="1896" w:type="pct"/>
                  <w:tcBorders>
                    <w:tl2br w:val="nil"/>
                    <w:tr2bl w:val="nil"/>
                  </w:tcBorders>
                  <w:vAlign w:val="center"/>
                </w:tcPr>
                <w:p w14:paraId="16F3810E">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22.推进建筑施工扬尘精细化管控。严格落实施工工地扬尘管控责任，建立施工工地动态管理清单。在工地公示具体防治措施及负责人信息，防治扬尘污染费用纳入工程造价。严格落实工地“六个百分之百”，将建筑施工扬尘防治落实情况纳入企业信用评价。核查渣土车密闭化改装改造，确保运输过程无扬尘、无遗漏、无抛洒，未达到改造升级要求的渣土车辆不得从事渣土运输活动。</w:t>
                  </w:r>
                </w:p>
              </w:tc>
              <w:tc>
                <w:tcPr>
                  <w:tcW w:w="1458" w:type="pct"/>
                  <w:tcBorders>
                    <w:tl2br w:val="nil"/>
                    <w:tr2bl w:val="nil"/>
                  </w:tcBorders>
                  <w:shd w:val="clear" w:color="auto" w:fill="auto"/>
                  <w:vAlign w:val="center"/>
                </w:tcPr>
                <w:p w14:paraId="00234C23">
                  <w:pPr>
                    <w:pStyle w:val="106"/>
                    <w:spacing w:after="0"/>
                    <w:ind w:left="0" w:leftChars="0" w:firstLine="0" w:firstLineChars="0"/>
                    <w:jc w:val="left"/>
                    <w:rPr>
                      <w:rFonts w:hint="default" w:ascii="Times New Roman" w:hAnsi="Times New Roman" w:eastAsia="宋体" w:cs="Times New Roman"/>
                      <w:color w:val="auto"/>
                      <w:kern w:val="2"/>
                      <w:sz w:val="21"/>
                      <w:szCs w:val="21"/>
                      <w:lang w:val="en-US" w:eastAsia="zh-CN" w:bidi="ar-SA"/>
                    </w:rPr>
                  </w:pPr>
                  <w:r>
                    <w:rPr>
                      <w:rFonts w:hint="eastAsia"/>
                      <w:color w:val="auto"/>
                      <w:kern w:val="2"/>
                      <w:sz w:val="21"/>
                      <w:szCs w:val="21"/>
                      <w:lang w:val="en-US" w:eastAsia="zh-CN" w:bidi="ar-SA"/>
                    </w:rPr>
                    <w:t>项目建设期建筑工地严格执行“六个百分之百”；在施工作业带范围内进行有效洒水抑尘作业；对不可洒水物料进行防尘网膜覆盖，平稳物料装卸操作；分段施工，合理安排施工进度，提高工程施工效率，缩短施工时间，同时边铺设管道边分层覆土，减少裸地的暴露时间。渣土车密闭运输。</w:t>
                  </w:r>
                </w:p>
              </w:tc>
              <w:tc>
                <w:tcPr>
                  <w:tcW w:w="610" w:type="pct"/>
                  <w:tcBorders>
                    <w:tl2br w:val="nil"/>
                    <w:tr2bl w:val="nil"/>
                  </w:tcBorders>
                  <w:vAlign w:val="center"/>
                </w:tcPr>
                <w:p w14:paraId="3F6DBF88">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baseline"/>
                    <w:rPr>
                      <w:rFonts w:hint="default"/>
                      <w:b/>
                      <w:bCs/>
                      <w:color w:val="auto"/>
                    </w:rPr>
                  </w:pPr>
                  <w:r>
                    <w:rPr>
                      <w:rFonts w:hint="eastAsia"/>
                      <w:b w:val="0"/>
                      <w:bCs w:val="0"/>
                      <w:color w:val="auto"/>
                      <w:lang w:eastAsia="zh-CN"/>
                    </w:rPr>
                    <w:t>符合</w:t>
                  </w:r>
                </w:p>
              </w:tc>
            </w:tr>
            <w:tr w14:paraId="68E334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34" w:type="pct"/>
                  <w:vMerge w:val="restart"/>
                  <w:tcBorders>
                    <w:tl2br w:val="nil"/>
                    <w:tr2bl w:val="nil"/>
                  </w:tcBorders>
                  <w:vAlign w:val="center"/>
                </w:tcPr>
                <w:p w14:paraId="584EC3E4">
                  <w:pPr>
                    <w:adjustRightInd w:val="0"/>
                    <w:snapToGrid w:val="0"/>
                    <w:jc w:val="both"/>
                    <w:rPr>
                      <w:rFonts w:hint="default" w:ascii="Times New Roman" w:hAnsi="Times New Roman" w:eastAsia="宋体" w:cs="Times New Roman"/>
                      <w:snapToGrid w:val="0"/>
                      <w:color w:val="auto"/>
                      <w:sz w:val="21"/>
                      <w:szCs w:val="21"/>
                      <w:lang w:eastAsia="zh-CN"/>
                    </w:rPr>
                  </w:pPr>
                </w:p>
                <w:p w14:paraId="490228A6">
                  <w:pPr>
                    <w:adjustRightInd w:val="0"/>
                    <w:snapToGrid w:val="0"/>
                    <w:jc w:val="center"/>
                    <w:rPr>
                      <w:rFonts w:hint="default" w:ascii="Times New Roman" w:hAnsi="Times New Roman" w:eastAsia="宋体" w:cs="Times New Roman"/>
                      <w:snapToGrid w:val="0"/>
                      <w:color w:val="auto"/>
                      <w:sz w:val="21"/>
                      <w:szCs w:val="21"/>
                      <w:lang w:eastAsia="zh-CN"/>
                    </w:rPr>
                  </w:pPr>
                  <w:r>
                    <w:rPr>
                      <w:rFonts w:hint="default" w:ascii="Times New Roman" w:hAnsi="Times New Roman" w:eastAsia="宋体" w:cs="Times New Roman"/>
                      <w:snapToGrid w:val="0"/>
                      <w:color w:val="auto"/>
                      <w:sz w:val="21"/>
                      <w:szCs w:val="21"/>
                      <w:lang w:eastAsia="zh-CN"/>
                    </w:rPr>
                    <w:t>《宝鸡市大气污染防治条例》 </w:t>
                  </w:r>
                  <w:r>
                    <w:rPr>
                      <w:rFonts w:hint="default" w:ascii="Times New Roman" w:hAnsi="Times New Roman" w:eastAsia="宋体" w:cs="Times New Roman"/>
                      <w:snapToGrid w:val="0"/>
                      <w:color w:val="auto"/>
                      <w:sz w:val="21"/>
                      <w:szCs w:val="21"/>
                      <w:lang w:eastAsia="zh-CN"/>
                    </w:rPr>
                    <w:fldChar w:fldCharType="begin"/>
                  </w:r>
                  <w:r>
                    <w:rPr>
                      <w:rFonts w:hint="default" w:ascii="Times New Roman" w:hAnsi="Times New Roman" w:eastAsia="宋体" w:cs="Times New Roman"/>
                      <w:snapToGrid w:val="0"/>
                      <w:color w:val="auto"/>
                      <w:sz w:val="21"/>
                      <w:szCs w:val="21"/>
                      <w:lang w:eastAsia="zh-CN"/>
                    </w:rPr>
                    <w:instrText xml:space="preserve"> HYPERLINK "https://baike.so.com/create/edit/?eid=7542195&amp;sid=7816288" </w:instrText>
                  </w:r>
                  <w:r>
                    <w:rPr>
                      <w:rFonts w:hint="default" w:ascii="Times New Roman" w:hAnsi="Times New Roman" w:eastAsia="宋体" w:cs="Times New Roman"/>
                      <w:snapToGrid w:val="0"/>
                      <w:color w:val="auto"/>
                      <w:sz w:val="21"/>
                      <w:szCs w:val="21"/>
                      <w:lang w:eastAsia="zh-CN"/>
                    </w:rPr>
                    <w:fldChar w:fldCharType="separate"/>
                  </w:r>
                  <w:r>
                    <w:rPr>
                      <w:rFonts w:hint="default" w:ascii="Times New Roman" w:hAnsi="Times New Roman" w:eastAsia="宋体" w:cs="Times New Roman"/>
                      <w:snapToGrid w:val="0"/>
                      <w:color w:val="auto"/>
                      <w:sz w:val="21"/>
                      <w:szCs w:val="21"/>
                      <w:lang w:eastAsia="zh-CN"/>
                    </w:rPr>
                    <w:fldChar w:fldCharType="end"/>
                  </w:r>
                </w:p>
                <w:p w14:paraId="4E66A613">
                  <w:pPr>
                    <w:adjustRightInd w:val="0"/>
                    <w:snapToGrid w:val="0"/>
                    <w:jc w:val="center"/>
                    <w:rPr>
                      <w:rFonts w:hint="default" w:ascii="Times New Roman" w:hAnsi="Times New Roman" w:eastAsia="宋体" w:cs="Times New Roman"/>
                      <w:color w:val="auto"/>
                      <w:kern w:val="2"/>
                      <w:sz w:val="21"/>
                      <w:szCs w:val="24"/>
                      <w:lang w:val="en-US" w:eastAsia="zh-CN" w:bidi="ar-SA"/>
                    </w:rPr>
                  </w:pPr>
                </w:p>
              </w:tc>
              <w:tc>
                <w:tcPr>
                  <w:tcW w:w="1896" w:type="pct"/>
                  <w:tcBorders>
                    <w:tl2br w:val="nil"/>
                    <w:tr2bl w:val="nil"/>
                  </w:tcBorders>
                  <w:vAlign w:val="center"/>
                </w:tcPr>
                <w:p w14:paraId="4D395FE3">
                  <w:pPr>
                    <w:adjustRightInd w:val="0"/>
                    <w:snapToGrid w:val="0"/>
                    <w:jc w:val="left"/>
                    <w:rPr>
                      <w:rFonts w:hint="default" w:ascii="Times New Roman" w:hAnsi="Times New Roman" w:eastAsia="宋体" w:cs="Times New Roman"/>
                      <w:color w:val="auto"/>
                      <w:kern w:val="2"/>
                      <w:sz w:val="21"/>
                      <w:szCs w:val="24"/>
                      <w:lang w:val="en" w:eastAsia="zh-CN" w:bidi="ar-SA"/>
                    </w:rPr>
                  </w:pPr>
                  <w:r>
                    <w:rPr>
                      <w:rFonts w:hint="default" w:ascii="Times New Roman" w:hAnsi="Times New Roman" w:eastAsia="宋体" w:cs="Times New Roman"/>
                      <w:color w:val="auto"/>
                      <w:sz w:val="21"/>
                      <w:szCs w:val="21"/>
                      <w:lang w:val="en-US" w:eastAsia="zh-CN"/>
                    </w:rPr>
                    <w:t>市、县（区）、镇人民政府和街道办事处应当加强对建设施工和运输的管理，保持道路清洁，控制堆料和渣土堆放，扩大绿地、水面、湿地和地面铺装面积，防治扬尘污染。</w:t>
                  </w:r>
                </w:p>
              </w:tc>
              <w:tc>
                <w:tcPr>
                  <w:tcW w:w="1458" w:type="pct"/>
                  <w:vMerge w:val="restart"/>
                  <w:tcBorders>
                    <w:tl2br w:val="nil"/>
                    <w:tr2bl w:val="nil"/>
                  </w:tcBorders>
                  <w:vAlign w:val="center"/>
                </w:tcPr>
                <w:p w14:paraId="6E1FA7A8">
                  <w:pPr>
                    <w:pStyle w:val="67"/>
                    <w:adjustRightInd/>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sz w:val="21"/>
                      <w:szCs w:val="21"/>
                      <w:lang w:val="en-US" w:eastAsia="zh-CN"/>
                    </w:rPr>
                    <w:t>项目施工期严格按照施工期要求防尘</w:t>
                  </w:r>
                </w:p>
              </w:tc>
              <w:tc>
                <w:tcPr>
                  <w:tcW w:w="610" w:type="pct"/>
                  <w:tcBorders>
                    <w:tl2br w:val="nil"/>
                    <w:tr2bl w:val="nil"/>
                  </w:tcBorders>
                  <w:vAlign w:val="center"/>
                </w:tcPr>
                <w:p w14:paraId="45808A23">
                  <w:pPr>
                    <w:jc w:val="center"/>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sz w:val="21"/>
                      <w:szCs w:val="21"/>
                      <w:lang w:val="en-US" w:eastAsia="zh-CN"/>
                    </w:rPr>
                    <w:t>符合</w:t>
                  </w:r>
                </w:p>
              </w:tc>
            </w:tr>
            <w:tr w14:paraId="7ACBD1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pct"/>
                  <w:vMerge w:val="continue"/>
                  <w:tcBorders>
                    <w:tl2br w:val="nil"/>
                    <w:tr2bl w:val="nil"/>
                  </w:tcBorders>
                  <w:vAlign w:val="center"/>
                </w:tcPr>
                <w:p w14:paraId="021DC706">
                  <w:pPr>
                    <w:adjustRightInd w:val="0"/>
                    <w:snapToGrid w:val="0"/>
                    <w:jc w:val="both"/>
                    <w:rPr>
                      <w:rFonts w:hint="default" w:ascii="Times New Roman" w:hAnsi="Times New Roman" w:eastAsia="宋体" w:cs="Times New Roman"/>
                      <w:color w:val="auto"/>
                      <w:sz w:val="21"/>
                      <w:szCs w:val="21"/>
                      <w:lang w:eastAsia="zh-CN"/>
                    </w:rPr>
                  </w:pPr>
                </w:p>
              </w:tc>
              <w:tc>
                <w:tcPr>
                  <w:tcW w:w="1896" w:type="pct"/>
                  <w:tcBorders>
                    <w:tl2br w:val="nil"/>
                    <w:tr2bl w:val="nil"/>
                  </w:tcBorders>
                  <w:vAlign w:val="center"/>
                </w:tcPr>
                <w:p w14:paraId="1105D07C">
                  <w:pPr>
                    <w:adjustRightInd w:val="0"/>
                    <w:snapToGrid w:val="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lang w:val="en-US" w:eastAsia="zh-CN"/>
                    </w:rPr>
                    <w:t>工业生产企业应当采取密闭、围挡、遮盖、清扫、散水等措施，减少内部物料的堆放、传输、装卸等环节产生的粉尘和气态污染物的排放。</w:t>
                  </w:r>
                </w:p>
              </w:tc>
              <w:tc>
                <w:tcPr>
                  <w:tcW w:w="1458" w:type="pct"/>
                  <w:vMerge w:val="continue"/>
                  <w:tcBorders>
                    <w:tl2br w:val="nil"/>
                    <w:tr2bl w:val="nil"/>
                  </w:tcBorders>
                  <w:vAlign w:val="center"/>
                </w:tcPr>
                <w:p w14:paraId="726D3A84">
                  <w:pPr>
                    <w:pStyle w:val="67"/>
                    <w:adjustRightInd/>
                    <w:jc w:val="center"/>
                    <w:rPr>
                      <w:rFonts w:hint="default" w:ascii="Times New Roman" w:hAnsi="Times New Roman" w:eastAsia="宋体" w:cs="Times New Roman"/>
                      <w:color w:val="auto"/>
                      <w:spacing w:val="2"/>
                      <w:sz w:val="21"/>
                      <w:szCs w:val="21"/>
                    </w:rPr>
                  </w:pPr>
                </w:p>
              </w:tc>
              <w:tc>
                <w:tcPr>
                  <w:tcW w:w="610" w:type="pct"/>
                  <w:tcBorders>
                    <w:tl2br w:val="nil"/>
                    <w:tr2bl w:val="nil"/>
                  </w:tcBorders>
                  <w:vAlign w:val="center"/>
                </w:tcPr>
                <w:p w14:paraId="29C8A23F">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符合</w:t>
                  </w:r>
                </w:p>
              </w:tc>
            </w:tr>
            <w:tr w14:paraId="5F98FF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pct"/>
                  <w:tcBorders>
                    <w:tl2br w:val="nil"/>
                    <w:tr2bl w:val="nil"/>
                  </w:tcBorders>
                  <w:vAlign w:val="center"/>
                </w:tcPr>
                <w:p w14:paraId="3BB48E4E">
                  <w:pPr>
                    <w:keepNext w:val="0"/>
                    <w:keepLines w:val="0"/>
                    <w:pageBreakBefore w:val="0"/>
                    <w:kinsoku/>
                    <w:wordWrap/>
                    <w:overflowPunct/>
                    <w:topLinePunct w:val="0"/>
                    <w:autoSpaceDE/>
                    <w:autoSpaceDN/>
                    <w:bidi w:val="0"/>
                    <w:spacing w:line="280" w:lineRule="exact"/>
                    <w:jc w:val="center"/>
                    <w:rPr>
                      <w:rFonts w:hint="default" w:eastAsia="宋体"/>
                      <w:color w:val="auto"/>
                      <w:lang w:val="en-US" w:eastAsia="zh-CN"/>
                    </w:rPr>
                  </w:pPr>
                  <w:r>
                    <w:rPr>
                      <w:rFonts w:hint="eastAsia"/>
                      <w:color w:val="auto"/>
                      <w:lang w:val="en" w:eastAsia="zh-CN"/>
                    </w:rPr>
                    <w:t>《</w:t>
                  </w:r>
                  <w:r>
                    <w:rPr>
                      <w:rFonts w:hint="eastAsia"/>
                      <w:color w:val="auto"/>
                      <w:lang w:val="en-US" w:eastAsia="zh-CN"/>
                    </w:rPr>
                    <w:t>陕西省“十四五”生态环境保护规划》</w:t>
                  </w:r>
                </w:p>
              </w:tc>
              <w:tc>
                <w:tcPr>
                  <w:tcW w:w="1896" w:type="pct"/>
                  <w:tcBorders>
                    <w:tl2br w:val="nil"/>
                    <w:tr2bl w:val="nil"/>
                  </w:tcBorders>
                  <w:vAlign w:val="center"/>
                </w:tcPr>
                <w:p w14:paraId="6280546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color w:val="auto"/>
                      <w:lang w:val="en"/>
                    </w:rPr>
                  </w:pPr>
                  <w:r>
                    <w:rPr>
                      <w:rFonts w:hint="default" w:ascii="Times New Roman" w:hAnsi="Times New Roman" w:eastAsia="宋体" w:cs="Times New Roman"/>
                      <w:color w:val="auto"/>
                      <w:kern w:val="2"/>
                      <w:sz w:val="21"/>
                      <w:szCs w:val="24"/>
                      <w:lang w:val="en" w:eastAsia="zh-CN" w:bidi="ar-SA"/>
                    </w:rPr>
                    <w:t>坚持贯彻新发展理念，把握减污降碳和高质量发展两个关键；抓牢秦岭保护国之大者、黄河流域生态保护国家战略、深入打好污染防治攻坚战三项重点；强化监测、执法、信息、科研四方面能力现代化建设，促进形成党委领导、政府主导、企业主体、社会组织和公众共同参与五元共治的大环保格局。</w:t>
                  </w:r>
                </w:p>
              </w:tc>
              <w:tc>
                <w:tcPr>
                  <w:tcW w:w="1458" w:type="pct"/>
                  <w:tcBorders>
                    <w:tl2br w:val="nil"/>
                    <w:tr2bl w:val="nil"/>
                  </w:tcBorders>
                  <w:vAlign w:val="center"/>
                </w:tcPr>
                <w:p w14:paraId="396CE20B">
                  <w:pPr>
                    <w:keepNext w:val="0"/>
                    <w:keepLines w:val="0"/>
                    <w:pageBreakBefore w:val="0"/>
                    <w:kinsoku/>
                    <w:wordWrap/>
                    <w:overflowPunct/>
                    <w:topLinePunct w:val="0"/>
                    <w:autoSpaceDE/>
                    <w:autoSpaceDN/>
                    <w:bidi w:val="0"/>
                    <w:spacing w:line="280" w:lineRule="exact"/>
                    <w:jc w:val="center"/>
                    <w:rPr>
                      <w:rFonts w:hint="default" w:eastAsia="宋体"/>
                      <w:color w:val="auto"/>
                      <w:lang w:val="en-US" w:eastAsia="zh-CN"/>
                    </w:rPr>
                  </w:pPr>
                  <w:r>
                    <w:rPr>
                      <w:rFonts w:hint="default" w:ascii="Times New Roman" w:hAnsi="Times New Roman" w:cs="Times New Roman" w:eastAsiaTheme="minorEastAsia"/>
                      <w:color w:val="auto"/>
                      <w:sz w:val="21"/>
                      <w:szCs w:val="21"/>
                    </w:rPr>
                    <w:t>本项目为</w:t>
                  </w:r>
                  <w:r>
                    <w:rPr>
                      <w:rFonts w:hint="eastAsia" w:cs="Times New Roman" w:eastAsiaTheme="minorEastAsia"/>
                      <w:color w:val="auto"/>
                      <w:sz w:val="21"/>
                      <w:szCs w:val="21"/>
                      <w:lang w:eastAsia="zh-CN"/>
                    </w:rPr>
                    <w:t>航空煤油</w:t>
                  </w:r>
                  <w:r>
                    <w:rPr>
                      <w:rFonts w:hint="eastAsia" w:cs="Times New Roman" w:eastAsiaTheme="minorEastAsia"/>
                      <w:color w:val="auto"/>
                      <w:kern w:val="21"/>
                      <w:sz w:val="21"/>
                      <w:szCs w:val="21"/>
                      <w:lang w:val="en-US" w:eastAsia="zh-CN"/>
                    </w:rPr>
                    <w:t>仓储</w:t>
                  </w:r>
                  <w:r>
                    <w:rPr>
                      <w:rFonts w:hint="default" w:ascii="Times New Roman" w:hAnsi="Times New Roman" w:cs="Times New Roman" w:eastAsiaTheme="minorEastAsia"/>
                      <w:color w:val="auto"/>
                      <w:kern w:val="21"/>
                      <w:sz w:val="21"/>
                      <w:szCs w:val="21"/>
                    </w:rPr>
                    <w:t>业</w:t>
                  </w:r>
                  <w:r>
                    <w:rPr>
                      <w:rFonts w:hint="eastAsia"/>
                      <w:color w:val="auto"/>
                      <w:lang w:val="en-US" w:eastAsia="zh-CN"/>
                    </w:rPr>
                    <w:t>，运营期产生的各项污染物经治理后可达标排放。</w:t>
                  </w:r>
                </w:p>
              </w:tc>
              <w:tc>
                <w:tcPr>
                  <w:tcW w:w="610" w:type="pct"/>
                  <w:tcBorders>
                    <w:tl2br w:val="nil"/>
                    <w:tr2bl w:val="nil"/>
                  </w:tcBorders>
                  <w:vAlign w:val="center"/>
                </w:tcPr>
                <w:p w14:paraId="7EE8420E">
                  <w:pPr>
                    <w:keepNext w:val="0"/>
                    <w:keepLines w:val="0"/>
                    <w:pageBreakBefore w:val="0"/>
                    <w:kinsoku/>
                    <w:wordWrap/>
                    <w:overflowPunct/>
                    <w:topLinePunct w:val="0"/>
                    <w:autoSpaceDE/>
                    <w:autoSpaceDN/>
                    <w:bidi w:val="0"/>
                    <w:spacing w:line="280" w:lineRule="exact"/>
                    <w:jc w:val="center"/>
                    <w:rPr>
                      <w:rFonts w:hint="default"/>
                      <w:color w:val="auto"/>
                      <w:lang w:val="en-US" w:eastAsia="zh-CN"/>
                    </w:rPr>
                  </w:pPr>
                  <w:r>
                    <w:rPr>
                      <w:rFonts w:hint="eastAsia"/>
                      <w:color w:val="auto"/>
                      <w:lang w:val="en-US" w:eastAsia="zh-CN"/>
                    </w:rPr>
                    <w:t>符合</w:t>
                  </w:r>
                </w:p>
              </w:tc>
            </w:tr>
            <w:tr w14:paraId="6B1587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pct"/>
                  <w:tcBorders>
                    <w:tl2br w:val="nil"/>
                    <w:tr2bl w:val="nil"/>
                  </w:tcBorders>
                  <w:vAlign w:val="center"/>
                </w:tcPr>
                <w:p w14:paraId="292415B5">
                  <w:pPr>
                    <w:adjustRightInd w:val="0"/>
                    <w:snapToGrid w:val="0"/>
                    <w:jc w:val="center"/>
                    <w:rPr>
                      <w:rFonts w:hint="eastAsia"/>
                      <w:color w:val="auto"/>
                      <w:lang w:val="en" w:eastAsia="zh-CN"/>
                    </w:rPr>
                  </w:pPr>
                  <w:r>
                    <w:rPr>
                      <w:rFonts w:hint="default" w:ascii="Times New Roman" w:hAnsi="Times New Roman" w:cs="Times New Roman"/>
                      <w:snapToGrid w:val="0"/>
                      <w:color w:val="auto"/>
                      <w:sz w:val="21"/>
                      <w:szCs w:val="21"/>
                      <w:lang w:eastAsia="zh-CN"/>
                    </w:rPr>
                    <w:t>《宝鸡市</w:t>
                  </w:r>
                  <w:r>
                    <w:rPr>
                      <w:rFonts w:hint="eastAsia" w:cs="Times New Roman"/>
                      <w:snapToGrid w:val="0"/>
                      <w:color w:val="auto"/>
                      <w:sz w:val="21"/>
                      <w:szCs w:val="21"/>
                      <w:lang w:eastAsia="zh-CN"/>
                    </w:rPr>
                    <w:t>“</w:t>
                  </w:r>
                  <w:r>
                    <w:rPr>
                      <w:rFonts w:hint="default" w:ascii="Times New Roman" w:hAnsi="Times New Roman" w:cs="Times New Roman"/>
                      <w:snapToGrid w:val="0"/>
                      <w:color w:val="auto"/>
                      <w:sz w:val="21"/>
                      <w:szCs w:val="21"/>
                      <w:lang w:eastAsia="zh-CN"/>
                    </w:rPr>
                    <w:t>十四五</w:t>
                  </w:r>
                  <w:r>
                    <w:rPr>
                      <w:rFonts w:hint="eastAsia" w:cs="Times New Roman"/>
                      <w:snapToGrid w:val="0"/>
                      <w:color w:val="auto"/>
                      <w:sz w:val="21"/>
                      <w:szCs w:val="21"/>
                      <w:lang w:eastAsia="zh-CN"/>
                    </w:rPr>
                    <w:t>”</w:t>
                  </w:r>
                  <w:r>
                    <w:rPr>
                      <w:rFonts w:hint="default" w:ascii="Times New Roman" w:hAnsi="Times New Roman" w:cs="Times New Roman"/>
                      <w:snapToGrid w:val="0"/>
                      <w:color w:val="auto"/>
                      <w:sz w:val="21"/>
                      <w:szCs w:val="21"/>
                      <w:lang w:eastAsia="zh-CN"/>
                    </w:rPr>
                    <w:t>环境保护规划》</w:t>
                  </w:r>
                </w:p>
              </w:tc>
              <w:tc>
                <w:tcPr>
                  <w:tcW w:w="1896" w:type="pct"/>
                  <w:tcBorders>
                    <w:tl2br w:val="nil"/>
                    <w:tr2bl w:val="nil"/>
                  </w:tcBorders>
                  <w:vAlign w:val="center"/>
                </w:tcPr>
                <w:p w14:paraId="44260DD7">
                  <w:pPr>
                    <w:adjustRightInd w:val="0"/>
                    <w:snapToGrid w:val="0"/>
                    <w:jc w:val="left"/>
                    <w:rPr>
                      <w:rFonts w:hint="default" w:ascii="Times New Roman" w:hAnsi="Times New Roman" w:eastAsia="宋体" w:cs="Times New Roman"/>
                      <w:color w:val="auto"/>
                      <w:kern w:val="2"/>
                      <w:sz w:val="21"/>
                      <w:szCs w:val="24"/>
                      <w:lang w:val="en" w:eastAsia="zh-CN" w:bidi="ar-SA"/>
                    </w:rPr>
                  </w:pPr>
                  <w:r>
                    <w:rPr>
                      <w:rFonts w:hint="default" w:ascii="Times New Roman" w:hAnsi="Times New Roman" w:eastAsia="宋体" w:cs="Times New Roman"/>
                      <w:color w:val="auto"/>
                      <w:sz w:val="21"/>
                      <w:szCs w:val="21"/>
                      <w:lang w:val="en-US" w:eastAsia="zh-CN"/>
                    </w:rPr>
                    <w:t>持续推进工业污水治理。加强企业工业废水预处理的监管，确保污水集中处理设施具备稳定高效运行条件，以保证辖区内所有工业聚集区的污水能被集中有效处理。开展造纸、焦化、氮肥、有色金属、印染、农副食品加工、原料药制造、制革、农药、电镀和磷化工等涉水重点行业专项治理。严格禁止新建、扩建化工、印染、果汁和淀粉加工等高耗水、高污染项目。</w:t>
                  </w:r>
                </w:p>
              </w:tc>
              <w:tc>
                <w:tcPr>
                  <w:tcW w:w="1458" w:type="pct"/>
                  <w:tcBorders>
                    <w:tl2br w:val="nil"/>
                    <w:tr2bl w:val="nil"/>
                  </w:tcBorders>
                  <w:vAlign w:val="center"/>
                </w:tcPr>
                <w:p w14:paraId="458B63BB">
                  <w:pPr>
                    <w:pStyle w:val="67"/>
                    <w:jc w:val="left"/>
                    <w:rPr>
                      <w:rFonts w:hint="default" w:ascii="Times New Roman" w:hAnsi="Times New Roman" w:cs="Times New Roman" w:eastAsiaTheme="minorEastAsia"/>
                      <w:color w:val="auto"/>
                      <w:sz w:val="21"/>
                      <w:szCs w:val="21"/>
                    </w:rPr>
                  </w:pPr>
                  <w:r>
                    <w:rPr>
                      <w:rFonts w:hint="default" w:ascii="Times New Roman" w:hAnsi="Times New Roman" w:eastAsia="宋体" w:cs="Times New Roman"/>
                      <w:color w:val="auto"/>
                      <w:kern w:val="2"/>
                      <w:sz w:val="21"/>
                      <w:szCs w:val="21"/>
                      <w:lang w:val="en-US" w:eastAsia="zh-CN" w:bidi="ar-SA"/>
                    </w:rPr>
                    <w:t>项目产生的废水经一体化污水处理设施处理达标后</w:t>
                  </w:r>
                  <w:r>
                    <w:rPr>
                      <w:rFonts w:hint="eastAsia" w:ascii="Times New Roman" w:hAnsi="Times New Roman" w:eastAsia="宋体" w:cs="Times New Roman"/>
                      <w:snapToGrid w:val="0"/>
                      <w:color w:val="auto"/>
                      <w:sz w:val="21"/>
                      <w:szCs w:val="21"/>
                      <w:lang w:val="en-US" w:eastAsia="zh-CN"/>
                    </w:rPr>
                    <w:t>拉运至污水处理厂</w:t>
                  </w:r>
                  <w:r>
                    <w:rPr>
                      <w:rFonts w:hint="default" w:ascii="Times New Roman" w:hAnsi="Times New Roman" w:eastAsia="宋体" w:cs="Times New Roman"/>
                      <w:color w:val="auto"/>
                      <w:kern w:val="2"/>
                      <w:sz w:val="21"/>
                      <w:szCs w:val="21"/>
                      <w:lang w:val="en-US" w:eastAsia="zh-CN" w:bidi="ar-SA"/>
                    </w:rPr>
                    <w:t>，项目不属于涉水重点行业和严格禁止新建的高耗水、高污染项目。</w:t>
                  </w:r>
                </w:p>
              </w:tc>
              <w:tc>
                <w:tcPr>
                  <w:tcW w:w="610" w:type="pct"/>
                  <w:tcBorders>
                    <w:tl2br w:val="nil"/>
                    <w:tr2bl w:val="nil"/>
                  </w:tcBorders>
                  <w:vAlign w:val="center"/>
                </w:tcPr>
                <w:p w14:paraId="2E595FB5">
                  <w:pPr>
                    <w:keepNext w:val="0"/>
                    <w:keepLines w:val="0"/>
                    <w:pageBreakBefore w:val="0"/>
                    <w:kinsoku/>
                    <w:wordWrap/>
                    <w:overflowPunct/>
                    <w:topLinePunct w:val="0"/>
                    <w:autoSpaceDE/>
                    <w:autoSpaceDN/>
                    <w:bidi w:val="0"/>
                    <w:spacing w:line="280" w:lineRule="exact"/>
                    <w:jc w:val="center"/>
                    <w:rPr>
                      <w:rFonts w:hint="eastAsia"/>
                      <w:color w:val="auto"/>
                      <w:lang w:val="en-US" w:eastAsia="zh-CN"/>
                    </w:rPr>
                  </w:pPr>
                  <w:r>
                    <w:rPr>
                      <w:rFonts w:hint="eastAsia"/>
                      <w:color w:val="auto"/>
                      <w:lang w:val="en-US" w:eastAsia="zh-CN"/>
                    </w:rPr>
                    <w:t>符合</w:t>
                  </w:r>
                </w:p>
              </w:tc>
            </w:tr>
            <w:tr w14:paraId="494FC4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2" w:hRule="atLeast"/>
              </w:trPr>
              <w:tc>
                <w:tcPr>
                  <w:tcW w:w="1034" w:type="pct"/>
                  <w:tcBorders>
                    <w:tl2br w:val="nil"/>
                    <w:tr2bl w:val="nil"/>
                  </w:tcBorders>
                  <w:vAlign w:val="center"/>
                </w:tcPr>
                <w:p w14:paraId="49533842">
                  <w:pPr>
                    <w:keepNext w:val="0"/>
                    <w:keepLines w:val="0"/>
                    <w:pageBreakBefore w:val="0"/>
                    <w:kinsoku/>
                    <w:wordWrap/>
                    <w:overflowPunct/>
                    <w:topLinePunct w:val="0"/>
                    <w:autoSpaceDE/>
                    <w:autoSpaceDN/>
                    <w:bidi w:val="0"/>
                    <w:spacing w:line="280" w:lineRule="exact"/>
                    <w:jc w:val="both"/>
                    <w:rPr>
                      <w:rFonts w:hint="default" w:ascii="Times New Roman" w:hAnsi="Times New Roman" w:cs="Times New Roman"/>
                      <w:color w:val="auto"/>
                      <w:lang w:val="en" w:eastAsia="zh-CN"/>
                    </w:rPr>
                  </w:pPr>
                  <w:r>
                    <w:rPr>
                      <w:rFonts w:hint="eastAsia" w:ascii="Times New Roman" w:hAnsi="Times New Roman" w:cs="Times New Roman"/>
                      <w:color w:val="auto"/>
                      <w:lang w:val="en-US" w:eastAsia="zh-CN"/>
                    </w:rPr>
                    <w:t>《陕西省固体废物污染防治专项整治行动方案》 （陕环发［</w:t>
                  </w:r>
                  <w:r>
                    <w:rPr>
                      <w:rFonts w:hint="default" w:ascii="Times New Roman" w:hAnsi="Times New Roman" w:cs="Times New Roman"/>
                      <w:color w:val="auto"/>
                      <w:lang w:val="en-US" w:eastAsia="zh-CN"/>
                    </w:rPr>
                    <w:t>2018</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 xml:space="preserve">29 </w:t>
                  </w:r>
                  <w:r>
                    <w:rPr>
                      <w:rFonts w:hint="eastAsia" w:ascii="Times New Roman" w:hAnsi="Times New Roman" w:cs="Times New Roman"/>
                      <w:color w:val="auto"/>
                      <w:lang w:val="en-US" w:eastAsia="zh-CN"/>
                    </w:rPr>
                    <w:t>号）</w:t>
                  </w:r>
                </w:p>
              </w:tc>
              <w:tc>
                <w:tcPr>
                  <w:tcW w:w="1896" w:type="pct"/>
                  <w:tcBorders>
                    <w:tl2br w:val="nil"/>
                    <w:tr2bl w:val="nil"/>
                  </w:tcBorders>
                  <w:vAlign w:val="center"/>
                </w:tcPr>
                <w:p w14:paraId="0D992A36">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宋体" w:cs="Times New Roman"/>
                      <w:color w:val="auto"/>
                      <w:kern w:val="2"/>
                      <w:sz w:val="21"/>
                      <w:szCs w:val="24"/>
                      <w:lang w:val="en" w:eastAsia="zh-CN" w:bidi="ar-SA"/>
                    </w:rPr>
                  </w:pPr>
                  <w:r>
                    <w:rPr>
                      <w:rFonts w:hint="eastAsia" w:ascii="Times New Roman" w:hAnsi="Times New Roman" w:eastAsia="宋体" w:cs="Times New Roman"/>
                      <w:color w:val="auto"/>
                      <w:kern w:val="2"/>
                      <w:sz w:val="21"/>
                      <w:szCs w:val="24"/>
                      <w:lang w:val="en-US" w:eastAsia="zh-CN" w:bidi="ar-SA"/>
                    </w:rPr>
                    <w:t>落实产废企业污染防治主体责任。固体废物产生企业要对固体废物处置全过程负责，细化管理台账、落实申报登记制度，如实申报固体废物利用处置最终去向。企业将自产固体废物交由第三方单位利用处置的，要依法对其设施设备、技术工艺进行核实确认，不得将固体废物交由不具备利用处置资质或者能力、存在环境违法问题的企业处理。</w:t>
                  </w:r>
                </w:p>
              </w:tc>
              <w:tc>
                <w:tcPr>
                  <w:tcW w:w="1458" w:type="pct"/>
                  <w:tcBorders>
                    <w:tl2br w:val="nil"/>
                    <w:tr2bl w:val="nil"/>
                  </w:tcBorders>
                  <w:vAlign w:val="center"/>
                </w:tcPr>
                <w:p w14:paraId="02834F6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本项目</w:t>
                  </w:r>
                  <w:r>
                    <w:rPr>
                      <w:rFonts w:hint="default" w:ascii="Times New Roman" w:hAnsi="Times New Roman" w:eastAsia="宋体" w:cs="Times New Roman"/>
                      <w:color w:val="auto"/>
                      <w:kern w:val="2"/>
                      <w:sz w:val="21"/>
                      <w:szCs w:val="21"/>
                      <w:lang w:val="en-US" w:eastAsia="zh-CN"/>
                    </w:rPr>
                    <w:t>危险废物</w:t>
                  </w:r>
                  <w:r>
                    <w:rPr>
                      <w:rFonts w:hint="eastAsia" w:cs="Times New Roman"/>
                      <w:color w:val="auto"/>
                      <w:kern w:val="2"/>
                      <w:sz w:val="21"/>
                      <w:szCs w:val="21"/>
                      <w:lang w:val="en-US" w:eastAsia="zh-CN"/>
                    </w:rPr>
                    <w:t>暂存危废暂存库，</w:t>
                  </w:r>
                  <w:r>
                    <w:rPr>
                      <w:rFonts w:hint="default" w:ascii="Times New Roman" w:hAnsi="Times New Roman" w:eastAsia="宋体" w:cs="Times New Roman"/>
                      <w:color w:val="auto"/>
                      <w:kern w:val="2"/>
                      <w:sz w:val="21"/>
                      <w:szCs w:val="21"/>
                      <w:lang w:val="en-US" w:eastAsia="zh-CN"/>
                    </w:rPr>
                    <w:t>由有资质单位转运清理处置。</w:t>
                  </w:r>
                </w:p>
                <w:p w14:paraId="276293A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kern w:val="2"/>
                      <w:sz w:val="21"/>
                      <w:szCs w:val="24"/>
                      <w:lang w:val="en" w:eastAsia="zh-CN" w:bidi="ar-SA"/>
                    </w:rPr>
                  </w:pPr>
                </w:p>
              </w:tc>
              <w:tc>
                <w:tcPr>
                  <w:tcW w:w="610" w:type="pct"/>
                  <w:tcBorders>
                    <w:tl2br w:val="nil"/>
                    <w:tr2bl w:val="nil"/>
                  </w:tcBorders>
                  <w:vAlign w:val="center"/>
                </w:tcPr>
                <w:p w14:paraId="6E336AB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kern w:val="2"/>
                      <w:sz w:val="21"/>
                      <w:szCs w:val="24"/>
                      <w:lang w:val="en-US" w:eastAsia="zh-CN" w:bidi="ar-SA"/>
                    </w:rPr>
                    <w:t>符合</w:t>
                  </w:r>
                </w:p>
              </w:tc>
            </w:tr>
            <w:tr w14:paraId="21DFA7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pct"/>
                  <w:vMerge w:val="restart"/>
                  <w:tcBorders>
                    <w:tl2br w:val="nil"/>
                    <w:tr2bl w:val="nil"/>
                  </w:tcBorders>
                  <w:vAlign w:val="center"/>
                </w:tcPr>
                <w:p w14:paraId="4064DCE7">
                  <w:pPr>
                    <w:keepNext w:val="0"/>
                    <w:keepLines w:val="0"/>
                    <w:pageBreakBefore w:val="0"/>
                    <w:kinsoku/>
                    <w:wordWrap/>
                    <w:overflowPunct/>
                    <w:topLinePunct w:val="0"/>
                    <w:autoSpaceDE/>
                    <w:autoSpaceDN/>
                    <w:bidi w:val="0"/>
                    <w:spacing w:line="280" w:lineRule="exact"/>
                    <w:jc w:val="center"/>
                    <w:rPr>
                      <w:rFonts w:hint="default" w:eastAsia="宋体"/>
                      <w:color w:val="auto"/>
                      <w:lang w:val="en"/>
                    </w:rPr>
                  </w:pPr>
                  <w:r>
                    <w:rPr>
                      <w:rFonts w:hint="eastAsia" w:ascii="Times New Roman" w:hAnsi="Times New Roman" w:cs="Times New Roman"/>
                      <w:color w:val="auto"/>
                      <w:lang w:val="en-US" w:eastAsia="zh-CN"/>
                    </w:rPr>
                    <w:t>《危险废物污染防治技术政策》环发</w:t>
                  </w:r>
                  <w:r>
                    <w:rPr>
                      <w:rFonts w:hint="default" w:ascii="Times New Roman" w:hAnsi="Times New Roman" w:cs="Times New Roman"/>
                      <w:color w:val="auto"/>
                      <w:lang w:val="en-US" w:eastAsia="zh-CN"/>
                    </w:rPr>
                    <w:t>[2001]199</w:t>
                  </w:r>
                  <w:r>
                    <w:rPr>
                      <w:rFonts w:hint="eastAsia" w:ascii="Times New Roman" w:hAnsi="Times New Roman" w:cs="Times New Roman"/>
                      <w:color w:val="auto"/>
                      <w:lang w:val="en-US" w:eastAsia="zh-CN"/>
                    </w:rPr>
                    <w:t>号</w:t>
                  </w:r>
                </w:p>
              </w:tc>
              <w:tc>
                <w:tcPr>
                  <w:tcW w:w="1896" w:type="pct"/>
                  <w:tcBorders>
                    <w:tl2br w:val="nil"/>
                    <w:tr2bl w:val="nil"/>
                  </w:tcBorders>
                  <w:vAlign w:val="center"/>
                </w:tcPr>
                <w:p w14:paraId="78D8F1E9">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宋体" w:cs="Times New Roman"/>
                      <w:color w:val="auto"/>
                      <w:kern w:val="2"/>
                      <w:sz w:val="21"/>
                      <w:szCs w:val="24"/>
                      <w:lang w:val="en" w:eastAsia="zh-CN" w:bidi="ar-SA"/>
                    </w:rPr>
                  </w:pPr>
                  <w:r>
                    <w:rPr>
                      <w:rFonts w:hint="eastAsia" w:ascii="Times New Roman" w:hAnsi="Times New Roman" w:eastAsia="宋体" w:cs="Times New Roman"/>
                      <w:color w:val="auto"/>
                      <w:kern w:val="2"/>
                      <w:sz w:val="21"/>
                      <w:szCs w:val="24"/>
                      <w:lang w:val="en-US" w:eastAsia="zh-CN" w:bidi="ar-SA"/>
                    </w:rPr>
                    <w:t>危险废物要根据其成分，用符合国家标准的专门容器分类收集。</w:t>
                  </w:r>
                </w:p>
              </w:tc>
              <w:tc>
                <w:tcPr>
                  <w:tcW w:w="1458" w:type="pct"/>
                  <w:vMerge w:val="restart"/>
                  <w:tcBorders>
                    <w:tl2br w:val="nil"/>
                    <w:tr2bl w:val="nil"/>
                  </w:tcBorders>
                  <w:vAlign w:val="center"/>
                </w:tcPr>
                <w:p w14:paraId="68C5B03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eastAsia="宋体"/>
                      <w:color w:val="auto"/>
                      <w:lang w:val="en"/>
                    </w:rPr>
                  </w:pPr>
                  <w:r>
                    <w:rPr>
                      <w:rFonts w:hint="eastAsia" w:ascii="Times New Roman" w:hAnsi="Times New Roman" w:eastAsia="宋体" w:cs="Times New Roman"/>
                      <w:color w:val="auto"/>
                      <w:kern w:val="2"/>
                      <w:sz w:val="21"/>
                      <w:szCs w:val="24"/>
                      <w:lang w:val="en-US" w:eastAsia="zh-CN" w:bidi="ar-SA"/>
                    </w:rPr>
                    <w:t>本项目</w:t>
                  </w:r>
                  <w:r>
                    <w:rPr>
                      <w:rFonts w:hint="default" w:ascii="Times New Roman" w:hAnsi="Times New Roman" w:eastAsia="宋体" w:cs="Times New Roman"/>
                      <w:color w:val="auto"/>
                      <w:kern w:val="2"/>
                      <w:sz w:val="21"/>
                      <w:szCs w:val="21"/>
                      <w:lang w:val="en-US" w:eastAsia="zh-CN"/>
                    </w:rPr>
                    <w:t>危险废物</w:t>
                  </w:r>
                  <w:r>
                    <w:rPr>
                      <w:rFonts w:hint="eastAsia" w:cs="Times New Roman"/>
                      <w:color w:val="auto"/>
                      <w:kern w:val="2"/>
                      <w:sz w:val="21"/>
                      <w:szCs w:val="21"/>
                      <w:lang w:val="en-US" w:eastAsia="zh-CN"/>
                    </w:rPr>
                    <w:t>暂存危废暂存库，</w:t>
                  </w:r>
                  <w:r>
                    <w:rPr>
                      <w:rFonts w:hint="default" w:ascii="Times New Roman" w:hAnsi="Times New Roman" w:eastAsia="宋体" w:cs="Times New Roman"/>
                      <w:color w:val="auto"/>
                      <w:kern w:val="2"/>
                      <w:sz w:val="21"/>
                      <w:szCs w:val="21"/>
                      <w:lang w:val="en-US" w:eastAsia="zh-CN"/>
                    </w:rPr>
                    <w:t>由有资质单位转运清理处置。</w:t>
                  </w:r>
                </w:p>
              </w:tc>
              <w:tc>
                <w:tcPr>
                  <w:tcW w:w="610" w:type="pct"/>
                  <w:tcBorders>
                    <w:tl2br w:val="nil"/>
                    <w:tr2bl w:val="nil"/>
                  </w:tcBorders>
                  <w:vAlign w:val="center"/>
                </w:tcPr>
                <w:p w14:paraId="4CED3EC0">
                  <w:pPr>
                    <w:keepNext w:val="0"/>
                    <w:keepLines w:val="0"/>
                    <w:pageBreakBefore w:val="0"/>
                    <w:kinsoku/>
                    <w:wordWrap/>
                    <w:overflowPunct/>
                    <w:topLinePunct w:val="0"/>
                    <w:autoSpaceDE/>
                    <w:autoSpaceDN/>
                    <w:bidi w:val="0"/>
                    <w:spacing w:line="280" w:lineRule="exact"/>
                    <w:jc w:val="center"/>
                    <w:rPr>
                      <w:rFonts w:hint="eastAsia" w:eastAsia="宋体"/>
                      <w:color w:val="auto"/>
                      <w:lang w:val="en-US" w:eastAsia="zh-CN"/>
                    </w:rPr>
                  </w:pPr>
                  <w:r>
                    <w:rPr>
                      <w:rFonts w:hint="eastAsia"/>
                      <w:color w:val="auto"/>
                      <w:lang w:val="en-US" w:eastAsia="zh-CN"/>
                    </w:rPr>
                    <w:t>符合</w:t>
                  </w:r>
                </w:p>
              </w:tc>
            </w:tr>
            <w:tr w14:paraId="03A6D9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pct"/>
                  <w:vMerge w:val="continue"/>
                  <w:tcBorders>
                    <w:tl2br w:val="nil"/>
                    <w:tr2bl w:val="nil"/>
                  </w:tcBorders>
                  <w:vAlign w:val="center"/>
                </w:tcPr>
                <w:p w14:paraId="5D8803B0">
                  <w:pPr>
                    <w:keepNext w:val="0"/>
                    <w:keepLines w:val="0"/>
                    <w:pageBreakBefore w:val="0"/>
                    <w:kinsoku/>
                    <w:wordWrap/>
                    <w:overflowPunct/>
                    <w:topLinePunct w:val="0"/>
                    <w:autoSpaceDE/>
                    <w:autoSpaceDN/>
                    <w:bidi w:val="0"/>
                    <w:spacing w:line="280" w:lineRule="exact"/>
                    <w:jc w:val="center"/>
                    <w:rPr>
                      <w:rFonts w:hint="default" w:ascii="Times New Roman" w:hAnsi="Times New Roman" w:cs="Times New Roman"/>
                      <w:color w:val="auto"/>
                      <w:lang w:val="en-US" w:eastAsia="zh-CN"/>
                    </w:rPr>
                  </w:pPr>
                </w:p>
              </w:tc>
              <w:tc>
                <w:tcPr>
                  <w:tcW w:w="1896" w:type="pct"/>
                  <w:tcBorders>
                    <w:tl2br w:val="nil"/>
                    <w:tr2bl w:val="nil"/>
                  </w:tcBorders>
                  <w:vAlign w:val="center"/>
                </w:tcPr>
                <w:p w14:paraId="06E189E2">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宋体" w:cs="Times New Roman"/>
                      <w:color w:val="auto"/>
                      <w:kern w:val="2"/>
                      <w:sz w:val="21"/>
                      <w:szCs w:val="24"/>
                      <w:lang w:val="en" w:eastAsia="zh-CN" w:bidi="ar-SA"/>
                    </w:rPr>
                  </w:pPr>
                  <w:r>
                    <w:rPr>
                      <w:rFonts w:hint="eastAsia" w:ascii="Times New Roman" w:hAnsi="Times New Roman" w:eastAsia="宋体" w:cs="Times New Roman"/>
                      <w:color w:val="auto"/>
                      <w:kern w:val="2"/>
                      <w:sz w:val="21"/>
                      <w:szCs w:val="24"/>
                      <w:lang w:val="en-US" w:eastAsia="zh-CN" w:bidi="ar-SA"/>
                    </w:rPr>
                    <w:t>装运危险废物的容器应根据危险废物的不同特性而设计，不易破损、变形、老化，能有效地防止渗漏、扩散。装有危险废物的容器必须贴有标签，在标签上详细标明危险废物的名称、重量、成分、特性以及发生泄漏、扩散污染事故时的应急措施和补救方法。</w:t>
                  </w:r>
                </w:p>
              </w:tc>
              <w:tc>
                <w:tcPr>
                  <w:tcW w:w="1458" w:type="pct"/>
                  <w:vMerge w:val="continue"/>
                  <w:tcBorders>
                    <w:tl2br w:val="nil"/>
                    <w:tr2bl w:val="nil"/>
                  </w:tcBorders>
                  <w:vAlign w:val="center"/>
                </w:tcPr>
                <w:p w14:paraId="37BF408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kern w:val="2"/>
                      <w:sz w:val="21"/>
                      <w:szCs w:val="24"/>
                      <w:lang w:val="en" w:eastAsia="zh-CN" w:bidi="ar-SA"/>
                    </w:rPr>
                  </w:pPr>
                </w:p>
              </w:tc>
              <w:tc>
                <w:tcPr>
                  <w:tcW w:w="610" w:type="pct"/>
                  <w:tcBorders>
                    <w:tl2br w:val="nil"/>
                    <w:tr2bl w:val="nil"/>
                  </w:tcBorders>
                  <w:vAlign w:val="center"/>
                </w:tcPr>
                <w:p w14:paraId="0513699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符合</w:t>
                  </w:r>
                </w:p>
              </w:tc>
            </w:tr>
            <w:tr w14:paraId="5ACADD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pct"/>
                  <w:vMerge w:val="continue"/>
                  <w:tcBorders>
                    <w:tl2br w:val="nil"/>
                    <w:tr2bl w:val="nil"/>
                  </w:tcBorders>
                  <w:vAlign w:val="center"/>
                </w:tcPr>
                <w:p w14:paraId="3ACD18FE">
                  <w:pPr>
                    <w:keepNext w:val="0"/>
                    <w:keepLines w:val="0"/>
                    <w:pageBreakBefore w:val="0"/>
                    <w:kinsoku/>
                    <w:wordWrap/>
                    <w:overflowPunct/>
                    <w:topLinePunct w:val="0"/>
                    <w:autoSpaceDE/>
                    <w:autoSpaceDN/>
                    <w:bidi w:val="0"/>
                    <w:spacing w:line="280" w:lineRule="exact"/>
                    <w:jc w:val="center"/>
                    <w:rPr>
                      <w:rFonts w:hint="default" w:ascii="Times New Roman" w:hAnsi="Times New Roman" w:cs="Times New Roman"/>
                      <w:color w:val="auto"/>
                      <w:lang w:val="en-US" w:eastAsia="zh-CN"/>
                    </w:rPr>
                  </w:pPr>
                </w:p>
              </w:tc>
              <w:tc>
                <w:tcPr>
                  <w:tcW w:w="1896" w:type="pct"/>
                  <w:tcBorders>
                    <w:tl2br w:val="nil"/>
                    <w:tr2bl w:val="nil"/>
                  </w:tcBorders>
                  <w:vAlign w:val="center"/>
                </w:tcPr>
                <w:p w14:paraId="0962DE13">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基础防渗层为黏土层的，其厚度应在</w:t>
                  </w:r>
                  <w:r>
                    <w:rPr>
                      <w:rFonts w:hint="default" w:ascii="Times New Roman" w:hAnsi="Times New Roman" w:eastAsia="宋体" w:cs="Times New Roman"/>
                      <w:color w:val="auto"/>
                      <w:kern w:val="2"/>
                      <w:sz w:val="21"/>
                      <w:szCs w:val="24"/>
                      <w:lang w:val="en-US" w:eastAsia="zh-CN" w:bidi="ar-SA"/>
                    </w:rPr>
                    <w:t xml:space="preserve">1m </w:t>
                  </w:r>
                </w:p>
                <w:p w14:paraId="4A3E70C7">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 xml:space="preserve">以上，渗透系数应小于 </w:t>
                  </w:r>
                  <w:r>
                    <w:rPr>
                      <w:rFonts w:hint="default" w:ascii="Times New Roman" w:hAnsi="Times New Roman" w:eastAsia="宋体" w:cs="Times New Roman"/>
                      <w:color w:val="auto"/>
                      <w:kern w:val="2"/>
                      <w:sz w:val="21"/>
                      <w:szCs w:val="24"/>
                      <w:lang w:val="en-US" w:eastAsia="zh-CN" w:bidi="ar-SA"/>
                    </w:rPr>
                    <w:t>1.0</w:t>
                  </w:r>
                  <w:r>
                    <w:rPr>
                      <w:rFonts w:hint="eastAsia" w:ascii="Times New Roman" w:hAnsi="Times New Roman" w:eastAsia="宋体" w:cs="Times New Roman"/>
                      <w:color w:val="auto"/>
                      <w:kern w:val="2"/>
                      <w:sz w:val="21"/>
                      <w:szCs w:val="24"/>
                      <w:lang w:val="en-US" w:eastAsia="zh-CN" w:bidi="ar-SA"/>
                    </w:rPr>
                    <w:t>×</w:t>
                  </w:r>
                  <w:r>
                    <w:rPr>
                      <w:rFonts w:hint="default" w:ascii="Times New Roman" w:hAnsi="Times New Roman" w:eastAsia="宋体" w:cs="Times New Roman"/>
                      <w:color w:val="auto"/>
                      <w:kern w:val="2"/>
                      <w:sz w:val="21"/>
                      <w:szCs w:val="24"/>
                      <w:lang w:val="en-US" w:eastAsia="zh-CN" w:bidi="ar-SA"/>
                    </w:rPr>
                    <w:t xml:space="preserve">10 </w:t>
                  </w:r>
                  <w:r>
                    <w:rPr>
                      <w:rFonts w:hint="default" w:ascii="Times New Roman" w:hAnsi="Times New Roman" w:eastAsia="宋体" w:cs="Times New Roman"/>
                      <w:color w:val="auto"/>
                      <w:kern w:val="2"/>
                      <w:sz w:val="21"/>
                      <w:szCs w:val="24"/>
                      <w:vertAlign w:val="superscript"/>
                      <w:lang w:val="en-US" w:eastAsia="zh-CN" w:bidi="ar-SA"/>
                    </w:rPr>
                    <w:t>-7</w:t>
                  </w:r>
                  <w:r>
                    <w:rPr>
                      <w:rFonts w:hint="default" w:ascii="Times New Roman" w:hAnsi="Times New Roman" w:eastAsia="宋体" w:cs="Times New Roman"/>
                      <w:color w:val="auto"/>
                      <w:kern w:val="2"/>
                      <w:sz w:val="21"/>
                      <w:szCs w:val="24"/>
                      <w:lang w:val="en-US" w:eastAsia="zh-CN" w:bidi="ar-SA"/>
                    </w:rPr>
                    <w:t>cm/s</w:t>
                  </w:r>
                  <w:r>
                    <w:rPr>
                      <w:rFonts w:hint="eastAsia" w:ascii="Times New Roman" w:hAnsi="Times New Roman" w:eastAsia="宋体" w:cs="Times New Roman"/>
                      <w:color w:val="auto"/>
                      <w:kern w:val="2"/>
                      <w:sz w:val="21"/>
                      <w:szCs w:val="24"/>
                      <w:lang w:val="en-US" w:eastAsia="zh-CN" w:bidi="ar-SA"/>
                    </w:rPr>
                    <w:t>；基础防渗层也可用厚度在</w:t>
                  </w:r>
                  <w:r>
                    <w:rPr>
                      <w:rFonts w:hint="default" w:ascii="Times New Roman" w:hAnsi="Times New Roman" w:eastAsia="宋体" w:cs="Times New Roman"/>
                      <w:color w:val="auto"/>
                      <w:kern w:val="2"/>
                      <w:sz w:val="21"/>
                      <w:szCs w:val="24"/>
                      <w:lang w:val="en-US" w:eastAsia="zh-CN" w:bidi="ar-SA"/>
                    </w:rPr>
                    <w:t>2mm</w:t>
                  </w:r>
                  <w:r>
                    <w:rPr>
                      <w:rFonts w:hint="eastAsia" w:ascii="Times New Roman" w:hAnsi="Times New Roman" w:eastAsia="宋体" w:cs="Times New Roman"/>
                      <w:color w:val="auto"/>
                      <w:kern w:val="2"/>
                      <w:sz w:val="21"/>
                      <w:szCs w:val="24"/>
                      <w:lang w:val="en-US" w:eastAsia="zh-CN" w:bidi="ar-SA"/>
                    </w:rPr>
                    <w:t>以上的高密度聚乙烯或其他人工防渗材料组成，渗透系数应小于</w:t>
                  </w:r>
                  <w:r>
                    <w:rPr>
                      <w:rFonts w:hint="default" w:ascii="Times New Roman" w:hAnsi="Times New Roman" w:eastAsia="宋体" w:cs="Times New Roman"/>
                      <w:color w:val="auto"/>
                      <w:kern w:val="2"/>
                      <w:sz w:val="21"/>
                      <w:szCs w:val="24"/>
                      <w:lang w:val="en-US" w:eastAsia="zh-CN" w:bidi="ar-SA"/>
                    </w:rPr>
                    <w:t>1.0</w:t>
                  </w:r>
                  <w:r>
                    <w:rPr>
                      <w:rFonts w:hint="eastAsia" w:ascii="Times New Roman" w:hAnsi="Times New Roman" w:eastAsia="宋体" w:cs="Times New Roman"/>
                      <w:color w:val="auto"/>
                      <w:kern w:val="2"/>
                      <w:sz w:val="21"/>
                      <w:szCs w:val="24"/>
                      <w:lang w:val="en-US" w:eastAsia="zh-CN" w:bidi="ar-SA"/>
                    </w:rPr>
                    <w:t>×</w:t>
                  </w:r>
                  <w:r>
                    <w:rPr>
                      <w:rFonts w:hint="default" w:ascii="Times New Roman" w:hAnsi="Times New Roman" w:eastAsia="宋体" w:cs="Times New Roman"/>
                      <w:color w:val="auto"/>
                      <w:kern w:val="2"/>
                      <w:sz w:val="21"/>
                      <w:szCs w:val="24"/>
                      <w:lang w:val="en-US" w:eastAsia="zh-CN" w:bidi="ar-SA"/>
                    </w:rPr>
                    <w:t xml:space="preserve">10 </w:t>
                  </w:r>
                  <w:r>
                    <w:rPr>
                      <w:rFonts w:hint="default" w:ascii="Times New Roman" w:hAnsi="Times New Roman" w:eastAsia="宋体" w:cs="Times New Roman"/>
                      <w:color w:val="auto"/>
                      <w:kern w:val="2"/>
                      <w:sz w:val="21"/>
                      <w:szCs w:val="24"/>
                      <w:vertAlign w:val="superscript"/>
                      <w:lang w:val="en-US" w:eastAsia="zh-CN" w:bidi="ar-SA"/>
                    </w:rPr>
                    <w:t>-10</w:t>
                  </w:r>
                  <w:r>
                    <w:rPr>
                      <w:rFonts w:hint="default" w:ascii="Times New Roman" w:hAnsi="Times New Roman" w:eastAsia="宋体" w:cs="Times New Roman"/>
                      <w:color w:val="auto"/>
                      <w:kern w:val="2"/>
                      <w:sz w:val="21"/>
                      <w:szCs w:val="24"/>
                      <w:lang w:val="en-US" w:eastAsia="zh-CN" w:bidi="ar-SA"/>
                    </w:rPr>
                    <w:t>cm/s</w:t>
                  </w:r>
                  <w:r>
                    <w:rPr>
                      <w:rFonts w:hint="eastAsia" w:ascii="Times New Roman" w:hAnsi="Times New Roman" w:eastAsia="宋体" w:cs="Times New Roman"/>
                      <w:color w:val="auto"/>
                      <w:kern w:val="2"/>
                      <w:sz w:val="21"/>
                      <w:szCs w:val="24"/>
                      <w:lang w:val="en-US" w:eastAsia="zh-CN" w:bidi="ar-SA"/>
                    </w:rPr>
                    <w:t>。</w:t>
                  </w:r>
                </w:p>
              </w:tc>
              <w:tc>
                <w:tcPr>
                  <w:tcW w:w="1458" w:type="pct"/>
                  <w:vMerge w:val="continue"/>
                  <w:tcBorders>
                    <w:tl2br w:val="nil"/>
                    <w:tr2bl w:val="nil"/>
                  </w:tcBorders>
                  <w:vAlign w:val="center"/>
                </w:tcPr>
                <w:p w14:paraId="422E3ABF">
                  <w:pPr>
                    <w:keepNext w:val="0"/>
                    <w:keepLines w:val="0"/>
                    <w:pageBreakBefore w:val="0"/>
                    <w:kinsoku/>
                    <w:wordWrap/>
                    <w:overflowPunct/>
                    <w:topLinePunct w:val="0"/>
                    <w:autoSpaceDE/>
                    <w:autoSpaceDN/>
                    <w:bidi w:val="0"/>
                    <w:spacing w:line="280" w:lineRule="exact"/>
                    <w:jc w:val="center"/>
                    <w:rPr>
                      <w:rFonts w:hint="default" w:eastAsia="宋体"/>
                      <w:color w:val="auto"/>
                      <w:lang w:val="en"/>
                    </w:rPr>
                  </w:pPr>
                </w:p>
              </w:tc>
              <w:tc>
                <w:tcPr>
                  <w:tcW w:w="610" w:type="pct"/>
                  <w:tcBorders>
                    <w:tl2br w:val="nil"/>
                    <w:tr2bl w:val="nil"/>
                  </w:tcBorders>
                  <w:vAlign w:val="center"/>
                </w:tcPr>
                <w:p w14:paraId="2E7FB443">
                  <w:pPr>
                    <w:keepNext w:val="0"/>
                    <w:keepLines w:val="0"/>
                    <w:pageBreakBefore w:val="0"/>
                    <w:kinsoku/>
                    <w:wordWrap/>
                    <w:overflowPunct/>
                    <w:topLinePunct w:val="0"/>
                    <w:autoSpaceDE/>
                    <w:autoSpaceDN/>
                    <w:bidi w:val="0"/>
                    <w:spacing w:line="280" w:lineRule="exact"/>
                    <w:jc w:val="center"/>
                    <w:rPr>
                      <w:rFonts w:hint="eastAsia" w:eastAsia="宋体"/>
                      <w:color w:val="auto"/>
                      <w:lang w:val="en-US" w:eastAsia="zh-CN"/>
                    </w:rPr>
                  </w:pPr>
                  <w:r>
                    <w:rPr>
                      <w:rFonts w:hint="eastAsia"/>
                      <w:color w:val="auto"/>
                      <w:lang w:val="en-US" w:eastAsia="zh-CN"/>
                    </w:rPr>
                    <w:t>符合</w:t>
                  </w:r>
                </w:p>
              </w:tc>
            </w:tr>
            <w:tr w14:paraId="50904F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pct"/>
                  <w:vMerge w:val="continue"/>
                  <w:tcBorders>
                    <w:tl2br w:val="nil"/>
                    <w:tr2bl w:val="nil"/>
                  </w:tcBorders>
                  <w:vAlign w:val="center"/>
                </w:tcPr>
                <w:p w14:paraId="10513153">
                  <w:pPr>
                    <w:keepNext w:val="0"/>
                    <w:keepLines w:val="0"/>
                    <w:pageBreakBefore w:val="0"/>
                    <w:kinsoku/>
                    <w:wordWrap/>
                    <w:overflowPunct/>
                    <w:topLinePunct w:val="0"/>
                    <w:autoSpaceDE/>
                    <w:autoSpaceDN/>
                    <w:bidi w:val="0"/>
                    <w:spacing w:line="280" w:lineRule="exact"/>
                    <w:jc w:val="center"/>
                    <w:rPr>
                      <w:rFonts w:hint="default" w:ascii="Times New Roman" w:hAnsi="Times New Roman" w:cs="Times New Roman"/>
                      <w:color w:val="auto"/>
                      <w:lang w:val="en-US" w:eastAsia="zh-CN"/>
                    </w:rPr>
                  </w:pPr>
                </w:p>
              </w:tc>
              <w:tc>
                <w:tcPr>
                  <w:tcW w:w="1896" w:type="pct"/>
                  <w:tcBorders>
                    <w:tl2br w:val="nil"/>
                    <w:tr2bl w:val="nil"/>
                  </w:tcBorders>
                  <w:vAlign w:val="center"/>
                </w:tcPr>
                <w:p w14:paraId="456D7525">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危险废物的贮存设施的选址与设计、运行与管理、安全防护、环境监测及应急措施、以及关闭的须遵循《危险废物贮存污染控制标准》的规定。</w:t>
                  </w:r>
                </w:p>
              </w:tc>
              <w:tc>
                <w:tcPr>
                  <w:tcW w:w="1458" w:type="pct"/>
                  <w:vMerge w:val="continue"/>
                  <w:tcBorders>
                    <w:tl2br w:val="nil"/>
                    <w:tr2bl w:val="nil"/>
                  </w:tcBorders>
                  <w:vAlign w:val="center"/>
                </w:tcPr>
                <w:p w14:paraId="7547442A">
                  <w:pPr>
                    <w:keepNext w:val="0"/>
                    <w:keepLines w:val="0"/>
                    <w:pageBreakBefore w:val="0"/>
                    <w:kinsoku/>
                    <w:wordWrap/>
                    <w:overflowPunct/>
                    <w:topLinePunct w:val="0"/>
                    <w:autoSpaceDE/>
                    <w:autoSpaceDN/>
                    <w:bidi w:val="0"/>
                    <w:spacing w:line="280" w:lineRule="exact"/>
                    <w:jc w:val="center"/>
                    <w:rPr>
                      <w:rFonts w:hint="default" w:ascii="Times New Roman" w:hAnsi="Times New Roman" w:eastAsia="宋体" w:cs="Times New Roman"/>
                      <w:bCs/>
                      <w:color w:val="auto"/>
                      <w:lang w:val="en" w:eastAsia="zh-CN"/>
                    </w:rPr>
                  </w:pPr>
                </w:p>
              </w:tc>
              <w:tc>
                <w:tcPr>
                  <w:tcW w:w="610" w:type="pct"/>
                  <w:tcBorders>
                    <w:tl2br w:val="nil"/>
                    <w:tr2bl w:val="nil"/>
                  </w:tcBorders>
                  <w:vAlign w:val="center"/>
                </w:tcPr>
                <w:p w14:paraId="4D44102A">
                  <w:pPr>
                    <w:keepNext w:val="0"/>
                    <w:keepLines w:val="0"/>
                    <w:pageBreakBefore w:val="0"/>
                    <w:kinsoku/>
                    <w:wordWrap/>
                    <w:overflowPunct/>
                    <w:topLinePunct w:val="0"/>
                    <w:autoSpaceDE/>
                    <w:autoSpaceDN/>
                    <w:bidi w:val="0"/>
                    <w:spacing w:line="280" w:lineRule="exact"/>
                    <w:jc w:val="center"/>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符合</w:t>
                  </w:r>
                </w:p>
              </w:tc>
            </w:tr>
            <w:tr w14:paraId="06D82D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pct"/>
                  <w:vMerge w:val="restart"/>
                  <w:tcBorders>
                    <w:top w:val="single" w:color="auto" w:sz="4" w:space="0"/>
                    <w:tl2br w:val="nil"/>
                    <w:tr2bl w:val="nil"/>
                  </w:tcBorders>
                  <w:vAlign w:val="center"/>
                </w:tcPr>
                <w:p w14:paraId="1D8CEC53">
                  <w:pPr>
                    <w:keepNext w:val="0"/>
                    <w:keepLines w:val="0"/>
                    <w:pageBreakBefore w:val="0"/>
                    <w:kinsoku/>
                    <w:wordWrap/>
                    <w:overflowPunct/>
                    <w:topLinePunct w:val="0"/>
                    <w:autoSpaceDE/>
                    <w:autoSpaceDN/>
                    <w:bidi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《陕西省大气污染防治条例（2019修正）》</w:t>
                  </w:r>
                </w:p>
              </w:tc>
              <w:tc>
                <w:tcPr>
                  <w:tcW w:w="1896" w:type="pct"/>
                  <w:tcBorders>
                    <w:top w:val="single" w:color="auto" w:sz="4" w:space="0"/>
                    <w:tl2br w:val="nil"/>
                    <w:tr2bl w:val="nil"/>
                  </w:tcBorders>
                  <w:vAlign w:val="center"/>
                </w:tcPr>
                <w:p w14:paraId="21761A98">
                  <w:pPr>
                    <w:pStyle w:val="28"/>
                    <w:numPr>
                      <w:ilvl w:val="0"/>
                      <w:numId w:val="0"/>
                    </w:numPr>
                    <w:bidi w:val="0"/>
                    <w:ind w:left="0" w:leftChars="0" w:firstLine="0" w:firstLineChars="0"/>
                    <w:jc w:val="both"/>
                    <w:rPr>
                      <w:rFonts w:hint="default" w:eastAsia="宋体"/>
                      <w:color w:val="auto"/>
                      <w:lang w:val="en"/>
                    </w:rPr>
                  </w:pPr>
                  <w:r>
                    <w:rPr>
                      <w:rFonts w:hint="default" w:ascii="Times New Roman" w:hAnsi="Times New Roman" w:eastAsia="宋体" w:cs="Times New Roman"/>
                      <w:color w:val="auto"/>
                      <w:sz w:val="21"/>
                      <w:szCs w:val="21"/>
                    </w:rPr>
                    <w:t>第十六条 向大气排放工业废气、含有毒有害物质的大气污染物的企业事业单位，集中供热设施的运营单位，以及其他按照规定应当取得排污许可证方可排放大气污染物的企业事业单位，应当依法向县级以上生态环境行政主管部门申请排污许可证。</w:t>
                  </w:r>
                </w:p>
              </w:tc>
              <w:tc>
                <w:tcPr>
                  <w:tcW w:w="1458" w:type="pct"/>
                  <w:tcBorders>
                    <w:tl2br w:val="nil"/>
                    <w:tr2bl w:val="nil"/>
                  </w:tcBorders>
                  <w:vAlign w:val="center"/>
                </w:tcPr>
                <w:p w14:paraId="1BF175E5">
                  <w:pPr>
                    <w:pStyle w:val="28"/>
                    <w:bidi w:val="0"/>
                    <w:jc w:val="both"/>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公司</w:t>
                  </w:r>
                  <w:r>
                    <w:rPr>
                      <w:rFonts w:hint="eastAsia" w:ascii="Times New Roman" w:hAnsi="Times New Roman" w:eastAsia="宋体" w:cs="Times New Roman"/>
                      <w:color w:val="auto"/>
                      <w:kern w:val="2"/>
                      <w:sz w:val="21"/>
                      <w:szCs w:val="21"/>
                      <w:lang w:val="en-US" w:eastAsia="zh-CN"/>
                    </w:rPr>
                    <w:t>有合法的排污许可证，</w:t>
                  </w:r>
                  <w:r>
                    <w:rPr>
                      <w:rFonts w:hint="default" w:ascii="Times New Roman" w:hAnsi="Times New Roman" w:eastAsia="宋体" w:cs="Times New Roman"/>
                      <w:color w:val="auto"/>
                      <w:kern w:val="2"/>
                      <w:sz w:val="21"/>
                      <w:szCs w:val="21"/>
                      <w:lang w:val="en-US" w:eastAsia="zh-CN"/>
                    </w:rPr>
                    <w:t>本项目</w:t>
                  </w:r>
                  <w:r>
                    <w:rPr>
                      <w:rFonts w:hint="eastAsia" w:cs="Times New Roman"/>
                      <w:color w:val="auto"/>
                      <w:kern w:val="2"/>
                      <w:sz w:val="21"/>
                      <w:szCs w:val="21"/>
                      <w:lang w:val="en-US" w:eastAsia="zh-CN"/>
                    </w:rPr>
                    <w:t>括</w:t>
                  </w:r>
                  <w:r>
                    <w:rPr>
                      <w:rFonts w:hint="default" w:ascii="Times New Roman" w:hAnsi="Times New Roman" w:eastAsia="宋体" w:cs="Times New Roman"/>
                      <w:color w:val="auto"/>
                      <w:kern w:val="2"/>
                      <w:sz w:val="21"/>
                      <w:szCs w:val="21"/>
                      <w:lang w:val="en-US" w:eastAsia="zh-CN"/>
                    </w:rPr>
                    <w:t>建</w:t>
                  </w:r>
                  <w:r>
                    <w:rPr>
                      <w:rFonts w:hint="eastAsia" w:cs="Times New Roman"/>
                      <w:color w:val="auto"/>
                      <w:kern w:val="2"/>
                      <w:sz w:val="21"/>
                      <w:szCs w:val="21"/>
                      <w:lang w:val="en-US" w:eastAsia="zh-CN"/>
                    </w:rPr>
                    <w:t>完</w:t>
                  </w:r>
                  <w:r>
                    <w:rPr>
                      <w:rFonts w:hint="default" w:ascii="Times New Roman" w:hAnsi="Times New Roman" w:eastAsia="宋体" w:cs="Times New Roman"/>
                      <w:color w:val="auto"/>
                      <w:kern w:val="2"/>
                      <w:sz w:val="21"/>
                      <w:szCs w:val="21"/>
                      <w:lang w:val="en-US" w:eastAsia="zh-CN"/>
                    </w:rPr>
                    <w:t>成后，按要求</w:t>
                  </w:r>
                  <w:r>
                    <w:rPr>
                      <w:rFonts w:hint="eastAsia" w:ascii="Times New Roman" w:hAnsi="Times New Roman" w:eastAsia="宋体" w:cs="Times New Roman"/>
                      <w:color w:val="auto"/>
                      <w:kern w:val="2"/>
                      <w:sz w:val="21"/>
                      <w:szCs w:val="21"/>
                      <w:lang w:val="en-US" w:eastAsia="zh-CN"/>
                    </w:rPr>
                    <w:t>完善申请</w:t>
                  </w:r>
                  <w:r>
                    <w:rPr>
                      <w:rFonts w:hint="default" w:ascii="Times New Roman" w:hAnsi="Times New Roman" w:eastAsia="宋体" w:cs="Times New Roman"/>
                      <w:color w:val="auto"/>
                      <w:kern w:val="2"/>
                      <w:sz w:val="21"/>
                      <w:szCs w:val="21"/>
                      <w:lang w:val="en-US" w:eastAsia="zh-CN"/>
                    </w:rPr>
                    <w:t>排污许可。本项目行业类别为G5949其他危险品仓储，根据《固定污染源排污许可分类管理名录（2019年版）》，应实行登记管理。建成后应及时进行排污许可变更。</w:t>
                  </w:r>
                </w:p>
              </w:tc>
              <w:tc>
                <w:tcPr>
                  <w:tcW w:w="610" w:type="pct"/>
                  <w:tcBorders>
                    <w:tl2br w:val="nil"/>
                    <w:tr2bl w:val="nil"/>
                  </w:tcBorders>
                  <w:vAlign w:val="center"/>
                </w:tcPr>
                <w:p w14:paraId="1A9B05CA">
                  <w:pPr>
                    <w:pStyle w:val="28"/>
                    <w:bidi w:val="0"/>
                    <w:rPr>
                      <w:rFonts w:hint="eastAsia" w:eastAsia="宋体"/>
                      <w:color w:val="auto"/>
                      <w:lang w:val="en"/>
                    </w:rPr>
                  </w:pPr>
                  <w:r>
                    <w:rPr>
                      <w:rFonts w:hint="default" w:ascii="Times New Roman" w:hAnsi="Times New Roman" w:eastAsia="宋体" w:cs="Times New Roman"/>
                      <w:color w:val="auto"/>
                      <w:sz w:val="21"/>
                      <w:szCs w:val="21"/>
                      <w:lang w:val="en-US" w:eastAsia="zh-CN"/>
                    </w:rPr>
                    <w:t>符合</w:t>
                  </w:r>
                </w:p>
              </w:tc>
            </w:tr>
            <w:tr w14:paraId="045D78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pct"/>
                  <w:vMerge w:val="continue"/>
                  <w:tcBorders>
                    <w:tl2br w:val="nil"/>
                    <w:tr2bl w:val="nil"/>
                  </w:tcBorders>
                  <w:vAlign w:val="center"/>
                </w:tcPr>
                <w:p w14:paraId="4DE20D29">
                  <w:pPr>
                    <w:keepNext w:val="0"/>
                    <w:keepLines w:val="0"/>
                    <w:pageBreakBefore w:val="0"/>
                    <w:kinsoku/>
                    <w:wordWrap/>
                    <w:overflowPunct/>
                    <w:topLinePunct w:val="0"/>
                    <w:autoSpaceDE/>
                    <w:autoSpaceDN/>
                    <w:bidi w:val="0"/>
                    <w:spacing w:line="280" w:lineRule="exact"/>
                    <w:jc w:val="center"/>
                    <w:rPr>
                      <w:rFonts w:hint="default" w:ascii="Times New Roman" w:hAnsi="Times New Roman" w:eastAsia="宋体" w:cs="Times New Roman"/>
                      <w:color w:val="auto"/>
                      <w:sz w:val="21"/>
                      <w:szCs w:val="21"/>
                    </w:rPr>
                  </w:pPr>
                </w:p>
              </w:tc>
              <w:tc>
                <w:tcPr>
                  <w:tcW w:w="1896" w:type="pct"/>
                  <w:tcBorders>
                    <w:tl2br w:val="nil"/>
                    <w:tr2bl w:val="nil"/>
                  </w:tcBorders>
                  <w:vAlign w:val="center"/>
                </w:tcPr>
                <w:p w14:paraId="2B0C8E13">
                  <w:pPr>
                    <w:pStyle w:val="28"/>
                    <w:numPr>
                      <w:ilvl w:val="0"/>
                      <w:numId w:val="0"/>
                    </w:numPr>
                    <w:bidi w:val="0"/>
                    <w:ind w:left="0" w:leftChars="0" w:firstLine="0" w:firstLineChars="0"/>
                    <w:jc w:val="both"/>
                    <w:rPr>
                      <w:rFonts w:hint="default" w:eastAsia="宋体"/>
                      <w:color w:val="auto"/>
                      <w:lang w:val="en"/>
                    </w:rPr>
                  </w:pPr>
                  <w:r>
                    <w:rPr>
                      <w:rFonts w:hint="default" w:ascii="Times New Roman" w:hAnsi="Times New Roman" w:eastAsia="宋体" w:cs="Times New Roman"/>
                      <w:color w:val="auto"/>
                      <w:sz w:val="21"/>
                      <w:szCs w:val="21"/>
                    </w:rPr>
                    <w:t>第十九条 向大气排放污染物的单位应当按照有关规定设置监测点位和采样监测平台，对其所排放的大气污染物进行自行监测或者委托有环境监测资质的单位监测。监测结果由单位主管环境工作的负责人审核签字，原始监测记录至少保存三年。</w:t>
                  </w:r>
                </w:p>
              </w:tc>
              <w:tc>
                <w:tcPr>
                  <w:tcW w:w="1458" w:type="pct"/>
                  <w:tcBorders>
                    <w:tl2br w:val="nil"/>
                    <w:tr2bl w:val="nil"/>
                  </w:tcBorders>
                  <w:vAlign w:val="center"/>
                </w:tcPr>
                <w:p w14:paraId="44BC13C7">
                  <w:pPr>
                    <w:pStyle w:val="28"/>
                    <w:bidi w:val="0"/>
                    <w:jc w:val="both"/>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lang w:val="en-US" w:eastAsia="zh-CN"/>
                    </w:rPr>
                    <w:t>本项目</w:t>
                  </w:r>
                  <w:r>
                    <w:rPr>
                      <w:rFonts w:hint="default" w:ascii="Times New Roman" w:hAnsi="Times New Roman" w:eastAsia="宋体" w:cs="Times New Roman"/>
                      <w:color w:val="auto"/>
                      <w:sz w:val="21"/>
                      <w:szCs w:val="21"/>
                    </w:rPr>
                    <w:t>按照有关规定设置监测点位和采样监测平台</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委托有环境监测资质的单位</w:t>
                  </w:r>
                  <w:r>
                    <w:rPr>
                      <w:rFonts w:hint="default" w:ascii="Times New Roman" w:hAnsi="Times New Roman" w:eastAsia="宋体" w:cs="Times New Roman"/>
                      <w:color w:val="auto"/>
                      <w:sz w:val="21"/>
                      <w:szCs w:val="21"/>
                      <w:lang w:val="en-US" w:eastAsia="zh-CN"/>
                    </w:rPr>
                    <w:t>定期</w:t>
                  </w:r>
                  <w:r>
                    <w:rPr>
                      <w:rFonts w:hint="default" w:ascii="Times New Roman" w:hAnsi="Times New Roman" w:eastAsia="宋体" w:cs="Times New Roman"/>
                      <w:color w:val="auto"/>
                      <w:sz w:val="21"/>
                      <w:szCs w:val="21"/>
                    </w:rPr>
                    <w:t>监测</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原始记录至少保存5年（排污许可管理条例要求台账记录保存期限不得少于5年）。</w:t>
                  </w:r>
                </w:p>
              </w:tc>
              <w:tc>
                <w:tcPr>
                  <w:tcW w:w="610" w:type="pct"/>
                  <w:tcBorders>
                    <w:tl2br w:val="nil"/>
                    <w:tr2bl w:val="nil"/>
                  </w:tcBorders>
                  <w:vAlign w:val="center"/>
                </w:tcPr>
                <w:p w14:paraId="7CFA313C">
                  <w:pPr>
                    <w:pStyle w:val="28"/>
                    <w:bidi w:val="0"/>
                    <w:rPr>
                      <w:rFonts w:hint="eastAsia" w:eastAsia="宋体"/>
                      <w:color w:val="auto"/>
                      <w:lang w:val="en"/>
                    </w:rPr>
                  </w:pPr>
                  <w:r>
                    <w:rPr>
                      <w:rFonts w:hint="default" w:ascii="Times New Roman" w:hAnsi="Times New Roman" w:eastAsia="宋体" w:cs="Times New Roman"/>
                      <w:color w:val="auto"/>
                      <w:sz w:val="21"/>
                      <w:szCs w:val="21"/>
                      <w:lang w:val="en-US" w:eastAsia="zh-CN"/>
                    </w:rPr>
                    <w:t>符合</w:t>
                  </w:r>
                </w:p>
              </w:tc>
            </w:tr>
            <w:tr w14:paraId="217D44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pct"/>
                  <w:vMerge w:val="continue"/>
                  <w:tcBorders>
                    <w:tl2br w:val="nil"/>
                    <w:tr2bl w:val="nil"/>
                  </w:tcBorders>
                  <w:vAlign w:val="center"/>
                </w:tcPr>
                <w:p w14:paraId="1758DBC7">
                  <w:pPr>
                    <w:keepNext w:val="0"/>
                    <w:keepLines w:val="0"/>
                    <w:pageBreakBefore w:val="0"/>
                    <w:kinsoku/>
                    <w:wordWrap/>
                    <w:overflowPunct/>
                    <w:topLinePunct w:val="0"/>
                    <w:autoSpaceDE/>
                    <w:autoSpaceDN/>
                    <w:bidi w:val="0"/>
                    <w:spacing w:line="280" w:lineRule="exact"/>
                    <w:jc w:val="center"/>
                    <w:rPr>
                      <w:rFonts w:hint="default" w:ascii="Times New Roman" w:hAnsi="Times New Roman" w:eastAsia="宋体" w:cs="Times New Roman"/>
                      <w:color w:val="auto"/>
                      <w:sz w:val="21"/>
                      <w:szCs w:val="21"/>
                    </w:rPr>
                  </w:pPr>
                </w:p>
              </w:tc>
              <w:tc>
                <w:tcPr>
                  <w:tcW w:w="1896" w:type="pct"/>
                  <w:tcBorders>
                    <w:tl2br w:val="nil"/>
                    <w:tr2bl w:val="nil"/>
                  </w:tcBorders>
                  <w:vAlign w:val="center"/>
                </w:tcPr>
                <w:p w14:paraId="7990CF2E">
                  <w:pPr>
                    <w:pStyle w:val="28"/>
                    <w:numPr>
                      <w:ilvl w:val="0"/>
                      <w:numId w:val="0"/>
                    </w:numPr>
                    <w:bidi w:val="0"/>
                    <w:ind w:left="0" w:leftChars="0" w:firstLine="0" w:firstLineChars="0"/>
                    <w:jc w:val="both"/>
                    <w:rPr>
                      <w:rFonts w:hint="default" w:eastAsia="宋体"/>
                      <w:color w:val="auto"/>
                      <w:lang w:val="en"/>
                    </w:rPr>
                  </w:pPr>
                  <w:r>
                    <w:rPr>
                      <w:rFonts w:hint="default" w:ascii="Times New Roman" w:hAnsi="Times New Roman" w:eastAsia="宋体" w:cs="Times New Roman"/>
                      <w:color w:val="auto"/>
                      <w:sz w:val="21"/>
                      <w:szCs w:val="21"/>
                    </w:rPr>
                    <w:t>第二十条 生态环境行政主管部门和其他主管部门对管辖范围内的向大气排放污染物的企业事业单位和其他生产经营者可以随机现场检查。被检查的企业事业单位和其他生产经营者应当如实反映情况，提供必要的资料。检查部门应当为被检查的企业事业单位和其他生产经营者保守技术秘密和业务秘密。</w:t>
                  </w:r>
                </w:p>
              </w:tc>
              <w:tc>
                <w:tcPr>
                  <w:tcW w:w="1458" w:type="pct"/>
                  <w:tcBorders>
                    <w:tl2br w:val="nil"/>
                    <w:tr2bl w:val="nil"/>
                  </w:tcBorders>
                  <w:vAlign w:val="center"/>
                </w:tcPr>
                <w:p w14:paraId="2400357B">
                  <w:pPr>
                    <w:pStyle w:val="28"/>
                    <w:bidi w:val="0"/>
                    <w:jc w:val="both"/>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lang w:val="en-US" w:eastAsia="zh-CN"/>
                    </w:rPr>
                    <w:t>企业积极配合</w:t>
                  </w:r>
                  <w:r>
                    <w:rPr>
                      <w:rFonts w:hint="default" w:ascii="Times New Roman" w:hAnsi="Times New Roman" w:eastAsia="宋体" w:cs="Times New Roman"/>
                      <w:color w:val="auto"/>
                      <w:sz w:val="21"/>
                      <w:szCs w:val="21"/>
                    </w:rPr>
                    <w:t>生态环境行政主管部门和其他主管部门</w:t>
                  </w:r>
                  <w:r>
                    <w:rPr>
                      <w:rFonts w:hint="default" w:ascii="Times New Roman" w:hAnsi="Times New Roman" w:eastAsia="宋体" w:cs="Times New Roman"/>
                      <w:color w:val="auto"/>
                      <w:sz w:val="21"/>
                      <w:szCs w:val="21"/>
                      <w:lang w:val="en-US" w:eastAsia="zh-CN"/>
                    </w:rPr>
                    <w:t>检查，并如实反映情况，提供必要资料。</w:t>
                  </w:r>
                </w:p>
              </w:tc>
              <w:tc>
                <w:tcPr>
                  <w:tcW w:w="610" w:type="pct"/>
                  <w:tcBorders>
                    <w:tl2br w:val="nil"/>
                    <w:tr2bl w:val="nil"/>
                  </w:tcBorders>
                  <w:vAlign w:val="center"/>
                </w:tcPr>
                <w:p w14:paraId="4EA73996">
                  <w:pPr>
                    <w:pStyle w:val="28"/>
                    <w:bidi w:val="0"/>
                    <w:rPr>
                      <w:rFonts w:hint="eastAsia" w:eastAsia="宋体"/>
                      <w:color w:val="auto"/>
                      <w:lang w:val="en"/>
                    </w:rPr>
                  </w:pPr>
                  <w:r>
                    <w:rPr>
                      <w:rFonts w:hint="default" w:ascii="Times New Roman" w:hAnsi="Times New Roman" w:eastAsia="宋体" w:cs="Times New Roman"/>
                      <w:color w:val="auto"/>
                      <w:sz w:val="21"/>
                      <w:szCs w:val="21"/>
                      <w:lang w:val="en-US" w:eastAsia="zh-CN"/>
                    </w:rPr>
                    <w:t>符合</w:t>
                  </w:r>
                </w:p>
              </w:tc>
            </w:tr>
            <w:tr w14:paraId="5AFF12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pct"/>
                  <w:tcBorders>
                    <w:tl2br w:val="nil"/>
                    <w:tr2bl w:val="nil"/>
                  </w:tcBorders>
                  <w:vAlign w:val="center"/>
                </w:tcPr>
                <w:p w14:paraId="7D3A1F5B">
                  <w:pPr>
                    <w:keepNext w:val="0"/>
                    <w:keepLines w:val="0"/>
                    <w:pageBreakBefore w:val="0"/>
                    <w:kinsoku/>
                    <w:wordWrap/>
                    <w:overflowPunct/>
                    <w:topLinePunct w:val="0"/>
                    <w:autoSpaceDE/>
                    <w:autoSpaceDN/>
                    <w:bidi w:val="0"/>
                    <w:spacing w:line="28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 xml:space="preserve">《陕西省生态环境厅关于进一步加强关中地区涉气重点行业项目环评 </w:t>
                  </w:r>
                </w:p>
                <w:p w14:paraId="69A3A549">
                  <w:pPr>
                    <w:keepNext w:val="0"/>
                    <w:keepLines w:val="0"/>
                    <w:pageBreakBefore w:val="0"/>
                    <w:kinsoku/>
                    <w:wordWrap/>
                    <w:overflowPunct/>
                    <w:topLinePunct w:val="0"/>
                    <w:autoSpaceDE/>
                    <w:autoSpaceDN/>
                    <w:bidi w:val="0"/>
                    <w:spacing w:line="28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 xml:space="preserve">管理的通知》 </w:t>
                  </w:r>
                </w:p>
                <w:p w14:paraId="6CD82FF8">
                  <w:pPr>
                    <w:keepNext w:val="0"/>
                    <w:keepLines w:val="0"/>
                    <w:pageBreakBefore w:val="0"/>
                    <w:kinsoku/>
                    <w:wordWrap/>
                    <w:overflowPunct/>
                    <w:topLinePunct w:val="0"/>
                    <w:autoSpaceDE/>
                    <w:autoSpaceDN/>
                    <w:bidi w:val="0"/>
                    <w:spacing w:line="28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（陕环环评函〔2023〕76 号）</w:t>
                  </w:r>
                </w:p>
              </w:tc>
              <w:tc>
                <w:tcPr>
                  <w:tcW w:w="1896" w:type="pct"/>
                  <w:tcBorders>
                    <w:tl2br w:val="nil"/>
                    <w:tr2bl w:val="nil"/>
                  </w:tcBorders>
                  <w:vAlign w:val="center"/>
                </w:tcPr>
                <w:p w14:paraId="4722AA88">
                  <w:pPr>
                    <w:pStyle w:val="28"/>
                    <w:numPr>
                      <w:ilvl w:val="0"/>
                      <w:numId w:val="0"/>
                    </w:numPr>
                    <w:bidi w:val="0"/>
                    <w:ind w:left="0" w:leftChars="0" w:firstLine="0" w:firstLine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关中地区涉气重点行业项目范围为生态环境部确定的39个重点行业的新改扩建项目,涉及关中各市(区)辖区及开发区 范围内的应达到环保绩效A 级、绩效引领性水平要求，西安市、咸阳市、渭南市的其他区域应达到环保绩效 B 级及以上要求。</w:t>
                  </w:r>
                </w:p>
              </w:tc>
              <w:tc>
                <w:tcPr>
                  <w:tcW w:w="1458" w:type="pct"/>
                  <w:tcBorders>
                    <w:tl2br w:val="nil"/>
                    <w:tr2bl w:val="nil"/>
                  </w:tcBorders>
                  <w:vAlign w:val="center"/>
                </w:tcPr>
                <w:p w14:paraId="7B8072DB">
                  <w:pPr>
                    <w:pStyle w:val="28"/>
                    <w:bidi w:val="0"/>
                    <w:jc w:val="left"/>
                    <w:rPr>
                      <w:rFonts w:hint="default" w:ascii="Times New Roman" w:hAnsi="Times New Roman" w:eastAsia="宋体" w:cs="Times New Roman"/>
                      <w:color w:val="auto"/>
                      <w:sz w:val="21"/>
                      <w:szCs w:val="21"/>
                      <w:lang w:val="en-US" w:eastAsia="zh-CN"/>
                    </w:rPr>
                  </w:pPr>
                  <w:r>
                    <w:rPr>
                      <w:rFonts w:hint="default" w:ascii="Times New Roman" w:hAnsi="Times New Roman" w:cs="Times New Roman" w:eastAsiaTheme="minorEastAsia"/>
                      <w:color w:val="auto"/>
                      <w:sz w:val="21"/>
                      <w:szCs w:val="21"/>
                    </w:rPr>
                    <w:t>本项目为</w:t>
                  </w:r>
                  <w:r>
                    <w:rPr>
                      <w:rFonts w:hint="eastAsia"/>
                      <w:color w:val="auto"/>
                      <w:lang w:val="en-US" w:eastAsia="zh-CN"/>
                    </w:rPr>
                    <w:t xml:space="preserve">油气仓储 </w:t>
                  </w:r>
                  <w:r>
                    <w:rPr>
                      <w:rFonts w:hint="default" w:ascii="Times New Roman" w:hAnsi="Times New Roman" w:cs="Times New Roman" w:eastAsiaTheme="minorEastAsia"/>
                      <w:color w:val="auto"/>
                      <w:kern w:val="21"/>
                      <w:sz w:val="21"/>
                      <w:szCs w:val="21"/>
                    </w:rPr>
                    <w:t>业</w:t>
                  </w:r>
                  <w:r>
                    <w:rPr>
                      <w:rFonts w:hint="default" w:ascii="Times New Roman" w:hAnsi="Times New Roman" w:eastAsia="宋体" w:cs="Times New Roman"/>
                      <w:color w:val="auto"/>
                      <w:sz w:val="21"/>
                      <w:szCs w:val="21"/>
                      <w:lang w:val="en-US" w:eastAsia="zh-CN"/>
                    </w:rPr>
                    <w:t>，根据《重污染天气重点行业应急减排措 施 制 定 技 术指 南 （2020 年修订版）》，本项目不属于39个重点行业。</w:t>
                  </w:r>
                </w:p>
              </w:tc>
              <w:tc>
                <w:tcPr>
                  <w:tcW w:w="610" w:type="pct"/>
                  <w:tcBorders>
                    <w:tl2br w:val="nil"/>
                    <w:tr2bl w:val="nil"/>
                  </w:tcBorders>
                  <w:vAlign w:val="center"/>
                </w:tcPr>
                <w:p w14:paraId="1BF0BB12">
                  <w:pPr>
                    <w:pStyle w:val="28"/>
                    <w:bidi w:val="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符合</w:t>
                  </w:r>
                </w:p>
              </w:tc>
            </w:tr>
            <w:tr w14:paraId="07F165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pct"/>
                  <w:tcBorders>
                    <w:tl2br w:val="nil"/>
                    <w:tr2bl w:val="nil"/>
                  </w:tcBorders>
                  <w:vAlign w:val="center"/>
                </w:tcPr>
                <w:p w14:paraId="68FC9410">
                  <w:pPr>
                    <w:keepNext w:val="0"/>
                    <w:keepLines w:val="0"/>
                    <w:pageBreakBefore w:val="0"/>
                    <w:kinsoku/>
                    <w:wordWrap/>
                    <w:overflowPunct/>
                    <w:topLinePunct w:val="0"/>
                    <w:autoSpaceDE/>
                    <w:autoSpaceDN/>
                    <w:bidi w:val="0"/>
                    <w:spacing w:line="280" w:lineRule="exac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《陕西省大气污染治理专项行动方（2023-2027 </w:t>
                  </w:r>
                </w:p>
                <w:p w14:paraId="4C88C0AA">
                  <w:pPr>
                    <w:keepNext w:val="0"/>
                    <w:keepLines w:val="0"/>
                    <w:pageBreakBefore w:val="0"/>
                    <w:kinsoku/>
                    <w:wordWrap/>
                    <w:overflowPunct/>
                    <w:topLinePunct w:val="0"/>
                    <w:autoSpaceDE/>
                    <w:autoSpaceDN/>
                    <w:bidi w:val="0"/>
                    <w:spacing w:line="280" w:lineRule="exac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年）》</w:t>
                  </w:r>
                </w:p>
              </w:tc>
              <w:tc>
                <w:tcPr>
                  <w:tcW w:w="1896" w:type="pct"/>
                  <w:tcBorders>
                    <w:tl2br w:val="nil"/>
                    <w:tr2bl w:val="nil"/>
                  </w:tcBorders>
                  <w:vAlign w:val="center"/>
                </w:tcPr>
                <w:p w14:paraId="71792C23">
                  <w:pPr>
                    <w:pStyle w:val="28"/>
                    <w:numPr>
                      <w:ilvl w:val="0"/>
                      <w:numId w:val="0"/>
                    </w:numPr>
                    <w:bidi w:val="0"/>
                    <w:ind w:left="0" w:leftChars="0" w:firstLine="0" w:firstLineChars="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关中地区涉气重点行业项目范围为生态环境部确定的39个重点行业的新改扩建项目,涉及关中各市(区)辖区及开发区 范围内的应达到环保绩效A 级、绩效引领性水平要求，西安市、咸阳市、渭南市的其他区域应达到环保绩效 B 级及以上要求。</w:t>
                  </w:r>
                </w:p>
              </w:tc>
              <w:tc>
                <w:tcPr>
                  <w:tcW w:w="1458" w:type="pct"/>
                  <w:tcBorders>
                    <w:tl2br w:val="nil"/>
                    <w:tr2bl w:val="nil"/>
                  </w:tcBorders>
                  <w:vAlign w:val="center"/>
                </w:tcPr>
                <w:p w14:paraId="2BCE07A4">
                  <w:pPr>
                    <w:pStyle w:val="28"/>
                    <w:bidi w:val="0"/>
                    <w:jc w:val="left"/>
                    <w:rPr>
                      <w:rFonts w:hint="default" w:ascii="Times New Roman" w:hAnsi="Times New Roman" w:eastAsia="宋体" w:cs="Times New Roman"/>
                      <w:color w:val="auto"/>
                      <w:sz w:val="21"/>
                      <w:szCs w:val="21"/>
                      <w:lang w:val="en-US" w:eastAsia="zh-CN"/>
                    </w:rPr>
                  </w:pPr>
                  <w:r>
                    <w:rPr>
                      <w:rFonts w:hint="default" w:ascii="Times New Roman" w:hAnsi="Times New Roman" w:cs="Times New Roman" w:eastAsiaTheme="minorEastAsia"/>
                      <w:color w:val="auto"/>
                      <w:sz w:val="21"/>
                      <w:szCs w:val="21"/>
                    </w:rPr>
                    <w:t>本项目</w:t>
                  </w:r>
                  <w:r>
                    <w:rPr>
                      <w:rFonts w:hint="eastAsia"/>
                      <w:color w:val="auto"/>
                      <w:lang w:val="en-US" w:eastAsia="zh-CN"/>
                    </w:rPr>
                    <w:t>油气仓储业</w:t>
                  </w:r>
                  <w:r>
                    <w:rPr>
                      <w:rFonts w:hint="default" w:ascii="Times New Roman" w:hAnsi="Times New Roman" w:eastAsia="宋体" w:cs="Times New Roman"/>
                      <w:color w:val="auto"/>
                      <w:sz w:val="21"/>
                      <w:szCs w:val="21"/>
                      <w:lang w:val="en-US" w:eastAsia="zh-CN"/>
                    </w:rPr>
                    <w:t>，根据《重污染天气重点行业应急减排措 施 制 定 技 术指 南 （2020 年修订版）》，本项目不属于39个重点行业。</w:t>
                  </w:r>
                </w:p>
              </w:tc>
              <w:tc>
                <w:tcPr>
                  <w:tcW w:w="610" w:type="pct"/>
                  <w:tcBorders>
                    <w:tl2br w:val="nil"/>
                    <w:tr2bl w:val="nil"/>
                  </w:tcBorders>
                  <w:vAlign w:val="center"/>
                </w:tcPr>
                <w:p w14:paraId="1033101A">
                  <w:pPr>
                    <w:pStyle w:val="28"/>
                    <w:bidi w:val="0"/>
                    <w:rPr>
                      <w:rFonts w:hint="eastAsia" w:cs="Times New Roman"/>
                      <w:color w:val="auto"/>
                      <w:sz w:val="21"/>
                      <w:szCs w:val="21"/>
                      <w:lang w:val="en-US" w:eastAsia="zh-CN"/>
                    </w:rPr>
                  </w:pPr>
                  <w:r>
                    <w:rPr>
                      <w:rFonts w:hint="eastAsia" w:cs="Times New Roman"/>
                      <w:color w:val="auto"/>
                      <w:sz w:val="21"/>
                      <w:szCs w:val="21"/>
                      <w:lang w:val="en-US" w:eastAsia="zh-CN"/>
                    </w:rPr>
                    <w:t>符合</w:t>
                  </w:r>
                </w:p>
              </w:tc>
            </w:tr>
            <w:tr w14:paraId="55EC45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pct"/>
                  <w:vMerge w:val="restart"/>
                  <w:tcBorders>
                    <w:tl2br w:val="nil"/>
                    <w:tr2bl w:val="nil"/>
                  </w:tcBorders>
                  <w:vAlign w:val="center"/>
                </w:tcPr>
                <w:p w14:paraId="1711C5FB">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snapToGrid w:val="0"/>
                      <w:color w:val="auto"/>
                      <w:sz w:val="21"/>
                      <w:szCs w:val="21"/>
                      <w:lang w:eastAsia="zh-CN"/>
                    </w:rPr>
                    <w:t>《宝鸡市大气污染治理专项行动方案（2023-2027年）</w:t>
                  </w:r>
                </w:p>
              </w:tc>
              <w:tc>
                <w:tcPr>
                  <w:tcW w:w="1896" w:type="pct"/>
                  <w:tcBorders>
                    <w:tl2br w:val="nil"/>
                    <w:tr2bl w:val="nil"/>
                  </w:tcBorders>
                  <w:vAlign w:val="center"/>
                </w:tcPr>
                <w:p w14:paraId="38621034">
                  <w:pPr>
                    <w:adjustRightInd w:val="0"/>
                    <w:snapToGrid w:val="0"/>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加大餐饮油烟治理。产生的油烟的餐饮服务单位全部安装油烟净化装置并定期维护，经整改仍无法达标排放油烟的限期调整经营状态。</w:t>
                  </w:r>
                </w:p>
              </w:tc>
              <w:tc>
                <w:tcPr>
                  <w:tcW w:w="1458" w:type="pct"/>
                  <w:tcBorders>
                    <w:tl2br w:val="nil"/>
                    <w:tr2bl w:val="nil"/>
                  </w:tcBorders>
                  <w:vAlign w:val="center"/>
                </w:tcPr>
                <w:p w14:paraId="00DF173B">
                  <w:pPr>
                    <w:pStyle w:val="67"/>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安装油烟净化装置（处理效率75%），同时食堂安装1台排风机（5000m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/h），则排放浓度为0.011mg/m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，小于《饮食业油烟排放标准（试行）》（GB18483-2001）中最高允许排放浓度2mg/m3，经外置的专用排烟管道于楼顶排放，高出食堂楼顶1.5m，食堂楼顶空间开阔，利于少量油烟的进一步扩散，可实现达标排放。</w:t>
                  </w:r>
                </w:p>
              </w:tc>
              <w:tc>
                <w:tcPr>
                  <w:tcW w:w="610" w:type="pct"/>
                  <w:tcBorders>
                    <w:tl2br w:val="nil"/>
                    <w:tr2bl w:val="nil"/>
                  </w:tcBorders>
                  <w:vAlign w:val="center"/>
                </w:tcPr>
                <w:p w14:paraId="775E1A06">
                  <w:pPr>
                    <w:adjustRightInd w:val="0"/>
                    <w:snapToGrid w:val="0"/>
                    <w:jc w:val="center"/>
                    <w:rPr>
                      <w:rFonts w:hint="eastAsia" w:cs="Times New Roman"/>
                      <w:color w:val="auto"/>
                      <w:sz w:val="21"/>
                      <w:szCs w:val="21"/>
                      <w:lang w:val="en-US" w:eastAsia="zh-CN"/>
                    </w:rPr>
                  </w:pPr>
                  <w:r>
                    <w:rPr>
                      <w:rFonts w:hint="eastAsia" w:ascii="Times New Roman" w:hAnsi="Times New Roman" w:cs="Times New Roman"/>
                      <w:snapToGrid w:val="0"/>
                      <w:color w:val="auto"/>
                      <w:sz w:val="21"/>
                      <w:szCs w:val="21"/>
                      <w:lang w:eastAsia="zh-CN"/>
                    </w:rPr>
                    <w:t>符合</w:t>
                  </w:r>
                </w:p>
              </w:tc>
            </w:tr>
            <w:tr w14:paraId="46E8A3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pct"/>
                  <w:vMerge w:val="continue"/>
                  <w:tcBorders>
                    <w:tl2br w:val="nil"/>
                    <w:tr2bl w:val="nil"/>
                  </w:tcBorders>
                  <w:vAlign w:val="center"/>
                </w:tcPr>
                <w:p w14:paraId="68641905">
                  <w:pPr>
                    <w:adjustRightInd w:val="0"/>
                    <w:snapToGrid w:val="0"/>
                    <w:jc w:val="center"/>
                    <w:rPr>
                      <w:rFonts w:hint="default" w:ascii="Times New Roman" w:hAnsi="Times New Roman" w:cs="Times New Roman"/>
                      <w:snapToGrid w:val="0"/>
                      <w:color w:val="auto"/>
                      <w:sz w:val="21"/>
                      <w:szCs w:val="21"/>
                      <w:lang w:eastAsia="zh-CN"/>
                    </w:rPr>
                  </w:pPr>
                </w:p>
              </w:tc>
              <w:tc>
                <w:tcPr>
                  <w:tcW w:w="2705" w:type="dxa"/>
                  <w:tcBorders>
                    <w:tl2br w:val="nil"/>
                    <w:tr2bl w:val="nil"/>
                  </w:tcBorders>
                  <w:vAlign w:val="center"/>
                </w:tcPr>
                <w:p w14:paraId="4457C150">
                  <w:pPr>
                    <w:shd w:val="clear" w:color="auto" w:fill="auto"/>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highlight w:val="none"/>
                      <w:lang w:val="en-US" w:eastAsia="zh-CN"/>
                    </w:rPr>
                    <w:t>产业发展结构调整条件。</w:t>
                  </w:r>
                  <w:r>
                    <w:rPr>
                      <w:rFonts w:hint="default" w:ascii="Times New Roman" w:hAnsi="Times New Roman" w:cs="Times New Roman"/>
                      <w:color w:val="auto"/>
                      <w:sz w:val="21"/>
                      <w:szCs w:val="21"/>
                      <w:highlight w:val="none"/>
                      <w:lang w:val="en-US" w:eastAsia="zh-CN"/>
                    </w:rPr>
                    <w:t>严禁新增钢铁、焦化、水泥熟</w:t>
                  </w:r>
                  <w:r>
                    <w:rPr>
                      <w:rFonts w:hint="eastAsia" w:ascii="Times New Roman" w:hAnsi="Times New Roman" w:cs="Times New Roman"/>
                      <w:color w:val="auto"/>
                      <w:sz w:val="21"/>
                      <w:szCs w:val="21"/>
                      <w:highlight w:val="none"/>
                      <w:lang w:val="en-US" w:eastAsia="zh-CN"/>
                    </w:rPr>
                    <w:t>料、</w:t>
                  </w:r>
                  <w:r>
                    <w:rPr>
                      <w:rFonts w:hint="default" w:ascii="Times New Roman" w:hAnsi="Times New Roman" w:cs="Times New Roman"/>
                      <w:color w:val="auto"/>
                      <w:sz w:val="21"/>
                      <w:szCs w:val="21"/>
                      <w:highlight w:val="none"/>
                      <w:lang w:val="en-US" w:eastAsia="zh-CN"/>
                    </w:rPr>
                    <w:t>平板玻璃、电解铝、氧化铝、煤化工产能</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合理控制煤制油气产能规模</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严控新增炼油产能。不得违规新增化工园区。严格执行《产业结构调整指导目录》</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坚决遏制</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两高</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项目盲目发展</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严格落实国家产业规划、产业政策、</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三线一单</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、规划环评以及产能置换、煤炭消费减量替代、区域污染 物削减等要求</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严禁不符合规定的项目建设。</w:t>
                  </w:r>
                </w:p>
              </w:tc>
              <w:tc>
                <w:tcPr>
                  <w:tcW w:w="2081" w:type="dxa"/>
                  <w:tcBorders>
                    <w:tl2br w:val="nil"/>
                    <w:tr2bl w:val="nil"/>
                  </w:tcBorders>
                  <w:vAlign w:val="center"/>
                </w:tcPr>
                <w:p w14:paraId="32D5C15B">
                  <w:pPr>
                    <w:shd w:val="clear" w:color="auto" w:fill="auto"/>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highlight w:val="none"/>
                      <w:shd w:val="clear" w:color="auto" w:fill="FFFFFF"/>
                      <w:lang w:val="en-US" w:eastAsia="zh-CN"/>
                    </w:rPr>
                    <w:t>本项目为</w:t>
                  </w:r>
                  <w:r>
                    <w:rPr>
                      <w:rFonts w:hint="eastAsia"/>
                      <w:color w:val="auto"/>
                      <w:lang w:val="en-US" w:eastAsia="zh-CN"/>
                    </w:rPr>
                    <w:t>油气仓储业</w:t>
                  </w:r>
                  <w:r>
                    <w:rPr>
                      <w:rFonts w:hint="eastAsia"/>
                      <w:color w:val="auto"/>
                      <w:sz w:val="21"/>
                      <w:szCs w:val="21"/>
                      <w:highlight w:val="none"/>
                      <w:shd w:val="clear" w:color="auto" w:fill="FFFFFF"/>
                      <w:lang w:val="en-US" w:eastAsia="zh-CN"/>
                    </w:rPr>
                    <w:t>，不属于严禁新增行业及“两高”行业；项目建设符合</w:t>
                  </w:r>
                  <w:r>
                    <w:rPr>
                      <w:rFonts w:hint="default" w:ascii="Times New Roman" w:hAnsi="Times New Roman" w:cs="Times New Roman"/>
                      <w:color w:val="auto"/>
                      <w:sz w:val="21"/>
                      <w:szCs w:val="21"/>
                      <w:highlight w:val="none"/>
                      <w:lang w:val="en-US" w:eastAsia="zh-CN"/>
                    </w:rPr>
                    <w:t>《产业结构调整指导目录</w:t>
                  </w:r>
                  <w:r>
                    <w:rPr>
                      <w:rFonts w:hint="eastAsia" w:ascii="Times New Roman" w:hAnsi="Times New Roman" w:cs="Times New Roman"/>
                      <w:color w:val="auto"/>
                      <w:sz w:val="21"/>
                      <w:szCs w:val="21"/>
                      <w:highlight w:val="none"/>
                      <w:lang w:val="en-US" w:eastAsia="zh-CN"/>
                    </w:rPr>
                    <w:t>（2024年版）</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及“</w:t>
                  </w:r>
                  <w:r>
                    <w:rPr>
                      <w:rFonts w:hint="default" w:ascii="Times New Roman" w:hAnsi="Times New Roman" w:cs="Times New Roman"/>
                      <w:color w:val="auto"/>
                      <w:sz w:val="21"/>
                      <w:szCs w:val="21"/>
                      <w:highlight w:val="none"/>
                      <w:lang w:val="en-US" w:eastAsia="zh-CN"/>
                    </w:rPr>
                    <w:t>三线一单</w:t>
                  </w:r>
                  <w:r>
                    <w:rPr>
                      <w:rFonts w:hint="eastAsia" w:ascii="Times New Roman" w:hAnsi="Times New Roman" w:cs="Times New Roman"/>
                      <w:color w:val="auto"/>
                      <w:sz w:val="21"/>
                      <w:szCs w:val="21"/>
                      <w:highlight w:val="none"/>
                      <w:lang w:val="en-US" w:eastAsia="zh-CN"/>
                    </w:rPr>
                    <w:t>”的要求</w:t>
                  </w:r>
                </w:p>
              </w:tc>
              <w:tc>
                <w:tcPr>
                  <w:tcW w:w="872" w:type="dxa"/>
                  <w:tcBorders>
                    <w:tl2br w:val="nil"/>
                    <w:tr2bl w:val="nil"/>
                  </w:tcBorders>
                  <w:vAlign w:val="center"/>
                </w:tcPr>
                <w:p w14:paraId="5F2F7DC1">
                  <w:pPr>
                    <w:shd w:val="clear" w:color="auto" w:fill="auto"/>
                    <w:adjustRightInd w:val="0"/>
                    <w:snapToGrid w:val="0"/>
                    <w:jc w:val="center"/>
                    <w:rPr>
                      <w:rFonts w:hint="eastAsia" w:ascii="Times New Roman" w:hAnsi="Times New Roman" w:cs="Times New Roman"/>
                      <w:snapToGrid w:val="0"/>
                      <w:color w:val="auto"/>
                      <w:sz w:val="21"/>
                      <w:szCs w:val="21"/>
                      <w:lang w:eastAsia="zh-CN"/>
                    </w:rPr>
                  </w:pPr>
                  <w:r>
                    <w:rPr>
                      <w:rFonts w:hint="eastAsia"/>
                      <w:color w:val="auto"/>
                      <w:sz w:val="21"/>
                      <w:szCs w:val="21"/>
                      <w:highlight w:val="none"/>
                      <w:lang w:val="en-US" w:eastAsia="zh-CN"/>
                    </w:rPr>
                    <w:t>符合</w:t>
                  </w:r>
                </w:p>
              </w:tc>
            </w:tr>
            <w:tr w14:paraId="4BD6D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pct"/>
                  <w:vMerge w:val="continue"/>
                  <w:tcBorders>
                    <w:tl2br w:val="nil"/>
                    <w:tr2bl w:val="nil"/>
                  </w:tcBorders>
                  <w:vAlign w:val="center"/>
                </w:tcPr>
                <w:p w14:paraId="4FBE155D">
                  <w:pPr>
                    <w:adjustRightInd w:val="0"/>
                    <w:snapToGrid w:val="0"/>
                    <w:jc w:val="center"/>
                    <w:rPr>
                      <w:rFonts w:hint="default" w:ascii="Times New Roman" w:hAnsi="Times New Roman" w:cs="Times New Roman"/>
                      <w:snapToGrid w:val="0"/>
                      <w:color w:val="auto"/>
                      <w:sz w:val="21"/>
                      <w:szCs w:val="21"/>
                      <w:lang w:eastAsia="zh-CN"/>
                    </w:rPr>
                  </w:pPr>
                </w:p>
              </w:tc>
              <w:tc>
                <w:tcPr>
                  <w:tcW w:w="2705" w:type="dxa"/>
                  <w:tcBorders>
                    <w:tl2br w:val="nil"/>
                    <w:tr2bl w:val="nil"/>
                  </w:tcBorders>
                  <w:vAlign w:val="center"/>
                </w:tcPr>
                <w:p w14:paraId="1CDF7FEA">
                  <w:pPr>
                    <w:shd w:val="clear" w:color="auto" w:fill="auto"/>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以城市建成区为重点,逐步扩大禁燃区范围。2024年底前</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各县(区)应依法将平原地区划定为高污染燃料禁燃区。禁燃区禁止销售、使用高污染燃料(35蒸吨及以上锅炉、火力发电企业机组除外)。</w:t>
                  </w:r>
                </w:p>
              </w:tc>
              <w:tc>
                <w:tcPr>
                  <w:tcW w:w="2081" w:type="dxa"/>
                  <w:tcBorders>
                    <w:tl2br w:val="nil"/>
                    <w:tr2bl w:val="nil"/>
                  </w:tcBorders>
                  <w:vAlign w:val="center"/>
                </w:tcPr>
                <w:p w14:paraId="297885F2">
                  <w:pPr>
                    <w:shd w:val="clear" w:color="auto" w:fill="auto"/>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highlight w:val="none"/>
                      <w:shd w:val="clear" w:color="auto" w:fill="FFFFFF"/>
                      <w:lang w:val="en-US" w:eastAsia="zh-CN"/>
                    </w:rPr>
                    <w:t>本项目不在城市建成区的范围内，属于</w:t>
                  </w:r>
                  <w:r>
                    <w:rPr>
                      <w:rFonts w:hint="eastAsia"/>
                      <w:color w:val="auto"/>
                      <w:lang w:val="en-US" w:eastAsia="zh-CN"/>
                    </w:rPr>
                    <w:t>油气仓储业</w:t>
                  </w:r>
                  <w:r>
                    <w:rPr>
                      <w:rFonts w:hint="eastAsia"/>
                      <w:color w:val="auto"/>
                      <w:sz w:val="21"/>
                      <w:szCs w:val="21"/>
                      <w:highlight w:val="none"/>
                      <w:shd w:val="clear" w:color="auto" w:fill="FFFFFF"/>
                      <w:lang w:val="en-US" w:eastAsia="zh-CN"/>
                    </w:rPr>
                    <w:t>，不涉及煤炭等高污染燃料的使用</w:t>
                  </w:r>
                </w:p>
              </w:tc>
              <w:tc>
                <w:tcPr>
                  <w:tcW w:w="872" w:type="dxa"/>
                  <w:tcBorders>
                    <w:tl2br w:val="nil"/>
                    <w:tr2bl w:val="nil"/>
                  </w:tcBorders>
                  <w:vAlign w:val="center"/>
                </w:tcPr>
                <w:p w14:paraId="287F344A">
                  <w:pPr>
                    <w:shd w:val="clear" w:color="auto" w:fill="auto"/>
                    <w:adjustRightInd w:val="0"/>
                    <w:snapToGrid w:val="0"/>
                    <w:jc w:val="center"/>
                    <w:rPr>
                      <w:rFonts w:hint="eastAsia" w:ascii="Times New Roman" w:hAnsi="Times New Roman" w:cs="Times New Roman"/>
                      <w:snapToGrid w:val="0"/>
                      <w:color w:val="auto"/>
                      <w:sz w:val="21"/>
                      <w:szCs w:val="21"/>
                      <w:lang w:eastAsia="zh-CN"/>
                    </w:rPr>
                  </w:pPr>
                  <w:r>
                    <w:rPr>
                      <w:rFonts w:hint="eastAsia"/>
                      <w:color w:val="auto"/>
                      <w:sz w:val="21"/>
                      <w:szCs w:val="21"/>
                      <w:highlight w:val="none"/>
                      <w:lang w:val="en-US" w:eastAsia="zh-CN"/>
                    </w:rPr>
                    <w:t>符合</w:t>
                  </w:r>
                </w:p>
              </w:tc>
            </w:tr>
            <w:tr w14:paraId="062EF1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pct"/>
                  <w:tcBorders>
                    <w:tl2br w:val="nil"/>
                    <w:tr2bl w:val="nil"/>
                  </w:tcBorders>
                  <w:vAlign w:val="center"/>
                </w:tcPr>
                <w:p w14:paraId="3D501C9C">
                  <w:pPr>
                    <w:adjustRightInd w:val="0"/>
                    <w:snapToGrid w:val="0"/>
                    <w:jc w:val="center"/>
                    <w:rPr>
                      <w:rFonts w:hint="default" w:ascii="Times New Roman" w:hAnsi="Times New Roman" w:cs="Times New Roman"/>
                      <w:snapToGrid w:val="0"/>
                      <w:color w:val="auto"/>
                      <w:sz w:val="21"/>
                      <w:szCs w:val="21"/>
                      <w:lang w:eastAsia="zh-CN"/>
                    </w:rPr>
                  </w:pPr>
                  <w:r>
                    <w:rPr>
                      <w:rFonts w:hint="default" w:ascii="Times New Roman" w:hAnsi="Times New Roman" w:cs="Times New Roman"/>
                      <w:snapToGrid w:val="0"/>
                      <w:color w:val="auto"/>
                      <w:sz w:val="21"/>
                      <w:szCs w:val="21"/>
                      <w:lang w:eastAsia="zh-CN"/>
                    </w:rPr>
                    <w:t>《陕西省渭河流域生态环境保护办法》</w:t>
                  </w:r>
                  <w:r>
                    <w:rPr>
                      <w:rFonts w:hint="default" w:ascii="Times New Roman" w:hAnsi="Times New Roman" w:cs="Times New Roman"/>
                      <w:b w:val="0"/>
                      <w:bCs/>
                      <w:i w:val="0"/>
                      <w:caps w:val="0"/>
                      <w:color w:val="auto"/>
                      <w:spacing w:val="0"/>
                      <w:w w:val="100"/>
                      <w:sz w:val="21"/>
                      <w:szCs w:val="21"/>
                      <w:lang w:val="en-US" w:eastAsia="zh-CN"/>
                    </w:rPr>
                    <w:t>（省政府令第139号）</w:t>
                  </w:r>
                </w:p>
              </w:tc>
              <w:tc>
                <w:tcPr>
                  <w:tcW w:w="1896" w:type="pct"/>
                  <w:tcBorders>
                    <w:tl2br w:val="nil"/>
                    <w:tr2bl w:val="nil"/>
                  </w:tcBorders>
                  <w:vAlign w:val="center"/>
                </w:tcPr>
                <w:p w14:paraId="648AD9F4">
                  <w:pPr>
                    <w:adjustRightInd w:val="0"/>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第二十五条：禁止在饮用水水源二级保护区内新建、改建、扩建排放水污染物的建设项目。</w:t>
                  </w:r>
                </w:p>
                <w:p w14:paraId="3A00BF8E">
                  <w:pPr>
                    <w:adjustRightInd w:val="0"/>
                    <w:snapToGrid w:val="0"/>
                    <w:jc w:val="left"/>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第四十九条：在渭河流域生态环境保护的重点区域内，禁止新建水泥、造纸、果汁、印染、酿造、淀粉、电镀等耗水量大、污染严重的建设项目。</w:t>
                  </w:r>
                </w:p>
              </w:tc>
              <w:tc>
                <w:tcPr>
                  <w:tcW w:w="1458" w:type="pct"/>
                  <w:tcBorders>
                    <w:tl2br w:val="nil"/>
                    <w:tr2bl w:val="nil"/>
                  </w:tcBorders>
                  <w:vAlign w:val="center"/>
                </w:tcPr>
                <w:p w14:paraId="1F2139FA">
                  <w:pPr>
                    <w:pStyle w:val="67"/>
                    <w:jc w:val="left"/>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陕西省宝鸡市凤翔县东北糜杆桥镇宝鸡机场东南侧，不在饮用水水源保护区内；项目属于新建项目，不属于禁止新建的耗水量大、污染严重的建设项目。项目配套建设废气、废水等污染治理设施，确保污染物达标排放</w:t>
                  </w:r>
                </w:p>
              </w:tc>
              <w:tc>
                <w:tcPr>
                  <w:tcW w:w="610" w:type="pct"/>
                  <w:tcBorders>
                    <w:tl2br w:val="nil"/>
                    <w:tr2bl w:val="nil"/>
                  </w:tcBorders>
                  <w:vAlign w:val="center"/>
                </w:tcPr>
                <w:p w14:paraId="37FD7106">
                  <w:pPr>
                    <w:adjustRightInd w:val="0"/>
                    <w:snapToGrid w:val="0"/>
                    <w:jc w:val="center"/>
                    <w:rPr>
                      <w:rFonts w:hint="eastAsia" w:ascii="Times New Roman" w:hAnsi="Times New Roman" w:cs="Times New Roman"/>
                      <w:snapToGrid w:val="0"/>
                      <w:color w:val="auto"/>
                      <w:sz w:val="21"/>
                      <w:szCs w:val="21"/>
                      <w:lang w:eastAsia="zh-CN"/>
                    </w:rPr>
                  </w:pPr>
                  <w:r>
                    <w:rPr>
                      <w:rFonts w:hint="default" w:ascii="Times New Roman" w:hAnsi="Times New Roman" w:cs="Times New Roman"/>
                      <w:snapToGrid w:val="0"/>
                      <w:color w:val="auto"/>
                      <w:sz w:val="21"/>
                      <w:szCs w:val="21"/>
                      <w:lang w:val="en-US" w:eastAsia="zh-CN"/>
                    </w:rPr>
                    <w:t>符合</w:t>
                  </w:r>
                </w:p>
              </w:tc>
            </w:tr>
            <w:tr w14:paraId="31263D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pct"/>
                  <w:vMerge w:val="restart"/>
                  <w:tcBorders>
                    <w:tl2br w:val="nil"/>
                    <w:tr2bl w:val="nil"/>
                  </w:tcBorders>
                  <w:vAlign w:val="center"/>
                </w:tcPr>
                <w:p w14:paraId="7223C3E9">
                  <w:pPr>
                    <w:shd w:val="clear" w:color="auto" w:fill="auto"/>
                    <w:jc w:val="center"/>
                    <w:rPr>
                      <w:rFonts w:hint="default" w:ascii="Times New Roman" w:hAnsi="Times New Roman" w:cs="Times New Roman"/>
                      <w:snapToGrid w:val="0"/>
                      <w:color w:val="auto"/>
                      <w:sz w:val="21"/>
                      <w:szCs w:val="21"/>
                      <w:lang w:eastAsia="zh-CN"/>
                    </w:rPr>
                  </w:pPr>
                  <w:r>
                    <w:rPr>
                      <w:rFonts w:hint="eastAsia" w:ascii="Times New Roman" w:hAnsi="Times New Roman" w:eastAsia="宋体"/>
                      <w:color w:val="auto"/>
                      <w:highlight w:val="none"/>
                      <w:lang w:val="en-US" w:eastAsia="zh-CN"/>
                    </w:rPr>
                    <w:t>宝鸡市凤翔区人民政府《关于宝鸡市凤翔区高污染燃料禁燃区划定和管控工作的通知》（宝凤政函〔2023〕43号）</w:t>
                  </w:r>
                </w:p>
              </w:tc>
              <w:tc>
                <w:tcPr>
                  <w:tcW w:w="1896" w:type="pct"/>
                  <w:tcBorders>
                    <w:tl2br w:val="nil"/>
                    <w:tr2bl w:val="nil"/>
                  </w:tcBorders>
                  <w:vAlign w:val="center"/>
                </w:tcPr>
                <w:p w14:paraId="06208876">
                  <w:pPr>
                    <w:shd w:val="clear" w:color="auto" w:fill="auto"/>
                    <w:jc w:val="left"/>
                    <w:rPr>
                      <w:rFonts w:hint="default" w:ascii="Times New Roman" w:hAnsi="Times New Roman" w:eastAsia="宋体" w:cs="Times New Roman"/>
                      <w:color w:val="auto"/>
                      <w:sz w:val="21"/>
                      <w:szCs w:val="21"/>
                      <w:lang w:val="en-US" w:eastAsia="zh-CN"/>
                    </w:rPr>
                  </w:pPr>
                  <w:r>
                    <w:rPr>
                      <w:rFonts w:ascii="Times New Roman" w:hAnsi="Times New Roman" w:eastAsia="宋体"/>
                      <w:color w:val="auto"/>
                      <w:highlight w:val="none"/>
                    </w:rPr>
                    <w:t>一</w:t>
                  </w:r>
                  <w:r>
                    <w:rPr>
                      <w:rFonts w:hint="default" w:ascii="Times New Roman" w:hAnsi="Times New Roman" w:eastAsia="宋体"/>
                      <w:color w:val="auto"/>
                      <w:highlight w:val="none"/>
                    </w:rPr>
                    <w:t>、禁燃区范围</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全区除糜杆桥镇五曲湾村、范家寨镇老女沟村、陈村镇蔡阳山村、姚家沟镇全域4个村以及柳林镇北斗坊村、会山村、关村、汉封村、程家塬村、洛城村总共13个山区行政村以外的147个平原行政村为禁燃区；东至横水镇尹稼坞村北至范家寨镇临阵坡村，西至长青镇长青村，南至虢王镇万丰村，不含糜杆桥镇西关村以北、省道S210东侧占地约180亩的储煤区和横水镇横水村占地100亩的凤翔县胜利煤业有限公司，禁燃区总面积610平方公里。</w:t>
                  </w:r>
                </w:p>
              </w:tc>
              <w:tc>
                <w:tcPr>
                  <w:tcW w:w="1458" w:type="pct"/>
                  <w:tcBorders>
                    <w:tl2br w:val="nil"/>
                    <w:tr2bl w:val="nil"/>
                  </w:tcBorders>
                  <w:vAlign w:val="center"/>
                </w:tcPr>
                <w:p w14:paraId="2F746293">
                  <w:pPr>
                    <w:pStyle w:val="113"/>
                    <w:shd w:val="clear" w:color="auto" w:fill="auto"/>
                    <w:spacing w:line="240" w:lineRule="auto"/>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陕西省宝鸡市凤翔县东北糜杆桥镇宝鸡机场东南侧</w:t>
                  </w:r>
                  <w:r>
                    <w:rPr>
                      <w:rFonts w:hint="eastAsia"/>
                      <w:color w:val="auto"/>
                      <w:sz w:val="21"/>
                      <w:szCs w:val="21"/>
                      <w:highlight w:val="none"/>
                      <w:lang w:val="en-US" w:eastAsia="zh-CN"/>
                    </w:rPr>
                    <w:t>，不在禁燃区范围内</w:t>
                  </w:r>
                </w:p>
              </w:tc>
              <w:tc>
                <w:tcPr>
                  <w:tcW w:w="610" w:type="pct"/>
                  <w:tcBorders>
                    <w:tl2br w:val="nil"/>
                    <w:tr2bl w:val="nil"/>
                  </w:tcBorders>
                  <w:vAlign w:val="center"/>
                </w:tcPr>
                <w:p w14:paraId="734737BA">
                  <w:pPr>
                    <w:shd w:val="clear" w:color="auto" w:fill="auto"/>
                    <w:adjustRightInd w:val="0"/>
                    <w:snapToGrid w:val="0"/>
                    <w:jc w:val="center"/>
                    <w:rPr>
                      <w:rFonts w:hint="default" w:ascii="Times New Roman" w:hAnsi="Times New Roman" w:cs="Times New Roman"/>
                      <w:snapToGrid w:val="0"/>
                      <w:color w:val="auto"/>
                      <w:sz w:val="21"/>
                      <w:szCs w:val="21"/>
                      <w:lang w:val="en-US" w:eastAsia="zh-CN"/>
                    </w:rPr>
                  </w:pPr>
                  <w:r>
                    <w:rPr>
                      <w:rFonts w:hint="eastAsia"/>
                      <w:color w:val="auto"/>
                      <w:sz w:val="21"/>
                      <w:szCs w:val="21"/>
                      <w:highlight w:val="none"/>
                      <w:lang w:val="en-US" w:eastAsia="zh-CN"/>
                    </w:rPr>
                    <w:t>符合</w:t>
                  </w:r>
                </w:p>
              </w:tc>
            </w:tr>
            <w:tr w14:paraId="2FFECC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pct"/>
                  <w:vMerge w:val="continue"/>
                  <w:tcBorders>
                    <w:tl2br w:val="nil"/>
                    <w:tr2bl w:val="nil"/>
                  </w:tcBorders>
                  <w:vAlign w:val="center"/>
                </w:tcPr>
                <w:p w14:paraId="623053E4">
                  <w:pPr>
                    <w:shd w:val="clear" w:color="auto" w:fill="auto"/>
                    <w:jc w:val="center"/>
                    <w:rPr>
                      <w:rFonts w:hint="default" w:ascii="Times New Roman" w:hAnsi="Times New Roman" w:cs="Times New Roman"/>
                      <w:snapToGrid w:val="0"/>
                      <w:color w:val="auto"/>
                      <w:sz w:val="21"/>
                      <w:szCs w:val="21"/>
                      <w:lang w:eastAsia="zh-CN"/>
                    </w:rPr>
                  </w:pPr>
                </w:p>
              </w:tc>
              <w:tc>
                <w:tcPr>
                  <w:tcW w:w="1896" w:type="pct"/>
                  <w:tcBorders>
                    <w:tl2br w:val="nil"/>
                    <w:tr2bl w:val="nil"/>
                  </w:tcBorders>
                  <w:vAlign w:val="center"/>
                </w:tcPr>
                <w:p w14:paraId="155CC6A3">
                  <w:pPr>
                    <w:shd w:val="clear" w:color="auto" w:fill="auto"/>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highlight w:val="none"/>
                      <w:lang w:val="en-US" w:eastAsia="zh-CN"/>
                    </w:rPr>
                    <w:t>二、高污染燃料范围：根据原环保部发布的《高污染燃料目录》，我区高污染燃料禁燃区执行Ⅲ类(严格)要求，禁止使用下列高污染燃料：(一)煤炭及其制品(包括原煤、散煤、煤矸石、煤泥、煤粉、水煤浆、型煤、焦炭、兰炭等)。(二)石油焦、油页岩、原油、重油、渣油、煤焦油。(三)非专用锅炉或未配置高效除尘设施的专用锅炉燃用的生物质成型燃料。</w:t>
                  </w:r>
                </w:p>
              </w:tc>
              <w:tc>
                <w:tcPr>
                  <w:tcW w:w="1458" w:type="pct"/>
                  <w:tcBorders>
                    <w:tl2br w:val="nil"/>
                    <w:tr2bl w:val="nil"/>
                  </w:tcBorders>
                  <w:vAlign w:val="center"/>
                </w:tcPr>
                <w:p w14:paraId="1F1FC6E4">
                  <w:pPr>
                    <w:pStyle w:val="113"/>
                    <w:shd w:val="clear" w:color="auto" w:fill="auto"/>
                    <w:spacing w:line="240" w:lineRule="auto"/>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bCs/>
                      <w:color w:val="auto"/>
                      <w:kern w:val="2"/>
                      <w:sz w:val="21"/>
                      <w:szCs w:val="21"/>
                      <w:highlight w:val="none"/>
                      <w:lang w:val="en-US" w:eastAsia="zh-CN" w:bidi="ar-SA"/>
                    </w:rPr>
                    <w:t>本项目不涉及锅炉，不涉及高污染燃料使用</w:t>
                  </w:r>
                </w:p>
              </w:tc>
              <w:tc>
                <w:tcPr>
                  <w:tcW w:w="610" w:type="pct"/>
                  <w:tcBorders>
                    <w:tl2br w:val="nil"/>
                    <w:tr2bl w:val="nil"/>
                  </w:tcBorders>
                  <w:vAlign w:val="center"/>
                </w:tcPr>
                <w:p w14:paraId="12416FDB">
                  <w:pPr>
                    <w:shd w:val="clear" w:color="auto" w:fill="auto"/>
                    <w:adjustRightInd w:val="0"/>
                    <w:snapToGrid w:val="0"/>
                    <w:jc w:val="center"/>
                    <w:rPr>
                      <w:rFonts w:hint="default" w:ascii="Times New Roman" w:hAnsi="Times New Roman" w:cs="Times New Roman"/>
                      <w:snapToGrid w:val="0"/>
                      <w:color w:val="auto"/>
                      <w:sz w:val="21"/>
                      <w:szCs w:val="21"/>
                      <w:lang w:val="en-US" w:eastAsia="zh-CN"/>
                    </w:rPr>
                  </w:pPr>
                  <w:r>
                    <w:rPr>
                      <w:rFonts w:hint="eastAsia"/>
                      <w:color w:val="auto"/>
                      <w:sz w:val="21"/>
                      <w:szCs w:val="21"/>
                      <w:highlight w:val="none"/>
                      <w:lang w:val="en-US" w:eastAsia="zh-CN"/>
                    </w:rPr>
                    <w:t>符合</w:t>
                  </w:r>
                </w:p>
              </w:tc>
            </w:tr>
            <w:tr w14:paraId="72049B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pct"/>
                  <w:vMerge w:val="continue"/>
                  <w:tcBorders>
                    <w:tl2br w:val="nil"/>
                    <w:tr2bl w:val="nil"/>
                  </w:tcBorders>
                  <w:vAlign w:val="center"/>
                </w:tcPr>
                <w:p w14:paraId="272BA8E2">
                  <w:pPr>
                    <w:shd w:val="clear" w:color="auto" w:fill="auto"/>
                    <w:jc w:val="center"/>
                    <w:rPr>
                      <w:rFonts w:hint="default" w:ascii="Times New Roman" w:hAnsi="Times New Roman" w:cs="Times New Roman"/>
                      <w:snapToGrid w:val="0"/>
                      <w:color w:val="auto"/>
                      <w:sz w:val="21"/>
                      <w:szCs w:val="21"/>
                      <w:lang w:eastAsia="zh-CN"/>
                    </w:rPr>
                  </w:pPr>
                </w:p>
              </w:tc>
              <w:tc>
                <w:tcPr>
                  <w:tcW w:w="1896" w:type="pct"/>
                  <w:tcBorders>
                    <w:tl2br w:val="nil"/>
                    <w:tr2bl w:val="nil"/>
                  </w:tcBorders>
                  <w:vAlign w:val="center"/>
                </w:tcPr>
                <w:p w14:paraId="7B1EDCC0">
                  <w:pPr>
                    <w:shd w:val="clear" w:color="auto" w:fill="auto"/>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highlight w:val="none"/>
                      <w:lang w:val="en-US" w:eastAsia="zh-CN"/>
                    </w:rPr>
                    <w:t>三、工作要求：(一)禁燃区内禁止新建、扩建燃用高污染燃料的锅炉、窑炉、炉灶等设施，不得将其他燃料燃用设施改造为高污染燃料燃用设施；禁燃区内使用高污染燃料的锅炉、窑炉、炉灶等燃烧设施(集中供热、热电联产燃煤锅炉除外)应在2023年年底前改用天然气、液化石油气、电或者其他清洁能源，逾期未改用的，不得继续使用。(三)禁燃区内禁止生产、销售和使用高污染燃料。</w:t>
                  </w:r>
                </w:p>
              </w:tc>
              <w:tc>
                <w:tcPr>
                  <w:tcW w:w="1458" w:type="pct"/>
                  <w:tcBorders>
                    <w:tl2br w:val="nil"/>
                    <w:tr2bl w:val="nil"/>
                  </w:tcBorders>
                  <w:vAlign w:val="center"/>
                </w:tcPr>
                <w:p w14:paraId="49E8BDF3">
                  <w:pPr>
                    <w:pStyle w:val="113"/>
                    <w:shd w:val="clear" w:color="auto" w:fill="auto"/>
                    <w:spacing w:line="240" w:lineRule="auto"/>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bCs/>
                      <w:color w:val="auto"/>
                      <w:kern w:val="2"/>
                      <w:sz w:val="21"/>
                      <w:szCs w:val="21"/>
                      <w:highlight w:val="none"/>
                      <w:lang w:val="en-US" w:eastAsia="zh-CN" w:bidi="ar-SA"/>
                    </w:rPr>
                    <w:t>本项目不涉及锅炉使用</w:t>
                  </w:r>
                  <w:r>
                    <w:rPr>
                      <w:rFonts w:hint="eastAsia" w:ascii="Times New Roman" w:hAnsi="Times New Roman" w:eastAsia="宋体" w:cs="Times New Roman"/>
                      <w:bCs/>
                      <w:color w:val="auto"/>
                      <w:kern w:val="2"/>
                      <w:sz w:val="21"/>
                      <w:szCs w:val="21"/>
                      <w:highlight w:val="none"/>
                      <w:lang w:val="en-US" w:eastAsia="zh-CN" w:bidi="ar-SA"/>
                    </w:rPr>
                    <w:t>，且项目不涉及生产、销售和使用高污染燃料</w:t>
                  </w:r>
                </w:p>
              </w:tc>
              <w:tc>
                <w:tcPr>
                  <w:tcW w:w="610" w:type="pct"/>
                  <w:tcBorders>
                    <w:tl2br w:val="nil"/>
                    <w:tr2bl w:val="nil"/>
                  </w:tcBorders>
                  <w:vAlign w:val="center"/>
                </w:tcPr>
                <w:p w14:paraId="05D41AD4">
                  <w:pPr>
                    <w:shd w:val="clear" w:color="auto" w:fill="auto"/>
                    <w:adjustRightInd w:val="0"/>
                    <w:snapToGrid w:val="0"/>
                    <w:jc w:val="center"/>
                    <w:rPr>
                      <w:rFonts w:hint="default" w:ascii="Times New Roman" w:hAnsi="Times New Roman" w:cs="Times New Roman"/>
                      <w:snapToGrid w:val="0"/>
                      <w:color w:val="auto"/>
                      <w:sz w:val="21"/>
                      <w:szCs w:val="21"/>
                      <w:lang w:val="en-US" w:eastAsia="zh-CN"/>
                    </w:rPr>
                  </w:pPr>
                  <w:r>
                    <w:rPr>
                      <w:rFonts w:hint="eastAsia"/>
                      <w:color w:val="auto"/>
                      <w:sz w:val="21"/>
                      <w:szCs w:val="21"/>
                      <w:highlight w:val="none"/>
                      <w:lang w:val="en-US" w:eastAsia="zh-CN"/>
                    </w:rPr>
                    <w:t>符合</w:t>
                  </w:r>
                </w:p>
              </w:tc>
            </w:tr>
            <w:tr w14:paraId="21AFD1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pct"/>
                  <w:tcBorders>
                    <w:tl2br w:val="nil"/>
                    <w:tr2bl w:val="nil"/>
                  </w:tcBorders>
                  <w:vAlign w:val="center"/>
                </w:tcPr>
                <w:p w14:paraId="7D04C7D8">
                  <w:pPr>
                    <w:pStyle w:val="26"/>
                    <w:shd w:val="clear" w:color="auto" w:fill="auto"/>
                    <w:adjustRightInd w:val="0"/>
                    <w:snapToGrid w:val="0"/>
                    <w:spacing w:line="240" w:lineRule="auto"/>
                    <w:ind w:left="0" w:leftChars="0" w:firstLine="0" w:firstLineChars="0"/>
                    <w:jc w:val="center"/>
                    <w:rPr>
                      <w:rFonts w:hint="default" w:ascii="Times New Roman" w:hAnsi="Times New Roman" w:cs="Times New Roman"/>
                      <w:snapToGrid w:val="0"/>
                      <w:color w:val="auto"/>
                      <w:sz w:val="21"/>
                      <w:szCs w:val="21"/>
                      <w:lang w:eastAsia="zh-CN"/>
                    </w:rPr>
                  </w:pPr>
                  <w:r>
                    <w:rPr>
                      <w:rFonts w:hint="eastAsia" w:ascii="Times New Roman" w:hAnsi="Times New Roman" w:eastAsia="宋体" w:cs="Times New Roman"/>
                      <w:color w:val="auto"/>
                      <w:kern w:val="2"/>
                      <w:sz w:val="21"/>
                      <w:szCs w:val="21"/>
                      <w:highlight w:val="none"/>
                      <w:lang w:val="en-US" w:eastAsia="zh-CN" w:bidi="ar-SA"/>
                    </w:rPr>
                    <w:t>《宝鸡市环境空气质量限期达标规划》（2023-2030年）</w:t>
                  </w:r>
                </w:p>
              </w:tc>
              <w:tc>
                <w:tcPr>
                  <w:tcW w:w="1896" w:type="pct"/>
                  <w:tcBorders>
                    <w:tl2br w:val="nil"/>
                    <w:tr2bl w:val="nil"/>
                  </w:tcBorders>
                  <w:vAlign w:val="center"/>
                </w:tcPr>
                <w:p w14:paraId="2FF89680">
                  <w:pPr>
                    <w:pStyle w:val="114"/>
                    <w:shd w:val="clear" w:color="auto" w:fill="auto"/>
                    <w:adjustRightInd w:val="0"/>
                    <w:snapToGrid w:val="0"/>
                    <w:jc w:val="left"/>
                    <w:rPr>
                      <w:rFonts w:hint="eastAsia" w:ascii="Times New Roman" w:hAnsi="Times New Roman" w:eastAsia="宋体"/>
                      <w:color w:val="auto"/>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坚决遏制“两高”项目盲目发展。严格能耗、环保、质量、安全、技术等综合标准，严禁新增钢铁、焦化、水泥熟料、平板玻璃、电解铝、氧化铝、煤化工产能，合理控制煤制油气产能规模，严控新增炼油产能。不得违规新增化工园区。 严格执行《产业结构调整指导目录》，坚决遏制“两高”项目盲目发展</w:t>
                  </w:r>
                </w:p>
              </w:tc>
              <w:tc>
                <w:tcPr>
                  <w:tcW w:w="1458" w:type="pct"/>
                  <w:tcBorders>
                    <w:tl2br w:val="nil"/>
                    <w:tr2bl w:val="nil"/>
                  </w:tcBorders>
                  <w:vAlign w:val="center"/>
                </w:tcPr>
                <w:p w14:paraId="1CA52DBC">
                  <w:pPr>
                    <w:pStyle w:val="114"/>
                    <w:shd w:val="clear" w:color="auto" w:fill="auto"/>
                    <w:adjustRightInd w:val="0"/>
                    <w:snapToGrid w:val="0"/>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根据</w:t>
                  </w:r>
                  <w:r>
                    <w:rPr>
                      <w:rFonts w:hint="eastAsia"/>
                      <w:bCs/>
                      <w:color w:val="auto"/>
                      <w:highlight w:val="none"/>
                      <w:shd w:val="clear" w:color="auto" w:fill="auto"/>
                      <w:lang w:val="en-US" w:eastAsia="zh-CN"/>
                    </w:rPr>
                    <w:t>《陕西省“两高”项目管理暂行目录》（2022年版），本项目不属于</w:t>
                  </w:r>
                  <w:r>
                    <w:rPr>
                      <w:rFonts w:hint="eastAsia" w:ascii="Times New Roman" w:hAnsi="Times New Roman" w:eastAsia="宋体" w:cs="Times New Roman"/>
                      <w:color w:val="auto"/>
                      <w:kern w:val="2"/>
                      <w:sz w:val="21"/>
                      <w:szCs w:val="21"/>
                      <w:highlight w:val="none"/>
                      <w:lang w:val="en-US" w:eastAsia="zh-CN" w:bidi="ar-SA"/>
                    </w:rPr>
                    <w:t>“两高”</w:t>
                  </w:r>
                  <w:r>
                    <w:rPr>
                      <w:rFonts w:hint="eastAsia"/>
                      <w:bCs/>
                      <w:color w:val="auto"/>
                      <w:highlight w:val="none"/>
                      <w:shd w:val="clear" w:color="auto" w:fill="auto"/>
                      <w:lang w:val="en-US" w:eastAsia="zh-CN"/>
                    </w:rPr>
                    <w:t>行业，且根据《产业结构调整指导目录》（2024年版），本项目属于允许类</w:t>
                  </w:r>
                </w:p>
              </w:tc>
              <w:tc>
                <w:tcPr>
                  <w:tcW w:w="610" w:type="pct"/>
                  <w:tcBorders>
                    <w:tl2br w:val="nil"/>
                    <w:tr2bl w:val="nil"/>
                  </w:tcBorders>
                  <w:vAlign w:val="center"/>
                </w:tcPr>
                <w:p w14:paraId="72CA18E2">
                  <w:pPr>
                    <w:pStyle w:val="114"/>
                    <w:shd w:val="clear" w:color="auto" w:fill="auto"/>
                    <w:adjustRightInd w:val="0"/>
                    <w:snapToGrid w:val="0"/>
                    <w:rPr>
                      <w:rFonts w:hint="eastAsia"/>
                      <w:color w:val="auto"/>
                      <w:sz w:val="21"/>
                      <w:szCs w:val="21"/>
                      <w:highlight w:val="none"/>
                      <w:lang w:val="en-US" w:eastAsia="zh-CN"/>
                    </w:rPr>
                  </w:pPr>
                  <w:r>
                    <w:rPr>
                      <w:rFonts w:hint="eastAsia"/>
                      <w:color w:val="auto"/>
                      <w:szCs w:val="21"/>
                      <w:highlight w:val="none"/>
                      <w:lang w:val="en-US" w:eastAsia="zh-CN"/>
                    </w:rPr>
                    <w:t>符合</w:t>
                  </w:r>
                </w:p>
              </w:tc>
            </w:tr>
          </w:tbl>
          <w:p w14:paraId="1FE80554">
            <w:pPr>
              <w:adjustRightInd w:val="0"/>
              <w:snapToGrid w:val="0"/>
              <w:spacing w:line="360" w:lineRule="auto"/>
              <w:ind w:firstLine="482" w:firstLineChars="200"/>
              <w:rPr>
                <w:b/>
                <w:bCs/>
                <w:color w:val="auto"/>
                <w:sz w:val="24"/>
                <w:szCs w:val="24"/>
              </w:rPr>
            </w:pPr>
            <w:r>
              <w:rPr>
                <w:rFonts w:hint="eastAsia"/>
                <w:b/>
                <w:bCs/>
                <w:color w:val="auto"/>
                <w:sz w:val="24"/>
                <w:szCs w:val="24"/>
                <w:lang w:val="en-US" w:eastAsia="zh-CN"/>
              </w:rPr>
              <w:t>4</w:t>
            </w:r>
            <w:r>
              <w:rPr>
                <w:rFonts w:hint="eastAsia"/>
                <w:b/>
                <w:bCs/>
                <w:color w:val="auto"/>
                <w:sz w:val="24"/>
                <w:szCs w:val="24"/>
              </w:rPr>
              <w:t>、</w:t>
            </w:r>
            <w:r>
              <w:rPr>
                <w:rFonts w:hint="eastAsia"/>
                <w:b/>
                <w:bCs/>
                <w:color w:val="auto"/>
                <w:sz w:val="24"/>
                <w:szCs w:val="24"/>
                <w:lang w:val="en-US" w:eastAsia="zh-CN"/>
              </w:rPr>
              <w:t>《重点行业挥发性有机物综合治理方案》（环大气〔2019〕53号，2019年6月26日发布）相符性分析</w:t>
            </w:r>
          </w:p>
          <w:p w14:paraId="411C672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b w:val="0"/>
                <w:bCs w:val="0"/>
                <w:color w:val="auto"/>
                <w:sz w:val="24"/>
                <w:szCs w:val="24"/>
                <w:lang w:val="en-US" w:eastAsia="zh-CN"/>
              </w:rPr>
            </w:pPr>
            <w:r>
              <w:rPr>
                <w:rFonts w:hint="eastAsia"/>
                <w:b w:val="0"/>
                <w:bCs w:val="0"/>
                <w:color w:val="auto"/>
                <w:sz w:val="24"/>
                <w:szCs w:val="24"/>
                <w:lang w:val="en-US" w:eastAsia="zh-CN"/>
              </w:rPr>
              <w:t xml:space="preserve">石化、化工、工业涂装、包装印刷、油品储运销等行业是我国VOCs </w:t>
            </w:r>
          </w:p>
          <w:p w14:paraId="4D5F3476">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b w:val="0"/>
                <w:bCs w:val="0"/>
                <w:color w:val="auto"/>
                <w:sz w:val="24"/>
                <w:szCs w:val="24"/>
                <w:lang w:val="en-US" w:eastAsia="zh-CN"/>
              </w:rPr>
            </w:pPr>
            <w:r>
              <w:rPr>
                <w:rFonts w:hint="eastAsia"/>
                <w:b w:val="0"/>
                <w:bCs w:val="0"/>
                <w:color w:val="auto"/>
                <w:sz w:val="24"/>
                <w:szCs w:val="24"/>
                <w:lang w:val="en-US" w:eastAsia="zh-CN"/>
              </w:rPr>
              <w:t xml:space="preserve">重点排放源。《重点行业挥发性有机物综合治理方案》控制思路为：大力推进源头替代，全面加强无组织排放控制，推进建设适宜高效的治污设施，深入实施精细化管控。 </w:t>
            </w:r>
          </w:p>
          <w:p w14:paraId="1D63058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b w:val="0"/>
                <w:bCs w:val="0"/>
                <w:color w:val="auto"/>
                <w:sz w:val="24"/>
                <w:szCs w:val="24"/>
                <w:lang w:val="en-US" w:eastAsia="zh-CN"/>
              </w:rPr>
            </w:pPr>
            <w:r>
              <w:rPr>
                <w:rFonts w:hint="eastAsia"/>
                <w:b w:val="0"/>
                <w:bCs w:val="0"/>
                <w:color w:val="auto"/>
                <w:sz w:val="24"/>
                <w:szCs w:val="24"/>
                <w:lang w:val="en-US" w:eastAsia="zh-CN"/>
              </w:rPr>
              <w:t xml:space="preserve">本项目属于重点行业中的油品储运行业，严格落实《重点行业挥发性有机物综合治理方案》要求，设置油气回收装置对油品收发过程排放的油气进行收集处理。 </w:t>
            </w:r>
          </w:p>
          <w:p w14:paraId="1CD5278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b w:val="0"/>
                <w:bCs w:val="0"/>
                <w:color w:val="auto"/>
                <w:sz w:val="24"/>
                <w:szCs w:val="24"/>
                <w:lang w:val="en-US" w:eastAsia="zh-CN"/>
              </w:rPr>
            </w:pPr>
            <w:r>
              <w:rPr>
                <w:rFonts w:hint="eastAsia"/>
                <w:b w:val="0"/>
                <w:bCs w:val="0"/>
                <w:color w:val="auto"/>
                <w:sz w:val="24"/>
                <w:szCs w:val="24"/>
                <w:lang w:val="en-US" w:eastAsia="zh-CN"/>
              </w:rPr>
              <w:t>因此，本项目的建设符合《重点行业挥发性有机物综合治理方案》 中的相关规定及建议。 本项目与《重点行业挥发性有机物综合治理方案》相符性分析见下表。</w:t>
            </w:r>
          </w:p>
          <w:p w14:paraId="6CECE115">
            <w:pPr>
              <w:keepNext w:val="0"/>
              <w:keepLines w:val="0"/>
              <w:pageBreakBefore w:val="0"/>
              <w:widowControl w:val="0"/>
              <w:kinsoku/>
              <w:wordWrap/>
              <w:overflowPunct/>
              <w:topLinePunct w:val="0"/>
              <w:autoSpaceDE/>
              <w:autoSpaceDN/>
              <w:bidi w:val="0"/>
              <w:adjustRightInd/>
              <w:snapToGrid w:val="0"/>
              <w:spacing w:before="157" w:beforeLines="50" w:line="360" w:lineRule="auto"/>
              <w:jc w:val="center"/>
              <w:textAlignment w:val="auto"/>
              <w:rPr>
                <w:b/>
                <w:bCs/>
                <w:color w:val="auto"/>
                <w:sz w:val="24"/>
                <w:szCs w:val="24"/>
              </w:rPr>
            </w:pPr>
            <w:r>
              <w:rPr>
                <w:rFonts w:hint="eastAsia"/>
                <w:b/>
                <w:bCs/>
                <w:color w:val="auto"/>
                <w:sz w:val="24"/>
                <w:szCs w:val="24"/>
                <w:lang w:val="en-US" w:eastAsia="zh-CN"/>
              </w:rPr>
              <w:t>表1-6与 《重点行业挥发性有机物综合治理方案》（环大气〔2019〕53号，2019年6月26日发布）相符性分析</w:t>
            </w:r>
          </w:p>
          <w:tbl>
            <w:tblPr>
              <w:tblStyle w:val="32"/>
              <w:tblW w:w="4999"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817"/>
              <w:gridCol w:w="2620"/>
              <w:gridCol w:w="823"/>
            </w:tblGrid>
            <w:tr w14:paraId="36CC44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629" w:type="pct"/>
                  <w:tcBorders>
                    <w:tl2br w:val="nil"/>
                    <w:tr2bl w:val="nil"/>
                  </w:tcBorders>
                  <w:vAlign w:val="center"/>
                </w:tcPr>
                <w:p w14:paraId="0353AA86">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rPr>
                      <w:rFonts w:hint="default" w:ascii="Times New Roman" w:hAnsi="Times New Roman" w:cs="Times New Roman"/>
                      <w:color w:val="auto"/>
                      <w:sz w:val="21"/>
                      <w:szCs w:val="21"/>
                      <w:lang w:val="en" w:eastAsia="zh-CN"/>
                    </w:rPr>
                  </w:pPr>
                  <w:r>
                    <w:rPr>
                      <w:rFonts w:hint="default"/>
                      <w:b/>
                      <w:bCs/>
                      <w:color w:val="auto"/>
                    </w:rPr>
                    <w:t>要求</w:t>
                  </w:r>
                </w:p>
              </w:tc>
              <w:tc>
                <w:tcPr>
                  <w:tcW w:w="1804" w:type="pct"/>
                  <w:tcBorders>
                    <w:tl2br w:val="nil"/>
                    <w:tr2bl w:val="nil"/>
                  </w:tcBorders>
                  <w:vAlign w:val="center"/>
                </w:tcPr>
                <w:p w14:paraId="5E0BB82A">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rPr>
                      <w:rFonts w:hint="eastAsia"/>
                      <w:color w:val="auto"/>
                      <w:lang w:val="en-US" w:eastAsia="zh-CN"/>
                    </w:rPr>
                  </w:pPr>
                  <w:r>
                    <w:rPr>
                      <w:rFonts w:hint="default"/>
                      <w:b/>
                      <w:bCs/>
                      <w:color w:val="auto"/>
                    </w:rPr>
                    <w:t>本项目情况</w:t>
                  </w:r>
                </w:p>
              </w:tc>
              <w:tc>
                <w:tcPr>
                  <w:tcW w:w="566" w:type="pct"/>
                  <w:tcBorders>
                    <w:tl2br w:val="nil"/>
                    <w:tr2bl w:val="nil"/>
                  </w:tcBorders>
                  <w:vAlign w:val="center"/>
                </w:tcPr>
                <w:p w14:paraId="1560D5F8">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baseline"/>
                    <w:rPr>
                      <w:rFonts w:hint="eastAsia"/>
                      <w:color w:val="auto"/>
                      <w:lang w:val="en-US" w:eastAsia="zh-CN"/>
                    </w:rPr>
                  </w:pPr>
                  <w:r>
                    <w:rPr>
                      <w:rFonts w:hint="default"/>
                      <w:b/>
                      <w:bCs/>
                      <w:color w:val="auto"/>
                    </w:rPr>
                    <w:t>符合性</w:t>
                  </w:r>
                </w:p>
              </w:tc>
            </w:tr>
            <w:tr w14:paraId="7658AA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629" w:type="pct"/>
                  <w:tcBorders>
                    <w:tl2br w:val="nil"/>
                    <w:tr2bl w:val="nil"/>
                  </w:tcBorders>
                  <w:vAlign w:val="center"/>
                </w:tcPr>
                <w:p w14:paraId="39B7DACB">
                  <w:pPr>
                    <w:keepNext w:val="0"/>
                    <w:keepLines w:val="0"/>
                    <w:pageBreakBefore w:val="0"/>
                    <w:widowControl w:val="0"/>
                    <w:kinsoku/>
                    <w:wordWrap/>
                    <w:overflowPunct/>
                    <w:topLinePunct w:val="0"/>
                    <w:autoSpaceDE/>
                    <w:autoSpaceDN/>
                    <w:bidi w:val="0"/>
                    <w:adjustRightInd/>
                    <w:snapToGrid/>
                    <w:spacing w:beforeAutospacing="0" w:afterAutospacing="0" w:line="280" w:lineRule="exact"/>
                    <w:ind w:firstLine="420" w:firstLineChars="200"/>
                    <w:jc w:val="left"/>
                    <w:textAlignment w:val="auto"/>
                    <w:rPr>
                      <w:rFonts w:hint="default"/>
                      <w:b w:val="0"/>
                      <w:bCs w:val="0"/>
                      <w:color w:val="auto"/>
                    </w:rPr>
                  </w:pPr>
                  <w:r>
                    <w:rPr>
                      <w:rFonts w:hint="default"/>
                      <w:b w:val="0"/>
                      <w:bCs w:val="0"/>
                      <w:color w:val="auto"/>
                      <w:lang w:val="en-US" w:eastAsia="zh-CN"/>
                    </w:rPr>
                    <w:t xml:space="preserve">（五）油品储运销VOCs综合治理。 </w:t>
                  </w:r>
                </w:p>
                <w:p w14:paraId="2638A2B8">
                  <w:pPr>
                    <w:keepNext w:val="0"/>
                    <w:keepLines w:val="0"/>
                    <w:pageBreakBefore w:val="0"/>
                    <w:widowControl w:val="0"/>
                    <w:kinsoku/>
                    <w:wordWrap/>
                    <w:overflowPunct/>
                    <w:topLinePunct w:val="0"/>
                    <w:autoSpaceDE/>
                    <w:autoSpaceDN/>
                    <w:bidi w:val="0"/>
                    <w:adjustRightInd/>
                    <w:snapToGrid/>
                    <w:spacing w:beforeAutospacing="0" w:afterAutospacing="0" w:line="280" w:lineRule="exact"/>
                    <w:ind w:firstLine="420" w:firstLineChars="200"/>
                    <w:jc w:val="left"/>
                    <w:textAlignment w:val="auto"/>
                    <w:rPr>
                      <w:rFonts w:hint="default"/>
                      <w:b w:val="0"/>
                      <w:bCs w:val="0"/>
                      <w:color w:val="auto"/>
                    </w:rPr>
                  </w:pPr>
                  <w:r>
                    <w:rPr>
                      <w:rFonts w:hint="default"/>
                      <w:b w:val="0"/>
                      <w:bCs w:val="0"/>
                      <w:color w:val="auto"/>
                      <w:lang w:val="en-US" w:eastAsia="zh-CN"/>
                    </w:rPr>
                    <w:t>加大汽油（含乙醇汽油）、石脑油、煤油（含航空煤油）以及原油等VOCs 排放控制，重点推进加油站、油罐车、储油库油气回收治理。重点区域还应推进油船油气回收治理工作。</w:t>
                  </w:r>
                </w:p>
              </w:tc>
              <w:tc>
                <w:tcPr>
                  <w:tcW w:w="1804" w:type="pct"/>
                  <w:tcBorders>
                    <w:tl2br w:val="nil"/>
                    <w:tr2bl w:val="nil"/>
                  </w:tcBorders>
                  <w:vAlign w:val="center"/>
                </w:tcPr>
                <w:p w14:paraId="1A4D0908">
                  <w:pPr>
                    <w:keepNext w:val="0"/>
                    <w:keepLines w:val="0"/>
                    <w:pageBreakBefore w:val="0"/>
                    <w:widowControl w:val="0"/>
                    <w:kinsoku/>
                    <w:wordWrap/>
                    <w:overflowPunct/>
                    <w:topLinePunct w:val="0"/>
                    <w:autoSpaceDE/>
                    <w:autoSpaceDN/>
                    <w:bidi w:val="0"/>
                    <w:adjustRightInd/>
                    <w:snapToGrid/>
                    <w:spacing w:beforeAutospacing="0" w:afterAutospacing="0" w:line="280" w:lineRule="exact"/>
                    <w:ind w:firstLine="420" w:firstLineChars="200"/>
                    <w:jc w:val="left"/>
                    <w:textAlignment w:val="auto"/>
                    <w:rPr>
                      <w:rFonts w:hint="default"/>
                      <w:b w:val="0"/>
                      <w:bCs w:val="0"/>
                      <w:color w:val="auto"/>
                    </w:rPr>
                  </w:pPr>
                  <w:r>
                    <w:rPr>
                      <w:rFonts w:hint="default"/>
                      <w:b w:val="0"/>
                      <w:bCs w:val="0"/>
                      <w:color w:val="auto"/>
                      <w:lang w:val="en-US" w:eastAsia="zh-CN"/>
                    </w:rPr>
                    <w:t>本项目储油库设置油气回收装置对油品收发过程排放的油气进行收集处理。</w:t>
                  </w:r>
                </w:p>
                <w:p w14:paraId="54503A4D">
                  <w:pPr>
                    <w:keepNext w:val="0"/>
                    <w:keepLines w:val="0"/>
                    <w:pageBreakBefore w:val="0"/>
                    <w:widowControl w:val="0"/>
                    <w:kinsoku/>
                    <w:wordWrap/>
                    <w:overflowPunct/>
                    <w:topLinePunct w:val="0"/>
                    <w:autoSpaceDE/>
                    <w:autoSpaceDN/>
                    <w:bidi w:val="0"/>
                    <w:adjustRightInd/>
                    <w:snapToGrid/>
                    <w:spacing w:beforeAutospacing="0" w:afterAutospacing="0" w:line="280" w:lineRule="exact"/>
                    <w:ind w:firstLine="420" w:firstLineChars="200"/>
                    <w:jc w:val="center"/>
                    <w:textAlignment w:val="auto"/>
                    <w:rPr>
                      <w:rFonts w:hint="default"/>
                      <w:b w:val="0"/>
                      <w:bCs w:val="0"/>
                      <w:color w:val="auto"/>
                    </w:rPr>
                  </w:pPr>
                </w:p>
              </w:tc>
              <w:tc>
                <w:tcPr>
                  <w:tcW w:w="566" w:type="pct"/>
                  <w:tcBorders>
                    <w:tl2br w:val="nil"/>
                    <w:tr2bl w:val="nil"/>
                  </w:tcBorders>
                  <w:vAlign w:val="center"/>
                </w:tcPr>
                <w:p w14:paraId="15A6189B">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baseline"/>
                    <w:rPr>
                      <w:rFonts w:hint="eastAsia" w:eastAsia="宋体"/>
                      <w:b w:val="0"/>
                      <w:bCs w:val="0"/>
                      <w:color w:val="auto"/>
                      <w:lang w:eastAsia="zh-CN"/>
                    </w:rPr>
                  </w:pPr>
                  <w:r>
                    <w:rPr>
                      <w:rFonts w:hint="eastAsia"/>
                      <w:b w:val="0"/>
                      <w:bCs w:val="0"/>
                      <w:color w:val="auto"/>
                      <w:lang w:eastAsia="zh-CN"/>
                    </w:rPr>
                    <w:t>符合</w:t>
                  </w:r>
                </w:p>
              </w:tc>
            </w:tr>
            <w:tr w14:paraId="02CF63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629" w:type="pct"/>
                  <w:tcBorders>
                    <w:tl2br w:val="nil"/>
                    <w:tr2bl w:val="nil"/>
                  </w:tcBorders>
                  <w:vAlign w:val="center"/>
                </w:tcPr>
                <w:p w14:paraId="6D466A84">
                  <w:pPr>
                    <w:keepNext w:val="0"/>
                    <w:keepLines w:val="0"/>
                    <w:pageBreakBefore w:val="0"/>
                    <w:widowControl w:val="0"/>
                    <w:kinsoku/>
                    <w:wordWrap/>
                    <w:overflowPunct/>
                    <w:topLinePunct w:val="0"/>
                    <w:autoSpaceDE/>
                    <w:autoSpaceDN/>
                    <w:bidi w:val="0"/>
                    <w:adjustRightInd/>
                    <w:snapToGrid/>
                    <w:spacing w:beforeAutospacing="0" w:afterAutospacing="0" w:line="280" w:lineRule="exact"/>
                    <w:ind w:firstLine="420" w:firstLineChars="200"/>
                    <w:jc w:val="left"/>
                    <w:textAlignment w:val="auto"/>
                    <w:rPr>
                      <w:rFonts w:hint="default"/>
                      <w:b w:val="0"/>
                      <w:bCs w:val="0"/>
                      <w:color w:val="auto"/>
                    </w:rPr>
                  </w:pPr>
                  <w:r>
                    <w:rPr>
                      <w:rFonts w:hint="default"/>
                      <w:b w:val="0"/>
                      <w:bCs w:val="0"/>
                      <w:color w:val="auto"/>
                      <w:lang w:val="en-US" w:eastAsia="zh-CN"/>
                    </w:rPr>
                    <w:t>推进储油库油气回收治理。汽油、航空煤油、原油以及真实蒸气压小于76.6 kPa 的石脑油应采用浮顶罐储存，其中，油品容积小于等于100立方米的，可采用卧式储罐。真实蒸气压大于等于76.6 kPa 的石脑油应采用低压罐、压力罐或其他等效措施储存。加快推进油品收发过程排放的油气收集处理。加强储油库发油油气回收系统接口泄漏检测，提高检测频次，减少油气泄漏，确保油品装卸过程油气回收处理装置正常运行。加强油罐车油气回收系统密闭性和油气回收气动阀门密闭性检测，每年至少开展一次。推动储油库安装油气回收自动监控设施。</w:t>
                  </w:r>
                </w:p>
              </w:tc>
              <w:tc>
                <w:tcPr>
                  <w:tcW w:w="1804" w:type="pct"/>
                  <w:tcBorders>
                    <w:tl2br w:val="nil"/>
                    <w:tr2bl w:val="nil"/>
                  </w:tcBorders>
                  <w:vAlign w:val="center"/>
                </w:tcPr>
                <w:p w14:paraId="0C85B96C">
                  <w:pPr>
                    <w:keepNext w:val="0"/>
                    <w:keepLines w:val="0"/>
                    <w:pageBreakBefore w:val="0"/>
                    <w:widowControl w:val="0"/>
                    <w:kinsoku/>
                    <w:wordWrap/>
                    <w:overflowPunct/>
                    <w:topLinePunct w:val="0"/>
                    <w:autoSpaceDE/>
                    <w:autoSpaceDN/>
                    <w:bidi w:val="0"/>
                    <w:adjustRightInd/>
                    <w:snapToGrid/>
                    <w:spacing w:beforeAutospacing="0" w:afterAutospacing="0" w:line="280" w:lineRule="exact"/>
                    <w:ind w:firstLine="420" w:firstLineChars="200"/>
                    <w:jc w:val="left"/>
                    <w:textAlignment w:val="auto"/>
                    <w:rPr>
                      <w:rFonts w:hint="default"/>
                      <w:b w:val="0"/>
                      <w:bCs w:val="0"/>
                      <w:color w:val="auto"/>
                    </w:rPr>
                  </w:pPr>
                  <w:r>
                    <w:rPr>
                      <w:rFonts w:hint="default"/>
                      <w:b w:val="0"/>
                      <w:bCs w:val="0"/>
                      <w:color w:val="auto"/>
                      <w:lang w:val="en-US" w:eastAsia="zh-CN"/>
                    </w:rPr>
                    <w:t>本项目油库储存的油品为</w:t>
                  </w:r>
                  <w:r>
                    <w:rPr>
                      <w:rFonts w:hint="eastAsia"/>
                      <w:b w:val="0"/>
                      <w:bCs w:val="0"/>
                      <w:color w:val="auto"/>
                      <w:lang w:val="en-US" w:eastAsia="zh-CN"/>
                    </w:rPr>
                    <w:t>航空煤油</w:t>
                  </w:r>
                  <w:r>
                    <w:rPr>
                      <w:rFonts w:hint="default"/>
                      <w:b w:val="0"/>
                      <w:bCs w:val="0"/>
                      <w:color w:val="auto"/>
                      <w:lang w:val="en-US" w:eastAsia="zh-CN"/>
                    </w:rPr>
                    <w:t>，采用内浮顶油罐。设置了油气回收装置对油品收发过程排放的油气进行收集处理。企业应加强储油库发油油气回收系统接口泄漏检测，提高检测频次，减少油气泄漏，确保油品装卸过程油气回收处理装置正常运行。加强油罐车油气回收系统密闭性和油气回收气动阀门密闭性检测，每年至少开展一次。</w:t>
                  </w:r>
                </w:p>
                <w:p w14:paraId="31D39A42">
                  <w:pPr>
                    <w:keepNext w:val="0"/>
                    <w:keepLines w:val="0"/>
                    <w:pageBreakBefore w:val="0"/>
                    <w:widowControl w:val="0"/>
                    <w:kinsoku/>
                    <w:wordWrap/>
                    <w:overflowPunct/>
                    <w:topLinePunct w:val="0"/>
                    <w:autoSpaceDE/>
                    <w:autoSpaceDN/>
                    <w:bidi w:val="0"/>
                    <w:adjustRightInd/>
                    <w:snapToGrid/>
                    <w:spacing w:beforeAutospacing="0" w:afterAutospacing="0" w:line="280" w:lineRule="exact"/>
                    <w:ind w:firstLine="420" w:firstLineChars="200"/>
                    <w:jc w:val="center"/>
                    <w:textAlignment w:val="auto"/>
                    <w:rPr>
                      <w:rFonts w:hint="default"/>
                      <w:b w:val="0"/>
                      <w:bCs w:val="0"/>
                      <w:color w:val="auto"/>
                    </w:rPr>
                  </w:pPr>
                </w:p>
              </w:tc>
              <w:tc>
                <w:tcPr>
                  <w:tcW w:w="566" w:type="pct"/>
                  <w:tcBorders>
                    <w:tl2br w:val="nil"/>
                    <w:tr2bl w:val="nil"/>
                  </w:tcBorders>
                  <w:vAlign w:val="center"/>
                </w:tcPr>
                <w:p w14:paraId="2EADECBF">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baseline"/>
                    <w:rPr>
                      <w:rFonts w:hint="eastAsia"/>
                      <w:b w:val="0"/>
                      <w:bCs w:val="0"/>
                      <w:color w:val="auto"/>
                      <w:lang w:eastAsia="zh-CN"/>
                    </w:rPr>
                  </w:pPr>
                  <w:r>
                    <w:rPr>
                      <w:rFonts w:hint="eastAsia"/>
                      <w:b w:val="0"/>
                      <w:bCs w:val="0"/>
                      <w:color w:val="auto"/>
                      <w:lang w:eastAsia="zh-CN"/>
                    </w:rPr>
                    <w:t>符合</w:t>
                  </w:r>
                </w:p>
              </w:tc>
            </w:tr>
          </w:tbl>
          <w:p w14:paraId="4F2A18EA">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jc w:val="both"/>
              <w:textAlignment w:val="auto"/>
              <w:rPr>
                <w:rFonts w:hint="eastAsia"/>
                <w:b w:val="0"/>
                <w:bCs w:val="0"/>
                <w:color w:val="auto"/>
                <w:sz w:val="24"/>
                <w:szCs w:val="24"/>
                <w:lang w:val="en-US" w:eastAsia="zh-CN"/>
              </w:rPr>
            </w:pPr>
            <w:r>
              <w:rPr>
                <w:rFonts w:hint="eastAsia"/>
                <w:b w:val="0"/>
                <w:bCs w:val="0"/>
                <w:color w:val="auto"/>
                <w:sz w:val="24"/>
                <w:szCs w:val="24"/>
                <w:lang w:val="en-US" w:eastAsia="zh-CN"/>
              </w:rPr>
              <w:t>综上所述，本项目的建设符合《重点行业挥发性有机物综合治理方案》要求，项目可行。</w:t>
            </w:r>
          </w:p>
          <w:p w14:paraId="212AB22F">
            <w:pPr>
              <w:adjustRightInd w:val="0"/>
              <w:snapToGrid w:val="0"/>
              <w:spacing w:line="360" w:lineRule="auto"/>
              <w:ind w:firstLine="482" w:firstLineChars="200"/>
              <w:rPr>
                <w:rFonts w:hint="eastAsia"/>
                <w:b/>
                <w:bCs/>
                <w:color w:val="auto"/>
                <w:sz w:val="24"/>
                <w:szCs w:val="24"/>
              </w:rPr>
            </w:pPr>
            <w:r>
              <w:rPr>
                <w:rFonts w:hint="eastAsia"/>
                <w:b/>
                <w:bCs/>
                <w:color w:val="auto"/>
                <w:sz w:val="24"/>
                <w:szCs w:val="24"/>
                <w:lang w:val="en-US" w:eastAsia="zh-CN"/>
              </w:rPr>
              <w:t>5</w:t>
            </w:r>
            <w:r>
              <w:rPr>
                <w:rFonts w:hint="eastAsia"/>
                <w:b/>
                <w:bCs/>
                <w:color w:val="auto"/>
                <w:sz w:val="24"/>
                <w:szCs w:val="24"/>
              </w:rPr>
              <w:t>、</w:t>
            </w:r>
            <w:r>
              <w:rPr>
                <w:rFonts w:hint="eastAsia"/>
                <w:b/>
                <w:bCs/>
                <w:color w:val="auto"/>
                <w:sz w:val="24"/>
                <w:szCs w:val="24"/>
                <w:lang w:val="en-US" w:eastAsia="zh-CN"/>
              </w:rPr>
              <w:t>与《 储油库大气污染物排放标准》（GB 20950-2020）的符合性分析</w:t>
            </w:r>
          </w:p>
          <w:p w14:paraId="485429F3">
            <w:pPr>
              <w:keepNext w:val="0"/>
              <w:keepLines w:val="0"/>
              <w:pageBreakBefore w:val="0"/>
              <w:widowControl w:val="0"/>
              <w:kinsoku/>
              <w:wordWrap/>
              <w:overflowPunct/>
              <w:topLinePunct w:val="0"/>
              <w:autoSpaceDE/>
              <w:autoSpaceDN/>
              <w:bidi w:val="0"/>
              <w:adjustRightInd/>
              <w:snapToGrid w:val="0"/>
              <w:spacing w:before="157" w:beforeLines="50" w:line="360" w:lineRule="auto"/>
              <w:jc w:val="center"/>
              <w:textAlignment w:val="auto"/>
              <w:rPr>
                <w:b/>
                <w:bCs/>
                <w:color w:val="auto"/>
                <w:sz w:val="24"/>
                <w:szCs w:val="24"/>
              </w:rPr>
            </w:pPr>
            <w:r>
              <w:rPr>
                <w:rFonts w:hint="eastAsia"/>
                <w:b/>
                <w:bCs/>
                <w:color w:val="auto"/>
                <w:sz w:val="24"/>
                <w:szCs w:val="24"/>
                <w:lang w:val="en-US" w:eastAsia="zh-CN"/>
              </w:rPr>
              <w:t>表1-7与《 储油库大气污染物排放标准》（GB 20950-2020）的符合性分析</w:t>
            </w:r>
          </w:p>
          <w:tbl>
            <w:tblPr>
              <w:tblStyle w:val="32"/>
              <w:tblW w:w="4997"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250"/>
              <w:gridCol w:w="2274"/>
              <w:gridCol w:w="733"/>
            </w:tblGrid>
            <w:tr w14:paraId="0B0FD7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928" w:type="pct"/>
                  <w:tcBorders>
                    <w:tl2br w:val="nil"/>
                    <w:tr2bl w:val="nil"/>
                  </w:tcBorders>
                  <w:vAlign w:val="center"/>
                </w:tcPr>
                <w:p w14:paraId="78DF0DC7">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rPr>
                      <w:rFonts w:hint="default" w:ascii="Times New Roman" w:hAnsi="Times New Roman" w:cs="Times New Roman"/>
                      <w:color w:val="auto"/>
                      <w:sz w:val="21"/>
                      <w:szCs w:val="21"/>
                      <w:lang w:val="en" w:eastAsia="zh-CN"/>
                    </w:rPr>
                  </w:pPr>
                  <w:r>
                    <w:rPr>
                      <w:rFonts w:hint="default"/>
                      <w:b/>
                      <w:bCs/>
                      <w:color w:val="auto"/>
                    </w:rPr>
                    <w:t>要求</w:t>
                  </w:r>
                </w:p>
              </w:tc>
              <w:tc>
                <w:tcPr>
                  <w:tcW w:w="1566" w:type="pct"/>
                  <w:tcBorders>
                    <w:tl2br w:val="nil"/>
                    <w:tr2bl w:val="nil"/>
                  </w:tcBorders>
                  <w:vAlign w:val="center"/>
                </w:tcPr>
                <w:p w14:paraId="06E6A7B3">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rPr>
                      <w:rFonts w:hint="eastAsia"/>
                      <w:color w:val="auto"/>
                      <w:lang w:val="en-US" w:eastAsia="zh-CN"/>
                    </w:rPr>
                  </w:pPr>
                  <w:r>
                    <w:rPr>
                      <w:rFonts w:hint="default"/>
                      <w:b/>
                      <w:bCs/>
                      <w:color w:val="auto"/>
                    </w:rPr>
                    <w:t>本项目情况</w:t>
                  </w:r>
                </w:p>
              </w:tc>
              <w:tc>
                <w:tcPr>
                  <w:tcW w:w="505" w:type="pct"/>
                  <w:tcBorders>
                    <w:tl2br w:val="nil"/>
                    <w:tr2bl w:val="nil"/>
                  </w:tcBorders>
                  <w:vAlign w:val="center"/>
                </w:tcPr>
                <w:p w14:paraId="4C36B0D1">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baseline"/>
                    <w:rPr>
                      <w:rFonts w:hint="eastAsia"/>
                      <w:color w:val="auto"/>
                      <w:lang w:val="en-US" w:eastAsia="zh-CN"/>
                    </w:rPr>
                  </w:pPr>
                  <w:r>
                    <w:rPr>
                      <w:rFonts w:hint="default"/>
                      <w:b/>
                      <w:bCs/>
                      <w:color w:val="auto"/>
                    </w:rPr>
                    <w:t>符合性</w:t>
                  </w:r>
                </w:p>
              </w:tc>
            </w:tr>
            <w:tr w14:paraId="2894C9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928" w:type="pct"/>
                  <w:tcBorders>
                    <w:tl2br w:val="nil"/>
                    <w:tr2bl w:val="nil"/>
                  </w:tcBorders>
                  <w:vAlign w:val="center"/>
                </w:tcPr>
                <w:p w14:paraId="0B41750D">
                  <w:pPr>
                    <w:keepNext w:val="0"/>
                    <w:keepLines w:val="0"/>
                    <w:widowControl/>
                    <w:suppressLineNumbers w:val="0"/>
                    <w:jc w:val="left"/>
                    <w:rPr>
                      <w:color w:val="auto"/>
                    </w:rPr>
                  </w:pPr>
                  <w:r>
                    <w:rPr>
                      <w:rFonts w:hint="default" w:ascii="Times New Roman" w:hAnsi="Times New Roman" w:eastAsia="宋体" w:cs="Times New Roman"/>
                      <w:color w:val="auto"/>
                      <w:kern w:val="0"/>
                      <w:sz w:val="20"/>
                      <w:szCs w:val="20"/>
                      <w:lang w:val="en-US" w:eastAsia="zh-CN" w:bidi="ar"/>
                    </w:rPr>
                    <w:t xml:space="preserve">4.1 </w:t>
                  </w:r>
                  <w:r>
                    <w:rPr>
                      <w:rFonts w:hint="eastAsia" w:ascii="宋体" w:hAnsi="宋体" w:eastAsia="宋体" w:cs="宋体"/>
                      <w:color w:val="auto"/>
                      <w:kern w:val="0"/>
                      <w:sz w:val="20"/>
                      <w:szCs w:val="20"/>
                      <w:lang w:val="en-US" w:eastAsia="zh-CN" w:bidi="ar"/>
                    </w:rPr>
                    <w:t xml:space="preserve">收油控制要求 </w:t>
                  </w:r>
                </w:p>
                <w:p w14:paraId="44A3EFC5">
                  <w:pPr>
                    <w:keepNext w:val="0"/>
                    <w:keepLines w:val="0"/>
                    <w:widowControl/>
                    <w:suppressLineNumbers w:val="0"/>
                    <w:jc w:val="left"/>
                    <w:rPr>
                      <w:color w:val="auto"/>
                    </w:rPr>
                  </w:pPr>
                  <w:r>
                    <w:rPr>
                      <w:rFonts w:hint="default" w:ascii="Times New Roman" w:hAnsi="Times New Roman" w:eastAsia="宋体" w:cs="Times New Roman"/>
                      <w:color w:val="auto"/>
                      <w:kern w:val="0"/>
                      <w:sz w:val="20"/>
                      <w:szCs w:val="20"/>
                      <w:lang w:val="en-US" w:eastAsia="zh-CN" w:bidi="ar"/>
                    </w:rPr>
                    <w:t xml:space="preserve">4.1.1 </w:t>
                  </w:r>
                  <w:r>
                    <w:rPr>
                      <w:rFonts w:hint="eastAsia" w:ascii="宋体" w:hAnsi="宋体" w:eastAsia="宋体" w:cs="宋体"/>
                      <w:color w:val="auto"/>
                      <w:kern w:val="0"/>
                      <w:sz w:val="20"/>
                      <w:szCs w:val="20"/>
                      <w:lang w:val="en-US" w:eastAsia="zh-CN" w:bidi="ar"/>
                    </w:rPr>
                    <w:t xml:space="preserve">通过汽车罐车收油，应采用密闭泵送或自 </w:t>
                  </w:r>
                </w:p>
                <w:p w14:paraId="72B1A3D4">
                  <w:pPr>
                    <w:keepNext w:val="0"/>
                    <w:keepLines w:val="0"/>
                    <w:widowControl/>
                    <w:suppressLineNumbers w:val="0"/>
                    <w:jc w:val="left"/>
                    <w:rPr>
                      <w:color w:val="auto"/>
                    </w:rPr>
                  </w:pPr>
                  <w:r>
                    <w:rPr>
                      <w:rFonts w:hint="eastAsia" w:ascii="宋体" w:hAnsi="宋体" w:eastAsia="宋体" w:cs="宋体"/>
                      <w:color w:val="auto"/>
                      <w:kern w:val="0"/>
                      <w:sz w:val="20"/>
                      <w:szCs w:val="20"/>
                      <w:lang w:val="en-US" w:eastAsia="zh-CN" w:bidi="ar"/>
                    </w:rPr>
                    <w:t xml:space="preserve">流式管道系统，收油时从卧式储罐内置换出的 </w:t>
                  </w:r>
                </w:p>
                <w:p w14:paraId="5325C39E">
                  <w:pPr>
                    <w:keepNext w:val="0"/>
                    <w:keepLines w:val="0"/>
                    <w:widowControl/>
                    <w:suppressLineNumbers w:val="0"/>
                    <w:jc w:val="left"/>
                    <w:rPr>
                      <w:color w:val="auto"/>
                    </w:rPr>
                  </w:pPr>
                  <w:r>
                    <w:rPr>
                      <w:rFonts w:hint="eastAsia" w:ascii="宋体" w:hAnsi="宋体" w:eastAsia="宋体" w:cs="宋体"/>
                      <w:color w:val="auto"/>
                      <w:kern w:val="0"/>
                      <w:sz w:val="20"/>
                      <w:szCs w:val="20"/>
                      <w:lang w:val="en-US" w:eastAsia="zh-CN" w:bidi="ar"/>
                    </w:rPr>
                    <w:t xml:space="preserve">油气应密闭回收到汽车罐车内。 </w:t>
                  </w:r>
                </w:p>
                <w:p w14:paraId="07354F7F">
                  <w:pPr>
                    <w:keepNext w:val="0"/>
                    <w:keepLines w:val="0"/>
                    <w:widowControl/>
                    <w:suppressLineNumbers w:val="0"/>
                    <w:jc w:val="left"/>
                    <w:rPr>
                      <w:color w:val="auto"/>
                    </w:rPr>
                  </w:pPr>
                  <w:r>
                    <w:rPr>
                      <w:rFonts w:hint="default" w:ascii="Times New Roman" w:hAnsi="Times New Roman" w:eastAsia="宋体" w:cs="Times New Roman"/>
                      <w:color w:val="auto"/>
                      <w:kern w:val="0"/>
                      <w:sz w:val="20"/>
                      <w:szCs w:val="20"/>
                      <w:lang w:val="en-US" w:eastAsia="zh-CN" w:bidi="ar"/>
                    </w:rPr>
                    <w:t xml:space="preserve">4.1.2 </w:t>
                  </w:r>
                  <w:r>
                    <w:rPr>
                      <w:rFonts w:hint="eastAsia" w:ascii="宋体" w:hAnsi="宋体" w:eastAsia="宋体" w:cs="宋体"/>
                      <w:color w:val="auto"/>
                      <w:kern w:val="0"/>
                      <w:sz w:val="20"/>
                      <w:szCs w:val="20"/>
                      <w:lang w:val="en-US" w:eastAsia="zh-CN" w:bidi="ar"/>
                    </w:rPr>
                    <w:t xml:space="preserve">通过铁路罐车收油，除拆装灌装鹤管之外 </w:t>
                  </w:r>
                </w:p>
                <w:p w14:paraId="54ECE886">
                  <w:pPr>
                    <w:keepNext w:val="0"/>
                    <w:keepLines w:val="0"/>
                    <w:widowControl/>
                    <w:suppressLineNumbers w:val="0"/>
                    <w:jc w:val="left"/>
                    <w:rPr>
                      <w:color w:val="auto"/>
                    </w:rPr>
                  </w:pPr>
                  <w:r>
                    <w:rPr>
                      <w:rFonts w:hint="eastAsia" w:ascii="宋体" w:hAnsi="宋体" w:eastAsia="宋体" w:cs="宋体"/>
                      <w:color w:val="auto"/>
                      <w:kern w:val="0"/>
                      <w:sz w:val="20"/>
                      <w:szCs w:val="20"/>
                      <w:lang w:val="en-US" w:eastAsia="zh-CN" w:bidi="ar"/>
                    </w:rPr>
                    <w:t xml:space="preserve">的时段，收油鹤管与铁路罐车灌装口（人孔） </w:t>
                  </w:r>
                </w:p>
                <w:p w14:paraId="5AE21366">
                  <w:pPr>
                    <w:keepNext w:val="0"/>
                    <w:keepLines w:val="0"/>
                    <w:widowControl/>
                    <w:suppressLineNumbers w:val="0"/>
                    <w:jc w:val="left"/>
                    <w:rPr>
                      <w:color w:val="auto"/>
                    </w:rPr>
                  </w:pPr>
                  <w:r>
                    <w:rPr>
                      <w:rFonts w:hint="eastAsia" w:ascii="宋体" w:hAnsi="宋体" w:eastAsia="宋体" w:cs="宋体"/>
                      <w:color w:val="auto"/>
                      <w:kern w:val="0"/>
                      <w:sz w:val="20"/>
                      <w:szCs w:val="20"/>
                      <w:lang w:val="en-US" w:eastAsia="zh-CN" w:bidi="ar"/>
                    </w:rPr>
                    <w:t xml:space="preserve">应密闭。从泵站扫仓罐中产生的油气应密闭收 </w:t>
                  </w:r>
                </w:p>
                <w:p w14:paraId="6E81FD30">
                  <w:pPr>
                    <w:keepNext w:val="0"/>
                    <w:keepLines w:val="0"/>
                    <w:widowControl/>
                    <w:suppressLineNumbers w:val="0"/>
                    <w:jc w:val="left"/>
                    <w:rPr>
                      <w:color w:val="auto"/>
                    </w:rPr>
                  </w:pPr>
                  <w:r>
                    <w:rPr>
                      <w:rFonts w:hint="eastAsia" w:ascii="宋体" w:hAnsi="宋体" w:eastAsia="宋体" w:cs="宋体"/>
                      <w:color w:val="auto"/>
                      <w:kern w:val="0"/>
                      <w:sz w:val="20"/>
                      <w:szCs w:val="20"/>
                      <w:lang w:val="en-US" w:eastAsia="zh-CN" w:bidi="ar"/>
                    </w:rPr>
                    <w:t>集，并送入油气处理装置进行回收处理。</w:t>
                  </w:r>
                </w:p>
                <w:p w14:paraId="5D5E97A8">
                  <w:pPr>
                    <w:keepNext w:val="0"/>
                    <w:keepLines w:val="0"/>
                    <w:pageBreakBefore w:val="0"/>
                    <w:widowControl w:val="0"/>
                    <w:kinsoku/>
                    <w:wordWrap/>
                    <w:overflowPunct/>
                    <w:topLinePunct w:val="0"/>
                    <w:autoSpaceDE/>
                    <w:autoSpaceDN/>
                    <w:bidi w:val="0"/>
                    <w:adjustRightInd/>
                    <w:snapToGrid/>
                    <w:spacing w:beforeAutospacing="0" w:afterAutospacing="0" w:line="280" w:lineRule="exact"/>
                    <w:ind w:firstLine="420" w:firstLineChars="200"/>
                    <w:jc w:val="left"/>
                    <w:textAlignment w:val="auto"/>
                    <w:rPr>
                      <w:rFonts w:hint="default"/>
                      <w:b w:val="0"/>
                      <w:bCs w:val="0"/>
                      <w:color w:val="auto"/>
                    </w:rPr>
                  </w:pPr>
                </w:p>
              </w:tc>
              <w:tc>
                <w:tcPr>
                  <w:tcW w:w="1566" w:type="pct"/>
                  <w:tcBorders>
                    <w:tl2br w:val="nil"/>
                    <w:tr2bl w:val="nil"/>
                  </w:tcBorders>
                  <w:vAlign w:val="center"/>
                </w:tcPr>
                <w:p w14:paraId="76C1F454">
                  <w:pPr>
                    <w:keepNext w:val="0"/>
                    <w:keepLines w:val="0"/>
                    <w:pageBreakBefore w:val="0"/>
                    <w:widowControl w:val="0"/>
                    <w:kinsoku/>
                    <w:wordWrap/>
                    <w:overflowPunct/>
                    <w:topLinePunct w:val="0"/>
                    <w:autoSpaceDE/>
                    <w:autoSpaceDN/>
                    <w:bidi w:val="0"/>
                    <w:adjustRightInd/>
                    <w:snapToGrid/>
                    <w:spacing w:beforeAutospacing="0" w:afterAutospacing="0" w:line="280" w:lineRule="exact"/>
                    <w:ind w:firstLine="420" w:firstLineChars="200"/>
                    <w:jc w:val="left"/>
                    <w:textAlignment w:val="auto"/>
                    <w:rPr>
                      <w:rFonts w:hint="default"/>
                      <w:b w:val="0"/>
                      <w:bCs w:val="0"/>
                      <w:color w:val="auto"/>
                    </w:rPr>
                  </w:pPr>
                  <w:r>
                    <w:rPr>
                      <w:rFonts w:hint="default"/>
                      <w:b w:val="0"/>
                      <w:bCs w:val="0"/>
                      <w:color w:val="auto"/>
                      <w:lang w:val="en-US" w:eastAsia="zh-CN"/>
                    </w:rPr>
                    <w:t>本项目通过汽车罐车，采用密闭泵送或自流式管道系统，收油时从卧式储罐内置换出的油气应密闭回收到汽车罐车内</w:t>
                  </w:r>
                  <w:r>
                    <w:rPr>
                      <w:rFonts w:hint="eastAsia"/>
                      <w:b w:val="0"/>
                      <w:bCs w:val="0"/>
                      <w:color w:val="auto"/>
                      <w:lang w:val="en-US" w:eastAsia="zh-CN"/>
                    </w:rPr>
                    <w:t>，</w:t>
                  </w:r>
                  <w:r>
                    <w:rPr>
                      <w:rFonts w:hint="default"/>
                      <w:b w:val="0"/>
                      <w:bCs w:val="0"/>
                      <w:color w:val="auto"/>
                      <w:lang w:val="en-US" w:eastAsia="zh-CN"/>
                    </w:rPr>
                    <w:t>收油过程满足控制技术要求。</w:t>
                  </w:r>
                </w:p>
              </w:tc>
              <w:tc>
                <w:tcPr>
                  <w:tcW w:w="505" w:type="pct"/>
                  <w:tcBorders>
                    <w:tl2br w:val="nil"/>
                    <w:tr2bl w:val="nil"/>
                  </w:tcBorders>
                  <w:vAlign w:val="center"/>
                </w:tcPr>
                <w:p w14:paraId="516D255C">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baseline"/>
                    <w:rPr>
                      <w:rFonts w:hint="eastAsia" w:eastAsia="宋体"/>
                      <w:b w:val="0"/>
                      <w:bCs w:val="0"/>
                      <w:color w:val="auto"/>
                      <w:lang w:eastAsia="zh-CN"/>
                    </w:rPr>
                  </w:pPr>
                  <w:r>
                    <w:rPr>
                      <w:rFonts w:hint="eastAsia"/>
                      <w:b w:val="0"/>
                      <w:bCs w:val="0"/>
                      <w:color w:val="auto"/>
                      <w:lang w:eastAsia="zh-CN"/>
                    </w:rPr>
                    <w:t>符合</w:t>
                  </w:r>
                </w:p>
              </w:tc>
            </w:tr>
            <w:tr w14:paraId="343586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928" w:type="pct"/>
                  <w:tcBorders>
                    <w:tl2br w:val="nil"/>
                    <w:tr2bl w:val="nil"/>
                  </w:tcBorders>
                  <w:vAlign w:val="center"/>
                </w:tcPr>
                <w:p w14:paraId="13EC028D">
                  <w:pPr>
                    <w:keepNext w:val="0"/>
                    <w:keepLines w:val="0"/>
                    <w:widowControl/>
                    <w:suppressLineNumbers w:val="0"/>
                    <w:jc w:val="left"/>
                    <w:rPr>
                      <w:color w:val="auto"/>
                    </w:rPr>
                  </w:pPr>
                  <w:r>
                    <w:rPr>
                      <w:rFonts w:hint="default" w:ascii="Times New Roman" w:hAnsi="Times New Roman" w:eastAsia="宋体" w:cs="Times New Roman"/>
                      <w:color w:val="auto"/>
                      <w:kern w:val="0"/>
                      <w:sz w:val="20"/>
                      <w:szCs w:val="20"/>
                      <w:lang w:val="en-US" w:eastAsia="zh-CN" w:bidi="ar"/>
                    </w:rPr>
                    <w:t xml:space="preserve">4.2 </w:t>
                  </w:r>
                  <w:r>
                    <w:rPr>
                      <w:rFonts w:hint="eastAsia" w:ascii="宋体" w:hAnsi="宋体" w:eastAsia="宋体" w:cs="宋体"/>
                      <w:color w:val="auto"/>
                      <w:kern w:val="0"/>
                      <w:sz w:val="20"/>
                      <w:szCs w:val="20"/>
                      <w:lang w:val="en-US" w:eastAsia="zh-CN" w:bidi="ar"/>
                    </w:rPr>
                    <w:t xml:space="preserve">储油控制要求 </w:t>
                  </w:r>
                </w:p>
                <w:p w14:paraId="1CFE8DC6">
                  <w:pPr>
                    <w:keepNext w:val="0"/>
                    <w:keepLines w:val="0"/>
                    <w:widowControl/>
                    <w:suppressLineNumbers w:val="0"/>
                    <w:jc w:val="left"/>
                    <w:rPr>
                      <w:color w:val="auto"/>
                    </w:rPr>
                  </w:pPr>
                  <w:r>
                    <w:rPr>
                      <w:rFonts w:hint="default" w:ascii="Times New Roman" w:hAnsi="Times New Roman" w:eastAsia="宋体" w:cs="Times New Roman"/>
                      <w:color w:val="auto"/>
                      <w:kern w:val="0"/>
                      <w:sz w:val="20"/>
                      <w:szCs w:val="20"/>
                      <w:lang w:val="en-US" w:eastAsia="zh-CN" w:bidi="ar"/>
                    </w:rPr>
                    <w:t xml:space="preserve">4.2.1 </w:t>
                  </w:r>
                  <w:r>
                    <w:rPr>
                      <w:rFonts w:hint="eastAsia" w:ascii="宋体" w:hAnsi="宋体" w:eastAsia="宋体" w:cs="宋体"/>
                      <w:color w:val="auto"/>
                      <w:kern w:val="0"/>
                      <w:sz w:val="20"/>
                      <w:szCs w:val="20"/>
                      <w:lang w:val="en-US" w:eastAsia="zh-CN" w:bidi="ar"/>
                    </w:rPr>
                    <w:t xml:space="preserve">油品储存方式 </w:t>
                  </w:r>
                </w:p>
                <w:p w14:paraId="0B772735">
                  <w:pPr>
                    <w:keepNext w:val="0"/>
                    <w:keepLines w:val="0"/>
                    <w:widowControl/>
                    <w:suppressLineNumbers w:val="0"/>
                    <w:jc w:val="left"/>
                    <w:rPr>
                      <w:color w:val="auto"/>
                    </w:rPr>
                  </w:pPr>
                  <w:r>
                    <w:rPr>
                      <w:rFonts w:hint="default" w:ascii="Times New Roman" w:hAnsi="Times New Roman" w:eastAsia="宋体" w:cs="Times New Roman"/>
                      <w:color w:val="auto"/>
                      <w:kern w:val="0"/>
                      <w:sz w:val="20"/>
                      <w:szCs w:val="20"/>
                      <w:lang w:val="en-US" w:eastAsia="zh-CN" w:bidi="ar"/>
                    </w:rPr>
                    <w:t xml:space="preserve">4.2.1.1 </w:t>
                  </w:r>
                  <w:r>
                    <w:rPr>
                      <w:rFonts w:hint="eastAsia" w:ascii="宋体" w:hAnsi="宋体" w:eastAsia="宋体" w:cs="宋体"/>
                      <w:color w:val="auto"/>
                      <w:kern w:val="0"/>
                      <w:sz w:val="20"/>
                      <w:szCs w:val="20"/>
                      <w:lang w:val="en-US" w:eastAsia="zh-CN" w:bidi="ar"/>
                    </w:rPr>
                    <w:t>储存真实蒸气压＜</w:t>
                  </w:r>
                  <w:r>
                    <w:rPr>
                      <w:rFonts w:hint="default" w:ascii="Times New Roman" w:hAnsi="Times New Roman" w:eastAsia="宋体" w:cs="Times New Roman"/>
                      <w:color w:val="auto"/>
                      <w:kern w:val="0"/>
                      <w:sz w:val="20"/>
                      <w:szCs w:val="20"/>
                      <w:lang w:val="en-US" w:eastAsia="zh-CN" w:bidi="ar"/>
                    </w:rPr>
                    <w:t xml:space="preserve">76.6 kPa </w:t>
                  </w:r>
                  <w:r>
                    <w:rPr>
                      <w:rFonts w:hint="eastAsia" w:ascii="宋体" w:hAnsi="宋体" w:eastAsia="宋体" w:cs="宋体"/>
                      <w:color w:val="auto"/>
                      <w:kern w:val="0"/>
                      <w:sz w:val="20"/>
                      <w:szCs w:val="20"/>
                      <w:lang w:val="en-US" w:eastAsia="zh-CN" w:bidi="ar"/>
                    </w:rPr>
                    <w:t xml:space="preserve">的油品应采用内浮顶罐、外浮顶罐或其他等效措施。 </w:t>
                  </w:r>
                </w:p>
                <w:p w14:paraId="0833A4F8">
                  <w:pPr>
                    <w:keepNext w:val="0"/>
                    <w:keepLines w:val="0"/>
                    <w:widowControl/>
                    <w:suppressLineNumbers w:val="0"/>
                    <w:jc w:val="left"/>
                    <w:rPr>
                      <w:color w:val="auto"/>
                    </w:rPr>
                  </w:pPr>
                  <w:r>
                    <w:rPr>
                      <w:rFonts w:hint="default" w:ascii="Times New Roman" w:hAnsi="Times New Roman" w:eastAsia="宋体" w:cs="Times New Roman"/>
                      <w:color w:val="auto"/>
                      <w:kern w:val="0"/>
                      <w:sz w:val="20"/>
                      <w:szCs w:val="20"/>
                      <w:lang w:val="en-US" w:eastAsia="zh-CN" w:bidi="ar"/>
                    </w:rPr>
                    <w:t xml:space="preserve">4.2.1.2 </w:t>
                  </w:r>
                  <w:r>
                    <w:rPr>
                      <w:rFonts w:hint="eastAsia" w:ascii="宋体" w:hAnsi="宋体" w:eastAsia="宋体" w:cs="宋体"/>
                      <w:color w:val="auto"/>
                      <w:kern w:val="0"/>
                      <w:sz w:val="20"/>
                      <w:szCs w:val="20"/>
                      <w:lang w:val="en-US" w:eastAsia="zh-CN" w:bidi="ar"/>
                    </w:rPr>
                    <w:t>储存真实蒸气压</w:t>
                  </w:r>
                  <w:r>
                    <w:rPr>
                      <w:rFonts w:hint="default" w:ascii="Times New Roman" w:hAnsi="Times New Roman" w:eastAsia="宋体" w:cs="Times New Roman"/>
                      <w:color w:val="auto"/>
                      <w:kern w:val="0"/>
                      <w:sz w:val="20"/>
                      <w:szCs w:val="20"/>
                      <w:lang w:val="en-US" w:eastAsia="zh-CN" w:bidi="ar"/>
                    </w:rPr>
                    <w:t xml:space="preserve">≥76.6 kPa </w:t>
                  </w:r>
                  <w:r>
                    <w:rPr>
                      <w:rFonts w:hint="eastAsia" w:ascii="宋体" w:hAnsi="宋体" w:eastAsia="宋体" w:cs="宋体"/>
                      <w:color w:val="auto"/>
                      <w:kern w:val="0"/>
                      <w:sz w:val="20"/>
                      <w:szCs w:val="20"/>
                      <w:lang w:val="en-US" w:eastAsia="zh-CN" w:bidi="ar"/>
                    </w:rPr>
                    <w:t xml:space="preserve">的油品应采用低压罐、压力罐或其他等效措施。 </w:t>
                  </w:r>
                </w:p>
                <w:p w14:paraId="53681CC2">
                  <w:pPr>
                    <w:keepNext w:val="0"/>
                    <w:keepLines w:val="0"/>
                    <w:widowControl/>
                    <w:suppressLineNumbers w:val="0"/>
                    <w:jc w:val="left"/>
                    <w:rPr>
                      <w:color w:val="auto"/>
                    </w:rPr>
                  </w:pPr>
                  <w:r>
                    <w:rPr>
                      <w:rFonts w:hint="default" w:ascii="Times New Roman" w:hAnsi="Times New Roman" w:eastAsia="宋体" w:cs="Times New Roman"/>
                      <w:color w:val="auto"/>
                      <w:kern w:val="0"/>
                      <w:sz w:val="20"/>
                      <w:szCs w:val="20"/>
                      <w:lang w:val="en-US" w:eastAsia="zh-CN" w:bidi="ar"/>
                    </w:rPr>
                    <w:t xml:space="preserve">4.2.2 </w:t>
                  </w:r>
                  <w:r>
                    <w:rPr>
                      <w:rFonts w:hint="eastAsia" w:ascii="宋体" w:hAnsi="宋体" w:eastAsia="宋体" w:cs="宋体"/>
                      <w:color w:val="auto"/>
                      <w:kern w:val="0"/>
                      <w:sz w:val="20"/>
                      <w:szCs w:val="20"/>
                      <w:lang w:val="en-US" w:eastAsia="zh-CN" w:bidi="ar"/>
                    </w:rPr>
                    <w:t xml:space="preserve">浮顶罐运行要求 </w:t>
                  </w:r>
                </w:p>
                <w:p w14:paraId="56E76404">
                  <w:pPr>
                    <w:keepNext w:val="0"/>
                    <w:keepLines w:val="0"/>
                    <w:widowControl/>
                    <w:suppressLineNumbers w:val="0"/>
                    <w:jc w:val="left"/>
                    <w:rPr>
                      <w:color w:val="auto"/>
                    </w:rPr>
                  </w:pPr>
                  <w:r>
                    <w:rPr>
                      <w:rFonts w:hint="default" w:ascii="Times New Roman" w:hAnsi="Times New Roman" w:eastAsia="宋体" w:cs="Times New Roman"/>
                      <w:color w:val="auto"/>
                      <w:kern w:val="0"/>
                      <w:sz w:val="20"/>
                      <w:szCs w:val="20"/>
                      <w:lang w:val="en-US" w:eastAsia="zh-CN" w:bidi="ar"/>
                    </w:rPr>
                    <w:t xml:space="preserve">4.2.2.1 </w:t>
                  </w:r>
                  <w:r>
                    <w:rPr>
                      <w:rFonts w:hint="eastAsia" w:ascii="宋体" w:hAnsi="宋体" w:eastAsia="宋体" w:cs="宋体"/>
                      <w:color w:val="auto"/>
                      <w:kern w:val="0"/>
                      <w:sz w:val="20"/>
                      <w:szCs w:val="20"/>
                      <w:lang w:val="en-US" w:eastAsia="zh-CN" w:bidi="ar"/>
                    </w:rPr>
                    <w:t xml:space="preserve">内浮顶罐的浮盘与罐壁之间应采用浸液式密封、机械式鞋形密封等高效密封方式。 </w:t>
                  </w:r>
                </w:p>
                <w:p w14:paraId="6A2542C8">
                  <w:pPr>
                    <w:keepNext w:val="0"/>
                    <w:keepLines w:val="0"/>
                    <w:widowControl/>
                    <w:suppressLineNumbers w:val="0"/>
                    <w:jc w:val="left"/>
                    <w:rPr>
                      <w:color w:val="auto"/>
                    </w:rPr>
                  </w:pPr>
                  <w:r>
                    <w:rPr>
                      <w:rFonts w:hint="default" w:ascii="Times New Roman" w:hAnsi="Times New Roman" w:eastAsia="宋体" w:cs="Times New Roman"/>
                      <w:color w:val="auto"/>
                      <w:kern w:val="0"/>
                      <w:sz w:val="20"/>
                      <w:szCs w:val="20"/>
                      <w:lang w:val="en-US" w:eastAsia="zh-CN" w:bidi="ar"/>
                    </w:rPr>
                    <w:t xml:space="preserve">4.2.2.2 </w:t>
                  </w:r>
                  <w:r>
                    <w:rPr>
                      <w:rFonts w:hint="eastAsia" w:ascii="宋体" w:hAnsi="宋体" w:eastAsia="宋体" w:cs="宋体"/>
                      <w:color w:val="auto"/>
                      <w:kern w:val="0"/>
                      <w:sz w:val="20"/>
                      <w:szCs w:val="20"/>
                      <w:lang w:val="en-US" w:eastAsia="zh-CN" w:bidi="ar"/>
                    </w:rPr>
                    <w:t xml:space="preserve">外浮顶罐的浮盘与罐壁之间应采用双重密封，且一次密封采用浸液式密封、机械式鞋形密封等高效密封方式。 </w:t>
                  </w:r>
                </w:p>
                <w:p w14:paraId="3B373E28">
                  <w:pPr>
                    <w:keepNext w:val="0"/>
                    <w:keepLines w:val="0"/>
                    <w:widowControl/>
                    <w:suppressLineNumbers w:val="0"/>
                    <w:jc w:val="left"/>
                    <w:rPr>
                      <w:color w:val="auto"/>
                    </w:rPr>
                  </w:pPr>
                  <w:r>
                    <w:rPr>
                      <w:rFonts w:hint="default" w:ascii="Times New Roman" w:hAnsi="Times New Roman" w:eastAsia="宋体" w:cs="Times New Roman"/>
                      <w:color w:val="auto"/>
                      <w:kern w:val="0"/>
                      <w:sz w:val="20"/>
                      <w:szCs w:val="20"/>
                      <w:lang w:val="en-US" w:eastAsia="zh-CN" w:bidi="ar"/>
                    </w:rPr>
                    <w:t xml:space="preserve">4.2.2.3 </w:t>
                  </w:r>
                  <w:r>
                    <w:rPr>
                      <w:rFonts w:hint="eastAsia" w:ascii="宋体" w:hAnsi="宋体" w:eastAsia="宋体" w:cs="宋体"/>
                      <w:color w:val="auto"/>
                      <w:kern w:val="0"/>
                      <w:sz w:val="20"/>
                      <w:szCs w:val="20"/>
                      <w:lang w:val="en-US" w:eastAsia="zh-CN" w:bidi="ar"/>
                    </w:rPr>
                    <w:t xml:space="preserve">浮顶罐罐体应保持完好，不应有孔洞（通气孔除外）和裂隙。 </w:t>
                  </w:r>
                </w:p>
                <w:p w14:paraId="19FD016C">
                  <w:pPr>
                    <w:keepNext w:val="0"/>
                    <w:keepLines w:val="0"/>
                    <w:widowControl/>
                    <w:suppressLineNumbers w:val="0"/>
                    <w:jc w:val="left"/>
                    <w:rPr>
                      <w:color w:val="auto"/>
                    </w:rPr>
                  </w:pPr>
                  <w:r>
                    <w:rPr>
                      <w:rFonts w:hint="default" w:ascii="Times New Roman" w:hAnsi="Times New Roman" w:eastAsia="宋体" w:cs="Times New Roman"/>
                      <w:color w:val="auto"/>
                      <w:kern w:val="0"/>
                      <w:sz w:val="20"/>
                      <w:szCs w:val="20"/>
                      <w:lang w:val="en-US" w:eastAsia="zh-CN" w:bidi="ar"/>
                    </w:rPr>
                    <w:t xml:space="preserve">4.2.2.4 </w:t>
                  </w:r>
                  <w:r>
                    <w:rPr>
                      <w:rFonts w:hint="eastAsia" w:ascii="宋体" w:hAnsi="宋体" w:eastAsia="宋体" w:cs="宋体"/>
                      <w:color w:val="auto"/>
                      <w:kern w:val="0"/>
                      <w:sz w:val="20"/>
                      <w:szCs w:val="20"/>
                      <w:lang w:val="en-US" w:eastAsia="zh-CN" w:bidi="ar"/>
                    </w:rPr>
                    <w:t xml:space="preserve">浮盘附件的开口（孔），除采样、计量、例行检查、维护和其它正常活动外，应密闭；浮盘边缘密封不应有破损。 </w:t>
                  </w:r>
                </w:p>
                <w:p w14:paraId="18F98171">
                  <w:pPr>
                    <w:keepNext w:val="0"/>
                    <w:keepLines w:val="0"/>
                    <w:widowControl/>
                    <w:suppressLineNumbers w:val="0"/>
                    <w:jc w:val="left"/>
                    <w:rPr>
                      <w:color w:val="auto"/>
                    </w:rPr>
                  </w:pPr>
                  <w:r>
                    <w:rPr>
                      <w:rFonts w:hint="default" w:ascii="Times New Roman" w:hAnsi="Times New Roman" w:eastAsia="宋体" w:cs="Times New Roman"/>
                      <w:color w:val="auto"/>
                      <w:kern w:val="0"/>
                      <w:sz w:val="20"/>
                      <w:szCs w:val="20"/>
                      <w:lang w:val="en-US" w:eastAsia="zh-CN" w:bidi="ar"/>
                    </w:rPr>
                    <w:t xml:space="preserve">4.2.2.5 </w:t>
                  </w:r>
                  <w:r>
                    <w:rPr>
                      <w:rFonts w:hint="eastAsia" w:ascii="宋体" w:hAnsi="宋体" w:eastAsia="宋体" w:cs="宋体"/>
                      <w:color w:val="auto"/>
                      <w:kern w:val="0"/>
                      <w:sz w:val="20"/>
                      <w:szCs w:val="20"/>
                      <w:lang w:val="en-US" w:eastAsia="zh-CN" w:bidi="ar"/>
                    </w:rPr>
                    <w:t xml:space="preserve">支柱、导向装置等储罐附件穿过浮盘时，其套筒底端应插入油品中并采取密封措施。 </w:t>
                  </w:r>
                </w:p>
                <w:p w14:paraId="13C13D3A">
                  <w:pPr>
                    <w:keepNext w:val="0"/>
                    <w:keepLines w:val="0"/>
                    <w:widowControl/>
                    <w:suppressLineNumbers w:val="0"/>
                    <w:jc w:val="left"/>
                    <w:rPr>
                      <w:color w:val="auto"/>
                    </w:rPr>
                  </w:pPr>
                  <w:r>
                    <w:rPr>
                      <w:rFonts w:hint="default" w:ascii="Times New Roman" w:hAnsi="Times New Roman" w:eastAsia="宋体" w:cs="Times New Roman"/>
                      <w:color w:val="auto"/>
                      <w:kern w:val="0"/>
                      <w:sz w:val="20"/>
                      <w:szCs w:val="20"/>
                      <w:lang w:val="en-US" w:eastAsia="zh-CN" w:bidi="ar"/>
                    </w:rPr>
                    <w:t xml:space="preserve">4.2.2.6 </w:t>
                  </w:r>
                  <w:r>
                    <w:rPr>
                      <w:rFonts w:hint="eastAsia" w:ascii="宋体" w:hAnsi="宋体" w:eastAsia="宋体" w:cs="宋体"/>
                      <w:color w:val="auto"/>
                      <w:kern w:val="0"/>
                      <w:sz w:val="20"/>
                      <w:szCs w:val="20"/>
                      <w:lang w:val="en-US" w:eastAsia="zh-CN" w:bidi="ar"/>
                    </w:rPr>
                    <w:t xml:space="preserve">除储罐排空作业外，浮盘应始终漂浮于油品的表面。 </w:t>
                  </w:r>
                </w:p>
                <w:p w14:paraId="6DA58291">
                  <w:pPr>
                    <w:keepNext w:val="0"/>
                    <w:keepLines w:val="0"/>
                    <w:widowControl/>
                    <w:suppressLineNumbers w:val="0"/>
                    <w:jc w:val="left"/>
                    <w:rPr>
                      <w:color w:val="auto"/>
                    </w:rPr>
                  </w:pPr>
                  <w:r>
                    <w:rPr>
                      <w:rFonts w:hint="default" w:ascii="Times New Roman" w:hAnsi="Times New Roman" w:eastAsia="宋体" w:cs="Times New Roman"/>
                      <w:color w:val="auto"/>
                      <w:kern w:val="0"/>
                      <w:sz w:val="20"/>
                      <w:szCs w:val="20"/>
                      <w:lang w:val="en-US" w:eastAsia="zh-CN" w:bidi="ar"/>
                    </w:rPr>
                    <w:t xml:space="preserve">4.2.2.7 </w:t>
                  </w:r>
                  <w:r>
                    <w:rPr>
                      <w:rFonts w:hint="eastAsia" w:ascii="宋体" w:hAnsi="宋体" w:eastAsia="宋体" w:cs="宋体"/>
                      <w:color w:val="auto"/>
                      <w:kern w:val="0"/>
                      <w:sz w:val="20"/>
                      <w:szCs w:val="20"/>
                      <w:lang w:val="en-US" w:eastAsia="zh-CN" w:bidi="ar"/>
                    </w:rPr>
                    <w:t xml:space="preserve">自动通气阀在浮盘处于漂浮状态时应关闭且密封良好，仅在浮盘处于支座支撑状态 </w:t>
                  </w:r>
                </w:p>
                <w:p w14:paraId="2C8D5F4B">
                  <w:pPr>
                    <w:keepNext w:val="0"/>
                    <w:keepLines w:val="0"/>
                    <w:widowControl/>
                    <w:suppressLineNumbers w:val="0"/>
                    <w:jc w:val="left"/>
                    <w:rPr>
                      <w:color w:val="auto"/>
                    </w:rPr>
                  </w:pPr>
                  <w:r>
                    <w:rPr>
                      <w:rFonts w:hint="eastAsia" w:ascii="宋体" w:hAnsi="宋体" w:eastAsia="宋体" w:cs="宋体"/>
                      <w:color w:val="auto"/>
                      <w:kern w:val="0"/>
                      <w:sz w:val="20"/>
                      <w:szCs w:val="20"/>
                      <w:lang w:val="en-US" w:eastAsia="zh-CN" w:bidi="ar"/>
                    </w:rPr>
                    <w:t xml:space="preserve">时可开后。 </w:t>
                  </w:r>
                </w:p>
                <w:p w14:paraId="5B46B2F9">
                  <w:pPr>
                    <w:keepNext w:val="0"/>
                    <w:keepLines w:val="0"/>
                    <w:widowControl/>
                    <w:suppressLineNumbers w:val="0"/>
                    <w:jc w:val="left"/>
                    <w:rPr>
                      <w:color w:val="auto"/>
                    </w:rPr>
                  </w:pPr>
                  <w:r>
                    <w:rPr>
                      <w:rFonts w:hint="default" w:ascii="Times New Roman" w:hAnsi="Times New Roman" w:eastAsia="宋体" w:cs="Times New Roman"/>
                      <w:color w:val="auto"/>
                      <w:kern w:val="0"/>
                      <w:sz w:val="20"/>
                      <w:szCs w:val="20"/>
                      <w:lang w:val="en-US" w:eastAsia="zh-CN" w:bidi="ar"/>
                    </w:rPr>
                    <w:t xml:space="preserve">4.2.2.8 </w:t>
                  </w:r>
                  <w:r>
                    <w:rPr>
                      <w:rFonts w:hint="eastAsia" w:ascii="宋体" w:hAnsi="宋体" w:eastAsia="宋体" w:cs="宋体"/>
                      <w:color w:val="auto"/>
                      <w:kern w:val="0"/>
                      <w:sz w:val="20"/>
                      <w:szCs w:val="20"/>
                      <w:lang w:val="en-US" w:eastAsia="zh-CN" w:bidi="ar"/>
                    </w:rPr>
                    <w:t xml:space="preserve">边缘呼吸阀在浮盘处于漂浮状态时应密封良好，并定期检查定压是否符合设定要求。 </w:t>
                  </w:r>
                </w:p>
                <w:p w14:paraId="4E95B7FA">
                  <w:pPr>
                    <w:keepNext w:val="0"/>
                    <w:keepLines w:val="0"/>
                    <w:widowControl/>
                    <w:suppressLineNumbers w:val="0"/>
                    <w:jc w:val="left"/>
                    <w:rPr>
                      <w:rFonts w:hint="default"/>
                      <w:b w:val="0"/>
                      <w:bCs w:val="0"/>
                      <w:color w:val="auto"/>
                    </w:rPr>
                  </w:pPr>
                  <w:r>
                    <w:rPr>
                      <w:rFonts w:hint="default" w:ascii="Times New Roman" w:hAnsi="Times New Roman" w:eastAsia="宋体" w:cs="Times New Roman"/>
                      <w:color w:val="auto"/>
                      <w:kern w:val="0"/>
                      <w:sz w:val="20"/>
                      <w:szCs w:val="20"/>
                      <w:lang w:val="en-US" w:eastAsia="zh-CN" w:bidi="ar"/>
                    </w:rPr>
                    <w:t xml:space="preserve">4.2.2.9 </w:t>
                  </w:r>
                  <w:r>
                    <w:rPr>
                      <w:rFonts w:hint="eastAsia" w:ascii="宋体" w:hAnsi="宋体" w:eastAsia="宋体" w:cs="宋体"/>
                      <w:color w:val="auto"/>
                      <w:kern w:val="0"/>
                      <w:sz w:val="20"/>
                      <w:szCs w:val="20"/>
                      <w:lang w:val="en-US" w:eastAsia="zh-CN" w:bidi="ar"/>
                    </w:rPr>
                    <w:t>除自动通气阀、边缘呼吸阀外，浮盘外边缘板及所有通过浮盘的开孔接管均应浸入油品液面下。</w:t>
                  </w:r>
                </w:p>
              </w:tc>
              <w:tc>
                <w:tcPr>
                  <w:tcW w:w="1566" w:type="pct"/>
                  <w:tcBorders>
                    <w:tl2br w:val="nil"/>
                    <w:tr2bl w:val="nil"/>
                  </w:tcBorders>
                  <w:vAlign w:val="center"/>
                </w:tcPr>
                <w:p w14:paraId="4F26AE17">
                  <w:pPr>
                    <w:keepNext w:val="0"/>
                    <w:keepLines w:val="0"/>
                    <w:pageBreakBefore w:val="0"/>
                    <w:widowControl w:val="0"/>
                    <w:kinsoku/>
                    <w:wordWrap/>
                    <w:overflowPunct/>
                    <w:topLinePunct w:val="0"/>
                    <w:autoSpaceDE/>
                    <w:autoSpaceDN/>
                    <w:bidi w:val="0"/>
                    <w:adjustRightInd/>
                    <w:snapToGrid/>
                    <w:spacing w:beforeAutospacing="0" w:afterAutospacing="0" w:line="280" w:lineRule="exact"/>
                    <w:ind w:firstLine="420" w:firstLineChars="200"/>
                    <w:jc w:val="left"/>
                    <w:textAlignment w:val="auto"/>
                    <w:rPr>
                      <w:rFonts w:hint="default"/>
                      <w:b w:val="0"/>
                      <w:bCs w:val="0"/>
                      <w:color w:val="auto"/>
                    </w:rPr>
                  </w:pPr>
                  <w:r>
                    <w:rPr>
                      <w:rFonts w:hint="default"/>
                      <w:b w:val="0"/>
                      <w:bCs w:val="0"/>
                      <w:color w:val="auto"/>
                      <w:lang w:val="en-US" w:eastAsia="zh-CN"/>
                    </w:rPr>
                    <w:t>本项目储油罐采用内浮顶罐，密封方式为囊式密封，密封效果良好。浮顶罐罐体保持完好，无有孔洞（通气孔除外）和裂隙。浮盘及附件满足相关控制要求，满足浮顶罐运行要求。</w:t>
                  </w:r>
                </w:p>
                <w:p w14:paraId="69631E93">
                  <w:pPr>
                    <w:keepNext w:val="0"/>
                    <w:keepLines w:val="0"/>
                    <w:pageBreakBefore w:val="0"/>
                    <w:widowControl w:val="0"/>
                    <w:kinsoku/>
                    <w:wordWrap/>
                    <w:overflowPunct/>
                    <w:topLinePunct w:val="0"/>
                    <w:autoSpaceDE/>
                    <w:autoSpaceDN/>
                    <w:bidi w:val="0"/>
                    <w:adjustRightInd/>
                    <w:snapToGrid/>
                    <w:spacing w:beforeAutospacing="0" w:afterAutospacing="0" w:line="280" w:lineRule="exact"/>
                    <w:ind w:firstLine="420" w:firstLineChars="200"/>
                    <w:jc w:val="center"/>
                    <w:textAlignment w:val="auto"/>
                    <w:rPr>
                      <w:rFonts w:hint="default"/>
                      <w:b w:val="0"/>
                      <w:bCs w:val="0"/>
                      <w:color w:val="auto"/>
                    </w:rPr>
                  </w:pPr>
                </w:p>
              </w:tc>
              <w:tc>
                <w:tcPr>
                  <w:tcW w:w="505" w:type="pct"/>
                  <w:tcBorders>
                    <w:tl2br w:val="nil"/>
                    <w:tr2bl w:val="nil"/>
                  </w:tcBorders>
                  <w:vAlign w:val="center"/>
                </w:tcPr>
                <w:p w14:paraId="1E3D7C4D">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baseline"/>
                    <w:rPr>
                      <w:rFonts w:hint="eastAsia"/>
                      <w:b w:val="0"/>
                      <w:bCs w:val="0"/>
                      <w:color w:val="auto"/>
                      <w:lang w:eastAsia="zh-CN"/>
                    </w:rPr>
                  </w:pPr>
                  <w:r>
                    <w:rPr>
                      <w:rFonts w:hint="eastAsia"/>
                      <w:b w:val="0"/>
                      <w:bCs w:val="0"/>
                      <w:color w:val="auto"/>
                      <w:lang w:eastAsia="zh-CN"/>
                    </w:rPr>
                    <w:t>符合</w:t>
                  </w:r>
                </w:p>
              </w:tc>
            </w:tr>
            <w:tr w14:paraId="03D660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928" w:type="pct"/>
                  <w:tcBorders>
                    <w:tl2br w:val="nil"/>
                    <w:tr2bl w:val="nil"/>
                  </w:tcBorders>
                  <w:vAlign w:val="center"/>
                </w:tcPr>
                <w:p w14:paraId="38EEA76C">
                  <w:pPr>
                    <w:keepNext w:val="0"/>
                    <w:keepLines w:val="0"/>
                    <w:widowControl/>
                    <w:suppressLineNumbers w:val="0"/>
                    <w:jc w:val="left"/>
                    <w:rPr>
                      <w:color w:val="auto"/>
                    </w:rPr>
                  </w:pPr>
                  <w:r>
                    <w:rPr>
                      <w:rFonts w:hint="default" w:ascii="Times New Roman" w:hAnsi="Times New Roman" w:eastAsia="宋体" w:cs="Times New Roman"/>
                      <w:color w:val="auto"/>
                      <w:kern w:val="0"/>
                      <w:sz w:val="20"/>
                      <w:szCs w:val="20"/>
                      <w:lang w:val="en-US" w:eastAsia="zh-CN" w:bidi="ar"/>
                    </w:rPr>
                    <w:t xml:space="preserve">4.2.3 </w:t>
                  </w:r>
                  <w:r>
                    <w:rPr>
                      <w:rFonts w:hint="eastAsia" w:ascii="宋体" w:hAnsi="宋体" w:eastAsia="宋体" w:cs="宋体"/>
                      <w:color w:val="auto"/>
                      <w:kern w:val="0"/>
                      <w:sz w:val="20"/>
                      <w:szCs w:val="20"/>
                      <w:lang w:val="en-US" w:eastAsia="zh-CN" w:bidi="ar"/>
                    </w:rPr>
                    <w:t xml:space="preserve">浮顶罐维护与记录 </w:t>
                  </w:r>
                </w:p>
                <w:p w14:paraId="1BF53A39">
                  <w:pPr>
                    <w:keepNext w:val="0"/>
                    <w:keepLines w:val="0"/>
                    <w:widowControl/>
                    <w:suppressLineNumbers w:val="0"/>
                    <w:jc w:val="left"/>
                    <w:rPr>
                      <w:color w:val="auto"/>
                    </w:rPr>
                  </w:pPr>
                  <w:r>
                    <w:rPr>
                      <w:rFonts w:hint="default" w:ascii="Times New Roman" w:hAnsi="Times New Roman" w:eastAsia="宋体" w:cs="Times New Roman"/>
                      <w:color w:val="auto"/>
                      <w:kern w:val="0"/>
                      <w:sz w:val="20"/>
                      <w:szCs w:val="20"/>
                      <w:lang w:val="en-US" w:eastAsia="zh-CN" w:bidi="ar"/>
                    </w:rPr>
                    <w:t xml:space="preserve">4.2.3.1 </w:t>
                  </w:r>
                  <w:r>
                    <w:rPr>
                      <w:rFonts w:hint="eastAsia" w:ascii="宋体" w:hAnsi="宋体" w:eastAsia="宋体" w:cs="宋体"/>
                      <w:color w:val="auto"/>
                      <w:kern w:val="0"/>
                      <w:sz w:val="20"/>
                      <w:szCs w:val="20"/>
                      <w:lang w:val="en-US" w:eastAsia="zh-CN" w:bidi="ar"/>
                    </w:rPr>
                    <w:t xml:space="preserve">在每个停工检修期对内浮顶罐的完好情况进行检查。发现有不符合 </w:t>
                  </w:r>
                  <w:r>
                    <w:rPr>
                      <w:rFonts w:hint="default" w:ascii="Times New Roman" w:hAnsi="Times New Roman" w:eastAsia="宋体" w:cs="Times New Roman"/>
                      <w:color w:val="auto"/>
                      <w:kern w:val="0"/>
                      <w:sz w:val="20"/>
                      <w:szCs w:val="20"/>
                      <w:lang w:val="en-US" w:eastAsia="zh-CN" w:bidi="ar"/>
                    </w:rPr>
                    <w:t xml:space="preserve">4.2.2 </w:t>
                  </w:r>
                  <w:r>
                    <w:rPr>
                      <w:rFonts w:hint="eastAsia" w:ascii="宋体" w:hAnsi="宋体" w:eastAsia="宋体" w:cs="宋体"/>
                      <w:color w:val="auto"/>
                      <w:kern w:val="0"/>
                      <w:sz w:val="20"/>
                      <w:szCs w:val="20"/>
                      <w:lang w:val="en-US" w:eastAsia="zh-CN" w:bidi="ar"/>
                    </w:rPr>
                    <w:t xml:space="preserve">条规定的，应在该停工检修期内完成修复；若延迟修复，应将相关方案报生态环境主管部门确定。 </w:t>
                  </w:r>
                </w:p>
                <w:p w14:paraId="1FF7DCD3">
                  <w:pPr>
                    <w:keepNext w:val="0"/>
                    <w:keepLines w:val="0"/>
                    <w:widowControl/>
                    <w:suppressLineNumbers w:val="0"/>
                    <w:jc w:val="left"/>
                    <w:rPr>
                      <w:color w:val="auto"/>
                    </w:rPr>
                  </w:pPr>
                  <w:r>
                    <w:rPr>
                      <w:rFonts w:hint="default" w:ascii="Times New Roman" w:hAnsi="Times New Roman" w:eastAsia="宋体" w:cs="Times New Roman"/>
                      <w:color w:val="auto"/>
                      <w:kern w:val="0"/>
                      <w:sz w:val="20"/>
                      <w:szCs w:val="20"/>
                      <w:lang w:val="en-US" w:eastAsia="zh-CN" w:bidi="ar"/>
                    </w:rPr>
                    <w:t xml:space="preserve">4.2.3.2 </w:t>
                  </w:r>
                  <w:r>
                    <w:rPr>
                      <w:rFonts w:hint="eastAsia" w:ascii="宋体" w:hAnsi="宋体" w:eastAsia="宋体" w:cs="宋体"/>
                      <w:color w:val="auto"/>
                      <w:kern w:val="0"/>
                      <w:sz w:val="20"/>
                      <w:szCs w:val="20"/>
                      <w:lang w:val="en-US" w:eastAsia="zh-CN" w:bidi="ar"/>
                    </w:rPr>
                    <w:t xml:space="preserve">外浮顶罐不符合 </w:t>
                  </w:r>
                  <w:r>
                    <w:rPr>
                      <w:rFonts w:hint="default" w:ascii="Times New Roman" w:hAnsi="Times New Roman" w:eastAsia="宋体" w:cs="Times New Roman"/>
                      <w:color w:val="auto"/>
                      <w:kern w:val="0"/>
                      <w:sz w:val="20"/>
                      <w:szCs w:val="20"/>
                      <w:lang w:val="en-US" w:eastAsia="zh-CN" w:bidi="ar"/>
                    </w:rPr>
                    <w:t xml:space="preserve">4.2.2 </w:t>
                  </w:r>
                  <w:r>
                    <w:rPr>
                      <w:rFonts w:hint="eastAsia" w:ascii="宋体" w:hAnsi="宋体" w:eastAsia="宋体" w:cs="宋体"/>
                      <w:color w:val="auto"/>
                      <w:kern w:val="0"/>
                      <w:sz w:val="20"/>
                      <w:szCs w:val="20"/>
                      <w:lang w:val="en-US" w:eastAsia="zh-CN" w:bidi="ar"/>
                    </w:rPr>
                    <w:t>条规定的，应在</w:t>
                  </w:r>
                  <w:r>
                    <w:rPr>
                      <w:rFonts w:hint="default" w:ascii="Times New Roman" w:hAnsi="Times New Roman" w:eastAsia="宋体" w:cs="Times New Roman"/>
                      <w:color w:val="auto"/>
                      <w:kern w:val="0"/>
                      <w:sz w:val="20"/>
                      <w:szCs w:val="20"/>
                      <w:lang w:val="en-US" w:eastAsia="zh-CN" w:bidi="ar"/>
                    </w:rPr>
                    <w:t xml:space="preserve">90 </w:t>
                  </w:r>
                  <w:r>
                    <w:rPr>
                      <w:rFonts w:hint="eastAsia" w:ascii="宋体" w:hAnsi="宋体" w:eastAsia="宋体" w:cs="宋体"/>
                      <w:color w:val="auto"/>
                      <w:kern w:val="0"/>
                      <w:sz w:val="20"/>
                      <w:szCs w:val="20"/>
                      <w:lang w:val="en-US" w:eastAsia="zh-CN" w:bidi="ar"/>
                    </w:rPr>
                    <w:t xml:space="preserve">天内完成修复或排空储罐停止使用；若延迟修复或排空储罐，应将相关方案报生态环境主管部门确定。 </w:t>
                  </w:r>
                </w:p>
                <w:p w14:paraId="71C4CAB7">
                  <w:pPr>
                    <w:keepNext w:val="0"/>
                    <w:keepLines w:val="0"/>
                    <w:widowControl/>
                    <w:suppressLineNumbers w:val="0"/>
                    <w:jc w:val="left"/>
                    <w:rPr>
                      <w:rFonts w:hint="default"/>
                      <w:b w:val="0"/>
                      <w:bCs w:val="0"/>
                      <w:color w:val="auto"/>
                    </w:rPr>
                  </w:pPr>
                  <w:r>
                    <w:rPr>
                      <w:rFonts w:hint="default" w:ascii="Times New Roman" w:hAnsi="Times New Roman" w:eastAsia="宋体" w:cs="Times New Roman"/>
                      <w:color w:val="auto"/>
                      <w:kern w:val="0"/>
                      <w:sz w:val="20"/>
                      <w:szCs w:val="20"/>
                      <w:lang w:val="en-US" w:eastAsia="zh-CN" w:bidi="ar"/>
                    </w:rPr>
                    <w:t xml:space="preserve">4.2.3.3 </w:t>
                  </w:r>
                  <w:r>
                    <w:rPr>
                      <w:rFonts w:hint="eastAsia" w:ascii="宋体" w:hAnsi="宋体" w:eastAsia="宋体" w:cs="宋体"/>
                      <w:color w:val="auto"/>
                      <w:kern w:val="0"/>
                      <w:sz w:val="20"/>
                      <w:szCs w:val="20"/>
                      <w:lang w:val="en-US" w:eastAsia="zh-CN" w:bidi="ar"/>
                    </w:rPr>
                    <w:t>编制检查与修复记录。</w:t>
                  </w:r>
                </w:p>
              </w:tc>
              <w:tc>
                <w:tcPr>
                  <w:tcW w:w="1566" w:type="pct"/>
                  <w:tcBorders>
                    <w:tl2br w:val="nil"/>
                    <w:tr2bl w:val="nil"/>
                  </w:tcBorders>
                  <w:vAlign w:val="center"/>
                </w:tcPr>
                <w:p w14:paraId="6FF9B55E">
                  <w:pPr>
                    <w:keepNext w:val="0"/>
                    <w:keepLines w:val="0"/>
                    <w:pageBreakBefore w:val="0"/>
                    <w:widowControl w:val="0"/>
                    <w:kinsoku/>
                    <w:wordWrap/>
                    <w:overflowPunct/>
                    <w:topLinePunct w:val="0"/>
                    <w:autoSpaceDE/>
                    <w:autoSpaceDN/>
                    <w:bidi w:val="0"/>
                    <w:adjustRightInd/>
                    <w:snapToGrid/>
                    <w:spacing w:beforeAutospacing="0" w:afterAutospacing="0" w:line="280" w:lineRule="exact"/>
                    <w:ind w:firstLine="420" w:firstLineChars="200"/>
                    <w:jc w:val="left"/>
                    <w:textAlignment w:val="auto"/>
                    <w:rPr>
                      <w:rFonts w:hint="default"/>
                      <w:b w:val="0"/>
                      <w:bCs w:val="0"/>
                      <w:color w:val="auto"/>
                    </w:rPr>
                  </w:pPr>
                  <w:r>
                    <w:rPr>
                      <w:rFonts w:hint="default"/>
                      <w:b w:val="0"/>
                      <w:bCs w:val="0"/>
                      <w:color w:val="auto"/>
                      <w:lang w:val="en-US" w:eastAsia="zh-CN"/>
                    </w:rPr>
                    <w:t>企业应按照本标准要求做好浮顶罐维护与记录</w:t>
                  </w:r>
                </w:p>
                <w:p w14:paraId="75B4FA9C">
                  <w:pPr>
                    <w:keepNext w:val="0"/>
                    <w:keepLines w:val="0"/>
                    <w:pageBreakBefore w:val="0"/>
                    <w:widowControl w:val="0"/>
                    <w:kinsoku/>
                    <w:wordWrap/>
                    <w:overflowPunct/>
                    <w:topLinePunct w:val="0"/>
                    <w:autoSpaceDE/>
                    <w:autoSpaceDN/>
                    <w:bidi w:val="0"/>
                    <w:adjustRightInd/>
                    <w:snapToGrid/>
                    <w:spacing w:beforeAutospacing="0" w:afterAutospacing="0" w:line="280" w:lineRule="exact"/>
                    <w:ind w:firstLine="420" w:firstLineChars="200"/>
                    <w:jc w:val="center"/>
                    <w:textAlignment w:val="auto"/>
                    <w:rPr>
                      <w:rFonts w:hint="default"/>
                      <w:b w:val="0"/>
                      <w:bCs w:val="0"/>
                      <w:color w:val="auto"/>
                    </w:rPr>
                  </w:pPr>
                </w:p>
              </w:tc>
              <w:tc>
                <w:tcPr>
                  <w:tcW w:w="505" w:type="pct"/>
                  <w:tcBorders>
                    <w:tl2br w:val="nil"/>
                    <w:tr2bl w:val="nil"/>
                  </w:tcBorders>
                  <w:vAlign w:val="center"/>
                </w:tcPr>
                <w:p w14:paraId="573EF5CF">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baseline"/>
                    <w:rPr>
                      <w:rFonts w:hint="eastAsia"/>
                      <w:b w:val="0"/>
                      <w:bCs w:val="0"/>
                      <w:color w:val="auto"/>
                      <w:lang w:eastAsia="zh-CN"/>
                    </w:rPr>
                  </w:pPr>
                  <w:r>
                    <w:rPr>
                      <w:rFonts w:hint="eastAsia"/>
                      <w:b w:val="0"/>
                      <w:bCs w:val="0"/>
                      <w:color w:val="auto"/>
                      <w:lang w:eastAsia="zh-CN"/>
                    </w:rPr>
                    <w:t>符合</w:t>
                  </w:r>
                </w:p>
              </w:tc>
            </w:tr>
            <w:tr w14:paraId="1B4E78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928" w:type="pct"/>
                  <w:tcBorders>
                    <w:tl2br w:val="nil"/>
                    <w:tr2bl w:val="nil"/>
                  </w:tcBorders>
                  <w:vAlign w:val="center"/>
                </w:tcPr>
                <w:p w14:paraId="3032AA8F">
                  <w:pPr>
                    <w:keepNext w:val="0"/>
                    <w:keepLines w:val="0"/>
                    <w:widowControl/>
                    <w:suppressLineNumbers w:val="0"/>
                    <w:jc w:val="left"/>
                    <w:rPr>
                      <w:color w:val="auto"/>
                    </w:rPr>
                  </w:pPr>
                  <w:r>
                    <w:rPr>
                      <w:rFonts w:hint="default" w:ascii="Times New Roman" w:hAnsi="Times New Roman" w:eastAsia="宋体" w:cs="Times New Roman"/>
                      <w:color w:val="auto"/>
                      <w:kern w:val="0"/>
                      <w:sz w:val="20"/>
                      <w:szCs w:val="20"/>
                      <w:lang w:val="en-US" w:eastAsia="zh-CN" w:bidi="ar"/>
                    </w:rPr>
                    <w:t xml:space="preserve">4.3 </w:t>
                  </w:r>
                  <w:r>
                    <w:rPr>
                      <w:rFonts w:hint="eastAsia" w:ascii="宋体" w:hAnsi="宋体" w:eastAsia="宋体" w:cs="宋体"/>
                      <w:color w:val="auto"/>
                      <w:kern w:val="0"/>
                      <w:sz w:val="20"/>
                      <w:szCs w:val="20"/>
                      <w:lang w:val="en-US" w:eastAsia="zh-CN" w:bidi="ar"/>
                    </w:rPr>
                    <w:t xml:space="preserve">发油控制要求 </w:t>
                  </w:r>
                </w:p>
                <w:p w14:paraId="5C914052">
                  <w:pPr>
                    <w:keepNext w:val="0"/>
                    <w:keepLines w:val="0"/>
                    <w:widowControl/>
                    <w:suppressLineNumbers w:val="0"/>
                    <w:jc w:val="left"/>
                    <w:rPr>
                      <w:color w:val="auto"/>
                    </w:rPr>
                  </w:pPr>
                  <w:r>
                    <w:rPr>
                      <w:rFonts w:hint="default" w:ascii="Times New Roman" w:hAnsi="Times New Roman" w:eastAsia="宋体" w:cs="Times New Roman"/>
                      <w:color w:val="auto"/>
                      <w:kern w:val="0"/>
                      <w:sz w:val="20"/>
                      <w:szCs w:val="20"/>
                      <w:lang w:val="en-US" w:eastAsia="zh-CN" w:bidi="ar"/>
                    </w:rPr>
                    <w:t xml:space="preserve">4.3.1 </w:t>
                  </w:r>
                  <w:r>
                    <w:rPr>
                      <w:rFonts w:hint="eastAsia" w:ascii="宋体" w:hAnsi="宋体" w:eastAsia="宋体" w:cs="宋体"/>
                      <w:color w:val="auto"/>
                      <w:kern w:val="0"/>
                      <w:sz w:val="20"/>
                      <w:szCs w:val="20"/>
                      <w:lang w:val="en-US" w:eastAsia="zh-CN" w:bidi="ar"/>
                    </w:rPr>
                    <w:t xml:space="preserve">向汽车罐车发油 </w:t>
                  </w:r>
                </w:p>
                <w:p w14:paraId="21B45AFB">
                  <w:pPr>
                    <w:keepNext w:val="0"/>
                    <w:keepLines w:val="0"/>
                    <w:widowControl/>
                    <w:suppressLineNumbers w:val="0"/>
                    <w:jc w:val="left"/>
                    <w:rPr>
                      <w:color w:val="auto"/>
                    </w:rPr>
                  </w:pPr>
                  <w:r>
                    <w:rPr>
                      <w:rFonts w:hint="default" w:ascii="Times New Roman" w:hAnsi="Times New Roman" w:eastAsia="宋体" w:cs="Times New Roman"/>
                      <w:color w:val="auto"/>
                      <w:kern w:val="0"/>
                      <w:sz w:val="20"/>
                      <w:szCs w:val="20"/>
                      <w:lang w:val="en-US" w:eastAsia="zh-CN" w:bidi="ar"/>
                    </w:rPr>
                    <w:t xml:space="preserve">1.3.1.1 </w:t>
                  </w:r>
                  <w:r>
                    <w:rPr>
                      <w:rFonts w:hint="eastAsia" w:ascii="宋体" w:hAnsi="宋体" w:eastAsia="宋体" w:cs="宋体"/>
                      <w:color w:val="auto"/>
                      <w:kern w:val="0"/>
                      <w:sz w:val="20"/>
                      <w:szCs w:val="20"/>
                      <w:lang w:val="en-US" w:eastAsia="zh-CN" w:bidi="ar"/>
                    </w:rPr>
                    <w:t>向汽车罐车发原油应采用顶部浸没式或底部发油方式，顶部浸没式灌装鹤管出口距离罐底高度应小于</w:t>
                  </w:r>
                  <w:r>
                    <w:rPr>
                      <w:rFonts w:hint="default" w:ascii="Times New Roman" w:hAnsi="Times New Roman" w:eastAsia="宋体" w:cs="Times New Roman"/>
                      <w:color w:val="auto"/>
                      <w:kern w:val="0"/>
                      <w:sz w:val="20"/>
                      <w:szCs w:val="20"/>
                      <w:lang w:val="en-US" w:eastAsia="zh-CN" w:bidi="ar"/>
                    </w:rPr>
                    <w:t>200mm</w:t>
                  </w:r>
                  <w:r>
                    <w:rPr>
                      <w:rFonts w:hint="eastAsia" w:ascii="宋体" w:hAnsi="宋体" w:eastAsia="宋体" w:cs="宋体"/>
                      <w:color w:val="auto"/>
                      <w:kern w:val="0"/>
                      <w:sz w:val="20"/>
                      <w:szCs w:val="20"/>
                      <w:lang w:val="en-US" w:eastAsia="zh-CN" w:bidi="ar"/>
                    </w:rPr>
                    <w:t xml:space="preserve">。向汽车罐车发其他油品应采用底部发油方式。 </w:t>
                  </w:r>
                </w:p>
                <w:p w14:paraId="69F48C65">
                  <w:pPr>
                    <w:keepNext w:val="0"/>
                    <w:keepLines w:val="0"/>
                    <w:widowControl/>
                    <w:suppressLineNumbers w:val="0"/>
                    <w:jc w:val="left"/>
                    <w:rPr>
                      <w:color w:val="auto"/>
                    </w:rPr>
                  </w:pPr>
                  <w:r>
                    <w:rPr>
                      <w:rFonts w:hint="default" w:ascii="Times New Roman" w:hAnsi="Times New Roman" w:eastAsia="宋体" w:cs="Times New Roman"/>
                      <w:color w:val="auto"/>
                      <w:kern w:val="0"/>
                      <w:sz w:val="20"/>
                      <w:szCs w:val="20"/>
                      <w:lang w:val="en-US" w:eastAsia="zh-CN" w:bidi="ar"/>
                    </w:rPr>
                    <w:t xml:space="preserve">4.3.1.2 </w:t>
                  </w:r>
                  <w:r>
                    <w:rPr>
                      <w:rFonts w:hint="eastAsia" w:ascii="宋体" w:hAnsi="宋体" w:eastAsia="宋体" w:cs="宋体"/>
                      <w:color w:val="auto"/>
                      <w:kern w:val="0"/>
                      <w:sz w:val="20"/>
                      <w:szCs w:val="20"/>
                      <w:lang w:val="en-US" w:eastAsia="zh-CN" w:bidi="ar"/>
                    </w:rPr>
                    <w:t xml:space="preserve">发油时产生的油气应密闭收集，并送入油气处理装置回收处理。 </w:t>
                  </w:r>
                </w:p>
                <w:p w14:paraId="71496A28">
                  <w:pPr>
                    <w:keepNext w:val="0"/>
                    <w:keepLines w:val="0"/>
                    <w:widowControl/>
                    <w:suppressLineNumbers w:val="0"/>
                    <w:jc w:val="left"/>
                    <w:rPr>
                      <w:color w:val="auto"/>
                    </w:rPr>
                  </w:pPr>
                  <w:r>
                    <w:rPr>
                      <w:rFonts w:hint="default" w:ascii="Times New Roman" w:hAnsi="Times New Roman" w:eastAsia="宋体" w:cs="Times New Roman"/>
                      <w:color w:val="auto"/>
                      <w:kern w:val="0"/>
                      <w:sz w:val="20"/>
                      <w:szCs w:val="20"/>
                      <w:lang w:val="en-US" w:eastAsia="zh-CN" w:bidi="ar"/>
                    </w:rPr>
                    <w:t xml:space="preserve">4.3.1.3 </w:t>
                  </w:r>
                  <w:r>
                    <w:rPr>
                      <w:rFonts w:hint="eastAsia" w:ascii="宋体" w:hAnsi="宋体" w:eastAsia="宋体" w:cs="宋体"/>
                      <w:color w:val="auto"/>
                      <w:kern w:val="0"/>
                      <w:sz w:val="20"/>
                      <w:szCs w:val="20"/>
                      <w:lang w:val="en-US" w:eastAsia="zh-CN" w:bidi="ar"/>
                    </w:rPr>
                    <w:t xml:space="preserve">底部发油快速接头和油气回收快速接头应采用自封式快速接头。 </w:t>
                  </w:r>
                </w:p>
                <w:p w14:paraId="5E054EAD">
                  <w:pPr>
                    <w:keepNext w:val="0"/>
                    <w:keepLines w:val="0"/>
                    <w:widowControl/>
                    <w:suppressLineNumbers w:val="0"/>
                    <w:jc w:val="left"/>
                    <w:rPr>
                      <w:color w:val="auto"/>
                    </w:rPr>
                  </w:pPr>
                  <w:r>
                    <w:rPr>
                      <w:rFonts w:hint="default" w:ascii="Times New Roman" w:hAnsi="Times New Roman" w:eastAsia="宋体" w:cs="Times New Roman"/>
                      <w:color w:val="auto"/>
                      <w:kern w:val="0"/>
                      <w:sz w:val="20"/>
                      <w:szCs w:val="20"/>
                      <w:lang w:val="en-US" w:eastAsia="zh-CN" w:bidi="ar"/>
                    </w:rPr>
                    <w:t xml:space="preserve">4.3.1.4 </w:t>
                  </w:r>
                  <w:r>
                    <w:rPr>
                      <w:rFonts w:hint="eastAsia" w:ascii="宋体" w:hAnsi="宋体" w:eastAsia="宋体" w:cs="宋体"/>
                      <w:color w:val="auto"/>
                      <w:kern w:val="0"/>
                      <w:sz w:val="20"/>
                      <w:szCs w:val="20"/>
                      <w:lang w:val="en-US" w:eastAsia="zh-CN" w:bidi="ar"/>
                    </w:rPr>
                    <w:t xml:space="preserve">向汽车罐车发油时，油气收集系统应为正压，且压力不应超过 </w:t>
                  </w:r>
                  <w:r>
                    <w:rPr>
                      <w:rFonts w:hint="default" w:ascii="Times New Roman" w:hAnsi="Times New Roman" w:eastAsia="宋体" w:cs="Times New Roman"/>
                      <w:color w:val="auto"/>
                      <w:kern w:val="0"/>
                      <w:sz w:val="20"/>
                      <w:szCs w:val="20"/>
                      <w:lang w:val="en-US" w:eastAsia="zh-CN" w:bidi="ar"/>
                    </w:rPr>
                    <w:t xml:space="preserve">6.0 kPa </w:t>
                  </w:r>
                </w:p>
                <w:p w14:paraId="786B5E7B">
                  <w:pPr>
                    <w:keepNext w:val="0"/>
                    <w:keepLines w:val="0"/>
                    <w:widowControl/>
                    <w:suppressLineNumbers w:val="0"/>
                    <w:jc w:val="left"/>
                    <w:rPr>
                      <w:color w:val="auto"/>
                    </w:rPr>
                  </w:pPr>
                  <w:r>
                    <w:rPr>
                      <w:rFonts w:hint="default" w:ascii="Times New Roman" w:hAnsi="Times New Roman" w:eastAsia="宋体" w:cs="Times New Roman"/>
                      <w:color w:val="auto"/>
                      <w:kern w:val="0"/>
                      <w:sz w:val="20"/>
                      <w:szCs w:val="20"/>
                      <w:lang w:val="en-US" w:eastAsia="zh-CN" w:bidi="ar"/>
                    </w:rPr>
                    <w:t xml:space="preserve">4.3.1.5 </w:t>
                  </w:r>
                  <w:r>
                    <w:rPr>
                      <w:rFonts w:hint="eastAsia" w:ascii="宋体" w:hAnsi="宋体" w:eastAsia="宋体" w:cs="宋体"/>
                      <w:color w:val="auto"/>
                      <w:kern w:val="0"/>
                      <w:sz w:val="20"/>
                      <w:szCs w:val="20"/>
                      <w:lang w:val="en-US" w:eastAsia="zh-CN" w:bidi="ar"/>
                    </w:rPr>
                    <w:t xml:space="preserve">底部发油结束并断开快速接头时，油品滴洒量不应超过 </w:t>
                  </w:r>
                  <w:r>
                    <w:rPr>
                      <w:rFonts w:hint="default" w:ascii="Times New Roman" w:hAnsi="Times New Roman" w:eastAsia="宋体" w:cs="Times New Roman"/>
                      <w:color w:val="auto"/>
                      <w:kern w:val="0"/>
                      <w:sz w:val="20"/>
                      <w:szCs w:val="20"/>
                      <w:lang w:val="en-US" w:eastAsia="zh-CN" w:bidi="ar"/>
                    </w:rPr>
                    <w:t xml:space="preserve">10 mL </w:t>
                  </w:r>
                  <w:r>
                    <w:rPr>
                      <w:rFonts w:hint="eastAsia" w:ascii="宋体" w:hAnsi="宋体" w:eastAsia="宋体" w:cs="宋体"/>
                      <w:color w:val="auto"/>
                      <w:kern w:val="0"/>
                      <w:sz w:val="20"/>
                      <w:szCs w:val="20"/>
                      <w:lang w:val="en-US" w:eastAsia="zh-CN" w:bidi="ar"/>
                    </w:rPr>
                    <w:t>，滴洒量取连续</w:t>
                  </w:r>
                  <w:r>
                    <w:rPr>
                      <w:rFonts w:hint="default" w:ascii="Times New Roman" w:hAnsi="Times New Roman" w:eastAsia="宋体" w:cs="Times New Roman"/>
                      <w:color w:val="auto"/>
                      <w:kern w:val="0"/>
                      <w:sz w:val="20"/>
                      <w:szCs w:val="20"/>
                      <w:lang w:val="en-US" w:eastAsia="zh-CN" w:bidi="ar"/>
                    </w:rPr>
                    <w:t>3</w:t>
                  </w:r>
                  <w:r>
                    <w:rPr>
                      <w:rFonts w:hint="eastAsia" w:ascii="宋体" w:hAnsi="宋体" w:eastAsia="宋体" w:cs="宋体"/>
                      <w:color w:val="auto"/>
                      <w:kern w:val="0"/>
                      <w:sz w:val="20"/>
                      <w:szCs w:val="20"/>
                      <w:lang w:val="en-US" w:eastAsia="zh-CN" w:bidi="ar"/>
                    </w:rPr>
                    <w:t xml:space="preserve">次断开操作的平均值。 </w:t>
                  </w:r>
                </w:p>
                <w:p w14:paraId="2134CD6B">
                  <w:pPr>
                    <w:keepNext w:val="0"/>
                    <w:keepLines w:val="0"/>
                    <w:widowControl/>
                    <w:suppressLineNumbers w:val="0"/>
                    <w:jc w:val="left"/>
                    <w:rPr>
                      <w:color w:val="auto"/>
                    </w:rPr>
                  </w:pPr>
                  <w:r>
                    <w:rPr>
                      <w:rFonts w:hint="default" w:ascii="Times New Roman" w:hAnsi="Times New Roman" w:eastAsia="宋体" w:cs="Times New Roman"/>
                      <w:color w:val="auto"/>
                      <w:kern w:val="0"/>
                      <w:sz w:val="20"/>
                      <w:szCs w:val="20"/>
                      <w:lang w:val="en-US" w:eastAsia="zh-CN" w:bidi="ar"/>
                    </w:rPr>
                    <w:t xml:space="preserve">4.3.5 </w:t>
                  </w:r>
                  <w:r>
                    <w:rPr>
                      <w:rFonts w:hint="eastAsia" w:ascii="宋体" w:hAnsi="宋体" w:eastAsia="宋体" w:cs="宋体"/>
                      <w:color w:val="auto"/>
                      <w:kern w:val="0"/>
                      <w:sz w:val="20"/>
                      <w:szCs w:val="20"/>
                      <w:lang w:val="en-US" w:eastAsia="zh-CN" w:bidi="ar"/>
                    </w:rPr>
                    <w:t>其他规定</w:t>
                  </w:r>
                </w:p>
                <w:p w14:paraId="563D5274">
                  <w:pPr>
                    <w:keepNext w:val="0"/>
                    <w:keepLines w:val="0"/>
                    <w:widowControl/>
                    <w:suppressLineNumbers w:val="0"/>
                    <w:jc w:val="left"/>
                    <w:rPr>
                      <w:color w:val="auto"/>
                    </w:rPr>
                  </w:pPr>
                  <w:r>
                    <w:rPr>
                      <w:rFonts w:hint="default" w:ascii="Times New Roman" w:hAnsi="Times New Roman" w:eastAsia="宋体" w:cs="Times New Roman"/>
                      <w:color w:val="auto"/>
                      <w:kern w:val="0"/>
                      <w:sz w:val="20"/>
                      <w:szCs w:val="20"/>
                      <w:lang w:val="en-US" w:eastAsia="zh-CN" w:bidi="ar"/>
                    </w:rPr>
                    <w:t xml:space="preserve">4.3.5.1 </w:t>
                  </w:r>
                  <w:r>
                    <w:rPr>
                      <w:rFonts w:hint="eastAsia" w:ascii="宋体" w:hAnsi="宋体" w:eastAsia="宋体" w:cs="宋体"/>
                      <w:color w:val="auto"/>
                      <w:kern w:val="0"/>
                      <w:sz w:val="20"/>
                      <w:szCs w:val="20"/>
                      <w:lang w:val="en-US" w:eastAsia="zh-CN" w:bidi="ar"/>
                    </w:rPr>
                    <w:t xml:space="preserve">油气处理装置排气筒高度不低于 </w:t>
                  </w:r>
                  <w:r>
                    <w:rPr>
                      <w:rFonts w:hint="default" w:ascii="Times New Roman" w:hAnsi="Times New Roman" w:eastAsia="宋体" w:cs="Times New Roman"/>
                      <w:color w:val="auto"/>
                      <w:kern w:val="0"/>
                      <w:sz w:val="20"/>
                      <w:szCs w:val="20"/>
                      <w:lang w:val="en-US" w:eastAsia="zh-CN" w:bidi="ar"/>
                    </w:rPr>
                    <w:t>4 m</w:t>
                  </w:r>
                  <w:r>
                    <w:rPr>
                      <w:rFonts w:hint="eastAsia" w:ascii="宋体" w:hAnsi="宋体" w:eastAsia="宋体" w:cs="宋体"/>
                      <w:color w:val="auto"/>
                      <w:kern w:val="0"/>
                      <w:sz w:val="20"/>
                      <w:szCs w:val="20"/>
                      <w:lang w:val="en-US" w:eastAsia="zh-CN" w:bidi="ar"/>
                    </w:rPr>
                    <w:t xml:space="preserve">，具体高度以及与周围建筑物的距离应根据环境影响评价文件确定。 </w:t>
                  </w:r>
                </w:p>
                <w:p w14:paraId="47EFB0E4">
                  <w:pPr>
                    <w:keepNext w:val="0"/>
                    <w:keepLines w:val="0"/>
                    <w:widowControl/>
                    <w:suppressLineNumbers w:val="0"/>
                    <w:jc w:val="left"/>
                    <w:rPr>
                      <w:color w:val="auto"/>
                    </w:rPr>
                  </w:pPr>
                  <w:r>
                    <w:rPr>
                      <w:rFonts w:hint="default" w:ascii="Times New Roman" w:hAnsi="Times New Roman" w:eastAsia="宋体" w:cs="Times New Roman"/>
                      <w:color w:val="auto"/>
                      <w:kern w:val="0"/>
                      <w:sz w:val="20"/>
                      <w:szCs w:val="20"/>
                      <w:lang w:val="en-US" w:eastAsia="zh-CN" w:bidi="ar"/>
                    </w:rPr>
                    <w:t xml:space="preserve">4.3.5.2 </w:t>
                  </w:r>
                  <w:r>
                    <w:rPr>
                      <w:rFonts w:hint="eastAsia" w:ascii="宋体" w:hAnsi="宋体" w:eastAsia="宋体" w:cs="宋体"/>
                      <w:color w:val="auto"/>
                      <w:kern w:val="0"/>
                      <w:sz w:val="20"/>
                      <w:szCs w:val="20"/>
                      <w:lang w:val="en-US" w:eastAsia="zh-CN" w:bidi="ar"/>
                    </w:rPr>
                    <w:t xml:space="preserve">发油时应采用防溢流系统。 </w:t>
                  </w:r>
                </w:p>
                <w:p w14:paraId="7FE323D9">
                  <w:pPr>
                    <w:keepNext w:val="0"/>
                    <w:keepLines w:val="0"/>
                    <w:widowControl/>
                    <w:suppressLineNumbers w:val="0"/>
                    <w:jc w:val="left"/>
                    <w:rPr>
                      <w:rFonts w:hint="default"/>
                      <w:b w:val="0"/>
                      <w:bCs w:val="0"/>
                      <w:color w:val="auto"/>
                    </w:rPr>
                  </w:pPr>
                  <w:r>
                    <w:rPr>
                      <w:rFonts w:hint="default" w:ascii="Times New Roman" w:hAnsi="Times New Roman" w:eastAsia="宋体" w:cs="Times New Roman"/>
                      <w:color w:val="auto"/>
                      <w:kern w:val="0"/>
                      <w:sz w:val="20"/>
                      <w:szCs w:val="20"/>
                      <w:lang w:val="en-US" w:eastAsia="zh-CN" w:bidi="ar"/>
                    </w:rPr>
                    <w:t xml:space="preserve">4.3.5.3 </w:t>
                  </w:r>
                  <w:r>
                    <w:rPr>
                      <w:rFonts w:hint="eastAsia" w:ascii="宋体" w:hAnsi="宋体" w:eastAsia="宋体" w:cs="宋体"/>
                      <w:color w:val="auto"/>
                      <w:kern w:val="0"/>
                      <w:sz w:val="20"/>
                      <w:szCs w:val="20"/>
                      <w:lang w:val="en-US" w:eastAsia="zh-CN" w:bidi="ar"/>
                    </w:rPr>
                    <w:t>采用红外摄像方式检测油气收集系统密封点时，不应有油气泄漏。</w:t>
                  </w:r>
                </w:p>
              </w:tc>
              <w:tc>
                <w:tcPr>
                  <w:tcW w:w="1566" w:type="pct"/>
                  <w:tcBorders>
                    <w:tl2br w:val="nil"/>
                    <w:tr2bl w:val="nil"/>
                  </w:tcBorders>
                  <w:vAlign w:val="center"/>
                </w:tcPr>
                <w:p w14:paraId="5A2E708C">
                  <w:pPr>
                    <w:keepNext w:val="0"/>
                    <w:keepLines w:val="0"/>
                    <w:pageBreakBefore w:val="0"/>
                    <w:widowControl w:val="0"/>
                    <w:kinsoku/>
                    <w:wordWrap/>
                    <w:overflowPunct/>
                    <w:topLinePunct w:val="0"/>
                    <w:autoSpaceDE/>
                    <w:autoSpaceDN/>
                    <w:bidi w:val="0"/>
                    <w:adjustRightInd/>
                    <w:snapToGrid/>
                    <w:spacing w:beforeAutospacing="0" w:afterAutospacing="0" w:line="280" w:lineRule="exact"/>
                    <w:ind w:firstLine="420" w:firstLineChars="200"/>
                    <w:jc w:val="left"/>
                    <w:textAlignment w:val="auto"/>
                    <w:rPr>
                      <w:rFonts w:hint="default"/>
                      <w:b w:val="0"/>
                      <w:bCs w:val="0"/>
                      <w:color w:val="auto"/>
                    </w:rPr>
                  </w:pPr>
                  <w:r>
                    <w:rPr>
                      <w:rFonts w:hint="default"/>
                      <w:b w:val="0"/>
                      <w:bCs w:val="0"/>
                      <w:color w:val="auto"/>
                      <w:lang w:val="en-US" w:eastAsia="zh-CN"/>
                    </w:rPr>
                    <w:t>本项目发油方式为汽车罐车，发油时产生的油气经密闭收集，并送入油气处理装置回收处理。企业应按照本标准发油控制要求操作。</w:t>
                  </w:r>
                </w:p>
                <w:p w14:paraId="1CF629D0">
                  <w:pPr>
                    <w:keepNext w:val="0"/>
                    <w:keepLines w:val="0"/>
                    <w:pageBreakBefore w:val="0"/>
                    <w:widowControl w:val="0"/>
                    <w:kinsoku/>
                    <w:wordWrap/>
                    <w:overflowPunct/>
                    <w:topLinePunct w:val="0"/>
                    <w:autoSpaceDE/>
                    <w:autoSpaceDN/>
                    <w:bidi w:val="0"/>
                    <w:adjustRightInd/>
                    <w:snapToGrid/>
                    <w:spacing w:beforeAutospacing="0" w:afterAutospacing="0" w:line="280" w:lineRule="exact"/>
                    <w:ind w:firstLine="420" w:firstLineChars="200"/>
                    <w:jc w:val="center"/>
                    <w:textAlignment w:val="auto"/>
                    <w:rPr>
                      <w:rFonts w:hint="default"/>
                      <w:b w:val="0"/>
                      <w:bCs w:val="0"/>
                      <w:color w:val="auto"/>
                    </w:rPr>
                  </w:pPr>
                </w:p>
              </w:tc>
              <w:tc>
                <w:tcPr>
                  <w:tcW w:w="505" w:type="pct"/>
                  <w:tcBorders>
                    <w:tl2br w:val="nil"/>
                    <w:tr2bl w:val="nil"/>
                  </w:tcBorders>
                  <w:vAlign w:val="center"/>
                </w:tcPr>
                <w:p w14:paraId="6F5771B9">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baseline"/>
                    <w:rPr>
                      <w:rFonts w:hint="eastAsia"/>
                      <w:b w:val="0"/>
                      <w:bCs w:val="0"/>
                      <w:color w:val="auto"/>
                      <w:lang w:eastAsia="zh-CN"/>
                    </w:rPr>
                  </w:pPr>
                  <w:r>
                    <w:rPr>
                      <w:rFonts w:hint="eastAsia"/>
                      <w:b w:val="0"/>
                      <w:bCs w:val="0"/>
                      <w:color w:val="auto"/>
                      <w:lang w:eastAsia="zh-CN"/>
                    </w:rPr>
                    <w:t>符合</w:t>
                  </w:r>
                </w:p>
              </w:tc>
            </w:tr>
            <w:tr w14:paraId="5ED3A0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54" w:hRule="atLeast"/>
              </w:trPr>
              <w:tc>
                <w:tcPr>
                  <w:tcW w:w="2928" w:type="pct"/>
                  <w:tcBorders>
                    <w:tl2br w:val="nil"/>
                    <w:tr2bl w:val="nil"/>
                  </w:tcBorders>
                  <w:vAlign w:val="center"/>
                </w:tcPr>
                <w:p w14:paraId="29841178">
                  <w:pPr>
                    <w:keepNext w:val="0"/>
                    <w:keepLines w:val="0"/>
                    <w:widowControl/>
                    <w:suppressLineNumbers w:val="0"/>
                    <w:jc w:val="left"/>
                    <w:rPr>
                      <w:color w:val="auto"/>
                    </w:rPr>
                  </w:pPr>
                  <w:r>
                    <w:rPr>
                      <w:rFonts w:hint="default" w:ascii="Times New Roman" w:hAnsi="Times New Roman" w:eastAsia="宋体" w:cs="Times New Roman"/>
                      <w:color w:val="auto"/>
                      <w:kern w:val="0"/>
                      <w:sz w:val="20"/>
                      <w:szCs w:val="20"/>
                      <w:lang w:val="en-US" w:eastAsia="zh-CN" w:bidi="ar"/>
                    </w:rPr>
                    <w:t xml:space="preserve">4.4 VOCs </w:t>
                  </w:r>
                  <w:r>
                    <w:rPr>
                      <w:rFonts w:hint="eastAsia" w:ascii="宋体" w:hAnsi="宋体" w:eastAsia="宋体" w:cs="宋体"/>
                      <w:color w:val="auto"/>
                      <w:kern w:val="0"/>
                      <w:sz w:val="20"/>
                      <w:szCs w:val="20"/>
                      <w:lang w:val="en-US" w:eastAsia="zh-CN" w:bidi="ar"/>
                    </w:rPr>
                    <w:t xml:space="preserve">泄漏控制要求 </w:t>
                  </w:r>
                </w:p>
                <w:p w14:paraId="4AD77191">
                  <w:pPr>
                    <w:keepNext w:val="0"/>
                    <w:keepLines w:val="0"/>
                    <w:widowControl/>
                    <w:suppressLineNumbers w:val="0"/>
                    <w:jc w:val="left"/>
                    <w:rPr>
                      <w:rFonts w:hint="default"/>
                      <w:b w:val="0"/>
                      <w:bCs w:val="0"/>
                      <w:color w:val="auto"/>
                    </w:rPr>
                  </w:pPr>
                  <w:r>
                    <w:rPr>
                      <w:rFonts w:hint="eastAsia" w:ascii="宋体" w:hAnsi="宋体" w:eastAsia="宋体" w:cs="宋体"/>
                      <w:color w:val="auto"/>
                      <w:kern w:val="0"/>
                      <w:sz w:val="20"/>
                      <w:szCs w:val="20"/>
                      <w:lang w:val="en-US" w:eastAsia="zh-CN" w:bidi="ar"/>
                    </w:rPr>
                    <w:t xml:space="preserve">企业中载有油品的设备与管线组件及油气收集系统，应按 </w:t>
                  </w:r>
                  <w:r>
                    <w:rPr>
                      <w:rFonts w:hint="default" w:ascii="Times New Roman" w:hAnsi="Times New Roman" w:eastAsia="宋体" w:cs="Times New Roman"/>
                      <w:color w:val="auto"/>
                      <w:kern w:val="0"/>
                      <w:sz w:val="20"/>
                      <w:szCs w:val="20"/>
                      <w:lang w:val="en-US" w:eastAsia="zh-CN" w:bidi="ar"/>
                    </w:rPr>
                    <w:t xml:space="preserve">GB 37822 </w:t>
                  </w:r>
                  <w:r>
                    <w:rPr>
                      <w:rFonts w:hint="eastAsia" w:ascii="宋体" w:hAnsi="宋体" w:eastAsia="宋体" w:cs="宋体"/>
                      <w:color w:val="auto"/>
                      <w:kern w:val="0"/>
                      <w:sz w:val="20"/>
                      <w:szCs w:val="20"/>
                      <w:lang w:val="en-US" w:eastAsia="zh-CN" w:bidi="ar"/>
                    </w:rPr>
                    <w:t>开展泄漏检测与修复工作。</w:t>
                  </w:r>
                </w:p>
              </w:tc>
              <w:tc>
                <w:tcPr>
                  <w:tcW w:w="1566" w:type="pct"/>
                  <w:tcBorders>
                    <w:tl2br w:val="nil"/>
                    <w:tr2bl w:val="nil"/>
                  </w:tcBorders>
                  <w:vAlign w:val="center"/>
                </w:tcPr>
                <w:p w14:paraId="3B23EA37">
                  <w:pPr>
                    <w:keepNext w:val="0"/>
                    <w:keepLines w:val="0"/>
                    <w:pageBreakBefore w:val="0"/>
                    <w:widowControl w:val="0"/>
                    <w:kinsoku/>
                    <w:wordWrap/>
                    <w:overflowPunct/>
                    <w:topLinePunct w:val="0"/>
                    <w:autoSpaceDE/>
                    <w:autoSpaceDN/>
                    <w:bidi w:val="0"/>
                    <w:adjustRightInd/>
                    <w:snapToGrid/>
                    <w:spacing w:beforeAutospacing="0" w:afterAutospacing="0" w:line="280" w:lineRule="exact"/>
                    <w:ind w:firstLine="420" w:firstLineChars="200"/>
                    <w:jc w:val="left"/>
                    <w:textAlignment w:val="auto"/>
                    <w:rPr>
                      <w:rFonts w:hint="default"/>
                      <w:b w:val="0"/>
                      <w:bCs w:val="0"/>
                      <w:color w:val="auto"/>
                    </w:rPr>
                  </w:pPr>
                  <w:r>
                    <w:rPr>
                      <w:rFonts w:hint="default"/>
                      <w:b w:val="0"/>
                      <w:bCs w:val="0"/>
                      <w:color w:val="auto"/>
                      <w:lang w:val="en-US" w:eastAsia="zh-CN"/>
                    </w:rPr>
                    <w:t>企业中载有油品的设备与管线组件及油气收集系统，应按GB37822 开展泄漏检测与修复工作。</w:t>
                  </w:r>
                </w:p>
              </w:tc>
              <w:tc>
                <w:tcPr>
                  <w:tcW w:w="505" w:type="pct"/>
                  <w:tcBorders>
                    <w:tl2br w:val="nil"/>
                    <w:tr2bl w:val="nil"/>
                  </w:tcBorders>
                  <w:vAlign w:val="center"/>
                </w:tcPr>
                <w:p w14:paraId="21268A1E">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baseline"/>
                    <w:rPr>
                      <w:rFonts w:hint="eastAsia"/>
                      <w:b w:val="0"/>
                      <w:bCs w:val="0"/>
                      <w:color w:val="auto"/>
                      <w:lang w:eastAsia="zh-CN"/>
                    </w:rPr>
                  </w:pPr>
                  <w:r>
                    <w:rPr>
                      <w:rFonts w:hint="eastAsia"/>
                      <w:b w:val="0"/>
                      <w:bCs w:val="0"/>
                      <w:color w:val="auto"/>
                      <w:lang w:eastAsia="zh-CN"/>
                    </w:rPr>
                    <w:t>符合</w:t>
                  </w:r>
                </w:p>
              </w:tc>
            </w:tr>
          </w:tbl>
          <w:p w14:paraId="0F42D1B5">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jc w:val="both"/>
              <w:textAlignment w:val="auto"/>
              <w:rPr>
                <w:rFonts w:hint="eastAsia"/>
                <w:b w:val="0"/>
                <w:bCs w:val="0"/>
                <w:color w:val="auto"/>
                <w:sz w:val="24"/>
                <w:szCs w:val="24"/>
                <w:lang w:val="en-US" w:eastAsia="zh-CN"/>
              </w:rPr>
            </w:pPr>
            <w:r>
              <w:rPr>
                <w:rFonts w:hint="eastAsia"/>
                <w:b w:val="0"/>
                <w:bCs w:val="0"/>
                <w:color w:val="auto"/>
                <w:sz w:val="24"/>
                <w:szCs w:val="24"/>
                <w:lang w:val="en-US" w:eastAsia="zh-CN"/>
              </w:rPr>
              <w:t>因此，本项目符合《储油库大气污染物排放标准》（GB 20950-2020）要求。</w:t>
            </w:r>
          </w:p>
          <w:p w14:paraId="67E333B2">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b/>
                <w:bCs/>
                <w:color w:val="auto"/>
                <w:sz w:val="24"/>
                <w:szCs w:val="24"/>
              </w:rPr>
            </w:pPr>
            <w:r>
              <w:rPr>
                <w:rFonts w:hint="eastAsia"/>
                <w:b/>
                <w:bCs/>
                <w:color w:val="auto"/>
                <w:sz w:val="24"/>
                <w:szCs w:val="24"/>
                <w:lang w:val="en-US" w:eastAsia="zh-CN"/>
              </w:rPr>
              <w:t>6</w:t>
            </w:r>
            <w:r>
              <w:rPr>
                <w:rFonts w:hint="eastAsia"/>
                <w:b/>
                <w:bCs/>
                <w:color w:val="auto"/>
                <w:sz w:val="24"/>
                <w:szCs w:val="24"/>
              </w:rPr>
              <w:t>、</w:t>
            </w:r>
            <w:r>
              <w:rPr>
                <w:rFonts w:hint="eastAsia"/>
                <w:b/>
                <w:bCs/>
                <w:color w:val="auto"/>
                <w:sz w:val="24"/>
                <w:szCs w:val="24"/>
                <w:lang w:val="en-US" w:eastAsia="zh-CN"/>
              </w:rPr>
              <w:t>与《挥发性有机物无组织排放控制标准》（GB 37822-2019）的符合性分析</w:t>
            </w:r>
          </w:p>
          <w:p w14:paraId="6CBABF95">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b/>
                <w:bCs/>
                <w:color w:val="auto"/>
                <w:sz w:val="24"/>
                <w:szCs w:val="24"/>
              </w:rPr>
            </w:pPr>
            <w:r>
              <w:rPr>
                <w:rFonts w:hint="eastAsia"/>
                <w:b/>
                <w:bCs/>
                <w:color w:val="auto"/>
                <w:sz w:val="24"/>
                <w:szCs w:val="24"/>
                <w:lang w:val="en-US" w:eastAsia="zh-CN"/>
              </w:rPr>
              <w:t>表1-8  与《挥发性有机物无组织排放控制标准》（GB 37822-2019）的符合性分析</w:t>
            </w:r>
          </w:p>
          <w:tbl>
            <w:tblPr>
              <w:tblStyle w:val="32"/>
              <w:tblW w:w="4995"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271"/>
              <w:gridCol w:w="2184"/>
              <w:gridCol w:w="799"/>
            </w:tblGrid>
            <w:tr w14:paraId="371ED4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944" w:type="pct"/>
                  <w:tcBorders>
                    <w:tl2br w:val="nil"/>
                    <w:tr2bl w:val="nil"/>
                  </w:tcBorders>
                  <w:vAlign w:val="center"/>
                </w:tcPr>
                <w:p w14:paraId="4C29AC9A">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rPr>
                      <w:rFonts w:hint="default" w:ascii="Times New Roman" w:hAnsi="Times New Roman" w:cs="Times New Roman"/>
                      <w:color w:val="auto"/>
                      <w:sz w:val="21"/>
                      <w:szCs w:val="21"/>
                      <w:lang w:val="en" w:eastAsia="zh-CN"/>
                    </w:rPr>
                  </w:pPr>
                  <w:r>
                    <w:rPr>
                      <w:rFonts w:hint="default"/>
                      <w:b/>
                      <w:bCs/>
                      <w:color w:val="auto"/>
                    </w:rPr>
                    <w:t>要求</w:t>
                  </w:r>
                </w:p>
              </w:tc>
              <w:tc>
                <w:tcPr>
                  <w:tcW w:w="1505" w:type="pct"/>
                  <w:tcBorders>
                    <w:tl2br w:val="nil"/>
                    <w:tr2bl w:val="nil"/>
                  </w:tcBorders>
                  <w:vAlign w:val="center"/>
                </w:tcPr>
                <w:p w14:paraId="5AA70C31">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rPr>
                      <w:rFonts w:hint="eastAsia"/>
                      <w:color w:val="auto"/>
                      <w:lang w:val="en-US" w:eastAsia="zh-CN"/>
                    </w:rPr>
                  </w:pPr>
                  <w:r>
                    <w:rPr>
                      <w:rFonts w:hint="default"/>
                      <w:b/>
                      <w:bCs/>
                      <w:color w:val="auto"/>
                    </w:rPr>
                    <w:t>本项目情况</w:t>
                  </w:r>
                </w:p>
              </w:tc>
              <w:tc>
                <w:tcPr>
                  <w:tcW w:w="550" w:type="pct"/>
                  <w:tcBorders>
                    <w:tl2br w:val="nil"/>
                    <w:tr2bl w:val="nil"/>
                  </w:tcBorders>
                  <w:vAlign w:val="center"/>
                </w:tcPr>
                <w:p w14:paraId="540417AB">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baseline"/>
                    <w:rPr>
                      <w:rFonts w:hint="eastAsia"/>
                      <w:color w:val="auto"/>
                      <w:lang w:val="en-US" w:eastAsia="zh-CN"/>
                    </w:rPr>
                  </w:pPr>
                  <w:r>
                    <w:rPr>
                      <w:rFonts w:hint="default"/>
                      <w:b/>
                      <w:bCs/>
                      <w:color w:val="auto"/>
                    </w:rPr>
                    <w:t>符合性</w:t>
                  </w:r>
                </w:p>
              </w:tc>
            </w:tr>
            <w:tr w14:paraId="190153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944" w:type="pct"/>
                  <w:tcBorders>
                    <w:tl2br w:val="nil"/>
                    <w:tr2bl w:val="nil"/>
                  </w:tcBorders>
                  <w:vAlign w:val="center"/>
                </w:tcPr>
                <w:p w14:paraId="34EA0EEE">
                  <w:pPr>
                    <w:keepNext w:val="0"/>
                    <w:keepLines w:val="0"/>
                    <w:pageBreakBefore w:val="0"/>
                    <w:widowControl w:val="0"/>
                    <w:kinsoku/>
                    <w:wordWrap/>
                    <w:overflowPunct/>
                    <w:topLinePunct w:val="0"/>
                    <w:autoSpaceDE/>
                    <w:autoSpaceDN/>
                    <w:bidi w:val="0"/>
                    <w:adjustRightInd/>
                    <w:snapToGrid/>
                    <w:spacing w:beforeAutospacing="0" w:afterAutospacing="0" w:line="280" w:lineRule="exact"/>
                    <w:ind w:firstLine="420" w:firstLineChars="200"/>
                    <w:jc w:val="left"/>
                    <w:textAlignment w:val="auto"/>
                    <w:rPr>
                      <w:rFonts w:hint="default"/>
                      <w:b w:val="0"/>
                      <w:bCs w:val="0"/>
                      <w:color w:val="auto"/>
                    </w:rPr>
                  </w:pPr>
                  <w:r>
                    <w:rPr>
                      <w:rFonts w:hint="default"/>
                      <w:b w:val="0"/>
                      <w:bCs w:val="0"/>
                      <w:color w:val="auto"/>
                      <w:lang w:val="en-US" w:eastAsia="zh-CN"/>
                    </w:rPr>
                    <w:t xml:space="preserve">5.2 挥发性有机液体储罐 </w:t>
                  </w:r>
                </w:p>
                <w:p w14:paraId="6F4D0503">
                  <w:pPr>
                    <w:keepNext w:val="0"/>
                    <w:keepLines w:val="0"/>
                    <w:pageBreakBefore w:val="0"/>
                    <w:widowControl w:val="0"/>
                    <w:kinsoku/>
                    <w:wordWrap/>
                    <w:overflowPunct/>
                    <w:topLinePunct w:val="0"/>
                    <w:autoSpaceDE/>
                    <w:autoSpaceDN/>
                    <w:bidi w:val="0"/>
                    <w:adjustRightInd/>
                    <w:snapToGrid/>
                    <w:spacing w:beforeAutospacing="0" w:afterAutospacing="0" w:line="280" w:lineRule="exact"/>
                    <w:ind w:firstLine="420" w:firstLineChars="200"/>
                    <w:jc w:val="left"/>
                    <w:textAlignment w:val="auto"/>
                    <w:rPr>
                      <w:rFonts w:hint="default"/>
                      <w:b w:val="0"/>
                      <w:bCs w:val="0"/>
                      <w:color w:val="auto"/>
                    </w:rPr>
                  </w:pPr>
                  <w:r>
                    <w:rPr>
                      <w:rFonts w:hint="default"/>
                      <w:b w:val="0"/>
                      <w:bCs w:val="0"/>
                      <w:color w:val="auto"/>
                      <w:lang w:val="en-US" w:eastAsia="zh-CN"/>
                    </w:rPr>
                    <w:t xml:space="preserve">5.2.1 储罐控制要求 </w:t>
                  </w:r>
                </w:p>
                <w:p w14:paraId="71A3A7A7">
                  <w:pPr>
                    <w:keepNext w:val="0"/>
                    <w:keepLines w:val="0"/>
                    <w:pageBreakBefore w:val="0"/>
                    <w:widowControl w:val="0"/>
                    <w:kinsoku/>
                    <w:wordWrap/>
                    <w:overflowPunct/>
                    <w:topLinePunct w:val="0"/>
                    <w:autoSpaceDE/>
                    <w:autoSpaceDN/>
                    <w:bidi w:val="0"/>
                    <w:adjustRightInd/>
                    <w:snapToGrid/>
                    <w:spacing w:beforeAutospacing="0" w:afterAutospacing="0" w:line="280" w:lineRule="exact"/>
                    <w:ind w:firstLine="420" w:firstLineChars="200"/>
                    <w:jc w:val="left"/>
                    <w:textAlignment w:val="auto"/>
                    <w:rPr>
                      <w:rFonts w:hint="default"/>
                      <w:b w:val="0"/>
                      <w:bCs w:val="0"/>
                      <w:color w:val="auto"/>
                    </w:rPr>
                  </w:pPr>
                  <w:r>
                    <w:rPr>
                      <w:rFonts w:hint="default"/>
                      <w:b w:val="0"/>
                      <w:bCs w:val="0"/>
                      <w:color w:val="auto"/>
                      <w:lang w:val="en-US" w:eastAsia="zh-CN"/>
                    </w:rPr>
                    <w:t>5.2.1.1 储存真实蒸气压≥76.6 kPa 且储罐容积≥75 m</w:t>
                  </w:r>
                  <w:r>
                    <w:rPr>
                      <w:rFonts w:hint="default"/>
                      <w:b w:val="0"/>
                      <w:bCs w:val="0"/>
                      <w:color w:val="auto"/>
                      <w:vertAlign w:val="superscript"/>
                      <w:lang w:val="en-US" w:eastAsia="zh-CN"/>
                    </w:rPr>
                    <w:t>3</w:t>
                  </w:r>
                  <w:r>
                    <w:rPr>
                      <w:rFonts w:hint="default"/>
                      <w:b w:val="0"/>
                      <w:bCs w:val="0"/>
                      <w:color w:val="auto"/>
                      <w:lang w:val="en-US" w:eastAsia="zh-CN"/>
                    </w:rPr>
                    <w:t xml:space="preserve">的挥发性有机液体储罐，应采用低压罐、压力罐或其他等效措施。 </w:t>
                  </w:r>
                </w:p>
                <w:p w14:paraId="76BA00F5">
                  <w:pPr>
                    <w:keepNext w:val="0"/>
                    <w:keepLines w:val="0"/>
                    <w:pageBreakBefore w:val="0"/>
                    <w:widowControl w:val="0"/>
                    <w:kinsoku/>
                    <w:wordWrap/>
                    <w:overflowPunct/>
                    <w:topLinePunct w:val="0"/>
                    <w:autoSpaceDE/>
                    <w:autoSpaceDN/>
                    <w:bidi w:val="0"/>
                    <w:adjustRightInd/>
                    <w:snapToGrid/>
                    <w:spacing w:beforeAutospacing="0" w:afterAutospacing="0" w:line="280" w:lineRule="exact"/>
                    <w:ind w:firstLine="420" w:firstLineChars="200"/>
                    <w:jc w:val="left"/>
                    <w:textAlignment w:val="auto"/>
                    <w:rPr>
                      <w:rFonts w:hint="default"/>
                      <w:b w:val="0"/>
                      <w:bCs w:val="0"/>
                      <w:color w:val="auto"/>
                    </w:rPr>
                  </w:pPr>
                  <w:r>
                    <w:rPr>
                      <w:rFonts w:hint="default"/>
                      <w:b w:val="0"/>
                      <w:bCs w:val="0"/>
                      <w:color w:val="auto"/>
                      <w:lang w:val="en-US" w:eastAsia="zh-CN"/>
                    </w:rPr>
                    <w:t>5.2.1.2 储存真实蒸气压≥27.6 kPa 但＜76.6 kPa 且储罐容积≥75 m</w:t>
                  </w:r>
                  <w:r>
                    <w:rPr>
                      <w:rFonts w:hint="default"/>
                      <w:b w:val="0"/>
                      <w:bCs w:val="0"/>
                      <w:color w:val="auto"/>
                      <w:vertAlign w:val="superscript"/>
                      <w:lang w:val="en-US" w:eastAsia="zh-CN"/>
                    </w:rPr>
                    <w:t>3</w:t>
                  </w:r>
                  <w:r>
                    <w:rPr>
                      <w:rFonts w:hint="default"/>
                      <w:b w:val="0"/>
                      <w:bCs w:val="0"/>
                      <w:color w:val="auto"/>
                      <w:lang w:val="en-US" w:eastAsia="zh-CN"/>
                    </w:rPr>
                    <w:t>的挥发性有机液体储罐，应符合下列规定之一：a）采用浮顶罐。对于内浮顶罐，浮顶与罐壁之间应采用浸液式密封、机械式鞋形密封等高效密封方式；对于外浮顶罐，浮顶与罐壁之间应采用双重密封，且一次密封应采用浸液式密封、机械式鞋形密封等高效密封方式。b）采用固定顶罐，排放的废（应收集处理并满足相关行业排放标准的要求（无行业排放标准的应满足GB 16297的要求），或者处理效率不低于80%。c）采用气相平衡系统。d）采取其他等效措施。</w:t>
                  </w:r>
                </w:p>
              </w:tc>
              <w:tc>
                <w:tcPr>
                  <w:tcW w:w="1505" w:type="pct"/>
                  <w:vMerge w:val="restart"/>
                  <w:tcBorders>
                    <w:tl2br w:val="nil"/>
                    <w:tr2bl w:val="nil"/>
                  </w:tcBorders>
                  <w:vAlign w:val="center"/>
                </w:tcPr>
                <w:p w14:paraId="2FED6891">
                  <w:pPr>
                    <w:keepNext w:val="0"/>
                    <w:keepLines w:val="0"/>
                    <w:pageBreakBefore w:val="0"/>
                    <w:widowControl w:val="0"/>
                    <w:kinsoku/>
                    <w:wordWrap/>
                    <w:overflowPunct/>
                    <w:topLinePunct w:val="0"/>
                    <w:autoSpaceDE/>
                    <w:autoSpaceDN/>
                    <w:bidi w:val="0"/>
                    <w:adjustRightInd/>
                    <w:snapToGrid/>
                    <w:spacing w:beforeAutospacing="0" w:afterAutospacing="0" w:line="280" w:lineRule="exact"/>
                    <w:ind w:firstLine="420" w:firstLineChars="200"/>
                    <w:jc w:val="left"/>
                    <w:textAlignment w:val="auto"/>
                    <w:rPr>
                      <w:rFonts w:hint="default"/>
                      <w:b w:val="0"/>
                      <w:bCs w:val="0"/>
                      <w:color w:val="auto"/>
                    </w:rPr>
                  </w:pPr>
                  <w:r>
                    <w:rPr>
                      <w:rFonts w:hint="default"/>
                      <w:b w:val="0"/>
                      <w:bCs w:val="0"/>
                      <w:color w:val="auto"/>
                      <w:lang w:val="en-US" w:eastAsia="zh-CN"/>
                    </w:rPr>
                    <w:t>本项目储油罐采用内浮顶罐，密封方式为囊式密封，密封效果良好。浮顶罐罐体保持完好，无有孔洞（通气孔除外）和裂隙。浮盘及附件满足相关 控制要求，满足储罐控制要求。</w:t>
                  </w:r>
                </w:p>
                <w:p w14:paraId="5B00DE2A">
                  <w:pPr>
                    <w:keepNext w:val="0"/>
                    <w:keepLines w:val="0"/>
                    <w:pageBreakBefore w:val="0"/>
                    <w:widowControl w:val="0"/>
                    <w:kinsoku/>
                    <w:wordWrap/>
                    <w:overflowPunct/>
                    <w:topLinePunct w:val="0"/>
                    <w:autoSpaceDE/>
                    <w:autoSpaceDN/>
                    <w:bidi w:val="0"/>
                    <w:adjustRightInd/>
                    <w:snapToGrid/>
                    <w:spacing w:beforeAutospacing="0" w:afterAutospacing="0" w:line="280" w:lineRule="exact"/>
                    <w:ind w:firstLine="420" w:firstLineChars="200"/>
                    <w:jc w:val="center"/>
                    <w:textAlignment w:val="auto"/>
                    <w:rPr>
                      <w:rFonts w:hint="default"/>
                      <w:b w:val="0"/>
                      <w:bCs w:val="0"/>
                      <w:color w:val="auto"/>
                    </w:rPr>
                  </w:pPr>
                </w:p>
              </w:tc>
              <w:tc>
                <w:tcPr>
                  <w:tcW w:w="550" w:type="pct"/>
                  <w:tcBorders>
                    <w:tl2br w:val="nil"/>
                    <w:tr2bl w:val="nil"/>
                  </w:tcBorders>
                  <w:vAlign w:val="center"/>
                </w:tcPr>
                <w:p w14:paraId="57DDFDBA">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baseline"/>
                    <w:rPr>
                      <w:rFonts w:hint="eastAsia" w:eastAsia="宋体"/>
                      <w:b w:val="0"/>
                      <w:bCs w:val="0"/>
                      <w:color w:val="auto"/>
                      <w:lang w:eastAsia="zh-CN"/>
                    </w:rPr>
                  </w:pPr>
                  <w:r>
                    <w:rPr>
                      <w:rFonts w:hint="eastAsia"/>
                      <w:b w:val="0"/>
                      <w:bCs w:val="0"/>
                      <w:color w:val="auto"/>
                      <w:lang w:eastAsia="zh-CN"/>
                    </w:rPr>
                    <w:t>符合</w:t>
                  </w:r>
                </w:p>
              </w:tc>
            </w:tr>
            <w:tr w14:paraId="3AF2DC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944" w:type="pct"/>
                  <w:tcBorders>
                    <w:tl2br w:val="nil"/>
                    <w:tr2bl w:val="nil"/>
                  </w:tcBorders>
                  <w:vAlign w:val="center"/>
                </w:tcPr>
                <w:p w14:paraId="09A73F14">
                  <w:pPr>
                    <w:keepNext w:val="0"/>
                    <w:keepLines w:val="0"/>
                    <w:widowControl/>
                    <w:suppressLineNumbers w:val="0"/>
                    <w:jc w:val="left"/>
                    <w:rPr>
                      <w:rFonts w:hint="default"/>
                      <w:b w:val="0"/>
                      <w:bCs w:val="0"/>
                      <w:color w:val="auto"/>
                    </w:rPr>
                  </w:pPr>
                  <w:r>
                    <w:rPr>
                      <w:rFonts w:hint="default"/>
                      <w:b w:val="0"/>
                      <w:bCs w:val="0"/>
                      <w:color w:val="auto"/>
                      <w:lang w:val="en-US" w:eastAsia="zh-CN"/>
                    </w:rPr>
                    <w:t xml:space="preserve">5.2.2 储罐特别控制要求 </w:t>
                  </w:r>
                </w:p>
                <w:p w14:paraId="286B523E">
                  <w:pPr>
                    <w:keepNext w:val="0"/>
                    <w:keepLines w:val="0"/>
                    <w:widowControl/>
                    <w:suppressLineNumbers w:val="0"/>
                    <w:jc w:val="left"/>
                    <w:rPr>
                      <w:rFonts w:hint="default"/>
                      <w:b w:val="0"/>
                      <w:bCs w:val="0"/>
                      <w:color w:val="auto"/>
                    </w:rPr>
                  </w:pPr>
                  <w:r>
                    <w:rPr>
                      <w:rFonts w:hint="default"/>
                      <w:b w:val="0"/>
                      <w:bCs w:val="0"/>
                      <w:color w:val="auto"/>
                      <w:lang w:val="en-US" w:eastAsia="zh-CN"/>
                    </w:rPr>
                    <w:t xml:space="preserve">5.2.2.1 储存真实蒸气压≥76.6 kPa 的挥发性有机液体储罐，应采用低压罐、压力罐或其他等效措施。 </w:t>
                  </w:r>
                </w:p>
                <w:p w14:paraId="7DF14329">
                  <w:pPr>
                    <w:keepNext w:val="0"/>
                    <w:keepLines w:val="0"/>
                    <w:widowControl/>
                    <w:suppressLineNumbers w:val="0"/>
                    <w:jc w:val="left"/>
                    <w:rPr>
                      <w:rFonts w:hint="default"/>
                      <w:b w:val="0"/>
                      <w:bCs w:val="0"/>
                      <w:color w:val="auto"/>
                    </w:rPr>
                  </w:pPr>
                  <w:r>
                    <w:rPr>
                      <w:rFonts w:hint="default"/>
                      <w:b w:val="0"/>
                      <w:bCs w:val="0"/>
                      <w:color w:val="auto"/>
                      <w:lang w:val="en-US" w:eastAsia="zh-CN"/>
                    </w:rPr>
                    <w:t xml:space="preserve">5.2.2.2 储存真实蒸气压≥27.6 kPa 但＜76.6 </w:t>
                  </w:r>
                </w:p>
                <w:p w14:paraId="0147F618">
                  <w:pPr>
                    <w:keepNext w:val="0"/>
                    <w:keepLines w:val="0"/>
                    <w:widowControl/>
                    <w:suppressLineNumbers w:val="0"/>
                    <w:jc w:val="left"/>
                    <w:rPr>
                      <w:rFonts w:hint="default"/>
                      <w:b w:val="0"/>
                      <w:bCs w:val="0"/>
                      <w:color w:val="auto"/>
                    </w:rPr>
                  </w:pPr>
                  <w:r>
                    <w:rPr>
                      <w:rFonts w:hint="default"/>
                      <w:b w:val="0"/>
                      <w:bCs w:val="0"/>
                      <w:color w:val="auto"/>
                      <w:lang w:val="en-US" w:eastAsia="zh-CN"/>
                    </w:rPr>
                    <w:t>kPa 且储罐容积≥75m</w:t>
                  </w:r>
                  <w:r>
                    <w:rPr>
                      <w:rFonts w:hint="eastAsia"/>
                      <w:b w:val="0"/>
                      <w:bCs w:val="0"/>
                      <w:color w:val="auto"/>
                      <w:vertAlign w:val="superscript"/>
                      <w:lang w:val="en-US" w:eastAsia="zh-CN"/>
                    </w:rPr>
                    <w:t>3</w:t>
                  </w:r>
                  <w:r>
                    <w:rPr>
                      <w:rFonts w:hint="default"/>
                      <w:b w:val="0"/>
                      <w:bCs w:val="0"/>
                      <w:color w:val="auto"/>
                      <w:lang w:val="en-US" w:eastAsia="zh-CN"/>
                    </w:rPr>
                    <w:t xml:space="preserve"> 的挥发性有机液体储</w:t>
                  </w:r>
                </w:p>
                <w:p w14:paraId="1FA2B34B">
                  <w:pPr>
                    <w:keepNext w:val="0"/>
                    <w:keepLines w:val="0"/>
                    <w:widowControl/>
                    <w:suppressLineNumbers w:val="0"/>
                    <w:jc w:val="left"/>
                    <w:rPr>
                      <w:rFonts w:hint="default"/>
                      <w:b w:val="0"/>
                      <w:bCs w:val="0"/>
                      <w:color w:val="auto"/>
                    </w:rPr>
                  </w:pPr>
                  <w:r>
                    <w:rPr>
                      <w:rFonts w:hint="default"/>
                      <w:b w:val="0"/>
                      <w:bCs w:val="0"/>
                      <w:color w:val="auto"/>
                      <w:lang w:val="en-US" w:eastAsia="zh-CN"/>
                    </w:rPr>
                    <w:t xml:space="preserve">罐，以及储存真实蒸气压≥5.2 kPa 但＜27.6 </w:t>
                  </w:r>
                </w:p>
                <w:p w14:paraId="03D8FEDA">
                  <w:pPr>
                    <w:keepNext w:val="0"/>
                    <w:keepLines w:val="0"/>
                    <w:widowControl/>
                    <w:suppressLineNumbers w:val="0"/>
                    <w:jc w:val="left"/>
                    <w:rPr>
                      <w:rFonts w:hint="default"/>
                      <w:b w:val="0"/>
                      <w:bCs w:val="0"/>
                      <w:color w:val="auto"/>
                    </w:rPr>
                  </w:pPr>
                  <w:r>
                    <w:rPr>
                      <w:rFonts w:hint="default"/>
                      <w:b w:val="0"/>
                      <w:bCs w:val="0"/>
                      <w:color w:val="auto"/>
                      <w:lang w:val="en-US" w:eastAsia="zh-CN"/>
                    </w:rPr>
                    <w:t>kPa 且储罐容积≥150 m</w:t>
                  </w:r>
                  <w:r>
                    <w:rPr>
                      <w:rFonts w:hint="eastAsia"/>
                      <w:b w:val="0"/>
                      <w:bCs w:val="0"/>
                      <w:color w:val="auto"/>
                      <w:vertAlign w:val="superscript"/>
                      <w:lang w:val="en-US" w:eastAsia="zh-CN"/>
                    </w:rPr>
                    <w:t>3</w:t>
                  </w:r>
                  <w:r>
                    <w:rPr>
                      <w:rFonts w:hint="default"/>
                      <w:b w:val="0"/>
                      <w:bCs w:val="0"/>
                      <w:color w:val="auto"/>
                      <w:lang w:val="en-US" w:eastAsia="zh-CN"/>
                    </w:rPr>
                    <w:t xml:space="preserve">的挥发性有机液体储罐，应符合下列规定之一： </w:t>
                  </w:r>
                </w:p>
                <w:p w14:paraId="5A127C41">
                  <w:pPr>
                    <w:keepNext w:val="0"/>
                    <w:keepLines w:val="0"/>
                    <w:widowControl/>
                    <w:suppressLineNumbers w:val="0"/>
                    <w:jc w:val="left"/>
                    <w:rPr>
                      <w:rFonts w:hint="default"/>
                      <w:b w:val="0"/>
                      <w:bCs w:val="0"/>
                      <w:color w:val="auto"/>
                    </w:rPr>
                  </w:pPr>
                  <w:r>
                    <w:rPr>
                      <w:rFonts w:hint="default"/>
                      <w:b w:val="0"/>
                      <w:bCs w:val="0"/>
                      <w:color w:val="auto"/>
                      <w:lang w:val="en-US" w:eastAsia="zh-CN"/>
                    </w:rPr>
                    <w:t xml:space="preserve">a ）采用浮顶罐。对于内浮顶罐，浮顶与罐 </w:t>
                  </w:r>
                </w:p>
                <w:p w14:paraId="67EC1E5E">
                  <w:pPr>
                    <w:keepNext w:val="0"/>
                    <w:keepLines w:val="0"/>
                    <w:widowControl/>
                    <w:suppressLineNumbers w:val="0"/>
                    <w:jc w:val="left"/>
                    <w:rPr>
                      <w:rFonts w:hint="default"/>
                      <w:b w:val="0"/>
                      <w:bCs w:val="0"/>
                      <w:color w:val="auto"/>
                    </w:rPr>
                  </w:pPr>
                  <w:r>
                    <w:rPr>
                      <w:rFonts w:hint="default"/>
                      <w:b w:val="0"/>
                      <w:bCs w:val="0"/>
                      <w:color w:val="auto"/>
                      <w:lang w:val="en-US" w:eastAsia="zh-CN"/>
                    </w:rPr>
                    <w:t xml:space="preserve">壁之间应采用浸液式密封、机械式鞋形密封等高效密封方式；对于外浮顶罐，浮顶与罐壁之间应采用双重密封，且一次密封应采用浸液式密封、机械式鞋形密封等高效密封方式。 </w:t>
                  </w:r>
                </w:p>
                <w:p w14:paraId="0BAD94D0">
                  <w:pPr>
                    <w:keepNext w:val="0"/>
                    <w:keepLines w:val="0"/>
                    <w:widowControl/>
                    <w:suppressLineNumbers w:val="0"/>
                    <w:jc w:val="left"/>
                    <w:rPr>
                      <w:rFonts w:hint="default"/>
                      <w:b w:val="0"/>
                      <w:bCs w:val="0"/>
                      <w:color w:val="auto"/>
                    </w:rPr>
                  </w:pPr>
                  <w:r>
                    <w:rPr>
                      <w:rFonts w:hint="default"/>
                      <w:b w:val="0"/>
                      <w:bCs w:val="0"/>
                      <w:color w:val="auto"/>
                      <w:lang w:val="en-US" w:eastAsia="zh-CN"/>
                    </w:rPr>
                    <w:t xml:space="preserve">b ）采用固定顶罐，排放的废气应收集处理 </w:t>
                  </w:r>
                </w:p>
                <w:p w14:paraId="0606D527">
                  <w:pPr>
                    <w:keepNext w:val="0"/>
                    <w:keepLines w:val="0"/>
                    <w:widowControl/>
                    <w:suppressLineNumbers w:val="0"/>
                    <w:jc w:val="left"/>
                    <w:rPr>
                      <w:rFonts w:hint="default"/>
                      <w:b w:val="0"/>
                      <w:bCs w:val="0"/>
                      <w:color w:val="auto"/>
                    </w:rPr>
                  </w:pPr>
                  <w:r>
                    <w:rPr>
                      <w:rFonts w:hint="default"/>
                      <w:b w:val="0"/>
                      <w:bCs w:val="0"/>
                      <w:color w:val="auto"/>
                      <w:lang w:val="en-US" w:eastAsia="zh-CN"/>
                    </w:rPr>
                    <w:t xml:space="preserve">并满足相关行业排放标准的要求（无行业排放标准的应满足GB 16297的要求），或者处理效率不低于 90%。 </w:t>
                  </w:r>
                </w:p>
                <w:p w14:paraId="39A4D67C">
                  <w:pPr>
                    <w:keepNext w:val="0"/>
                    <w:keepLines w:val="0"/>
                    <w:widowControl/>
                    <w:suppressLineNumbers w:val="0"/>
                    <w:jc w:val="left"/>
                    <w:rPr>
                      <w:rFonts w:hint="default"/>
                      <w:b w:val="0"/>
                      <w:bCs w:val="0"/>
                      <w:color w:val="auto"/>
                    </w:rPr>
                  </w:pPr>
                  <w:r>
                    <w:rPr>
                      <w:rFonts w:hint="default"/>
                      <w:b w:val="0"/>
                      <w:bCs w:val="0"/>
                      <w:color w:val="auto"/>
                      <w:lang w:val="en-US" w:eastAsia="zh-CN"/>
                    </w:rPr>
                    <w:t xml:space="preserve">c ）采用气相平衡系统。 </w:t>
                  </w:r>
                </w:p>
                <w:p w14:paraId="34018D16">
                  <w:pPr>
                    <w:keepNext w:val="0"/>
                    <w:keepLines w:val="0"/>
                    <w:widowControl/>
                    <w:suppressLineNumbers w:val="0"/>
                    <w:jc w:val="left"/>
                    <w:rPr>
                      <w:rFonts w:hint="default"/>
                      <w:b w:val="0"/>
                      <w:bCs w:val="0"/>
                      <w:color w:val="auto"/>
                    </w:rPr>
                  </w:pPr>
                  <w:r>
                    <w:rPr>
                      <w:rFonts w:hint="default"/>
                      <w:b w:val="0"/>
                      <w:bCs w:val="0"/>
                      <w:color w:val="auto"/>
                      <w:lang w:val="en-US" w:eastAsia="zh-CN"/>
                    </w:rPr>
                    <w:t>d ）采取其他等效措施。</w:t>
                  </w:r>
                </w:p>
              </w:tc>
              <w:tc>
                <w:tcPr>
                  <w:tcW w:w="1505" w:type="pct"/>
                  <w:vMerge w:val="continue"/>
                  <w:tcBorders>
                    <w:tl2br w:val="nil"/>
                    <w:tr2bl w:val="nil"/>
                  </w:tcBorders>
                  <w:vAlign w:val="center"/>
                </w:tcPr>
                <w:p w14:paraId="1BC8835D">
                  <w:pPr>
                    <w:keepNext w:val="0"/>
                    <w:keepLines w:val="0"/>
                    <w:pageBreakBefore w:val="0"/>
                    <w:widowControl w:val="0"/>
                    <w:kinsoku/>
                    <w:wordWrap/>
                    <w:overflowPunct/>
                    <w:topLinePunct w:val="0"/>
                    <w:autoSpaceDE/>
                    <w:autoSpaceDN/>
                    <w:bidi w:val="0"/>
                    <w:adjustRightInd/>
                    <w:snapToGrid/>
                    <w:spacing w:beforeAutospacing="0" w:afterAutospacing="0" w:line="280" w:lineRule="exact"/>
                    <w:ind w:firstLine="420" w:firstLineChars="200"/>
                    <w:jc w:val="center"/>
                    <w:textAlignment w:val="auto"/>
                    <w:rPr>
                      <w:rFonts w:hint="default"/>
                      <w:b w:val="0"/>
                      <w:bCs w:val="0"/>
                      <w:color w:val="auto"/>
                    </w:rPr>
                  </w:pPr>
                </w:p>
              </w:tc>
              <w:tc>
                <w:tcPr>
                  <w:tcW w:w="550" w:type="pct"/>
                  <w:tcBorders>
                    <w:tl2br w:val="nil"/>
                    <w:tr2bl w:val="nil"/>
                  </w:tcBorders>
                  <w:vAlign w:val="center"/>
                </w:tcPr>
                <w:p w14:paraId="4B3B7D5A">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baseline"/>
                    <w:rPr>
                      <w:rFonts w:hint="eastAsia"/>
                      <w:b w:val="0"/>
                      <w:bCs w:val="0"/>
                      <w:color w:val="auto"/>
                      <w:lang w:eastAsia="zh-CN"/>
                    </w:rPr>
                  </w:pPr>
                  <w:r>
                    <w:rPr>
                      <w:rFonts w:hint="eastAsia"/>
                      <w:b w:val="0"/>
                      <w:bCs w:val="0"/>
                      <w:color w:val="auto"/>
                      <w:lang w:eastAsia="zh-CN"/>
                    </w:rPr>
                    <w:t>符合</w:t>
                  </w:r>
                </w:p>
              </w:tc>
            </w:tr>
            <w:tr w14:paraId="63724F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944" w:type="pct"/>
                  <w:tcBorders>
                    <w:tl2br w:val="nil"/>
                    <w:tr2bl w:val="nil"/>
                  </w:tcBorders>
                  <w:vAlign w:val="center"/>
                </w:tcPr>
                <w:p w14:paraId="28055F68">
                  <w:pPr>
                    <w:keepNext w:val="0"/>
                    <w:keepLines w:val="0"/>
                    <w:widowControl/>
                    <w:suppressLineNumbers w:val="0"/>
                    <w:jc w:val="left"/>
                    <w:rPr>
                      <w:color w:val="auto"/>
                    </w:rPr>
                  </w:pPr>
                  <w:r>
                    <w:rPr>
                      <w:rFonts w:hint="default" w:ascii="Times New Roman" w:hAnsi="Times New Roman" w:eastAsia="宋体" w:cs="Times New Roman"/>
                      <w:color w:val="auto"/>
                      <w:kern w:val="0"/>
                      <w:sz w:val="20"/>
                      <w:szCs w:val="20"/>
                      <w:lang w:val="en-US" w:eastAsia="zh-CN" w:bidi="ar"/>
                    </w:rPr>
                    <w:t xml:space="preserve">5.2.3 </w:t>
                  </w:r>
                  <w:r>
                    <w:rPr>
                      <w:rFonts w:hint="eastAsia" w:ascii="宋体" w:hAnsi="宋体" w:eastAsia="宋体" w:cs="宋体"/>
                      <w:color w:val="auto"/>
                      <w:kern w:val="0"/>
                      <w:sz w:val="20"/>
                      <w:szCs w:val="20"/>
                      <w:lang w:val="en-US" w:eastAsia="zh-CN" w:bidi="ar"/>
                    </w:rPr>
                    <w:t xml:space="preserve">储罐运行维护要求 </w:t>
                  </w:r>
                </w:p>
                <w:p w14:paraId="6C5E1015">
                  <w:pPr>
                    <w:keepNext w:val="0"/>
                    <w:keepLines w:val="0"/>
                    <w:widowControl/>
                    <w:suppressLineNumbers w:val="0"/>
                    <w:jc w:val="left"/>
                    <w:rPr>
                      <w:color w:val="auto"/>
                    </w:rPr>
                  </w:pPr>
                  <w:r>
                    <w:rPr>
                      <w:rFonts w:hint="default" w:ascii="Times New Roman" w:hAnsi="Times New Roman" w:eastAsia="宋体" w:cs="Times New Roman"/>
                      <w:color w:val="auto"/>
                      <w:kern w:val="0"/>
                      <w:sz w:val="20"/>
                      <w:szCs w:val="20"/>
                      <w:lang w:val="en-US" w:eastAsia="zh-CN" w:bidi="ar"/>
                    </w:rPr>
                    <w:t xml:space="preserve">5.2.3.1 </w:t>
                  </w:r>
                  <w:r>
                    <w:rPr>
                      <w:rFonts w:hint="eastAsia" w:ascii="宋体" w:hAnsi="宋体" w:eastAsia="宋体" w:cs="宋体"/>
                      <w:color w:val="auto"/>
                      <w:kern w:val="0"/>
                      <w:sz w:val="20"/>
                      <w:szCs w:val="20"/>
                      <w:lang w:val="en-US" w:eastAsia="zh-CN" w:bidi="ar"/>
                    </w:rPr>
                    <w:t xml:space="preserve">浮顶罐 </w:t>
                  </w:r>
                </w:p>
                <w:p w14:paraId="40C6241D">
                  <w:pPr>
                    <w:keepNext w:val="0"/>
                    <w:keepLines w:val="0"/>
                    <w:widowControl/>
                    <w:suppressLineNumbers w:val="0"/>
                    <w:jc w:val="left"/>
                    <w:rPr>
                      <w:color w:val="auto"/>
                    </w:rPr>
                  </w:pPr>
                  <w:r>
                    <w:rPr>
                      <w:rFonts w:hint="default" w:ascii="Times New Roman" w:hAnsi="Times New Roman" w:eastAsia="宋体" w:cs="Times New Roman"/>
                      <w:color w:val="auto"/>
                      <w:kern w:val="0"/>
                      <w:sz w:val="20"/>
                      <w:szCs w:val="20"/>
                      <w:lang w:val="en-US" w:eastAsia="zh-CN" w:bidi="ar"/>
                    </w:rPr>
                    <w:t xml:space="preserve">a </w:t>
                  </w:r>
                  <w:r>
                    <w:rPr>
                      <w:rFonts w:hint="eastAsia" w:ascii="宋体" w:hAnsi="宋体" w:eastAsia="宋体" w:cs="宋体"/>
                      <w:color w:val="auto"/>
                      <w:kern w:val="0"/>
                      <w:sz w:val="20"/>
                      <w:szCs w:val="20"/>
                      <w:lang w:val="en-US" w:eastAsia="zh-CN" w:bidi="ar"/>
                    </w:rPr>
                    <w:t xml:space="preserve">）浮顶罐罐体应保持完好，不应有孔洞、 </w:t>
                  </w:r>
                </w:p>
                <w:p w14:paraId="407D795B">
                  <w:pPr>
                    <w:keepNext w:val="0"/>
                    <w:keepLines w:val="0"/>
                    <w:widowControl/>
                    <w:suppressLineNumbers w:val="0"/>
                    <w:jc w:val="left"/>
                    <w:rPr>
                      <w:color w:val="auto"/>
                    </w:rPr>
                  </w:pPr>
                  <w:r>
                    <w:rPr>
                      <w:rFonts w:hint="eastAsia" w:ascii="宋体" w:hAnsi="宋体" w:eastAsia="宋体" w:cs="宋体"/>
                      <w:color w:val="auto"/>
                      <w:kern w:val="0"/>
                      <w:sz w:val="20"/>
                      <w:szCs w:val="20"/>
                      <w:lang w:val="en-US" w:eastAsia="zh-CN" w:bidi="ar"/>
                    </w:rPr>
                    <w:t xml:space="preserve">缝隙。浮顶边缘密封不应有破损。 </w:t>
                  </w:r>
                </w:p>
                <w:p w14:paraId="14D688DF">
                  <w:pPr>
                    <w:keepNext w:val="0"/>
                    <w:keepLines w:val="0"/>
                    <w:widowControl/>
                    <w:suppressLineNumbers w:val="0"/>
                    <w:jc w:val="left"/>
                    <w:rPr>
                      <w:color w:val="auto"/>
                    </w:rPr>
                  </w:pPr>
                  <w:r>
                    <w:rPr>
                      <w:rFonts w:hint="default" w:ascii="Times New Roman" w:hAnsi="Times New Roman" w:eastAsia="宋体" w:cs="Times New Roman"/>
                      <w:color w:val="auto"/>
                      <w:kern w:val="0"/>
                      <w:sz w:val="20"/>
                      <w:szCs w:val="20"/>
                      <w:lang w:val="en-US" w:eastAsia="zh-CN" w:bidi="ar"/>
                    </w:rPr>
                    <w:t xml:space="preserve">b </w:t>
                  </w:r>
                  <w:r>
                    <w:rPr>
                      <w:rFonts w:hint="eastAsia" w:ascii="宋体" w:hAnsi="宋体" w:eastAsia="宋体" w:cs="宋体"/>
                      <w:color w:val="auto"/>
                      <w:kern w:val="0"/>
                      <w:sz w:val="20"/>
                      <w:szCs w:val="20"/>
                      <w:lang w:val="en-US" w:eastAsia="zh-CN" w:bidi="ar"/>
                    </w:rPr>
                    <w:t xml:space="preserve">）储罐附件开口（孔），除采样、计量、 </w:t>
                  </w:r>
                </w:p>
                <w:p w14:paraId="58636733">
                  <w:pPr>
                    <w:keepNext w:val="0"/>
                    <w:keepLines w:val="0"/>
                    <w:widowControl/>
                    <w:suppressLineNumbers w:val="0"/>
                    <w:jc w:val="left"/>
                    <w:rPr>
                      <w:color w:val="auto"/>
                    </w:rPr>
                  </w:pPr>
                  <w:r>
                    <w:rPr>
                      <w:rFonts w:hint="eastAsia" w:ascii="宋体" w:hAnsi="宋体" w:eastAsia="宋体" w:cs="宋体"/>
                      <w:color w:val="auto"/>
                      <w:kern w:val="0"/>
                      <w:sz w:val="20"/>
                      <w:szCs w:val="20"/>
                      <w:lang w:val="en-US" w:eastAsia="zh-CN" w:bidi="ar"/>
                    </w:rPr>
                    <w:t xml:space="preserve">例行检查、维护和其他正常活动外，应密闭。 </w:t>
                  </w:r>
                </w:p>
                <w:p w14:paraId="1C2EE5B4">
                  <w:pPr>
                    <w:keepNext w:val="0"/>
                    <w:keepLines w:val="0"/>
                    <w:widowControl/>
                    <w:suppressLineNumbers w:val="0"/>
                    <w:jc w:val="left"/>
                    <w:rPr>
                      <w:color w:val="auto"/>
                    </w:rPr>
                  </w:pPr>
                  <w:r>
                    <w:rPr>
                      <w:rFonts w:hint="default" w:ascii="Times New Roman" w:hAnsi="Times New Roman" w:eastAsia="宋体" w:cs="Times New Roman"/>
                      <w:color w:val="auto"/>
                      <w:kern w:val="0"/>
                      <w:sz w:val="20"/>
                      <w:szCs w:val="20"/>
                      <w:lang w:val="en-US" w:eastAsia="zh-CN" w:bidi="ar"/>
                    </w:rPr>
                    <w:t xml:space="preserve">c </w:t>
                  </w:r>
                  <w:r>
                    <w:rPr>
                      <w:rFonts w:hint="eastAsia" w:ascii="宋体" w:hAnsi="宋体" w:eastAsia="宋体" w:cs="宋体"/>
                      <w:color w:val="auto"/>
                      <w:kern w:val="0"/>
                      <w:sz w:val="20"/>
                      <w:szCs w:val="20"/>
                      <w:lang w:val="en-US" w:eastAsia="zh-CN" w:bidi="ar"/>
                    </w:rPr>
                    <w:t xml:space="preserve">）支柱、导向装置等储罐附件穿过浮顶时， </w:t>
                  </w:r>
                </w:p>
                <w:p w14:paraId="19E21D1F">
                  <w:pPr>
                    <w:keepNext w:val="0"/>
                    <w:keepLines w:val="0"/>
                    <w:widowControl/>
                    <w:suppressLineNumbers w:val="0"/>
                    <w:jc w:val="left"/>
                    <w:rPr>
                      <w:color w:val="auto"/>
                    </w:rPr>
                  </w:pPr>
                  <w:r>
                    <w:rPr>
                      <w:rFonts w:hint="eastAsia" w:ascii="宋体" w:hAnsi="宋体" w:eastAsia="宋体" w:cs="宋体"/>
                      <w:color w:val="auto"/>
                      <w:kern w:val="0"/>
                      <w:sz w:val="20"/>
                      <w:szCs w:val="20"/>
                      <w:lang w:val="en-US" w:eastAsia="zh-CN" w:bidi="ar"/>
                    </w:rPr>
                    <w:t xml:space="preserve">应采取密封措施。 </w:t>
                  </w:r>
                </w:p>
                <w:p w14:paraId="5F14ADA5">
                  <w:pPr>
                    <w:keepNext w:val="0"/>
                    <w:keepLines w:val="0"/>
                    <w:widowControl/>
                    <w:suppressLineNumbers w:val="0"/>
                    <w:jc w:val="left"/>
                    <w:rPr>
                      <w:color w:val="auto"/>
                    </w:rPr>
                  </w:pPr>
                  <w:r>
                    <w:rPr>
                      <w:rFonts w:hint="default" w:ascii="Times New Roman" w:hAnsi="Times New Roman" w:eastAsia="宋体" w:cs="Times New Roman"/>
                      <w:color w:val="auto"/>
                      <w:kern w:val="0"/>
                      <w:sz w:val="20"/>
                      <w:szCs w:val="20"/>
                      <w:lang w:val="en-US" w:eastAsia="zh-CN" w:bidi="ar"/>
                    </w:rPr>
                    <w:t xml:space="preserve">d </w:t>
                  </w:r>
                  <w:r>
                    <w:rPr>
                      <w:rFonts w:hint="eastAsia" w:ascii="宋体" w:hAnsi="宋体" w:eastAsia="宋体" w:cs="宋体"/>
                      <w:color w:val="auto"/>
                      <w:kern w:val="0"/>
                      <w:sz w:val="20"/>
                      <w:szCs w:val="20"/>
                      <w:lang w:val="en-US" w:eastAsia="zh-CN" w:bidi="ar"/>
                    </w:rPr>
                    <w:t xml:space="preserve">）除储罐排空作业外，浮顶应始终漂浮于 </w:t>
                  </w:r>
                </w:p>
                <w:p w14:paraId="7792F215">
                  <w:pPr>
                    <w:keepNext w:val="0"/>
                    <w:keepLines w:val="0"/>
                    <w:widowControl/>
                    <w:suppressLineNumbers w:val="0"/>
                    <w:jc w:val="left"/>
                    <w:rPr>
                      <w:color w:val="auto"/>
                    </w:rPr>
                  </w:pPr>
                  <w:r>
                    <w:rPr>
                      <w:rFonts w:hint="eastAsia" w:ascii="宋体" w:hAnsi="宋体" w:eastAsia="宋体" w:cs="宋体"/>
                      <w:color w:val="auto"/>
                      <w:kern w:val="0"/>
                      <w:sz w:val="20"/>
                      <w:szCs w:val="20"/>
                      <w:lang w:val="en-US" w:eastAsia="zh-CN" w:bidi="ar"/>
                    </w:rPr>
                    <w:t xml:space="preserve">储存物料的表面。 </w:t>
                  </w:r>
                </w:p>
                <w:p w14:paraId="045E06A3">
                  <w:pPr>
                    <w:keepNext w:val="0"/>
                    <w:keepLines w:val="0"/>
                    <w:widowControl/>
                    <w:suppressLineNumbers w:val="0"/>
                    <w:jc w:val="left"/>
                    <w:rPr>
                      <w:color w:val="auto"/>
                    </w:rPr>
                  </w:pPr>
                  <w:r>
                    <w:rPr>
                      <w:rFonts w:hint="default" w:ascii="Times New Roman" w:hAnsi="Times New Roman" w:eastAsia="宋体" w:cs="Times New Roman"/>
                      <w:color w:val="auto"/>
                      <w:kern w:val="0"/>
                      <w:sz w:val="20"/>
                      <w:szCs w:val="20"/>
                      <w:lang w:val="en-US" w:eastAsia="zh-CN" w:bidi="ar"/>
                    </w:rPr>
                    <w:t xml:space="preserve">e </w:t>
                  </w:r>
                  <w:r>
                    <w:rPr>
                      <w:rFonts w:hint="eastAsia" w:ascii="宋体" w:hAnsi="宋体" w:eastAsia="宋体" w:cs="宋体"/>
                      <w:color w:val="auto"/>
                      <w:kern w:val="0"/>
                      <w:sz w:val="20"/>
                      <w:szCs w:val="20"/>
                      <w:lang w:val="en-US" w:eastAsia="zh-CN" w:bidi="ar"/>
                    </w:rPr>
                    <w:t xml:space="preserve">）自动通气阀在浮顶处于漂浮状态时应关 </w:t>
                  </w:r>
                </w:p>
                <w:p w14:paraId="5BE4DF46">
                  <w:pPr>
                    <w:keepNext w:val="0"/>
                    <w:keepLines w:val="0"/>
                    <w:widowControl/>
                    <w:suppressLineNumbers w:val="0"/>
                    <w:jc w:val="left"/>
                    <w:rPr>
                      <w:color w:val="auto"/>
                    </w:rPr>
                  </w:pPr>
                  <w:r>
                    <w:rPr>
                      <w:rFonts w:hint="eastAsia" w:ascii="宋体" w:hAnsi="宋体" w:eastAsia="宋体" w:cs="宋体"/>
                      <w:color w:val="auto"/>
                      <w:kern w:val="0"/>
                      <w:sz w:val="20"/>
                      <w:szCs w:val="20"/>
                      <w:lang w:val="en-US" w:eastAsia="zh-CN" w:bidi="ar"/>
                    </w:rPr>
                    <w:t xml:space="preserve">闭且密封良好，仅在浮顶处于支撑状态时开 </w:t>
                  </w:r>
                </w:p>
                <w:p w14:paraId="37050D02">
                  <w:pPr>
                    <w:keepNext w:val="0"/>
                    <w:keepLines w:val="0"/>
                    <w:widowControl/>
                    <w:suppressLineNumbers w:val="0"/>
                    <w:jc w:val="left"/>
                    <w:rPr>
                      <w:color w:val="auto"/>
                    </w:rPr>
                  </w:pPr>
                  <w:r>
                    <w:rPr>
                      <w:rFonts w:hint="eastAsia" w:ascii="宋体" w:hAnsi="宋体" w:eastAsia="宋体" w:cs="宋体"/>
                      <w:color w:val="auto"/>
                      <w:kern w:val="0"/>
                      <w:sz w:val="20"/>
                      <w:szCs w:val="20"/>
                      <w:lang w:val="en-US" w:eastAsia="zh-CN" w:bidi="ar"/>
                    </w:rPr>
                    <w:t>启。</w:t>
                  </w:r>
                  <w:r>
                    <w:rPr>
                      <w:rFonts w:hint="default" w:ascii="Times New Roman" w:hAnsi="Times New Roman" w:eastAsia="宋体" w:cs="Times New Roman"/>
                      <w:color w:val="auto"/>
                      <w:kern w:val="0"/>
                      <w:sz w:val="20"/>
                      <w:szCs w:val="20"/>
                      <w:lang w:val="en-US" w:eastAsia="zh-CN" w:bidi="ar"/>
                    </w:rPr>
                    <w:t>f )</w:t>
                  </w:r>
                  <w:r>
                    <w:rPr>
                      <w:rFonts w:hint="eastAsia" w:ascii="宋体" w:hAnsi="宋体" w:eastAsia="宋体" w:cs="宋体"/>
                      <w:color w:val="auto"/>
                      <w:kern w:val="0"/>
                      <w:sz w:val="20"/>
                      <w:szCs w:val="20"/>
                      <w:lang w:val="en-US" w:eastAsia="zh-CN" w:bidi="ar"/>
                    </w:rPr>
                    <w:t xml:space="preserve">边缘呼吸阀在浮顶处于漂浮状态时应密 </w:t>
                  </w:r>
                </w:p>
                <w:p w14:paraId="6BE35FDA">
                  <w:pPr>
                    <w:keepNext w:val="0"/>
                    <w:keepLines w:val="0"/>
                    <w:widowControl/>
                    <w:suppressLineNumbers w:val="0"/>
                    <w:jc w:val="left"/>
                    <w:rPr>
                      <w:color w:val="auto"/>
                    </w:rPr>
                  </w:pPr>
                  <w:r>
                    <w:rPr>
                      <w:rFonts w:hint="eastAsia" w:ascii="宋体" w:hAnsi="宋体" w:eastAsia="宋体" w:cs="宋体"/>
                      <w:color w:val="auto"/>
                      <w:kern w:val="0"/>
                      <w:sz w:val="20"/>
                      <w:szCs w:val="20"/>
                      <w:lang w:val="en-US" w:eastAsia="zh-CN" w:bidi="ar"/>
                    </w:rPr>
                    <w:t xml:space="preserve">封良好，并定期检查定压是否符合设定要求。 </w:t>
                  </w:r>
                </w:p>
                <w:p w14:paraId="56360790">
                  <w:pPr>
                    <w:keepNext w:val="0"/>
                    <w:keepLines w:val="0"/>
                    <w:widowControl/>
                    <w:suppressLineNumbers w:val="0"/>
                    <w:jc w:val="left"/>
                    <w:rPr>
                      <w:color w:val="auto"/>
                    </w:rPr>
                  </w:pPr>
                  <w:r>
                    <w:rPr>
                      <w:rFonts w:hint="default" w:ascii="Times New Roman" w:hAnsi="Times New Roman" w:eastAsia="宋体" w:cs="Times New Roman"/>
                      <w:color w:val="auto"/>
                      <w:kern w:val="0"/>
                      <w:sz w:val="20"/>
                      <w:szCs w:val="20"/>
                      <w:lang w:val="en-US" w:eastAsia="zh-CN" w:bidi="ar"/>
                    </w:rPr>
                    <w:t xml:space="preserve">g </w:t>
                  </w:r>
                  <w:r>
                    <w:rPr>
                      <w:rFonts w:hint="eastAsia" w:ascii="宋体" w:hAnsi="宋体" w:eastAsia="宋体" w:cs="宋体"/>
                      <w:color w:val="auto"/>
                      <w:kern w:val="0"/>
                      <w:sz w:val="20"/>
                      <w:szCs w:val="20"/>
                      <w:lang w:val="en-US" w:eastAsia="zh-CN" w:bidi="ar"/>
                    </w:rPr>
                    <w:t xml:space="preserve">）除自动通气阀、边缘呼吸阀外，浮顶的 </w:t>
                  </w:r>
                </w:p>
                <w:p w14:paraId="3C65C47A">
                  <w:pPr>
                    <w:keepNext w:val="0"/>
                    <w:keepLines w:val="0"/>
                    <w:widowControl/>
                    <w:suppressLineNumbers w:val="0"/>
                    <w:jc w:val="left"/>
                    <w:rPr>
                      <w:color w:val="auto"/>
                    </w:rPr>
                  </w:pPr>
                  <w:r>
                    <w:rPr>
                      <w:rFonts w:hint="eastAsia" w:ascii="宋体" w:hAnsi="宋体" w:eastAsia="宋体" w:cs="宋体"/>
                      <w:color w:val="auto"/>
                      <w:kern w:val="0"/>
                      <w:sz w:val="20"/>
                      <w:szCs w:val="20"/>
                      <w:lang w:val="en-US" w:eastAsia="zh-CN" w:bidi="ar"/>
                    </w:rPr>
                    <w:t xml:space="preserve">外边缘板及所有通过浮顶的开孔接管均应浸 </w:t>
                  </w:r>
                </w:p>
                <w:p w14:paraId="4BBC7531">
                  <w:pPr>
                    <w:keepNext w:val="0"/>
                    <w:keepLines w:val="0"/>
                    <w:widowControl/>
                    <w:suppressLineNumbers w:val="0"/>
                    <w:jc w:val="left"/>
                    <w:rPr>
                      <w:color w:val="auto"/>
                    </w:rPr>
                  </w:pPr>
                  <w:r>
                    <w:rPr>
                      <w:rFonts w:hint="eastAsia" w:ascii="宋体" w:hAnsi="宋体" w:eastAsia="宋体" w:cs="宋体"/>
                      <w:color w:val="auto"/>
                      <w:kern w:val="0"/>
                      <w:sz w:val="20"/>
                      <w:szCs w:val="20"/>
                      <w:lang w:val="en-US" w:eastAsia="zh-CN" w:bidi="ar"/>
                    </w:rPr>
                    <w:t xml:space="preserve">入液面下。 </w:t>
                  </w:r>
                </w:p>
                <w:p w14:paraId="0D3D00C9">
                  <w:pPr>
                    <w:keepNext w:val="0"/>
                    <w:keepLines w:val="0"/>
                    <w:widowControl/>
                    <w:suppressLineNumbers w:val="0"/>
                    <w:jc w:val="left"/>
                    <w:rPr>
                      <w:color w:val="auto"/>
                    </w:rPr>
                  </w:pPr>
                  <w:r>
                    <w:rPr>
                      <w:rFonts w:hint="default" w:ascii="Times New Roman" w:hAnsi="Times New Roman" w:eastAsia="宋体" w:cs="Times New Roman"/>
                      <w:color w:val="auto"/>
                      <w:kern w:val="0"/>
                      <w:sz w:val="20"/>
                      <w:szCs w:val="20"/>
                      <w:lang w:val="en-US" w:eastAsia="zh-CN" w:bidi="ar"/>
                    </w:rPr>
                    <w:t xml:space="preserve">5.2.3.2 </w:t>
                  </w:r>
                  <w:r>
                    <w:rPr>
                      <w:rFonts w:hint="eastAsia" w:ascii="宋体" w:hAnsi="宋体" w:eastAsia="宋体" w:cs="宋体"/>
                      <w:color w:val="auto"/>
                      <w:kern w:val="0"/>
                      <w:sz w:val="20"/>
                      <w:szCs w:val="20"/>
                      <w:lang w:val="en-US" w:eastAsia="zh-CN" w:bidi="ar"/>
                    </w:rPr>
                    <w:t xml:space="preserve">固定顶罐 </w:t>
                  </w:r>
                </w:p>
                <w:p w14:paraId="163161CF">
                  <w:pPr>
                    <w:keepNext w:val="0"/>
                    <w:keepLines w:val="0"/>
                    <w:widowControl/>
                    <w:suppressLineNumbers w:val="0"/>
                    <w:jc w:val="left"/>
                    <w:rPr>
                      <w:color w:val="auto"/>
                    </w:rPr>
                  </w:pPr>
                  <w:r>
                    <w:rPr>
                      <w:rFonts w:hint="default" w:ascii="Times New Roman" w:hAnsi="Times New Roman" w:eastAsia="宋体" w:cs="Times New Roman"/>
                      <w:color w:val="auto"/>
                      <w:kern w:val="0"/>
                      <w:sz w:val="20"/>
                      <w:szCs w:val="20"/>
                      <w:lang w:val="en-US" w:eastAsia="zh-CN" w:bidi="ar"/>
                    </w:rPr>
                    <w:t xml:space="preserve">a </w:t>
                  </w:r>
                  <w:r>
                    <w:rPr>
                      <w:rFonts w:hint="eastAsia" w:ascii="宋体" w:hAnsi="宋体" w:eastAsia="宋体" w:cs="宋体"/>
                      <w:color w:val="auto"/>
                      <w:kern w:val="0"/>
                      <w:sz w:val="20"/>
                      <w:szCs w:val="20"/>
                      <w:lang w:val="en-US" w:eastAsia="zh-CN" w:bidi="ar"/>
                    </w:rPr>
                    <w:t xml:space="preserve">）固定顶罐罐体应保持完好，不应有孔洞、 </w:t>
                  </w:r>
                </w:p>
                <w:p w14:paraId="37D46062">
                  <w:pPr>
                    <w:keepNext w:val="0"/>
                    <w:keepLines w:val="0"/>
                    <w:widowControl/>
                    <w:suppressLineNumbers w:val="0"/>
                    <w:jc w:val="left"/>
                    <w:rPr>
                      <w:color w:val="auto"/>
                    </w:rPr>
                  </w:pPr>
                  <w:r>
                    <w:rPr>
                      <w:rFonts w:hint="eastAsia" w:ascii="宋体" w:hAnsi="宋体" w:eastAsia="宋体" w:cs="宋体"/>
                      <w:color w:val="auto"/>
                      <w:kern w:val="0"/>
                      <w:sz w:val="20"/>
                      <w:szCs w:val="20"/>
                      <w:lang w:val="en-US" w:eastAsia="zh-CN" w:bidi="ar"/>
                    </w:rPr>
                    <w:t xml:space="preserve">缝隙。 </w:t>
                  </w:r>
                </w:p>
                <w:p w14:paraId="27A9DB87">
                  <w:pPr>
                    <w:keepNext w:val="0"/>
                    <w:keepLines w:val="0"/>
                    <w:widowControl/>
                    <w:suppressLineNumbers w:val="0"/>
                    <w:jc w:val="left"/>
                    <w:rPr>
                      <w:color w:val="auto"/>
                    </w:rPr>
                  </w:pPr>
                  <w:r>
                    <w:rPr>
                      <w:rFonts w:hint="default" w:ascii="Times New Roman" w:hAnsi="Times New Roman" w:eastAsia="宋体" w:cs="Times New Roman"/>
                      <w:color w:val="auto"/>
                      <w:kern w:val="0"/>
                      <w:sz w:val="20"/>
                      <w:szCs w:val="20"/>
                      <w:lang w:val="en-US" w:eastAsia="zh-CN" w:bidi="ar"/>
                    </w:rPr>
                    <w:t xml:space="preserve">b </w:t>
                  </w:r>
                  <w:r>
                    <w:rPr>
                      <w:rFonts w:hint="eastAsia" w:ascii="宋体" w:hAnsi="宋体" w:eastAsia="宋体" w:cs="宋体"/>
                      <w:color w:val="auto"/>
                      <w:kern w:val="0"/>
                      <w:sz w:val="20"/>
                      <w:szCs w:val="20"/>
                      <w:lang w:val="en-US" w:eastAsia="zh-CN" w:bidi="ar"/>
                    </w:rPr>
                    <w:t xml:space="preserve">）储罐附件开口（孔），除采样、计量、 </w:t>
                  </w:r>
                </w:p>
                <w:p w14:paraId="4CB0DFB0">
                  <w:pPr>
                    <w:keepNext w:val="0"/>
                    <w:keepLines w:val="0"/>
                    <w:widowControl/>
                    <w:suppressLineNumbers w:val="0"/>
                    <w:jc w:val="left"/>
                    <w:rPr>
                      <w:color w:val="auto"/>
                    </w:rPr>
                  </w:pPr>
                  <w:r>
                    <w:rPr>
                      <w:rFonts w:hint="eastAsia" w:ascii="宋体" w:hAnsi="宋体" w:eastAsia="宋体" w:cs="宋体"/>
                      <w:color w:val="auto"/>
                      <w:kern w:val="0"/>
                      <w:sz w:val="20"/>
                      <w:szCs w:val="20"/>
                      <w:lang w:val="en-US" w:eastAsia="zh-CN" w:bidi="ar"/>
                    </w:rPr>
                    <w:t xml:space="preserve">例行检查、维护和其他正常活动外，应密闭。 </w:t>
                  </w:r>
                </w:p>
                <w:p w14:paraId="185452F7">
                  <w:pPr>
                    <w:keepNext w:val="0"/>
                    <w:keepLines w:val="0"/>
                    <w:widowControl/>
                    <w:suppressLineNumbers w:val="0"/>
                    <w:jc w:val="left"/>
                    <w:rPr>
                      <w:color w:val="auto"/>
                    </w:rPr>
                  </w:pPr>
                  <w:r>
                    <w:rPr>
                      <w:rFonts w:hint="default" w:ascii="Times New Roman" w:hAnsi="Times New Roman" w:eastAsia="宋体" w:cs="Times New Roman"/>
                      <w:color w:val="auto"/>
                      <w:kern w:val="0"/>
                      <w:sz w:val="20"/>
                      <w:szCs w:val="20"/>
                      <w:lang w:val="en-US" w:eastAsia="zh-CN" w:bidi="ar"/>
                    </w:rPr>
                    <w:t xml:space="preserve">c </w:t>
                  </w:r>
                  <w:r>
                    <w:rPr>
                      <w:rFonts w:hint="eastAsia" w:ascii="宋体" w:hAnsi="宋体" w:eastAsia="宋体" w:cs="宋体"/>
                      <w:color w:val="auto"/>
                      <w:kern w:val="0"/>
                      <w:sz w:val="20"/>
                      <w:szCs w:val="20"/>
                      <w:lang w:val="en-US" w:eastAsia="zh-CN" w:bidi="ar"/>
                    </w:rPr>
                    <w:t xml:space="preserve">）定期检查呼吸阀的定压是否符合设定要 </w:t>
                  </w:r>
                </w:p>
                <w:p w14:paraId="48C2CB21">
                  <w:pPr>
                    <w:keepNext w:val="0"/>
                    <w:keepLines w:val="0"/>
                    <w:widowControl/>
                    <w:suppressLineNumbers w:val="0"/>
                    <w:jc w:val="left"/>
                    <w:rPr>
                      <w:color w:val="auto"/>
                    </w:rPr>
                  </w:pPr>
                  <w:r>
                    <w:rPr>
                      <w:rFonts w:hint="eastAsia" w:ascii="宋体" w:hAnsi="宋体" w:eastAsia="宋体" w:cs="宋体"/>
                      <w:color w:val="auto"/>
                      <w:kern w:val="0"/>
                      <w:sz w:val="20"/>
                      <w:szCs w:val="20"/>
                      <w:lang w:val="en-US" w:eastAsia="zh-CN" w:bidi="ar"/>
                    </w:rPr>
                    <w:t xml:space="preserve">求。 </w:t>
                  </w:r>
                </w:p>
                <w:p w14:paraId="1341206E">
                  <w:pPr>
                    <w:keepNext w:val="0"/>
                    <w:keepLines w:val="0"/>
                    <w:widowControl/>
                    <w:suppressLineNumbers w:val="0"/>
                    <w:jc w:val="left"/>
                    <w:rPr>
                      <w:color w:val="auto"/>
                    </w:rPr>
                  </w:pPr>
                  <w:r>
                    <w:rPr>
                      <w:rFonts w:hint="default" w:ascii="Times New Roman" w:hAnsi="Times New Roman" w:eastAsia="宋体" w:cs="Times New Roman"/>
                      <w:color w:val="auto"/>
                      <w:kern w:val="0"/>
                      <w:sz w:val="20"/>
                      <w:szCs w:val="20"/>
                      <w:lang w:val="en-US" w:eastAsia="zh-CN" w:bidi="ar"/>
                    </w:rPr>
                    <w:t xml:space="preserve">5.2.3.3 </w:t>
                  </w:r>
                  <w:r>
                    <w:rPr>
                      <w:rFonts w:hint="eastAsia" w:ascii="宋体" w:hAnsi="宋体" w:eastAsia="宋体" w:cs="宋体"/>
                      <w:color w:val="auto"/>
                      <w:kern w:val="0"/>
                      <w:sz w:val="20"/>
                      <w:szCs w:val="20"/>
                      <w:lang w:val="en-US" w:eastAsia="zh-CN" w:bidi="ar"/>
                    </w:rPr>
                    <w:t xml:space="preserve">维护与记录 </w:t>
                  </w:r>
                </w:p>
                <w:p w14:paraId="104325DB">
                  <w:pPr>
                    <w:keepNext w:val="0"/>
                    <w:keepLines w:val="0"/>
                    <w:widowControl/>
                    <w:suppressLineNumbers w:val="0"/>
                    <w:jc w:val="left"/>
                    <w:rPr>
                      <w:color w:val="auto"/>
                    </w:rPr>
                  </w:pPr>
                  <w:r>
                    <w:rPr>
                      <w:rFonts w:hint="eastAsia" w:ascii="宋体" w:hAnsi="宋体" w:eastAsia="宋体" w:cs="宋体"/>
                      <w:color w:val="auto"/>
                      <w:kern w:val="0"/>
                      <w:sz w:val="20"/>
                      <w:szCs w:val="20"/>
                      <w:lang w:val="en-US" w:eastAsia="zh-CN" w:bidi="ar"/>
                    </w:rPr>
                    <w:t>挥发性有机液体储罐若不符合</w:t>
                  </w:r>
                  <w:r>
                    <w:rPr>
                      <w:rFonts w:hint="default" w:ascii="Times New Roman" w:hAnsi="Times New Roman" w:eastAsia="宋体" w:cs="Times New Roman"/>
                      <w:color w:val="auto"/>
                      <w:kern w:val="0"/>
                      <w:sz w:val="20"/>
                      <w:szCs w:val="20"/>
                      <w:lang w:val="en-US" w:eastAsia="zh-CN" w:bidi="ar"/>
                    </w:rPr>
                    <w:t>5.2.3.1</w:t>
                  </w:r>
                  <w:r>
                    <w:rPr>
                      <w:rFonts w:hint="eastAsia" w:ascii="宋体" w:hAnsi="宋体" w:eastAsia="宋体" w:cs="宋体"/>
                      <w:color w:val="auto"/>
                      <w:kern w:val="0"/>
                      <w:sz w:val="20"/>
                      <w:szCs w:val="20"/>
                      <w:lang w:val="en-US" w:eastAsia="zh-CN" w:bidi="ar"/>
                    </w:rPr>
                    <w:t xml:space="preserve">条或 </w:t>
                  </w:r>
                </w:p>
                <w:p w14:paraId="66C344AE">
                  <w:pPr>
                    <w:keepNext w:val="0"/>
                    <w:keepLines w:val="0"/>
                    <w:widowControl/>
                    <w:suppressLineNumbers w:val="0"/>
                    <w:jc w:val="left"/>
                    <w:rPr>
                      <w:color w:val="auto"/>
                    </w:rPr>
                  </w:pPr>
                  <w:r>
                    <w:rPr>
                      <w:rFonts w:hint="default" w:ascii="Times New Roman" w:hAnsi="Times New Roman" w:eastAsia="宋体" w:cs="Times New Roman"/>
                      <w:color w:val="auto"/>
                      <w:kern w:val="0"/>
                      <w:sz w:val="20"/>
                      <w:szCs w:val="20"/>
                      <w:lang w:val="en-US" w:eastAsia="zh-CN" w:bidi="ar"/>
                    </w:rPr>
                    <w:t xml:space="preserve">5.2.3.2 </w:t>
                  </w:r>
                  <w:r>
                    <w:rPr>
                      <w:rFonts w:hint="eastAsia" w:ascii="宋体" w:hAnsi="宋体" w:eastAsia="宋体" w:cs="宋体"/>
                      <w:color w:val="auto"/>
                      <w:kern w:val="0"/>
                      <w:sz w:val="20"/>
                      <w:szCs w:val="20"/>
                      <w:lang w:val="en-US" w:eastAsia="zh-CN" w:bidi="ar"/>
                    </w:rPr>
                    <w:t xml:space="preserve">条规定，应记录并在 </w:t>
                  </w:r>
                  <w:r>
                    <w:rPr>
                      <w:rFonts w:hint="default" w:ascii="Times New Roman" w:hAnsi="Times New Roman" w:eastAsia="宋体" w:cs="Times New Roman"/>
                      <w:color w:val="auto"/>
                      <w:kern w:val="0"/>
                      <w:sz w:val="20"/>
                      <w:szCs w:val="20"/>
                      <w:lang w:val="en-US" w:eastAsia="zh-CN" w:bidi="ar"/>
                    </w:rPr>
                    <w:t xml:space="preserve">90d </w:t>
                  </w:r>
                  <w:r>
                    <w:rPr>
                      <w:rFonts w:hint="eastAsia" w:ascii="宋体" w:hAnsi="宋体" w:eastAsia="宋体" w:cs="宋体"/>
                      <w:color w:val="auto"/>
                      <w:kern w:val="0"/>
                      <w:sz w:val="20"/>
                      <w:szCs w:val="20"/>
                      <w:lang w:val="en-US" w:eastAsia="zh-CN" w:bidi="ar"/>
                    </w:rPr>
                    <w:t xml:space="preserve">内修复或排空 </w:t>
                  </w:r>
                </w:p>
                <w:p w14:paraId="45A1905D">
                  <w:pPr>
                    <w:keepNext w:val="0"/>
                    <w:keepLines w:val="0"/>
                    <w:widowControl/>
                    <w:suppressLineNumbers w:val="0"/>
                    <w:jc w:val="left"/>
                    <w:rPr>
                      <w:color w:val="auto"/>
                    </w:rPr>
                  </w:pPr>
                  <w:r>
                    <w:rPr>
                      <w:rFonts w:hint="eastAsia" w:ascii="宋体" w:hAnsi="宋体" w:eastAsia="宋体" w:cs="宋体"/>
                      <w:color w:val="auto"/>
                      <w:kern w:val="0"/>
                      <w:sz w:val="20"/>
                      <w:szCs w:val="20"/>
                      <w:lang w:val="en-US" w:eastAsia="zh-CN" w:bidi="ar"/>
                    </w:rPr>
                    <w:t xml:space="preserve">储罐停止使用。如延迟修复或排空储罐，应将 </w:t>
                  </w:r>
                </w:p>
                <w:p w14:paraId="0E711ED3">
                  <w:pPr>
                    <w:keepNext w:val="0"/>
                    <w:keepLines w:val="0"/>
                    <w:widowControl/>
                    <w:suppressLineNumbers w:val="0"/>
                    <w:jc w:val="left"/>
                    <w:rPr>
                      <w:rFonts w:hint="default"/>
                      <w:b w:val="0"/>
                      <w:bCs w:val="0"/>
                      <w:color w:val="auto"/>
                    </w:rPr>
                  </w:pPr>
                  <w:r>
                    <w:rPr>
                      <w:rFonts w:hint="eastAsia" w:ascii="宋体" w:hAnsi="宋体" w:eastAsia="宋体" w:cs="宋体"/>
                      <w:color w:val="auto"/>
                      <w:kern w:val="0"/>
                      <w:sz w:val="20"/>
                      <w:szCs w:val="20"/>
                      <w:lang w:val="en-US" w:eastAsia="zh-CN" w:bidi="ar"/>
                    </w:rPr>
                    <w:t>相关方案报生态环境主管部门确定。</w:t>
                  </w:r>
                </w:p>
              </w:tc>
              <w:tc>
                <w:tcPr>
                  <w:tcW w:w="1505" w:type="pct"/>
                  <w:tcBorders>
                    <w:tl2br w:val="nil"/>
                    <w:tr2bl w:val="nil"/>
                  </w:tcBorders>
                  <w:vAlign w:val="center"/>
                </w:tcPr>
                <w:p w14:paraId="662FEDA4">
                  <w:pPr>
                    <w:keepNext w:val="0"/>
                    <w:keepLines w:val="0"/>
                    <w:pageBreakBefore w:val="0"/>
                    <w:widowControl w:val="0"/>
                    <w:kinsoku/>
                    <w:wordWrap/>
                    <w:overflowPunct/>
                    <w:topLinePunct w:val="0"/>
                    <w:autoSpaceDE/>
                    <w:autoSpaceDN/>
                    <w:bidi w:val="0"/>
                    <w:adjustRightInd/>
                    <w:snapToGrid/>
                    <w:spacing w:beforeAutospacing="0" w:afterAutospacing="0" w:line="280" w:lineRule="exact"/>
                    <w:ind w:firstLine="420" w:firstLineChars="200"/>
                    <w:jc w:val="left"/>
                    <w:textAlignment w:val="auto"/>
                    <w:rPr>
                      <w:rFonts w:hint="default"/>
                      <w:b w:val="0"/>
                      <w:bCs w:val="0"/>
                      <w:color w:val="auto"/>
                    </w:rPr>
                  </w:pPr>
                  <w:r>
                    <w:rPr>
                      <w:rFonts w:hint="default"/>
                      <w:b w:val="0"/>
                      <w:bCs w:val="0"/>
                      <w:color w:val="auto"/>
                      <w:lang w:val="en-US" w:eastAsia="zh-CN"/>
                    </w:rPr>
                    <w:t>本项目储油罐采用内浮顶罐，浮顶罐罐体保持完好，浮盘及附件满足相关控制要求，满足浮顶罐运行维护要求。</w:t>
                  </w:r>
                </w:p>
                <w:p w14:paraId="17EAA49A">
                  <w:pPr>
                    <w:keepNext w:val="0"/>
                    <w:keepLines w:val="0"/>
                    <w:pageBreakBefore w:val="0"/>
                    <w:widowControl w:val="0"/>
                    <w:kinsoku/>
                    <w:wordWrap/>
                    <w:overflowPunct/>
                    <w:topLinePunct w:val="0"/>
                    <w:autoSpaceDE/>
                    <w:autoSpaceDN/>
                    <w:bidi w:val="0"/>
                    <w:adjustRightInd/>
                    <w:snapToGrid/>
                    <w:spacing w:beforeAutospacing="0" w:afterAutospacing="0" w:line="280" w:lineRule="exact"/>
                    <w:ind w:firstLine="420" w:firstLineChars="200"/>
                    <w:jc w:val="center"/>
                    <w:textAlignment w:val="auto"/>
                    <w:rPr>
                      <w:rFonts w:hint="default"/>
                      <w:b w:val="0"/>
                      <w:bCs w:val="0"/>
                      <w:color w:val="auto"/>
                    </w:rPr>
                  </w:pPr>
                </w:p>
              </w:tc>
              <w:tc>
                <w:tcPr>
                  <w:tcW w:w="550" w:type="pct"/>
                  <w:tcBorders>
                    <w:tl2br w:val="nil"/>
                    <w:tr2bl w:val="nil"/>
                  </w:tcBorders>
                  <w:vAlign w:val="center"/>
                </w:tcPr>
                <w:p w14:paraId="58DE2908">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baseline"/>
                    <w:rPr>
                      <w:rFonts w:hint="eastAsia"/>
                      <w:b w:val="0"/>
                      <w:bCs w:val="0"/>
                      <w:color w:val="auto"/>
                      <w:lang w:eastAsia="zh-CN"/>
                    </w:rPr>
                  </w:pPr>
                  <w:r>
                    <w:rPr>
                      <w:rFonts w:hint="eastAsia"/>
                      <w:b w:val="0"/>
                      <w:bCs w:val="0"/>
                      <w:color w:val="auto"/>
                      <w:lang w:eastAsia="zh-CN"/>
                    </w:rPr>
                    <w:t>符合</w:t>
                  </w:r>
                </w:p>
              </w:tc>
            </w:tr>
            <w:tr w14:paraId="734AF2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944" w:type="pct"/>
                  <w:tcBorders>
                    <w:tl2br w:val="nil"/>
                    <w:tr2bl w:val="nil"/>
                  </w:tcBorders>
                  <w:vAlign w:val="center"/>
                </w:tcPr>
                <w:p w14:paraId="17B0EAB6">
                  <w:pPr>
                    <w:keepNext w:val="0"/>
                    <w:keepLines w:val="0"/>
                    <w:widowControl/>
                    <w:suppressLineNumbers w:val="0"/>
                    <w:jc w:val="left"/>
                    <w:rPr>
                      <w:rFonts w:hint="default"/>
                      <w:b w:val="0"/>
                      <w:bCs w:val="0"/>
                      <w:color w:val="auto"/>
                    </w:rPr>
                  </w:pPr>
                  <w:r>
                    <w:rPr>
                      <w:rFonts w:hint="default"/>
                      <w:b w:val="0"/>
                      <w:bCs w:val="0"/>
                      <w:color w:val="auto"/>
                      <w:lang w:val="en-US" w:eastAsia="zh-CN"/>
                    </w:rPr>
                    <w:t xml:space="preserve">6.2 挥发性有机液体装载 </w:t>
                  </w:r>
                </w:p>
                <w:p w14:paraId="4385BD39">
                  <w:pPr>
                    <w:keepNext w:val="0"/>
                    <w:keepLines w:val="0"/>
                    <w:widowControl/>
                    <w:suppressLineNumbers w:val="0"/>
                    <w:jc w:val="left"/>
                    <w:rPr>
                      <w:rFonts w:hint="default"/>
                      <w:b w:val="0"/>
                      <w:bCs w:val="0"/>
                      <w:color w:val="auto"/>
                    </w:rPr>
                  </w:pPr>
                  <w:r>
                    <w:rPr>
                      <w:rFonts w:hint="default"/>
                      <w:b w:val="0"/>
                      <w:bCs w:val="0"/>
                      <w:color w:val="auto"/>
                      <w:lang w:val="en-US" w:eastAsia="zh-CN"/>
                    </w:rPr>
                    <w:t xml:space="preserve">6.2.1 装载方式 </w:t>
                  </w:r>
                </w:p>
                <w:p w14:paraId="0DC6C8DC">
                  <w:pPr>
                    <w:keepNext w:val="0"/>
                    <w:keepLines w:val="0"/>
                    <w:widowControl/>
                    <w:suppressLineNumbers w:val="0"/>
                    <w:jc w:val="left"/>
                    <w:rPr>
                      <w:rFonts w:hint="default"/>
                      <w:b w:val="0"/>
                      <w:bCs w:val="0"/>
                      <w:color w:val="auto"/>
                    </w:rPr>
                  </w:pPr>
                  <w:r>
                    <w:rPr>
                      <w:rFonts w:hint="default"/>
                      <w:b w:val="0"/>
                      <w:bCs w:val="0"/>
                      <w:color w:val="auto"/>
                      <w:lang w:val="en-US" w:eastAsia="zh-CN"/>
                    </w:rPr>
                    <w:t>挥发性有机液体应采用底部装载方式；若采用项部浸没式装载，出料管口距离槽（罐）底部高度应小于200 mm。</w:t>
                  </w:r>
                </w:p>
              </w:tc>
              <w:tc>
                <w:tcPr>
                  <w:tcW w:w="1505" w:type="pct"/>
                  <w:tcBorders>
                    <w:tl2br w:val="nil"/>
                    <w:tr2bl w:val="nil"/>
                  </w:tcBorders>
                  <w:vAlign w:val="center"/>
                </w:tcPr>
                <w:p w14:paraId="2BC525C2">
                  <w:pPr>
                    <w:keepNext w:val="0"/>
                    <w:keepLines w:val="0"/>
                    <w:pageBreakBefore w:val="0"/>
                    <w:widowControl w:val="0"/>
                    <w:kinsoku/>
                    <w:wordWrap/>
                    <w:overflowPunct/>
                    <w:topLinePunct w:val="0"/>
                    <w:autoSpaceDE/>
                    <w:autoSpaceDN/>
                    <w:bidi w:val="0"/>
                    <w:adjustRightInd/>
                    <w:snapToGrid/>
                    <w:spacing w:beforeAutospacing="0" w:afterAutospacing="0" w:line="280" w:lineRule="exact"/>
                    <w:ind w:firstLine="420" w:firstLineChars="200"/>
                    <w:jc w:val="left"/>
                    <w:textAlignment w:val="auto"/>
                    <w:rPr>
                      <w:rFonts w:hint="default"/>
                      <w:b w:val="0"/>
                      <w:bCs w:val="0"/>
                      <w:color w:val="auto"/>
                    </w:rPr>
                  </w:pPr>
                  <w:r>
                    <w:rPr>
                      <w:rFonts w:hint="default"/>
                      <w:b w:val="0"/>
                      <w:bCs w:val="0"/>
                      <w:color w:val="auto"/>
                      <w:highlight w:val="none"/>
                      <w:lang w:val="en-US" w:eastAsia="zh-CN"/>
                    </w:rPr>
                    <w:t>本项目</w:t>
                  </w:r>
                  <w:r>
                    <w:rPr>
                      <w:rFonts w:hint="eastAsia"/>
                      <w:b w:val="0"/>
                      <w:bCs w:val="0"/>
                      <w:color w:val="auto"/>
                      <w:highlight w:val="none"/>
                      <w:lang w:val="en-US" w:eastAsia="zh-CN"/>
                    </w:rPr>
                    <w:t>航空煤油</w:t>
                  </w:r>
                  <w:r>
                    <w:rPr>
                      <w:rFonts w:hint="default"/>
                      <w:b w:val="0"/>
                      <w:bCs w:val="0"/>
                      <w:color w:val="auto"/>
                      <w:highlight w:val="none"/>
                      <w:lang w:val="en-US" w:eastAsia="zh-CN"/>
                    </w:rPr>
                    <w:t>采用采用内浮顶罐，浮顶罐罐体保持完好，浮盘及附件满足相关控制要求，满足装载要求</w:t>
                  </w:r>
                  <w:r>
                    <w:rPr>
                      <w:rFonts w:hint="eastAsia"/>
                      <w:b w:val="0"/>
                      <w:bCs w:val="0"/>
                      <w:color w:val="auto"/>
                      <w:highlight w:val="none"/>
                      <w:lang w:val="en-US" w:eastAsia="zh-CN"/>
                    </w:rPr>
                    <w:t>。</w:t>
                  </w:r>
                </w:p>
              </w:tc>
              <w:tc>
                <w:tcPr>
                  <w:tcW w:w="550" w:type="pct"/>
                  <w:tcBorders>
                    <w:tl2br w:val="nil"/>
                    <w:tr2bl w:val="nil"/>
                  </w:tcBorders>
                  <w:vAlign w:val="center"/>
                </w:tcPr>
                <w:p w14:paraId="4BFDBE93">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baseline"/>
                    <w:rPr>
                      <w:rFonts w:hint="eastAsia"/>
                      <w:b w:val="0"/>
                      <w:bCs w:val="0"/>
                      <w:color w:val="auto"/>
                      <w:lang w:eastAsia="zh-CN"/>
                    </w:rPr>
                  </w:pPr>
                  <w:r>
                    <w:rPr>
                      <w:rFonts w:hint="eastAsia"/>
                      <w:b w:val="0"/>
                      <w:bCs w:val="0"/>
                      <w:color w:val="auto"/>
                      <w:lang w:eastAsia="zh-CN"/>
                    </w:rPr>
                    <w:t>符合</w:t>
                  </w:r>
                </w:p>
              </w:tc>
            </w:tr>
            <w:tr w14:paraId="68F4A8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944" w:type="pct"/>
                  <w:tcBorders>
                    <w:tl2br w:val="nil"/>
                    <w:tr2bl w:val="nil"/>
                  </w:tcBorders>
                  <w:vAlign w:val="center"/>
                </w:tcPr>
                <w:p w14:paraId="258B08C9">
                  <w:pPr>
                    <w:keepNext w:val="0"/>
                    <w:keepLines w:val="0"/>
                    <w:widowControl/>
                    <w:suppressLineNumbers w:val="0"/>
                    <w:jc w:val="left"/>
                    <w:rPr>
                      <w:rFonts w:hint="default"/>
                      <w:b w:val="0"/>
                      <w:bCs w:val="0"/>
                      <w:color w:val="auto"/>
                    </w:rPr>
                  </w:pPr>
                  <w:r>
                    <w:rPr>
                      <w:rFonts w:hint="default"/>
                      <w:b w:val="0"/>
                      <w:bCs w:val="0"/>
                      <w:color w:val="auto"/>
                      <w:lang w:val="en-US" w:eastAsia="zh-CN"/>
                    </w:rPr>
                    <w:t xml:space="preserve">6.2.2 装载控制要求 </w:t>
                  </w:r>
                </w:p>
                <w:p w14:paraId="3E12A5F3">
                  <w:pPr>
                    <w:keepNext w:val="0"/>
                    <w:keepLines w:val="0"/>
                    <w:widowControl/>
                    <w:suppressLineNumbers w:val="0"/>
                    <w:jc w:val="left"/>
                    <w:rPr>
                      <w:rFonts w:hint="default"/>
                      <w:b w:val="0"/>
                      <w:bCs w:val="0"/>
                      <w:color w:val="auto"/>
                    </w:rPr>
                  </w:pPr>
                  <w:r>
                    <w:rPr>
                      <w:rFonts w:hint="default"/>
                      <w:b w:val="0"/>
                      <w:bCs w:val="0"/>
                      <w:color w:val="auto"/>
                      <w:lang w:val="en-US" w:eastAsia="zh-CN"/>
                    </w:rPr>
                    <w:t>装载物料真实蒸气压≥27.6 kPa 且单一装载设施的年装载量≥500m</w:t>
                  </w:r>
                  <w:r>
                    <w:rPr>
                      <w:rFonts w:hint="default"/>
                      <w:b w:val="0"/>
                      <w:bCs w:val="0"/>
                      <w:color w:val="auto"/>
                      <w:vertAlign w:val="superscript"/>
                      <w:lang w:val="en-US" w:eastAsia="zh-CN"/>
                    </w:rPr>
                    <w:t>3</w:t>
                  </w:r>
                  <w:r>
                    <w:rPr>
                      <w:rFonts w:hint="default"/>
                      <w:b w:val="0"/>
                      <w:bCs w:val="0"/>
                      <w:color w:val="auto"/>
                      <w:lang w:val="en-US" w:eastAsia="zh-CN"/>
                    </w:rPr>
                    <w:t xml:space="preserve">的，装载过程应符合下列规定之一： </w:t>
                  </w:r>
                </w:p>
                <w:p w14:paraId="738E5C9B">
                  <w:pPr>
                    <w:keepNext w:val="0"/>
                    <w:keepLines w:val="0"/>
                    <w:widowControl/>
                    <w:suppressLineNumbers w:val="0"/>
                    <w:jc w:val="left"/>
                    <w:rPr>
                      <w:rFonts w:hint="default"/>
                      <w:b w:val="0"/>
                      <w:bCs w:val="0"/>
                      <w:color w:val="auto"/>
                    </w:rPr>
                  </w:pPr>
                  <w:r>
                    <w:rPr>
                      <w:rFonts w:hint="default"/>
                      <w:b w:val="0"/>
                      <w:bCs w:val="0"/>
                      <w:color w:val="auto"/>
                      <w:lang w:val="en-US" w:eastAsia="zh-CN"/>
                    </w:rPr>
                    <w:t xml:space="preserve">a ）排放的废气应收集处理并满足相关行业 </w:t>
                  </w:r>
                </w:p>
                <w:p w14:paraId="3EEED6A0">
                  <w:pPr>
                    <w:keepNext w:val="0"/>
                    <w:keepLines w:val="0"/>
                    <w:widowControl/>
                    <w:suppressLineNumbers w:val="0"/>
                    <w:jc w:val="left"/>
                    <w:rPr>
                      <w:rFonts w:hint="default"/>
                      <w:b w:val="0"/>
                      <w:bCs w:val="0"/>
                      <w:color w:val="auto"/>
                    </w:rPr>
                  </w:pPr>
                  <w:r>
                    <w:rPr>
                      <w:rFonts w:hint="default"/>
                      <w:b w:val="0"/>
                      <w:bCs w:val="0"/>
                      <w:color w:val="auto"/>
                      <w:lang w:val="en-US" w:eastAsia="zh-CN"/>
                    </w:rPr>
                    <w:t xml:space="preserve">排放标准的要求（无行业排放标准的应满足 </w:t>
                  </w:r>
                </w:p>
                <w:p w14:paraId="04F049D3">
                  <w:pPr>
                    <w:keepNext w:val="0"/>
                    <w:keepLines w:val="0"/>
                    <w:widowControl/>
                    <w:suppressLineNumbers w:val="0"/>
                    <w:jc w:val="left"/>
                    <w:rPr>
                      <w:rFonts w:hint="default"/>
                      <w:b w:val="0"/>
                      <w:bCs w:val="0"/>
                      <w:color w:val="auto"/>
                    </w:rPr>
                  </w:pPr>
                  <w:r>
                    <w:rPr>
                      <w:rFonts w:hint="default"/>
                      <w:b w:val="0"/>
                      <w:bCs w:val="0"/>
                      <w:color w:val="auto"/>
                      <w:lang w:val="en-US" w:eastAsia="zh-CN"/>
                    </w:rPr>
                    <w:t>GB 16297的要求），或者处理效率不低于 80%；b）排放的废气连接至气相平衡系统。</w:t>
                  </w:r>
                </w:p>
              </w:tc>
              <w:tc>
                <w:tcPr>
                  <w:tcW w:w="1505" w:type="pct"/>
                  <w:vMerge w:val="restart"/>
                  <w:tcBorders>
                    <w:tl2br w:val="nil"/>
                    <w:tr2bl w:val="nil"/>
                  </w:tcBorders>
                  <w:vAlign w:val="center"/>
                </w:tcPr>
                <w:p w14:paraId="5D9B077E">
                  <w:pPr>
                    <w:keepNext w:val="0"/>
                    <w:keepLines w:val="0"/>
                    <w:pageBreakBefore w:val="0"/>
                    <w:widowControl w:val="0"/>
                    <w:kinsoku/>
                    <w:wordWrap/>
                    <w:overflowPunct/>
                    <w:topLinePunct w:val="0"/>
                    <w:autoSpaceDE/>
                    <w:autoSpaceDN/>
                    <w:bidi w:val="0"/>
                    <w:adjustRightInd/>
                    <w:snapToGrid/>
                    <w:spacing w:beforeAutospacing="0" w:afterAutospacing="0" w:line="280" w:lineRule="exact"/>
                    <w:ind w:firstLine="420" w:firstLineChars="200"/>
                    <w:jc w:val="left"/>
                    <w:textAlignment w:val="auto"/>
                    <w:rPr>
                      <w:rFonts w:hint="default"/>
                      <w:b w:val="0"/>
                      <w:bCs w:val="0"/>
                      <w:color w:val="auto"/>
                    </w:rPr>
                  </w:pPr>
                  <w:r>
                    <w:rPr>
                      <w:rFonts w:hint="default"/>
                      <w:b w:val="0"/>
                      <w:bCs w:val="0"/>
                      <w:color w:val="auto"/>
                      <w:lang w:val="en-US" w:eastAsia="zh-CN"/>
                    </w:rPr>
                    <w:t>本项目收发油时产生的油气经密闭收集，并送入油气处理装置回收处理，VOCs排放满足《储油库大气污染物排放 标准》GB 20590-2020)</w:t>
                  </w:r>
                </w:p>
                <w:p w14:paraId="3613BDB7">
                  <w:pPr>
                    <w:keepNext w:val="0"/>
                    <w:keepLines w:val="0"/>
                    <w:pageBreakBefore w:val="0"/>
                    <w:widowControl w:val="0"/>
                    <w:kinsoku/>
                    <w:wordWrap/>
                    <w:overflowPunct/>
                    <w:topLinePunct w:val="0"/>
                    <w:autoSpaceDE/>
                    <w:autoSpaceDN/>
                    <w:bidi w:val="0"/>
                    <w:adjustRightInd/>
                    <w:snapToGrid/>
                    <w:spacing w:beforeAutospacing="0" w:afterAutospacing="0" w:line="280" w:lineRule="exact"/>
                    <w:ind w:firstLine="420" w:firstLineChars="200"/>
                    <w:jc w:val="left"/>
                    <w:textAlignment w:val="auto"/>
                    <w:rPr>
                      <w:rFonts w:hint="default"/>
                      <w:b w:val="0"/>
                      <w:bCs w:val="0"/>
                      <w:color w:val="auto"/>
                    </w:rPr>
                  </w:pPr>
                </w:p>
              </w:tc>
              <w:tc>
                <w:tcPr>
                  <w:tcW w:w="550" w:type="pct"/>
                  <w:tcBorders>
                    <w:tl2br w:val="nil"/>
                    <w:tr2bl w:val="nil"/>
                  </w:tcBorders>
                  <w:vAlign w:val="center"/>
                </w:tcPr>
                <w:p w14:paraId="4BC1C5B0">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baseline"/>
                    <w:rPr>
                      <w:rFonts w:hint="eastAsia"/>
                      <w:b w:val="0"/>
                      <w:bCs w:val="0"/>
                      <w:color w:val="auto"/>
                      <w:lang w:eastAsia="zh-CN"/>
                    </w:rPr>
                  </w:pPr>
                  <w:r>
                    <w:rPr>
                      <w:rFonts w:hint="eastAsia"/>
                      <w:b w:val="0"/>
                      <w:bCs w:val="0"/>
                      <w:color w:val="auto"/>
                      <w:lang w:eastAsia="zh-CN"/>
                    </w:rPr>
                    <w:t>符合</w:t>
                  </w:r>
                </w:p>
              </w:tc>
            </w:tr>
            <w:tr w14:paraId="05BEBE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944" w:type="pct"/>
                  <w:tcBorders>
                    <w:tl2br w:val="nil"/>
                    <w:tr2bl w:val="nil"/>
                  </w:tcBorders>
                  <w:vAlign w:val="center"/>
                </w:tcPr>
                <w:p w14:paraId="564401E2">
                  <w:pPr>
                    <w:keepNext w:val="0"/>
                    <w:keepLines w:val="0"/>
                    <w:widowControl/>
                    <w:suppressLineNumbers w:val="0"/>
                    <w:jc w:val="left"/>
                    <w:rPr>
                      <w:rFonts w:hint="default"/>
                      <w:b w:val="0"/>
                      <w:bCs w:val="0"/>
                      <w:color w:val="auto"/>
                    </w:rPr>
                  </w:pPr>
                  <w:r>
                    <w:rPr>
                      <w:rFonts w:hint="default"/>
                      <w:b w:val="0"/>
                      <w:bCs w:val="0"/>
                      <w:color w:val="auto"/>
                      <w:lang w:val="en-US" w:eastAsia="zh-CN"/>
                    </w:rPr>
                    <w:t xml:space="preserve">6.2.3 装载特别控制要求 </w:t>
                  </w:r>
                </w:p>
                <w:p w14:paraId="6FEADD52">
                  <w:pPr>
                    <w:keepNext w:val="0"/>
                    <w:keepLines w:val="0"/>
                    <w:widowControl/>
                    <w:suppressLineNumbers w:val="0"/>
                    <w:ind w:firstLine="420" w:firstLineChars="200"/>
                    <w:jc w:val="left"/>
                    <w:rPr>
                      <w:rFonts w:hint="default"/>
                      <w:b w:val="0"/>
                      <w:bCs w:val="0"/>
                      <w:color w:val="auto"/>
                    </w:rPr>
                  </w:pPr>
                  <w:r>
                    <w:rPr>
                      <w:rFonts w:hint="default"/>
                      <w:b w:val="0"/>
                      <w:bCs w:val="0"/>
                      <w:color w:val="auto"/>
                      <w:lang w:val="en-US" w:eastAsia="zh-CN"/>
                    </w:rPr>
                    <w:t>装载物料真实蒸气压≥276 kPa 且单一装载设施的年装载量≥500m</w:t>
                  </w:r>
                  <w:r>
                    <w:rPr>
                      <w:rFonts w:hint="default"/>
                      <w:b w:val="0"/>
                      <w:bCs w:val="0"/>
                      <w:color w:val="auto"/>
                      <w:vertAlign w:val="superscript"/>
                      <w:lang w:val="en-US" w:eastAsia="zh-CN"/>
                    </w:rPr>
                    <w:t>3</w:t>
                  </w:r>
                  <w:r>
                    <w:rPr>
                      <w:rFonts w:hint="default"/>
                      <w:b w:val="0"/>
                      <w:bCs w:val="0"/>
                      <w:color w:val="auto"/>
                      <w:lang w:val="en-US" w:eastAsia="zh-CN"/>
                    </w:rPr>
                    <w:t>，以及装载物料真实蒸气压≥5.2 kPa 但＜27.6 kPa 且单一装载设施的年装载量≥2500 m</w:t>
                  </w:r>
                  <w:r>
                    <w:rPr>
                      <w:rFonts w:hint="default"/>
                      <w:b w:val="0"/>
                      <w:bCs w:val="0"/>
                      <w:color w:val="auto"/>
                      <w:vertAlign w:val="superscript"/>
                      <w:lang w:val="en-US" w:eastAsia="zh-CN"/>
                    </w:rPr>
                    <w:t>3</w:t>
                  </w:r>
                  <w:r>
                    <w:rPr>
                      <w:rFonts w:hint="default"/>
                      <w:b w:val="0"/>
                      <w:bCs w:val="0"/>
                      <w:color w:val="auto"/>
                      <w:lang w:val="en-US" w:eastAsia="zh-CN"/>
                    </w:rPr>
                    <w:t>的，装载过程应符合下列规定之一：a）排放的废气应收集处理并满足相关行业排放标准的要求（无行业排放标准的应满足GB 16297 的要求），或者处理效率不低于90%</w:t>
                  </w:r>
                  <w:r>
                    <w:rPr>
                      <w:rFonts w:hint="eastAsia"/>
                      <w:b w:val="0"/>
                      <w:bCs w:val="0"/>
                      <w:color w:val="auto"/>
                      <w:lang w:val="en-US" w:eastAsia="zh-CN"/>
                    </w:rPr>
                    <w:t>；</w:t>
                  </w:r>
                  <w:r>
                    <w:rPr>
                      <w:rFonts w:hint="default"/>
                      <w:b w:val="0"/>
                      <w:bCs w:val="0"/>
                      <w:color w:val="auto"/>
                      <w:lang w:val="en-US" w:eastAsia="zh-CN"/>
                    </w:rPr>
                    <w:t>b）排放的废气连接至气相平衡系统。</w:t>
                  </w:r>
                </w:p>
              </w:tc>
              <w:tc>
                <w:tcPr>
                  <w:tcW w:w="1505" w:type="pct"/>
                  <w:vMerge w:val="continue"/>
                  <w:tcBorders>
                    <w:tl2br w:val="nil"/>
                    <w:tr2bl w:val="nil"/>
                  </w:tcBorders>
                  <w:vAlign w:val="center"/>
                </w:tcPr>
                <w:p w14:paraId="79055544">
                  <w:pPr>
                    <w:keepNext w:val="0"/>
                    <w:keepLines w:val="0"/>
                    <w:pageBreakBefore w:val="0"/>
                    <w:widowControl w:val="0"/>
                    <w:kinsoku/>
                    <w:wordWrap/>
                    <w:overflowPunct/>
                    <w:topLinePunct w:val="0"/>
                    <w:autoSpaceDE/>
                    <w:autoSpaceDN/>
                    <w:bidi w:val="0"/>
                    <w:adjustRightInd/>
                    <w:snapToGrid/>
                    <w:spacing w:beforeAutospacing="0" w:afterAutospacing="0" w:line="280" w:lineRule="exact"/>
                    <w:ind w:firstLine="420" w:firstLineChars="200"/>
                    <w:jc w:val="left"/>
                    <w:textAlignment w:val="auto"/>
                    <w:rPr>
                      <w:rFonts w:hint="default"/>
                      <w:b w:val="0"/>
                      <w:bCs w:val="0"/>
                      <w:color w:val="auto"/>
                    </w:rPr>
                  </w:pPr>
                </w:p>
              </w:tc>
              <w:tc>
                <w:tcPr>
                  <w:tcW w:w="550" w:type="pct"/>
                  <w:tcBorders>
                    <w:tl2br w:val="nil"/>
                    <w:tr2bl w:val="nil"/>
                  </w:tcBorders>
                  <w:vAlign w:val="center"/>
                </w:tcPr>
                <w:p w14:paraId="713D9241">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baseline"/>
                    <w:rPr>
                      <w:rFonts w:hint="eastAsia"/>
                      <w:b w:val="0"/>
                      <w:bCs w:val="0"/>
                      <w:color w:val="auto"/>
                      <w:lang w:eastAsia="zh-CN"/>
                    </w:rPr>
                  </w:pPr>
                  <w:r>
                    <w:rPr>
                      <w:rFonts w:hint="eastAsia"/>
                      <w:b w:val="0"/>
                      <w:bCs w:val="0"/>
                      <w:color w:val="auto"/>
                      <w:lang w:eastAsia="zh-CN"/>
                    </w:rPr>
                    <w:t>符合</w:t>
                  </w:r>
                </w:p>
              </w:tc>
            </w:tr>
          </w:tbl>
          <w:p w14:paraId="62096462">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jc w:val="both"/>
              <w:textAlignment w:val="auto"/>
              <w:rPr>
                <w:rFonts w:hint="eastAsia"/>
                <w:b w:val="0"/>
                <w:bCs w:val="0"/>
                <w:color w:val="auto"/>
                <w:sz w:val="24"/>
                <w:szCs w:val="24"/>
                <w:lang w:val="en-US" w:eastAsia="zh-CN"/>
              </w:rPr>
            </w:pPr>
            <w:r>
              <w:rPr>
                <w:rFonts w:hint="eastAsia"/>
                <w:b w:val="0"/>
                <w:bCs w:val="0"/>
                <w:color w:val="auto"/>
                <w:sz w:val="24"/>
                <w:szCs w:val="24"/>
                <w:lang w:val="en-US" w:eastAsia="zh-CN"/>
              </w:rPr>
              <w:t>因此，本项目符合《挥发性有机物无组织排放控制标准》（GB 37822-2019）要求。</w:t>
            </w:r>
          </w:p>
          <w:p w14:paraId="33CE070A">
            <w:pPr>
              <w:keepNext w:val="0"/>
              <w:keepLines w:val="0"/>
              <w:pageBreakBefore w:val="0"/>
              <w:widowControl w:val="0"/>
              <w:kinsoku/>
              <w:wordWrap/>
              <w:overflowPunct/>
              <w:topLinePunct w:val="0"/>
              <w:autoSpaceDE/>
              <w:autoSpaceDN/>
              <w:bidi w:val="0"/>
              <w:adjustRightInd/>
              <w:snapToGrid w:val="0"/>
              <w:spacing w:before="157" w:beforeLines="50" w:line="360" w:lineRule="auto"/>
              <w:jc w:val="center"/>
              <w:textAlignment w:val="auto"/>
              <w:rPr>
                <w:rFonts w:hint="eastAsia"/>
                <w:b/>
                <w:bCs/>
                <w:color w:val="auto"/>
                <w:sz w:val="24"/>
                <w:szCs w:val="24"/>
                <w:lang w:val="en-US" w:eastAsia="zh-CN"/>
              </w:rPr>
            </w:pPr>
            <w:r>
              <w:rPr>
                <w:rFonts w:hint="eastAsia"/>
                <w:b/>
                <w:bCs/>
                <w:color w:val="auto"/>
                <w:sz w:val="24"/>
                <w:szCs w:val="24"/>
                <w:lang w:val="en-US" w:eastAsia="zh-CN"/>
              </w:rPr>
              <w:t>6</w:t>
            </w:r>
            <w:r>
              <w:rPr>
                <w:rFonts w:hint="eastAsia"/>
                <w:b/>
                <w:bCs/>
                <w:color w:val="auto"/>
                <w:sz w:val="24"/>
                <w:szCs w:val="24"/>
              </w:rPr>
              <w:t>、</w:t>
            </w:r>
            <w:r>
              <w:rPr>
                <w:rFonts w:hint="eastAsia"/>
                <w:b/>
                <w:bCs/>
                <w:color w:val="auto"/>
                <w:sz w:val="24"/>
                <w:szCs w:val="24"/>
                <w:lang w:val="en-US" w:eastAsia="zh-CN"/>
              </w:rPr>
              <w:t>与《挥发性有机物治理实用手册》（第二版）要求符合性分析</w:t>
            </w:r>
          </w:p>
          <w:p w14:paraId="4D521D8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b/>
                <w:bCs/>
                <w:color w:val="auto"/>
                <w:sz w:val="24"/>
                <w:szCs w:val="24"/>
                <w:lang w:val="en-US" w:eastAsia="zh-CN"/>
              </w:rPr>
            </w:pPr>
            <w:r>
              <w:rPr>
                <w:rFonts w:hint="eastAsia" w:ascii="宋体" w:hAnsi="宋体" w:eastAsia="宋体" w:cs="宋体"/>
                <w:color w:val="auto"/>
                <w:kern w:val="0"/>
                <w:sz w:val="24"/>
                <w:szCs w:val="24"/>
                <w:lang w:val="en-US" w:eastAsia="zh-CN" w:bidi="ar"/>
              </w:rPr>
              <w:t>储油库主要指用于开展原油、成品油仓储服务，由油品储罐组成并通过汽车罐车、铁路罐车、油船或管道等方式收发油品的场所，生产企业内罐区除外。储油库的</w:t>
            </w:r>
            <w:r>
              <w:rPr>
                <w:rFonts w:hint="default" w:ascii="Times New Roman" w:hAnsi="Times New Roman" w:eastAsia="宋体" w:cs="Times New Roman"/>
                <w:color w:val="auto"/>
                <w:kern w:val="0"/>
                <w:sz w:val="24"/>
                <w:szCs w:val="24"/>
                <w:lang w:val="en-US" w:eastAsia="zh-CN" w:bidi="ar"/>
              </w:rPr>
              <w:t>VOC</w:t>
            </w:r>
            <w:r>
              <w:rPr>
                <w:rFonts w:hint="default" w:ascii="Times New Roman" w:hAnsi="Times New Roman" w:eastAsia="宋体" w:cs="Times New Roman"/>
                <w:color w:val="auto"/>
                <w:kern w:val="0"/>
                <w:sz w:val="24"/>
                <w:szCs w:val="24"/>
                <w:vertAlign w:val="subscript"/>
                <w:lang w:val="en-US" w:eastAsia="zh-CN" w:bidi="ar"/>
              </w:rPr>
              <w:t>s</w:t>
            </w:r>
            <w:r>
              <w:rPr>
                <w:rFonts w:hint="eastAsia" w:ascii="宋体" w:hAnsi="宋体" w:eastAsia="宋体" w:cs="宋体"/>
                <w:color w:val="auto"/>
                <w:kern w:val="0"/>
                <w:sz w:val="24"/>
                <w:szCs w:val="24"/>
                <w:lang w:val="en-US" w:eastAsia="zh-CN" w:bidi="ar"/>
              </w:rPr>
              <w:t>排放主要来自油品装卸、储罐呼吸和蒸发排放，应对各排放环节进行全过程管控。本项目为储油库项目，主要储存的油品为</w:t>
            </w:r>
            <w:r>
              <w:rPr>
                <w:rFonts w:hint="eastAsia" w:ascii="宋体" w:hAnsi="宋体" w:cs="宋体"/>
                <w:color w:val="auto"/>
                <w:kern w:val="0"/>
                <w:sz w:val="24"/>
                <w:szCs w:val="24"/>
                <w:lang w:val="en-US" w:eastAsia="zh-CN" w:bidi="ar"/>
              </w:rPr>
              <w:t>航空煤油</w:t>
            </w:r>
            <w:r>
              <w:rPr>
                <w:rFonts w:hint="eastAsia" w:ascii="宋体" w:hAnsi="宋体" w:eastAsia="宋体" w:cs="宋体"/>
                <w:color w:val="auto"/>
                <w:kern w:val="0"/>
                <w:sz w:val="24"/>
                <w:szCs w:val="24"/>
                <w:lang w:val="en-US" w:eastAsia="zh-CN" w:bidi="ar"/>
              </w:rPr>
              <w:t>。对照《挥发性有机物治理实用手册》（第二版）（生态环境部大气环境司、生态环境部环境规划院</w:t>
            </w:r>
            <w:r>
              <w:rPr>
                <w:rFonts w:hint="default" w:ascii="Times New Roman" w:hAnsi="Times New Roman" w:eastAsia="宋体" w:cs="Times New Roman"/>
                <w:color w:val="auto"/>
                <w:kern w:val="0"/>
                <w:sz w:val="24"/>
                <w:szCs w:val="24"/>
                <w:lang w:val="en-US" w:eastAsia="zh-CN" w:bidi="ar"/>
              </w:rPr>
              <w:t>2021</w:t>
            </w:r>
            <w:r>
              <w:rPr>
                <w:rFonts w:hint="eastAsia" w:ascii="宋体" w:hAnsi="宋体" w:eastAsia="宋体" w:cs="宋体"/>
                <w:color w:val="auto"/>
                <w:kern w:val="0"/>
                <w:sz w:val="24"/>
                <w:szCs w:val="24"/>
                <w:lang w:val="en-US" w:eastAsia="zh-CN" w:bidi="ar"/>
              </w:rPr>
              <w:t>年</w:t>
            </w:r>
            <w:r>
              <w:rPr>
                <w:rFonts w:hint="default" w:ascii="Times New Roman" w:hAnsi="Times New Roman" w:eastAsia="宋体" w:cs="Times New Roman"/>
                <w:color w:val="auto"/>
                <w:kern w:val="0"/>
                <w:sz w:val="24"/>
                <w:szCs w:val="24"/>
                <w:lang w:val="en-US" w:eastAsia="zh-CN" w:bidi="ar"/>
              </w:rPr>
              <w:t>9</w:t>
            </w:r>
            <w:r>
              <w:rPr>
                <w:rFonts w:hint="eastAsia" w:ascii="宋体" w:hAnsi="宋体" w:eastAsia="宋体" w:cs="宋体"/>
                <w:color w:val="auto"/>
                <w:kern w:val="0"/>
                <w:sz w:val="24"/>
                <w:szCs w:val="24"/>
                <w:lang w:val="en-US" w:eastAsia="zh-CN" w:bidi="ar"/>
              </w:rPr>
              <w:t>月编制）中相关要求，具体如下：</w:t>
            </w:r>
          </w:p>
          <w:p w14:paraId="0C46CBAE">
            <w:pPr>
              <w:keepNext w:val="0"/>
              <w:keepLines w:val="0"/>
              <w:pageBreakBefore w:val="0"/>
              <w:widowControl w:val="0"/>
              <w:kinsoku/>
              <w:wordWrap/>
              <w:overflowPunct/>
              <w:topLinePunct w:val="0"/>
              <w:autoSpaceDE/>
              <w:autoSpaceDN/>
              <w:bidi w:val="0"/>
              <w:adjustRightInd/>
              <w:snapToGrid w:val="0"/>
              <w:spacing w:before="157" w:beforeLines="50" w:line="360" w:lineRule="auto"/>
              <w:jc w:val="center"/>
              <w:textAlignment w:val="auto"/>
              <w:rPr>
                <w:rFonts w:hint="eastAsia"/>
                <w:b/>
                <w:bCs/>
                <w:color w:val="auto"/>
                <w:sz w:val="24"/>
                <w:szCs w:val="24"/>
                <w:lang w:val="en-US" w:eastAsia="zh-CN"/>
              </w:rPr>
            </w:pPr>
          </w:p>
          <w:p w14:paraId="704EDB0D">
            <w:pPr>
              <w:keepNext w:val="0"/>
              <w:keepLines w:val="0"/>
              <w:pageBreakBefore w:val="0"/>
              <w:widowControl w:val="0"/>
              <w:kinsoku/>
              <w:wordWrap/>
              <w:overflowPunct/>
              <w:topLinePunct w:val="0"/>
              <w:autoSpaceDE/>
              <w:autoSpaceDN/>
              <w:bidi w:val="0"/>
              <w:adjustRightInd/>
              <w:snapToGrid w:val="0"/>
              <w:spacing w:before="157" w:beforeLines="50" w:line="360" w:lineRule="auto"/>
              <w:jc w:val="center"/>
              <w:textAlignment w:val="auto"/>
              <w:rPr>
                <w:rFonts w:hint="eastAsia"/>
                <w:b/>
                <w:bCs/>
                <w:color w:val="auto"/>
                <w:sz w:val="24"/>
                <w:szCs w:val="24"/>
                <w:lang w:val="en-US" w:eastAsia="zh-CN"/>
              </w:rPr>
            </w:pPr>
          </w:p>
          <w:p w14:paraId="0FB19D7C">
            <w:pPr>
              <w:keepNext w:val="0"/>
              <w:keepLines w:val="0"/>
              <w:pageBreakBefore w:val="0"/>
              <w:widowControl w:val="0"/>
              <w:kinsoku/>
              <w:wordWrap/>
              <w:overflowPunct/>
              <w:topLinePunct w:val="0"/>
              <w:autoSpaceDE/>
              <w:autoSpaceDN/>
              <w:bidi w:val="0"/>
              <w:adjustRightInd/>
              <w:snapToGrid w:val="0"/>
              <w:spacing w:before="157" w:beforeLines="50" w:line="360" w:lineRule="auto"/>
              <w:jc w:val="center"/>
              <w:textAlignment w:val="auto"/>
              <w:rPr>
                <w:rFonts w:hint="eastAsia"/>
                <w:b/>
                <w:bCs/>
                <w:color w:val="auto"/>
                <w:sz w:val="24"/>
                <w:szCs w:val="24"/>
                <w:lang w:val="en-US" w:eastAsia="zh-CN"/>
              </w:rPr>
            </w:pPr>
          </w:p>
          <w:p w14:paraId="4DCC2A75">
            <w:pPr>
              <w:keepNext w:val="0"/>
              <w:keepLines w:val="0"/>
              <w:pageBreakBefore w:val="0"/>
              <w:widowControl w:val="0"/>
              <w:kinsoku/>
              <w:wordWrap/>
              <w:overflowPunct/>
              <w:topLinePunct w:val="0"/>
              <w:autoSpaceDE/>
              <w:autoSpaceDN/>
              <w:bidi w:val="0"/>
              <w:adjustRightInd/>
              <w:snapToGrid w:val="0"/>
              <w:spacing w:before="157" w:beforeLines="50" w:line="360" w:lineRule="auto"/>
              <w:jc w:val="center"/>
              <w:textAlignment w:val="auto"/>
              <w:rPr>
                <w:b/>
                <w:bCs/>
                <w:color w:val="auto"/>
                <w:sz w:val="24"/>
                <w:szCs w:val="24"/>
              </w:rPr>
            </w:pPr>
            <w:r>
              <w:rPr>
                <w:rFonts w:hint="eastAsia"/>
                <w:b/>
                <w:bCs/>
                <w:color w:val="auto"/>
                <w:sz w:val="24"/>
                <w:szCs w:val="24"/>
                <w:lang w:val="en-US" w:eastAsia="zh-CN"/>
              </w:rPr>
              <w:t>表1-9  与《挥发性有机物治理实用手册》（第二版）要求符合性分析</w:t>
            </w:r>
          </w:p>
          <w:tbl>
            <w:tblPr>
              <w:tblStyle w:val="32"/>
              <w:tblW w:w="4991"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727"/>
              <w:gridCol w:w="1726"/>
              <w:gridCol w:w="795"/>
            </w:tblGrid>
            <w:tr w14:paraId="7CC209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260" w:type="pct"/>
                  <w:tcBorders>
                    <w:tl2br w:val="nil"/>
                    <w:tr2bl w:val="nil"/>
                  </w:tcBorders>
                  <w:vAlign w:val="center"/>
                </w:tcPr>
                <w:p w14:paraId="07D6172C">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rPr>
                      <w:rFonts w:hint="default" w:ascii="Times New Roman" w:hAnsi="Times New Roman" w:cs="Times New Roman"/>
                      <w:color w:val="auto"/>
                      <w:sz w:val="21"/>
                      <w:szCs w:val="21"/>
                      <w:lang w:val="en" w:eastAsia="zh-CN"/>
                    </w:rPr>
                  </w:pPr>
                  <w:r>
                    <w:rPr>
                      <w:rFonts w:hint="default"/>
                      <w:b/>
                      <w:bCs/>
                      <w:color w:val="auto"/>
                    </w:rPr>
                    <w:t>要求</w:t>
                  </w:r>
                </w:p>
              </w:tc>
              <w:tc>
                <w:tcPr>
                  <w:tcW w:w="1190" w:type="pct"/>
                  <w:tcBorders>
                    <w:tl2br w:val="nil"/>
                    <w:tr2bl w:val="nil"/>
                  </w:tcBorders>
                  <w:vAlign w:val="center"/>
                </w:tcPr>
                <w:p w14:paraId="6CF03EF3">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rPr>
                      <w:rFonts w:hint="eastAsia"/>
                      <w:color w:val="auto"/>
                      <w:lang w:val="en-US" w:eastAsia="zh-CN"/>
                    </w:rPr>
                  </w:pPr>
                  <w:r>
                    <w:rPr>
                      <w:rFonts w:hint="default"/>
                      <w:b/>
                      <w:bCs/>
                      <w:color w:val="auto"/>
                    </w:rPr>
                    <w:t>本项目情况</w:t>
                  </w:r>
                </w:p>
              </w:tc>
              <w:tc>
                <w:tcPr>
                  <w:tcW w:w="548" w:type="pct"/>
                  <w:tcBorders>
                    <w:tl2br w:val="nil"/>
                    <w:tr2bl w:val="nil"/>
                  </w:tcBorders>
                  <w:vAlign w:val="center"/>
                </w:tcPr>
                <w:p w14:paraId="5A02E178">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baseline"/>
                    <w:rPr>
                      <w:rFonts w:hint="eastAsia"/>
                      <w:color w:val="auto"/>
                      <w:lang w:val="en-US" w:eastAsia="zh-CN"/>
                    </w:rPr>
                  </w:pPr>
                  <w:r>
                    <w:rPr>
                      <w:rFonts w:hint="default"/>
                      <w:b/>
                      <w:bCs/>
                      <w:color w:val="auto"/>
                    </w:rPr>
                    <w:t>符合性</w:t>
                  </w:r>
                </w:p>
              </w:tc>
            </w:tr>
            <w:tr w14:paraId="7703CC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260" w:type="pct"/>
                  <w:tcBorders>
                    <w:tl2br w:val="nil"/>
                    <w:tr2bl w:val="nil"/>
                  </w:tcBorders>
                  <w:vAlign w:val="center"/>
                </w:tcPr>
                <w:p w14:paraId="10354D5A">
                  <w:pPr>
                    <w:keepNext w:val="0"/>
                    <w:keepLines w:val="0"/>
                    <w:pageBreakBefore w:val="0"/>
                    <w:widowControl w:val="0"/>
                    <w:kinsoku/>
                    <w:wordWrap/>
                    <w:overflowPunct/>
                    <w:topLinePunct w:val="0"/>
                    <w:autoSpaceDE/>
                    <w:autoSpaceDN/>
                    <w:bidi w:val="0"/>
                    <w:adjustRightInd/>
                    <w:snapToGrid/>
                    <w:spacing w:beforeAutospacing="0" w:afterAutospacing="0" w:line="280" w:lineRule="exact"/>
                    <w:ind w:firstLine="420" w:firstLineChars="200"/>
                    <w:jc w:val="left"/>
                    <w:textAlignment w:val="auto"/>
                    <w:rPr>
                      <w:rFonts w:hint="default"/>
                      <w:b w:val="0"/>
                      <w:bCs w:val="0"/>
                      <w:color w:val="auto"/>
                    </w:rPr>
                  </w:pPr>
                  <w:r>
                    <w:rPr>
                      <w:rFonts w:hint="default"/>
                      <w:b w:val="0"/>
                      <w:bCs w:val="0"/>
                      <w:color w:val="auto"/>
                      <w:lang w:val="en-US" w:eastAsia="zh-CN"/>
                    </w:rPr>
                    <w:t xml:space="preserve">1．控制要求 </w:t>
                  </w:r>
                </w:p>
                <w:p w14:paraId="304A5ADB">
                  <w:pPr>
                    <w:keepNext w:val="0"/>
                    <w:keepLines w:val="0"/>
                    <w:pageBreakBefore w:val="0"/>
                    <w:widowControl w:val="0"/>
                    <w:kinsoku/>
                    <w:wordWrap/>
                    <w:overflowPunct/>
                    <w:topLinePunct w:val="0"/>
                    <w:autoSpaceDE/>
                    <w:autoSpaceDN/>
                    <w:bidi w:val="0"/>
                    <w:adjustRightInd/>
                    <w:snapToGrid/>
                    <w:spacing w:beforeAutospacing="0" w:afterAutospacing="0" w:line="280" w:lineRule="exact"/>
                    <w:ind w:firstLine="420" w:firstLineChars="200"/>
                    <w:jc w:val="left"/>
                    <w:textAlignment w:val="auto"/>
                    <w:rPr>
                      <w:rFonts w:hint="default"/>
                      <w:b w:val="0"/>
                      <w:bCs w:val="0"/>
                      <w:color w:val="auto"/>
                    </w:rPr>
                  </w:pPr>
                  <w:r>
                    <w:rPr>
                      <w:rFonts w:hint="default"/>
                      <w:b w:val="0"/>
                      <w:bCs w:val="0"/>
                      <w:color w:val="auto"/>
                      <w:lang w:val="en-US" w:eastAsia="zh-CN"/>
                    </w:rPr>
                    <w:t xml:space="preserve">● VOCs 排放应满足《储油库大气污染物排放标准》 </w:t>
                  </w:r>
                </w:p>
                <w:p w14:paraId="5D516A87">
                  <w:pPr>
                    <w:keepNext w:val="0"/>
                    <w:keepLines w:val="0"/>
                    <w:pageBreakBefore w:val="0"/>
                    <w:widowControl w:val="0"/>
                    <w:kinsoku/>
                    <w:wordWrap/>
                    <w:overflowPunct/>
                    <w:topLinePunct w:val="0"/>
                    <w:autoSpaceDE/>
                    <w:autoSpaceDN/>
                    <w:bidi w:val="0"/>
                    <w:adjustRightInd/>
                    <w:snapToGrid/>
                    <w:spacing w:beforeAutospacing="0" w:afterAutospacing="0" w:line="280" w:lineRule="exact"/>
                    <w:ind w:firstLine="420" w:firstLineChars="200"/>
                    <w:jc w:val="left"/>
                    <w:textAlignment w:val="auto"/>
                    <w:rPr>
                      <w:rFonts w:hint="default"/>
                      <w:b w:val="0"/>
                      <w:bCs w:val="0"/>
                      <w:color w:val="auto"/>
                    </w:rPr>
                  </w:pPr>
                  <w:r>
                    <w:rPr>
                      <w:rFonts w:hint="default"/>
                      <w:b w:val="0"/>
                      <w:bCs w:val="0"/>
                      <w:color w:val="auto"/>
                      <w:lang w:val="en-US" w:eastAsia="zh-CN"/>
                    </w:rPr>
                    <w:t xml:space="preserve">GB 20590-2020)标准中规定，新建企业自2021 年4月1日，现有油库企业自2023年1月1日分别执行以下收油、储油、发油油气排放控制要求。 </w:t>
                  </w:r>
                </w:p>
                <w:p w14:paraId="51673634">
                  <w:pPr>
                    <w:keepNext w:val="0"/>
                    <w:keepLines w:val="0"/>
                    <w:pageBreakBefore w:val="0"/>
                    <w:widowControl w:val="0"/>
                    <w:kinsoku/>
                    <w:wordWrap/>
                    <w:overflowPunct/>
                    <w:topLinePunct w:val="0"/>
                    <w:autoSpaceDE/>
                    <w:autoSpaceDN/>
                    <w:bidi w:val="0"/>
                    <w:adjustRightInd/>
                    <w:snapToGrid/>
                    <w:spacing w:beforeAutospacing="0" w:afterAutospacing="0" w:line="280" w:lineRule="exact"/>
                    <w:ind w:firstLine="420" w:firstLineChars="200"/>
                    <w:jc w:val="left"/>
                    <w:textAlignment w:val="auto"/>
                    <w:rPr>
                      <w:rFonts w:hint="default"/>
                      <w:b w:val="0"/>
                      <w:bCs w:val="0"/>
                      <w:color w:val="auto"/>
                    </w:rPr>
                  </w:pPr>
                  <w:r>
                    <w:rPr>
                      <w:rFonts w:hint="default"/>
                      <w:b w:val="0"/>
                      <w:bCs w:val="0"/>
                      <w:color w:val="auto"/>
                      <w:lang w:val="en-US" w:eastAsia="zh-CN"/>
                    </w:rPr>
                    <w:t>●有更严格地方排放控制标准的，应执行地方标准。</w:t>
                  </w:r>
                </w:p>
              </w:tc>
              <w:tc>
                <w:tcPr>
                  <w:tcW w:w="1190" w:type="pct"/>
                  <w:tcBorders>
                    <w:bottom w:val="single" w:color="auto" w:sz="4" w:space="0"/>
                    <w:tl2br w:val="nil"/>
                    <w:tr2bl w:val="nil"/>
                  </w:tcBorders>
                  <w:vAlign w:val="center"/>
                </w:tcPr>
                <w:p w14:paraId="2998F853">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both"/>
                    <w:textAlignment w:val="auto"/>
                    <w:rPr>
                      <w:rFonts w:hint="default"/>
                      <w:b w:val="0"/>
                      <w:bCs w:val="0"/>
                      <w:color w:val="auto"/>
                    </w:rPr>
                  </w:pPr>
                  <w:r>
                    <w:rPr>
                      <w:rFonts w:hint="default"/>
                      <w:b w:val="0"/>
                      <w:bCs w:val="0"/>
                      <w:color w:val="auto"/>
                      <w:lang w:val="en-US" w:eastAsia="zh-CN"/>
                    </w:rPr>
                    <w:t xml:space="preserve">本项目VOCs 排放满足《储油 </w:t>
                  </w:r>
                </w:p>
                <w:p w14:paraId="255C9870">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both"/>
                    <w:textAlignment w:val="auto"/>
                    <w:rPr>
                      <w:rFonts w:hint="default"/>
                      <w:b w:val="0"/>
                      <w:bCs w:val="0"/>
                      <w:color w:val="auto"/>
                    </w:rPr>
                  </w:pPr>
                  <w:r>
                    <w:rPr>
                      <w:rFonts w:hint="default"/>
                      <w:b w:val="0"/>
                      <w:bCs w:val="0"/>
                      <w:color w:val="auto"/>
                      <w:lang w:val="en-US" w:eastAsia="zh-CN"/>
                    </w:rPr>
                    <w:t xml:space="preserve">库大气污染物排 </w:t>
                  </w:r>
                </w:p>
                <w:p w14:paraId="722034A3">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both"/>
                    <w:textAlignment w:val="auto"/>
                    <w:rPr>
                      <w:rFonts w:hint="default"/>
                      <w:b w:val="0"/>
                      <w:bCs w:val="0"/>
                      <w:color w:val="auto"/>
                      <w:lang w:val="en-US" w:eastAsia="zh-CN"/>
                    </w:rPr>
                  </w:pPr>
                  <w:r>
                    <w:rPr>
                      <w:rFonts w:hint="default"/>
                      <w:b w:val="0"/>
                      <w:bCs w:val="0"/>
                      <w:color w:val="auto"/>
                      <w:lang w:val="en-US" w:eastAsia="zh-CN"/>
                    </w:rPr>
                    <w:t>放标准》 GB20590-2020)</w:t>
                  </w:r>
                </w:p>
                <w:p w14:paraId="59C1C564">
                  <w:pPr>
                    <w:keepNext w:val="0"/>
                    <w:keepLines w:val="0"/>
                    <w:pageBreakBefore w:val="0"/>
                    <w:widowControl w:val="0"/>
                    <w:kinsoku/>
                    <w:wordWrap/>
                    <w:overflowPunct/>
                    <w:topLinePunct w:val="0"/>
                    <w:autoSpaceDE/>
                    <w:autoSpaceDN/>
                    <w:bidi w:val="0"/>
                    <w:adjustRightInd/>
                    <w:snapToGrid/>
                    <w:spacing w:beforeAutospacing="0" w:afterAutospacing="0" w:line="280" w:lineRule="exact"/>
                    <w:ind w:firstLine="420" w:firstLineChars="200"/>
                    <w:jc w:val="center"/>
                    <w:textAlignment w:val="auto"/>
                    <w:rPr>
                      <w:rFonts w:hint="default"/>
                      <w:b w:val="0"/>
                      <w:bCs w:val="0"/>
                      <w:color w:val="auto"/>
                    </w:rPr>
                  </w:pPr>
                </w:p>
                <w:p w14:paraId="6F71EACC">
                  <w:pPr>
                    <w:keepNext w:val="0"/>
                    <w:keepLines w:val="0"/>
                    <w:pageBreakBefore w:val="0"/>
                    <w:widowControl w:val="0"/>
                    <w:kinsoku/>
                    <w:wordWrap/>
                    <w:overflowPunct/>
                    <w:topLinePunct w:val="0"/>
                    <w:autoSpaceDE/>
                    <w:autoSpaceDN/>
                    <w:bidi w:val="0"/>
                    <w:adjustRightInd/>
                    <w:snapToGrid/>
                    <w:spacing w:beforeAutospacing="0" w:afterAutospacing="0" w:line="280" w:lineRule="exact"/>
                    <w:ind w:firstLine="420" w:firstLineChars="200"/>
                    <w:jc w:val="center"/>
                    <w:textAlignment w:val="auto"/>
                    <w:rPr>
                      <w:rFonts w:hint="default"/>
                      <w:b w:val="0"/>
                      <w:bCs w:val="0"/>
                      <w:color w:val="auto"/>
                    </w:rPr>
                  </w:pPr>
                </w:p>
              </w:tc>
              <w:tc>
                <w:tcPr>
                  <w:tcW w:w="548" w:type="pct"/>
                  <w:tcBorders>
                    <w:tl2br w:val="nil"/>
                    <w:tr2bl w:val="nil"/>
                  </w:tcBorders>
                  <w:vAlign w:val="center"/>
                </w:tcPr>
                <w:p w14:paraId="0DE3198F">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baseline"/>
                    <w:rPr>
                      <w:rFonts w:hint="eastAsia" w:eastAsia="宋体"/>
                      <w:b w:val="0"/>
                      <w:bCs w:val="0"/>
                      <w:color w:val="auto"/>
                      <w:lang w:eastAsia="zh-CN"/>
                    </w:rPr>
                  </w:pPr>
                  <w:r>
                    <w:rPr>
                      <w:rFonts w:hint="eastAsia"/>
                      <w:b w:val="0"/>
                      <w:bCs w:val="0"/>
                      <w:color w:val="auto"/>
                      <w:lang w:eastAsia="zh-CN"/>
                    </w:rPr>
                    <w:t>符合</w:t>
                  </w:r>
                </w:p>
              </w:tc>
            </w:tr>
            <w:tr w14:paraId="35DC51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260" w:type="pct"/>
                  <w:tcBorders>
                    <w:tl2br w:val="nil"/>
                    <w:tr2bl w:val="nil"/>
                  </w:tcBorders>
                  <w:vAlign w:val="center"/>
                </w:tcPr>
                <w:p w14:paraId="31B83681">
                  <w:pPr>
                    <w:keepNext w:val="0"/>
                    <w:keepLines w:val="0"/>
                    <w:widowControl/>
                    <w:suppressLineNumbers w:val="0"/>
                    <w:jc w:val="left"/>
                    <w:rPr>
                      <w:rFonts w:hint="default"/>
                      <w:b w:val="0"/>
                      <w:bCs w:val="0"/>
                      <w:color w:val="auto"/>
                    </w:rPr>
                  </w:pPr>
                  <w:r>
                    <w:rPr>
                      <w:rFonts w:hint="default"/>
                      <w:b w:val="0"/>
                      <w:bCs w:val="0"/>
                      <w:color w:val="auto"/>
                      <w:lang w:val="en-US" w:eastAsia="zh-CN"/>
                    </w:rPr>
                    <w:t xml:space="preserve">2．控制技术 </w:t>
                  </w:r>
                </w:p>
                <w:p w14:paraId="605FECA5">
                  <w:pPr>
                    <w:keepNext w:val="0"/>
                    <w:keepLines w:val="0"/>
                    <w:widowControl/>
                    <w:suppressLineNumbers w:val="0"/>
                    <w:jc w:val="left"/>
                    <w:rPr>
                      <w:rFonts w:hint="default"/>
                      <w:b w:val="0"/>
                      <w:bCs w:val="0"/>
                      <w:color w:val="auto"/>
                    </w:rPr>
                  </w:pPr>
                  <w:r>
                    <w:rPr>
                      <w:rFonts w:hint="default"/>
                      <w:b w:val="0"/>
                      <w:bCs w:val="0"/>
                      <w:color w:val="auto"/>
                      <w:lang w:val="en-US" w:eastAsia="zh-CN"/>
                    </w:rPr>
                    <w:t xml:space="preserve">(1）收油油气排放控制 </w:t>
                  </w:r>
                </w:p>
                <w:p w14:paraId="399D0BFE">
                  <w:pPr>
                    <w:keepNext w:val="0"/>
                    <w:keepLines w:val="0"/>
                    <w:widowControl/>
                    <w:suppressLineNumbers w:val="0"/>
                    <w:jc w:val="left"/>
                    <w:rPr>
                      <w:rFonts w:hint="default"/>
                      <w:b w:val="0"/>
                      <w:bCs w:val="0"/>
                      <w:color w:val="auto"/>
                    </w:rPr>
                  </w:pPr>
                  <w:r>
                    <w:rPr>
                      <w:rFonts w:hint="default"/>
                      <w:b w:val="0"/>
                      <w:bCs w:val="0"/>
                      <w:color w:val="auto"/>
                      <w:lang w:val="en-US" w:eastAsia="zh-CN"/>
                    </w:rPr>
                    <w:t xml:space="preserve">●通过汽车罐车收油时，应采用密闭泵送或自流式管道系统，收油时从卧式储罐内置换出的油气应密闭回收到汽车罐车内。 </w:t>
                  </w:r>
                </w:p>
                <w:p w14:paraId="6D34CE1A">
                  <w:pPr>
                    <w:keepNext w:val="0"/>
                    <w:keepLines w:val="0"/>
                    <w:widowControl/>
                    <w:suppressLineNumbers w:val="0"/>
                    <w:jc w:val="left"/>
                    <w:rPr>
                      <w:rFonts w:hint="default"/>
                      <w:b w:val="0"/>
                      <w:bCs w:val="0"/>
                      <w:color w:val="auto"/>
                    </w:rPr>
                  </w:pPr>
                  <w:r>
                    <w:rPr>
                      <w:rFonts w:hint="default"/>
                      <w:b w:val="0"/>
                      <w:bCs w:val="0"/>
                      <w:color w:val="auto"/>
                      <w:lang w:val="en-US" w:eastAsia="zh-CN"/>
                    </w:rPr>
                    <w:t xml:space="preserve">●通过铁路罐车收油时，除拆装灌装鹤管之外的时段，收油鹤管与铁路罐车灌装口（人孔）应密闭。从泵站扫仓罐中产生的油气应为密闭收集，并送入油气处理装置进行回收处理。 </w:t>
                  </w:r>
                </w:p>
                <w:p w14:paraId="4BDED740">
                  <w:pPr>
                    <w:keepNext w:val="0"/>
                    <w:keepLines w:val="0"/>
                    <w:widowControl/>
                    <w:suppressLineNumbers w:val="0"/>
                    <w:jc w:val="left"/>
                    <w:rPr>
                      <w:rFonts w:hint="default"/>
                      <w:b w:val="0"/>
                      <w:bCs w:val="0"/>
                      <w:color w:val="auto"/>
                    </w:rPr>
                  </w:pPr>
                  <w:r>
                    <w:rPr>
                      <w:rFonts w:hint="default"/>
                      <w:b w:val="0"/>
                      <w:bCs w:val="0"/>
                      <w:color w:val="auto"/>
                      <w:lang w:val="en-US" w:eastAsia="zh-CN"/>
                    </w:rPr>
                    <w:t xml:space="preserve">(2）储油油气排放控制 </w:t>
                  </w:r>
                </w:p>
                <w:p w14:paraId="323E5131">
                  <w:pPr>
                    <w:keepNext w:val="0"/>
                    <w:keepLines w:val="0"/>
                    <w:widowControl/>
                    <w:suppressLineNumbers w:val="0"/>
                    <w:jc w:val="left"/>
                    <w:rPr>
                      <w:rFonts w:hint="default"/>
                      <w:b w:val="0"/>
                      <w:bCs w:val="0"/>
                      <w:color w:val="auto"/>
                    </w:rPr>
                  </w:pPr>
                  <w:r>
                    <w:rPr>
                      <w:rFonts w:hint="default"/>
                      <w:b w:val="0"/>
                      <w:bCs w:val="0"/>
                      <w:color w:val="auto"/>
                      <w:lang w:val="en-US" w:eastAsia="zh-CN"/>
                    </w:rPr>
                    <w:t xml:space="preserve">●储存真实蒸气压＜76.6 kPa 的油品时，应采用内浮顶罐、外浮顶罐或其他等效措施。 </w:t>
                  </w:r>
                </w:p>
                <w:p w14:paraId="2C745879">
                  <w:pPr>
                    <w:keepNext w:val="0"/>
                    <w:keepLines w:val="0"/>
                    <w:widowControl/>
                    <w:suppressLineNumbers w:val="0"/>
                    <w:jc w:val="left"/>
                    <w:rPr>
                      <w:rFonts w:hint="default"/>
                      <w:b w:val="0"/>
                      <w:bCs w:val="0"/>
                      <w:color w:val="auto"/>
                    </w:rPr>
                  </w:pPr>
                  <w:r>
                    <w:rPr>
                      <w:rFonts w:hint="default"/>
                      <w:b w:val="0"/>
                      <w:bCs w:val="0"/>
                      <w:color w:val="auto"/>
                      <w:lang w:val="en-US" w:eastAsia="zh-CN"/>
                    </w:rPr>
                    <w:t xml:space="preserve">●储存真实蒸气压≥76.6 kPa 的油品时，应采用低压罐、压力罐或其他等效措施。 </w:t>
                  </w:r>
                </w:p>
                <w:p w14:paraId="34990DBE">
                  <w:pPr>
                    <w:keepNext w:val="0"/>
                    <w:keepLines w:val="0"/>
                    <w:widowControl/>
                    <w:suppressLineNumbers w:val="0"/>
                    <w:jc w:val="left"/>
                    <w:rPr>
                      <w:rFonts w:hint="default"/>
                      <w:b w:val="0"/>
                      <w:bCs w:val="0"/>
                      <w:color w:val="auto"/>
                    </w:rPr>
                  </w:pPr>
                  <w:r>
                    <w:rPr>
                      <w:rFonts w:hint="default"/>
                      <w:b w:val="0"/>
                      <w:bCs w:val="0"/>
                      <w:color w:val="auto"/>
                      <w:lang w:val="en-US" w:eastAsia="zh-CN"/>
                    </w:rPr>
                    <w:t xml:space="preserve">●内浮顶罐的浮盘与罐壁之间应采用浸液式密封、机械式鞋形密封等高效密封方式。 </w:t>
                  </w:r>
                </w:p>
                <w:p w14:paraId="3DF54DD0">
                  <w:pPr>
                    <w:keepNext w:val="0"/>
                    <w:keepLines w:val="0"/>
                    <w:widowControl/>
                    <w:suppressLineNumbers w:val="0"/>
                    <w:jc w:val="left"/>
                    <w:rPr>
                      <w:rFonts w:hint="default"/>
                      <w:b w:val="0"/>
                      <w:bCs w:val="0"/>
                      <w:color w:val="auto"/>
                    </w:rPr>
                  </w:pPr>
                  <w:r>
                    <w:rPr>
                      <w:rFonts w:hint="default"/>
                      <w:b w:val="0"/>
                      <w:bCs w:val="0"/>
                      <w:color w:val="auto"/>
                      <w:lang w:val="en-US" w:eastAsia="zh-CN"/>
                    </w:rPr>
                    <w:t xml:space="preserve">●浮顶罐罐体应保持完好，不应有孔洞（通气孔除外）和裂隙。 </w:t>
                  </w:r>
                </w:p>
                <w:p w14:paraId="52C63106">
                  <w:pPr>
                    <w:keepNext w:val="0"/>
                    <w:keepLines w:val="0"/>
                    <w:widowControl/>
                    <w:suppressLineNumbers w:val="0"/>
                    <w:jc w:val="left"/>
                    <w:rPr>
                      <w:rFonts w:hint="default"/>
                      <w:b w:val="0"/>
                      <w:bCs w:val="0"/>
                      <w:color w:val="auto"/>
                    </w:rPr>
                  </w:pPr>
                  <w:r>
                    <w:rPr>
                      <w:rFonts w:hint="default"/>
                      <w:b w:val="0"/>
                      <w:bCs w:val="0"/>
                      <w:color w:val="auto"/>
                      <w:lang w:val="en-US" w:eastAsia="zh-CN"/>
                    </w:rPr>
                    <w:t xml:space="preserve">●浮盘附件的开口（孔），除采样、计量、例行检查、维护和其他正常活动外，应一直处于密闭状态；浮盘边缘密封不应有破损。 </w:t>
                  </w:r>
                </w:p>
                <w:p w14:paraId="2847E947">
                  <w:pPr>
                    <w:keepNext w:val="0"/>
                    <w:keepLines w:val="0"/>
                    <w:widowControl/>
                    <w:suppressLineNumbers w:val="0"/>
                    <w:jc w:val="left"/>
                    <w:rPr>
                      <w:rFonts w:hint="default"/>
                      <w:b w:val="0"/>
                      <w:bCs w:val="0"/>
                      <w:color w:val="auto"/>
                    </w:rPr>
                  </w:pPr>
                  <w:r>
                    <w:rPr>
                      <w:rFonts w:hint="default"/>
                      <w:b w:val="0"/>
                      <w:bCs w:val="0"/>
                      <w:color w:val="auto"/>
                      <w:lang w:val="en-US" w:eastAsia="zh-CN"/>
                    </w:rPr>
                    <w:t xml:space="preserve">●支柱、导向装置等储罐附件穿过浮盘时，其套筒底端应插人油品中并采取密封措施。 </w:t>
                  </w:r>
                </w:p>
                <w:p w14:paraId="0A49E40E">
                  <w:pPr>
                    <w:keepNext w:val="0"/>
                    <w:keepLines w:val="0"/>
                    <w:widowControl/>
                    <w:suppressLineNumbers w:val="0"/>
                    <w:jc w:val="left"/>
                    <w:rPr>
                      <w:rFonts w:hint="default"/>
                      <w:b w:val="0"/>
                      <w:bCs w:val="0"/>
                      <w:color w:val="auto"/>
                    </w:rPr>
                  </w:pPr>
                  <w:r>
                    <w:rPr>
                      <w:rFonts w:hint="default"/>
                      <w:b w:val="0"/>
                      <w:bCs w:val="0"/>
                      <w:color w:val="auto"/>
                      <w:lang w:val="en-US" w:eastAsia="zh-CN"/>
                    </w:rPr>
                    <w:t xml:space="preserve">●除储罐排空作业外，浮盘应始终漂浮于油品的表面。 </w:t>
                  </w:r>
                </w:p>
                <w:p w14:paraId="48F8BE89">
                  <w:pPr>
                    <w:keepNext w:val="0"/>
                    <w:keepLines w:val="0"/>
                    <w:widowControl/>
                    <w:suppressLineNumbers w:val="0"/>
                    <w:jc w:val="left"/>
                    <w:rPr>
                      <w:rFonts w:hint="default"/>
                      <w:b w:val="0"/>
                      <w:bCs w:val="0"/>
                      <w:color w:val="auto"/>
                    </w:rPr>
                  </w:pPr>
                  <w:r>
                    <w:rPr>
                      <w:rFonts w:hint="default"/>
                      <w:b w:val="0"/>
                      <w:bCs w:val="0"/>
                      <w:color w:val="auto"/>
                      <w:lang w:val="en-US" w:eastAsia="zh-CN"/>
                    </w:rPr>
                    <w:t xml:space="preserve">●自动通气阀在浮盘处于漂浮状态时应关闭且密封良好，仅在浮盘处于支座支撑状态时可开启。 </w:t>
                  </w:r>
                </w:p>
                <w:p w14:paraId="38283438">
                  <w:pPr>
                    <w:keepNext w:val="0"/>
                    <w:keepLines w:val="0"/>
                    <w:widowControl/>
                    <w:suppressLineNumbers w:val="0"/>
                    <w:jc w:val="left"/>
                    <w:rPr>
                      <w:rFonts w:hint="default"/>
                      <w:b w:val="0"/>
                      <w:bCs w:val="0"/>
                      <w:color w:val="auto"/>
                    </w:rPr>
                  </w:pPr>
                  <w:r>
                    <w:rPr>
                      <w:rFonts w:hint="default"/>
                      <w:b w:val="0"/>
                      <w:bCs w:val="0"/>
                      <w:color w:val="auto"/>
                      <w:lang w:val="en-US" w:eastAsia="zh-CN"/>
                    </w:rPr>
                    <w:t xml:space="preserve">●边缘呼吸阀在浮盘处于漂浮状态时应密封良好，定压应符合设定要求。 </w:t>
                  </w:r>
                </w:p>
                <w:p w14:paraId="730E90AA">
                  <w:pPr>
                    <w:keepNext w:val="0"/>
                    <w:keepLines w:val="0"/>
                    <w:widowControl/>
                    <w:suppressLineNumbers w:val="0"/>
                    <w:jc w:val="left"/>
                    <w:rPr>
                      <w:rFonts w:hint="default"/>
                      <w:b w:val="0"/>
                      <w:bCs w:val="0"/>
                      <w:color w:val="auto"/>
                    </w:rPr>
                  </w:pPr>
                  <w:r>
                    <w:rPr>
                      <w:rFonts w:hint="default"/>
                      <w:b w:val="0"/>
                      <w:bCs w:val="0"/>
                      <w:color w:val="auto"/>
                      <w:lang w:val="en-US" w:eastAsia="zh-CN"/>
                    </w:rPr>
                    <w:t xml:space="preserve">●除自动通气阀、边缘呼吸阀外，浮盘外边缘板及所有通过浮盘的开孔接管均应浸入油品液面下。 </w:t>
                  </w:r>
                </w:p>
                <w:p w14:paraId="533F3317">
                  <w:pPr>
                    <w:keepNext w:val="0"/>
                    <w:keepLines w:val="0"/>
                    <w:widowControl/>
                    <w:suppressLineNumbers w:val="0"/>
                    <w:jc w:val="left"/>
                    <w:rPr>
                      <w:rFonts w:hint="default"/>
                      <w:b w:val="0"/>
                      <w:bCs w:val="0"/>
                      <w:color w:val="auto"/>
                    </w:rPr>
                  </w:pPr>
                  <w:r>
                    <w:rPr>
                      <w:rFonts w:hint="default"/>
                      <w:b w:val="0"/>
                      <w:bCs w:val="0"/>
                      <w:color w:val="auto"/>
                      <w:lang w:val="en-US" w:eastAsia="zh-CN"/>
                    </w:rPr>
                    <w:t xml:space="preserve">●应在每个停工检修期对内浮顶罐的完好情况进行检查。发现有不符合运行要求的，应在该停工检修期内完成修复；若延迟修复，应将相关方案报生态环境主管部门确定。 </w:t>
                  </w:r>
                </w:p>
                <w:p w14:paraId="170F5ECA">
                  <w:pPr>
                    <w:keepNext w:val="0"/>
                    <w:keepLines w:val="0"/>
                    <w:widowControl/>
                    <w:suppressLineNumbers w:val="0"/>
                    <w:jc w:val="left"/>
                    <w:rPr>
                      <w:rFonts w:hint="default"/>
                      <w:b w:val="0"/>
                      <w:bCs w:val="0"/>
                      <w:color w:val="auto"/>
                    </w:rPr>
                  </w:pPr>
                  <w:r>
                    <w:rPr>
                      <w:rFonts w:hint="default"/>
                      <w:b w:val="0"/>
                      <w:bCs w:val="0"/>
                      <w:color w:val="auto"/>
                      <w:lang w:val="en-US" w:eastAsia="zh-CN"/>
                    </w:rPr>
                    <w:t xml:space="preserve">(3）发油油气排放控制 </w:t>
                  </w:r>
                </w:p>
                <w:p w14:paraId="2F551F66">
                  <w:pPr>
                    <w:keepNext w:val="0"/>
                    <w:keepLines w:val="0"/>
                    <w:widowControl/>
                    <w:suppressLineNumbers w:val="0"/>
                    <w:jc w:val="left"/>
                    <w:rPr>
                      <w:rFonts w:hint="default"/>
                      <w:b w:val="0"/>
                      <w:bCs w:val="0"/>
                      <w:color w:val="auto"/>
                    </w:rPr>
                  </w:pPr>
                  <w:r>
                    <w:rPr>
                      <w:rFonts w:hint="default"/>
                      <w:b w:val="0"/>
                      <w:bCs w:val="0"/>
                      <w:color w:val="auto"/>
                      <w:lang w:val="en-US" w:eastAsia="zh-CN"/>
                    </w:rPr>
                    <w:t xml:space="preserve">●发油时产生的油气应密闭收集，并送入油气处理装置回收处理。底部发油快速接头和油气回收快速接头应采用自封式快速接头。 </w:t>
                  </w:r>
                </w:p>
                <w:p w14:paraId="5E62A062">
                  <w:pPr>
                    <w:keepNext w:val="0"/>
                    <w:keepLines w:val="0"/>
                    <w:widowControl/>
                    <w:suppressLineNumbers w:val="0"/>
                    <w:jc w:val="left"/>
                    <w:rPr>
                      <w:rFonts w:hint="default"/>
                      <w:b w:val="0"/>
                      <w:bCs w:val="0"/>
                      <w:color w:val="auto"/>
                    </w:rPr>
                  </w:pPr>
                  <w:r>
                    <w:rPr>
                      <w:rFonts w:hint="default"/>
                      <w:b w:val="0"/>
                      <w:bCs w:val="0"/>
                      <w:color w:val="auto"/>
                      <w:lang w:val="en-US" w:eastAsia="zh-CN"/>
                    </w:rPr>
                    <w:t xml:space="preserve">●向汽车罐车发油时，油气收集系统应为正压，且压力不应超过6.0 kPa 。 </w:t>
                  </w:r>
                </w:p>
                <w:p w14:paraId="6BBA50F2">
                  <w:pPr>
                    <w:keepNext w:val="0"/>
                    <w:keepLines w:val="0"/>
                    <w:widowControl/>
                    <w:suppressLineNumbers w:val="0"/>
                    <w:jc w:val="left"/>
                    <w:rPr>
                      <w:rFonts w:hint="default"/>
                      <w:b w:val="0"/>
                      <w:bCs w:val="0"/>
                      <w:color w:val="auto"/>
                    </w:rPr>
                  </w:pPr>
                  <w:r>
                    <w:rPr>
                      <w:rFonts w:hint="default"/>
                      <w:b w:val="0"/>
                      <w:bCs w:val="0"/>
                      <w:color w:val="auto"/>
                      <w:lang w:val="en-US" w:eastAsia="zh-CN"/>
                    </w:rPr>
                    <w:t xml:space="preserve">●向汽车罐车发油时，底部发油结束并断开快速接头时，油品滴洒量应不超过10 mL ，滴洒量取连续了次断开操作的平均值。 </w:t>
                  </w:r>
                </w:p>
                <w:p w14:paraId="3A7C3DF0">
                  <w:pPr>
                    <w:keepNext w:val="0"/>
                    <w:keepLines w:val="0"/>
                    <w:widowControl/>
                    <w:suppressLineNumbers w:val="0"/>
                    <w:jc w:val="left"/>
                    <w:rPr>
                      <w:rFonts w:hint="default"/>
                      <w:b w:val="0"/>
                      <w:bCs w:val="0"/>
                      <w:color w:val="auto"/>
                    </w:rPr>
                  </w:pPr>
                  <w:r>
                    <w:rPr>
                      <w:rFonts w:hint="default"/>
                      <w:b w:val="0"/>
                      <w:bCs w:val="0"/>
                      <w:color w:val="auto"/>
                      <w:lang w:val="en-US" w:eastAsia="zh-CN"/>
                    </w:rPr>
                    <w:t xml:space="preserve">●油气回收系统不得设置旁路，建有旁路的应采取彻底拆除、切断、物理隔离等方式取缔旁路。 </w:t>
                  </w:r>
                </w:p>
                <w:p w14:paraId="7D8C27A5">
                  <w:pPr>
                    <w:keepNext w:val="0"/>
                    <w:keepLines w:val="0"/>
                    <w:widowControl/>
                    <w:suppressLineNumbers w:val="0"/>
                    <w:jc w:val="left"/>
                    <w:rPr>
                      <w:rFonts w:hint="default"/>
                      <w:b w:val="0"/>
                      <w:bCs w:val="0"/>
                      <w:color w:val="auto"/>
                    </w:rPr>
                  </w:pPr>
                  <w:r>
                    <w:rPr>
                      <w:rFonts w:hint="default"/>
                      <w:b w:val="0"/>
                      <w:bCs w:val="0"/>
                      <w:color w:val="auto"/>
                      <w:lang w:val="en-US" w:eastAsia="zh-CN"/>
                    </w:rPr>
                    <w:t xml:space="preserve">●在油气回收装置及浮顶罐处应定期检查由于密封等条件带来的可燃气体积聚问题，并做好定期跟踪，如有问题须及时维修。 </w:t>
                  </w:r>
                </w:p>
                <w:p w14:paraId="7324AD15">
                  <w:pPr>
                    <w:keepNext w:val="0"/>
                    <w:keepLines w:val="0"/>
                    <w:widowControl/>
                    <w:suppressLineNumbers w:val="0"/>
                    <w:jc w:val="left"/>
                    <w:rPr>
                      <w:rFonts w:hint="default"/>
                      <w:b w:val="0"/>
                      <w:bCs w:val="0"/>
                      <w:color w:val="auto"/>
                    </w:rPr>
                  </w:pPr>
                  <w:r>
                    <w:rPr>
                      <w:rFonts w:hint="default"/>
                      <w:b w:val="0"/>
                      <w:bCs w:val="0"/>
                      <w:color w:val="auto"/>
                      <w:lang w:val="en-US" w:eastAsia="zh-CN"/>
                    </w:rPr>
                    <w:t>●油气处理装置排气筒高度应不低于 4 m ，具体高度以及与周围建筑物的距离应根据环境影响评价文件确定。</w:t>
                  </w:r>
                </w:p>
              </w:tc>
              <w:tc>
                <w:tcPr>
                  <w:tcW w:w="1190" w:type="pct"/>
                  <w:tcBorders>
                    <w:top w:val="single" w:color="auto" w:sz="4" w:space="0"/>
                    <w:tl2br w:val="nil"/>
                    <w:tr2bl w:val="nil"/>
                  </w:tcBorders>
                  <w:vAlign w:val="center"/>
                </w:tcPr>
                <w:p w14:paraId="74EC6867">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both"/>
                    <w:textAlignment w:val="auto"/>
                    <w:rPr>
                      <w:rFonts w:hint="default"/>
                      <w:b w:val="0"/>
                      <w:bCs w:val="0"/>
                      <w:color w:val="auto"/>
                    </w:rPr>
                  </w:pPr>
                  <w:r>
                    <w:rPr>
                      <w:rFonts w:hint="default"/>
                      <w:b w:val="0"/>
                      <w:bCs w:val="0"/>
                      <w:color w:val="auto"/>
                      <w:lang w:val="en-US" w:eastAsia="zh-CN"/>
                    </w:rPr>
                    <w:t xml:space="preserve">本项目通过汽车 </w:t>
                  </w:r>
                </w:p>
                <w:p w14:paraId="1712BC17">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both"/>
                    <w:textAlignment w:val="auto"/>
                    <w:rPr>
                      <w:rFonts w:hint="default"/>
                      <w:b w:val="0"/>
                      <w:bCs w:val="0"/>
                      <w:color w:val="auto"/>
                    </w:rPr>
                  </w:pPr>
                  <w:r>
                    <w:rPr>
                      <w:rFonts w:hint="default"/>
                      <w:b w:val="0"/>
                      <w:bCs w:val="0"/>
                      <w:color w:val="auto"/>
                      <w:lang w:val="en-US" w:eastAsia="zh-CN"/>
                    </w:rPr>
                    <w:t>罐车收油，采用密闭泵送或自流式管道系统，收油时从卧式储罐内置换出的油气应密闭回收到汽车罐车内</w:t>
                  </w:r>
                  <w:r>
                    <w:rPr>
                      <w:rFonts w:hint="eastAsia"/>
                      <w:b w:val="0"/>
                      <w:bCs w:val="0"/>
                      <w:color w:val="auto"/>
                      <w:lang w:val="en-US" w:eastAsia="zh-CN"/>
                    </w:rPr>
                    <w:t>，</w:t>
                  </w:r>
                  <w:r>
                    <w:rPr>
                      <w:rFonts w:hint="default"/>
                      <w:b w:val="0"/>
                      <w:bCs w:val="0"/>
                      <w:color w:val="auto"/>
                      <w:lang w:val="en-US" w:eastAsia="zh-CN"/>
                    </w:rPr>
                    <w:t>收油过程满足控制技术要求；本项目储油罐采用内浮顶罐，密封方式为囊式密封，密封效果良好。浮顶罐罐体保持完好，无有孔洞（通 气孔除外）和裂隙。浮盘及附件 满足相关控制要求；本项目发油方式为汽车罐车，发油时产生的油气经密闭收集，并送入油气处理装置回收处理。油气回收系统不设置旁路。</w:t>
                  </w:r>
                </w:p>
                <w:p w14:paraId="67070AD6">
                  <w:pPr>
                    <w:keepNext w:val="0"/>
                    <w:keepLines w:val="0"/>
                    <w:pageBreakBefore w:val="0"/>
                    <w:widowControl w:val="0"/>
                    <w:kinsoku/>
                    <w:wordWrap/>
                    <w:overflowPunct/>
                    <w:topLinePunct w:val="0"/>
                    <w:autoSpaceDE/>
                    <w:autoSpaceDN/>
                    <w:bidi w:val="0"/>
                    <w:adjustRightInd/>
                    <w:snapToGrid/>
                    <w:spacing w:beforeAutospacing="0" w:afterAutospacing="0" w:line="280" w:lineRule="exact"/>
                    <w:ind w:firstLine="420" w:firstLineChars="200"/>
                    <w:jc w:val="center"/>
                    <w:textAlignment w:val="auto"/>
                    <w:rPr>
                      <w:rFonts w:hint="default"/>
                      <w:b w:val="0"/>
                      <w:bCs w:val="0"/>
                      <w:color w:val="auto"/>
                    </w:rPr>
                  </w:pPr>
                </w:p>
              </w:tc>
              <w:tc>
                <w:tcPr>
                  <w:tcW w:w="548" w:type="pct"/>
                  <w:tcBorders>
                    <w:tl2br w:val="nil"/>
                    <w:tr2bl w:val="nil"/>
                  </w:tcBorders>
                  <w:vAlign w:val="center"/>
                </w:tcPr>
                <w:p w14:paraId="7DE30416">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baseline"/>
                    <w:rPr>
                      <w:rFonts w:hint="eastAsia"/>
                      <w:b w:val="0"/>
                      <w:bCs w:val="0"/>
                      <w:color w:val="auto"/>
                      <w:lang w:eastAsia="zh-CN"/>
                    </w:rPr>
                  </w:pPr>
                  <w:r>
                    <w:rPr>
                      <w:rFonts w:hint="eastAsia"/>
                      <w:b w:val="0"/>
                      <w:bCs w:val="0"/>
                      <w:color w:val="auto"/>
                      <w:lang w:eastAsia="zh-CN"/>
                    </w:rPr>
                    <w:t>符合</w:t>
                  </w:r>
                </w:p>
              </w:tc>
            </w:tr>
            <w:tr w14:paraId="3A97C6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3" w:hRule="atLeast"/>
              </w:trPr>
              <w:tc>
                <w:tcPr>
                  <w:tcW w:w="3260" w:type="pct"/>
                  <w:tcBorders>
                    <w:tl2br w:val="nil"/>
                    <w:tr2bl w:val="nil"/>
                  </w:tcBorders>
                  <w:vAlign w:val="center"/>
                </w:tcPr>
                <w:p w14:paraId="4F8279DA">
                  <w:pPr>
                    <w:keepNext w:val="0"/>
                    <w:keepLines w:val="0"/>
                    <w:widowControl/>
                    <w:suppressLineNumbers w:val="0"/>
                    <w:jc w:val="left"/>
                    <w:rPr>
                      <w:rFonts w:hint="default"/>
                      <w:b w:val="0"/>
                      <w:bCs w:val="0"/>
                      <w:color w:val="auto"/>
                    </w:rPr>
                  </w:pPr>
                  <w:r>
                    <w:rPr>
                      <w:rFonts w:hint="default"/>
                      <w:b w:val="0"/>
                      <w:bCs w:val="0"/>
                      <w:color w:val="auto"/>
                      <w:lang w:val="en-US" w:eastAsia="zh-CN"/>
                    </w:rPr>
                    <w:t xml:space="preserve">3．监测监控 </w:t>
                  </w:r>
                </w:p>
                <w:p w14:paraId="172A7BDE">
                  <w:pPr>
                    <w:keepNext w:val="0"/>
                    <w:keepLines w:val="0"/>
                    <w:widowControl/>
                    <w:suppressLineNumbers w:val="0"/>
                    <w:jc w:val="left"/>
                    <w:rPr>
                      <w:rFonts w:hint="default"/>
                      <w:b w:val="0"/>
                      <w:bCs w:val="0"/>
                      <w:color w:val="auto"/>
                    </w:rPr>
                  </w:pPr>
                  <w:r>
                    <w:rPr>
                      <w:rFonts w:hint="default"/>
                      <w:b w:val="0"/>
                      <w:bCs w:val="0"/>
                      <w:color w:val="auto"/>
                      <w:lang w:val="en-US" w:eastAsia="zh-CN"/>
                    </w:rPr>
                    <w:t xml:space="preserve">●企业应按照环境监测管理规定和技术规范的要求，设计、建设、维护永久性采样口、采样测试平台和排污口标志。 </w:t>
                  </w:r>
                </w:p>
                <w:p w14:paraId="7A1DDC89">
                  <w:pPr>
                    <w:keepNext w:val="0"/>
                    <w:keepLines w:val="0"/>
                    <w:widowControl/>
                    <w:suppressLineNumbers w:val="0"/>
                    <w:jc w:val="left"/>
                    <w:rPr>
                      <w:rFonts w:hint="default"/>
                      <w:b w:val="0"/>
                      <w:bCs w:val="0"/>
                      <w:color w:val="auto"/>
                    </w:rPr>
                  </w:pPr>
                  <w:r>
                    <w:rPr>
                      <w:rFonts w:hint="default"/>
                      <w:b w:val="0"/>
                      <w:bCs w:val="0"/>
                      <w:color w:val="auto"/>
                      <w:lang w:val="en-US" w:eastAsia="zh-CN"/>
                    </w:rPr>
                    <w:t xml:space="preserve">●在不少于 50％发油鹤管处于发油时段对油气处理装置进口和出口油气进行采样，对于包含吸附工艺的油气处理装置，采样应包括每个吸附塔的工作过程。监测采样按《固定污染源排气中颗料物测定与气态污染物采样方法》 GB / T 16157 一 1996)、《固定源废气监测技术规范》 HJ / T 397 一 2007)、《固定污染源废气挥发性有机物的采样气袋法》HJ732 一 2014）以及《固定污染源废气总烃、甲烷和非甲烷总烃的测定气相色谱法》HJ38-2017）的规定执行。油气处理装置NMHC 排放浓度及处理效率应符号《储油库大气污染物排放标准 GB 20950-2020）表1要求。 </w:t>
                  </w:r>
                </w:p>
                <w:p w14:paraId="0CE73DF3">
                  <w:pPr>
                    <w:keepNext w:val="0"/>
                    <w:keepLines w:val="0"/>
                    <w:widowControl/>
                    <w:suppressLineNumbers w:val="0"/>
                    <w:jc w:val="left"/>
                    <w:rPr>
                      <w:rFonts w:hint="default"/>
                      <w:b w:val="0"/>
                      <w:bCs w:val="0"/>
                      <w:color w:val="auto"/>
                    </w:rPr>
                  </w:pPr>
                  <w:r>
                    <w:rPr>
                      <w:rFonts w:hint="default"/>
                      <w:b w:val="0"/>
                      <w:bCs w:val="0"/>
                      <w:color w:val="auto"/>
                      <w:lang w:val="en-US" w:eastAsia="zh-CN"/>
                    </w:rPr>
                    <w:t xml:space="preserve">●采用氢火焰离子化检测仪（以甲烷或丙烷为校准气 体）对设备与管线组件密封点进行检测；以及在发油时段，对油气收集系统密封点进行检测，其中连接油船的油气收集系统密封点应在发油时段中后期进行检测，监测采样和测定方法按《泄漏和敞开液面排放的挥发性有机物检测技术导则》HJ733-2014）的规定执行。 </w:t>
                  </w:r>
                </w:p>
                <w:p w14:paraId="5150FC70">
                  <w:pPr>
                    <w:keepNext w:val="0"/>
                    <w:keepLines w:val="0"/>
                    <w:widowControl/>
                    <w:suppressLineNumbers w:val="0"/>
                    <w:jc w:val="left"/>
                    <w:rPr>
                      <w:rFonts w:hint="default"/>
                      <w:b w:val="0"/>
                      <w:bCs w:val="0"/>
                      <w:color w:val="auto"/>
                    </w:rPr>
                  </w:pPr>
                  <w:r>
                    <w:rPr>
                      <w:rFonts w:hint="default"/>
                      <w:b w:val="0"/>
                      <w:bCs w:val="0"/>
                      <w:color w:val="auto"/>
                      <w:lang w:val="en-US" w:eastAsia="zh-CN"/>
                    </w:rPr>
                    <w:t xml:space="preserve">●油气收集系统密封点泄漏检测值应不超过500 umol / mol 。如采用红外摄像方式检测油气收集系统密封点时，不应有油气泄漏。 </w:t>
                  </w:r>
                </w:p>
                <w:p w14:paraId="430C7567">
                  <w:pPr>
                    <w:keepNext w:val="0"/>
                    <w:keepLines w:val="0"/>
                    <w:widowControl/>
                    <w:suppressLineNumbers w:val="0"/>
                    <w:jc w:val="left"/>
                    <w:rPr>
                      <w:rFonts w:hint="default"/>
                      <w:b w:val="0"/>
                      <w:bCs w:val="0"/>
                      <w:color w:val="auto"/>
                    </w:rPr>
                  </w:pPr>
                  <w:r>
                    <w:rPr>
                      <w:rFonts w:hint="default"/>
                      <w:b w:val="0"/>
                      <w:bCs w:val="0"/>
                      <w:color w:val="auto"/>
                      <w:lang w:val="en-US" w:eastAsia="zh-CN"/>
                    </w:rPr>
                    <w:t>●企业边界非甲烷总烃的监测采样和测定方法按《大气污染物无组织排放监测技术导则》 HJ / T 55-2000）和《环境空气总烃、甲烷和非甲烷总烃的测定直接进样气相色谱法》(HJ604-2017）的规定执行，监测采样不应在向铁路罐车收发油时进行。以非甲烷总烃计，储油库企业边界任意1小时NMHC平均浓度值不应超过4.0 mg /m</w:t>
                  </w:r>
                  <w:r>
                    <w:rPr>
                      <w:rFonts w:hint="eastAsia"/>
                      <w:b w:val="0"/>
                      <w:bCs w:val="0"/>
                      <w:color w:val="auto"/>
                      <w:vertAlign w:val="superscript"/>
                      <w:lang w:val="en-US" w:eastAsia="zh-CN"/>
                    </w:rPr>
                    <w:t>3</w:t>
                  </w:r>
                  <w:r>
                    <w:rPr>
                      <w:rFonts w:hint="eastAsia"/>
                      <w:b w:val="0"/>
                      <w:bCs w:val="0"/>
                      <w:color w:val="auto"/>
                      <w:lang w:val="en-US" w:eastAsia="zh-CN"/>
                    </w:rPr>
                    <w:t>。</w:t>
                  </w:r>
                </w:p>
              </w:tc>
              <w:tc>
                <w:tcPr>
                  <w:tcW w:w="1190" w:type="pct"/>
                  <w:tcBorders>
                    <w:tl2br w:val="nil"/>
                    <w:tr2bl w:val="nil"/>
                  </w:tcBorders>
                  <w:vAlign w:val="center"/>
                </w:tcPr>
                <w:p w14:paraId="3D040C4B">
                  <w:pPr>
                    <w:keepNext w:val="0"/>
                    <w:keepLines w:val="0"/>
                    <w:pageBreakBefore w:val="0"/>
                    <w:widowControl w:val="0"/>
                    <w:kinsoku/>
                    <w:wordWrap/>
                    <w:overflowPunct/>
                    <w:topLinePunct w:val="0"/>
                    <w:autoSpaceDE/>
                    <w:autoSpaceDN/>
                    <w:bidi w:val="0"/>
                    <w:adjustRightInd/>
                    <w:snapToGrid/>
                    <w:spacing w:beforeAutospacing="0" w:afterAutospacing="0" w:line="280" w:lineRule="exact"/>
                    <w:ind w:firstLine="420" w:firstLineChars="200"/>
                    <w:jc w:val="left"/>
                    <w:textAlignment w:val="auto"/>
                    <w:rPr>
                      <w:rFonts w:hint="default"/>
                      <w:b w:val="0"/>
                      <w:bCs w:val="0"/>
                      <w:color w:val="auto"/>
                    </w:rPr>
                  </w:pPr>
                  <w:r>
                    <w:rPr>
                      <w:rFonts w:hint="default"/>
                      <w:b w:val="0"/>
                      <w:bCs w:val="0"/>
                      <w:color w:val="auto"/>
                      <w:lang w:val="en-US" w:eastAsia="zh-CN"/>
                    </w:rPr>
                    <w:t>企业应按照环境监测管理规定和技术规范的要求，设计、建设、维护永久性采样口、采样测试平台和排污口标志。油气采样监测等按照监测监控要求执行。</w:t>
                  </w:r>
                </w:p>
                <w:p w14:paraId="034A0374">
                  <w:pPr>
                    <w:keepNext w:val="0"/>
                    <w:keepLines w:val="0"/>
                    <w:pageBreakBefore w:val="0"/>
                    <w:widowControl w:val="0"/>
                    <w:kinsoku/>
                    <w:wordWrap/>
                    <w:overflowPunct/>
                    <w:topLinePunct w:val="0"/>
                    <w:autoSpaceDE/>
                    <w:autoSpaceDN/>
                    <w:bidi w:val="0"/>
                    <w:adjustRightInd/>
                    <w:snapToGrid/>
                    <w:spacing w:beforeAutospacing="0" w:afterAutospacing="0" w:line="280" w:lineRule="exact"/>
                    <w:ind w:firstLine="420" w:firstLineChars="200"/>
                    <w:jc w:val="center"/>
                    <w:textAlignment w:val="auto"/>
                    <w:rPr>
                      <w:rFonts w:hint="default"/>
                      <w:b w:val="0"/>
                      <w:bCs w:val="0"/>
                      <w:color w:val="auto"/>
                    </w:rPr>
                  </w:pPr>
                </w:p>
              </w:tc>
              <w:tc>
                <w:tcPr>
                  <w:tcW w:w="548" w:type="pct"/>
                  <w:tcBorders>
                    <w:tl2br w:val="nil"/>
                    <w:tr2bl w:val="nil"/>
                  </w:tcBorders>
                  <w:vAlign w:val="center"/>
                </w:tcPr>
                <w:p w14:paraId="1FAA2350">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baseline"/>
                    <w:rPr>
                      <w:rFonts w:hint="eastAsia"/>
                      <w:b w:val="0"/>
                      <w:bCs w:val="0"/>
                      <w:color w:val="auto"/>
                      <w:lang w:eastAsia="zh-CN"/>
                    </w:rPr>
                  </w:pPr>
                  <w:r>
                    <w:rPr>
                      <w:rFonts w:hint="eastAsia"/>
                      <w:b w:val="0"/>
                      <w:bCs w:val="0"/>
                      <w:color w:val="auto"/>
                      <w:lang w:eastAsia="zh-CN"/>
                    </w:rPr>
                    <w:t>符合</w:t>
                  </w:r>
                </w:p>
              </w:tc>
            </w:tr>
            <w:tr w14:paraId="511769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260" w:type="pct"/>
                  <w:tcBorders>
                    <w:tl2br w:val="nil"/>
                    <w:tr2bl w:val="nil"/>
                  </w:tcBorders>
                  <w:vAlign w:val="center"/>
                </w:tcPr>
                <w:p w14:paraId="292C7B75">
                  <w:pPr>
                    <w:keepNext w:val="0"/>
                    <w:keepLines w:val="0"/>
                    <w:widowControl/>
                    <w:suppressLineNumbers w:val="0"/>
                    <w:jc w:val="left"/>
                    <w:rPr>
                      <w:rFonts w:hint="default"/>
                      <w:b w:val="0"/>
                      <w:bCs w:val="0"/>
                      <w:color w:val="auto"/>
                    </w:rPr>
                  </w:pPr>
                  <w:r>
                    <w:rPr>
                      <w:rFonts w:hint="default"/>
                      <w:b w:val="0"/>
                      <w:bCs w:val="0"/>
                      <w:color w:val="auto"/>
                      <w:lang w:val="en-US" w:eastAsia="zh-CN"/>
                    </w:rPr>
                    <w:t xml:space="preserve">4．台账记录 </w:t>
                  </w:r>
                </w:p>
                <w:p w14:paraId="0E599C97">
                  <w:pPr>
                    <w:keepNext w:val="0"/>
                    <w:keepLines w:val="0"/>
                    <w:widowControl/>
                    <w:suppressLineNumbers w:val="0"/>
                    <w:jc w:val="left"/>
                    <w:rPr>
                      <w:rFonts w:hint="default"/>
                      <w:b w:val="0"/>
                      <w:bCs w:val="0"/>
                      <w:color w:val="auto"/>
                    </w:rPr>
                  </w:pPr>
                  <w:r>
                    <w:rPr>
                      <w:rFonts w:hint="default"/>
                      <w:b w:val="0"/>
                      <w:bCs w:val="0"/>
                      <w:color w:val="auto"/>
                      <w:lang w:val="en-US" w:eastAsia="zh-CN"/>
                    </w:rPr>
                    <w:t xml:space="preserve">●储油库应按照《排污许可申请与核发技术规范储油库、加油站》( HJ 1118-2020）中相关规定，建立环境管理台账记录，台账内容应完整齐全，记录应附合规范。记录中应包括油品储存和装载运行参数；油气收集系统及油气处理装置等污染治理设施实际运行时间与运行参数，如储罐、动静密封点、装卸的维护、保养、检查等运行管理情况；以及油气处理装置等处理装置的运维记录，如设施运行情况、出现故障原因、维护过程、检查人、检查日期等。 </w:t>
                  </w:r>
                </w:p>
                <w:p w14:paraId="4BEBF768">
                  <w:pPr>
                    <w:keepNext w:val="0"/>
                    <w:keepLines w:val="0"/>
                    <w:widowControl/>
                    <w:suppressLineNumbers w:val="0"/>
                    <w:jc w:val="left"/>
                    <w:rPr>
                      <w:rFonts w:hint="default"/>
                      <w:b w:val="0"/>
                      <w:bCs w:val="0"/>
                      <w:color w:val="auto"/>
                    </w:rPr>
                  </w:pPr>
                  <w:r>
                    <w:rPr>
                      <w:rFonts w:hint="default"/>
                      <w:b w:val="0"/>
                      <w:bCs w:val="0"/>
                      <w:color w:val="auto"/>
                      <w:lang w:val="en-US" w:eastAsia="zh-CN"/>
                    </w:rPr>
                    <w:t xml:space="preserve">●应建立燃油供销台账、油气回收装置每日运行检查记录台账，如气体流量、系统压力、发油量，记录防溢流控制系统定期检测结果。后台监控应正常使用，并可调取近期装油、发油的视频。 </w:t>
                  </w:r>
                </w:p>
                <w:p w14:paraId="1DAE6733">
                  <w:pPr>
                    <w:keepNext w:val="0"/>
                    <w:keepLines w:val="0"/>
                    <w:widowControl/>
                    <w:suppressLineNumbers w:val="0"/>
                    <w:jc w:val="left"/>
                    <w:rPr>
                      <w:rFonts w:hint="default"/>
                      <w:b w:val="0"/>
                      <w:bCs w:val="0"/>
                      <w:color w:val="auto"/>
                    </w:rPr>
                  </w:pPr>
                  <w:r>
                    <w:rPr>
                      <w:rFonts w:hint="default"/>
                      <w:b w:val="0"/>
                      <w:bCs w:val="0"/>
                      <w:color w:val="auto"/>
                      <w:lang w:val="en-US" w:eastAsia="zh-CN"/>
                    </w:rPr>
                    <w:t xml:space="preserve">●应记录油品种类及周转量，收发油过程中油罐车、油船等信息记录。 </w:t>
                  </w:r>
                </w:p>
                <w:p w14:paraId="7419F813">
                  <w:pPr>
                    <w:keepNext w:val="0"/>
                    <w:keepLines w:val="0"/>
                    <w:widowControl/>
                    <w:suppressLineNumbers w:val="0"/>
                    <w:jc w:val="left"/>
                    <w:rPr>
                      <w:rFonts w:hint="default"/>
                      <w:b w:val="0"/>
                      <w:bCs w:val="0"/>
                      <w:color w:val="auto"/>
                    </w:rPr>
                  </w:pPr>
                  <w:r>
                    <w:rPr>
                      <w:rFonts w:hint="default"/>
                      <w:b w:val="0"/>
                      <w:bCs w:val="0"/>
                      <w:color w:val="auto"/>
                      <w:lang w:val="en-US" w:eastAsia="zh-CN"/>
                    </w:rPr>
                    <w:t>●应编制修复与记录台账，若出现部件损坏应立即报修。台账中应包括更换部件名称，部件使用有效期、更换原因、更换日期，更换厂家，更换人签字等信息。</w:t>
                  </w:r>
                </w:p>
              </w:tc>
              <w:tc>
                <w:tcPr>
                  <w:tcW w:w="1190" w:type="pct"/>
                  <w:tcBorders>
                    <w:tl2br w:val="nil"/>
                    <w:tr2bl w:val="nil"/>
                  </w:tcBorders>
                  <w:vAlign w:val="center"/>
                </w:tcPr>
                <w:p w14:paraId="2C680D7E">
                  <w:pPr>
                    <w:keepNext w:val="0"/>
                    <w:keepLines w:val="0"/>
                    <w:pageBreakBefore w:val="0"/>
                    <w:widowControl w:val="0"/>
                    <w:kinsoku/>
                    <w:wordWrap/>
                    <w:overflowPunct/>
                    <w:topLinePunct w:val="0"/>
                    <w:autoSpaceDE/>
                    <w:autoSpaceDN/>
                    <w:bidi w:val="0"/>
                    <w:adjustRightInd/>
                    <w:snapToGrid/>
                    <w:spacing w:beforeAutospacing="0" w:afterAutospacing="0" w:line="280" w:lineRule="exact"/>
                    <w:ind w:firstLine="420" w:firstLineChars="200"/>
                    <w:jc w:val="left"/>
                    <w:textAlignment w:val="auto"/>
                    <w:rPr>
                      <w:rFonts w:hint="default"/>
                      <w:b w:val="0"/>
                      <w:bCs w:val="0"/>
                      <w:color w:val="auto"/>
                    </w:rPr>
                  </w:pPr>
                  <w:r>
                    <w:rPr>
                      <w:rFonts w:hint="default"/>
                      <w:b w:val="0"/>
                      <w:bCs w:val="0"/>
                      <w:color w:val="auto"/>
                      <w:lang w:val="en-US" w:eastAsia="zh-CN"/>
                    </w:rPr>
                    <w:t>企业应按照《排污许可申请与核发技术规范储油库、加油站》( HJ1118-2020）中相关规定，建立环境管理台账记录，台账内容应完整齐全，记录应附合规范。</w:t>
                  </w:r>
                </w:p>
                <w:p w14:paraId="66C06C76">
                  <w:pPr>
                    <w:keepNext w:val="0"/>
                    <w:keepLines w:val="0"/>
                    <w:pageBreakBefore w:val="0"/>
                    <w:widowControl w:val="0"/>
                    <w:kinsoku/>
                    <w:wordWrap/>
                    <w:overflowPunct/>
                    <w:topLinePunct w:val="0"/>
                    <w:autoSpaceDE/>
                    <w:autoSpaceDN/>
                    <w:bidi w:val="0"/>
                    <w:adjustRightInd/>
                    <w:snapToGrid/>
                    <w:spacing w:beforeAutospacing="0" w:afterAutospacing="0" w:line="280" w:lineRule="exact"/>
                    <w:ind w:firstLine="420" w:firstLineChars="200"/>
                    <w:jc w:val="center"/>
                    <w:textAlignment w:val="auto"/>
                    <w:rPr>
                      <w:rFonts w:hint="default"/>
                      <w:b w:val="0"/>
                      <w:bCs w:val="0"/>
                      <w:color w:val="auto"/>
                    </w:rPr>
                  </w:pPr>
                </w:p>
              </w:tc>
              <w:tc>
                <w:tcPr>
                  <w:tcW w:w="548" w:type="pct"/>
                  <w:tcBorders>
                    <w:tl2br w:val="nil"/>
                    <w:tr2bl w:val="nil"/>
                  </w:tcBorders>
                  <w:vAlign w:val="center"/>
                </w:tcPr>
                <w:p w14:paraId="3F80D498">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baseline"/>
                    <w:rPr>
                      <w:rFonts w:hint="eastAsia"/>
                      <w:b w:val="0"/>
                      <w:bCs w:val="0"/>
                      <w:color w:val="auto"/>
                      <w:lang w:eastAsia="zh-CN"/>
                    </w:rPr>
                  </w:pPr>
                  <w:r>
                    <w:rPr>
                      <w:rFonts w:hint="eastAsia"/>
                      <w:b w:val="0"/>
                      <w:bCs w:val="0"/>
                      <w:color w:val="auto"/>
                      <w:lang w:eastAsia="zh-CN"/>
                    </w:rPr>
                    <w:t>符合</w:t>
                  </w:r>
                </w:p>
              </w:tc>
            </w:tr>
          </w:tbl>
          <w:p w14:paraId="50C41694">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jc w:val="both"/>
              <w:textAlignment w:val="auto"/>
              <w:rPr>
                <w:rFonts w:hint="eastAsia"/>
                <w:b w:val="0"/>
                <w:bCs w:val="0"/>
                <w:color w:val="auto"/>
                <w:sz w:val="24"/>
                <w:szCs w:val="24"/>
                <w:lang w:val="en-US" w:eastAsia="zh-CN"/>
              </w:rPr>
            </w:pPr>
            <w:r>
              <w:rPr>
                <w:rFonts w:hint="eastAsia"/>
                <w:b w:val="0"/>
                <w:bCs w:val="0"/>
                <w:color w:val="auto"/>
                <w:sz w:val="24"/>
                <w:szCs w:val="24"/>
                <w:lang w:val="en-US" w:eastAsia="zh-CN"/>
              </w:rPr>
              <w:t>因此，本项目符合《挥发性有机物治理实用手册》（第二版）要求。</w:t>
            </w:r>
          </w:p>
          <w:p w14:paraId="6504099C">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jc w:val="both"/>
              <w:textAlignment w:val="auto"/>
              <w:rPr>
                <w:rFonts w:hint="eastAsia"/>
                <w:b/>
                <w:bCs/>
                <w:color w:val="auto"/>
                <w:sz w:val="24"/>
                <w:szCs w:val="24"/>
                <w:lang w:val="en-US" w:eastAsia="zh-CN"/>
              </w:rPr>
            </w:pPr>
            <w:r>
              <w:rPr>
                <w:rFonts w:hint="eastAsia"/>
                <w:b/>
                <w:bCs/>
                <w:color w:val="auto"/>
                <w:sz w:val="24"/>
                <w:szCs w:val="24"/>
                <w:lang w:val="en-US" w:eastAsia="zh-CN"/>
              </w:rPr>
              <w:t>7、选址符合性分析</w:t>
            </w:r>
          </w:p>
          <w:p w14:paraId="5CEA5080">
            <w:pPr>
              <w:spacing w:line="360" w:lineRule="auto"/>
              <w:ind w:firstLine="480" w:firstLineChars="200"/>
              <w:jc w:val="both"/>
              <w:rPr>
                <w:rFonts w:hint="eastAsia" w:cs="Times New Roman"/>
                <w:color w:val="auto"/>
                <w:sz w:val="24"/>
                <w:szCs w:val="24"/>
                <w:lang w:val="en-US" w:eastAsia="zh-CN"/>
              </w:rPr>
            </w:pPr>
            <w:r>
              <w:rPr>
                <w:rFonts w:hint="eastAsia"/>
                <w:color w:val="auto"/>
                <w:sz w:val="24"/>
                <w:szCs w:val="24"/>
                <w:lang w:val="en-US" w:eastAsia="zh-CN"/>
              </w:rPr>
              <w:t>陕西省宝鸡市凤翔县东北糜杆桥镇宝鸡机场东南侧，项目用地为工业用地</w:t>
            </w:r>
            <w:r>
              <w:rPr>
                <w:rFonts w:hint="eastAsia" w:ascii="宋体" w:hAnsi="宋体" w:eastAsia="宋体" w:cs="宋体"/>
                <w:color w:val="auto"/>
                <w:sz w:val="24"/>
                <w:szCs w:val="24"/>
                <w:lang w:val="en-US" w:eastAsia="zh-CN"/>
              </w:rPr>
              <w:t>。</w:t>
            </w:r>
            <w:r>
              <w:rPr>
                <w:rFonts w:hint="default" w:ascii="Times New Roman" w:hAnsi="Times New Roman" w:cs="Times New Roman"/>
                <w:color w:val="auto"/>
                <w:sz w:val="24"/>
                <w:szCs w:val="24"/>
              </w:rPr>
              <w:t>项目</w:t>
            </w:r>
            <w:r>
              <w:rPr>
                <w:rFonts w:hint="eastAsia" w:cs="Times New Roman"/>
                <w:color w:val="auto"/>
                <w:sz w:val="24"/>
                <w:szCs w:val="24"/>
                <w:lang w:eastAsia="zh-CN"/>
              </w:rPr>
              <w:t>厂址</w:t>
            </w:r>
            <w:r>
              <w:rPr>
                <w:rFonts w:hint="default" w:ascii="Times New Roman" w:hAnsi="Times New Roman" w:cs="Times New Roman"/>
                <w:color w:val="auto"/>
                <w:sz w:val="24"/>
                <w:szCs w:val="24"/>
              </w:rPr>
              <w:t>中</w:t>
            </w:r>
            <w:r>
              <w:rPr>
                <w:rFonts w:hint="default" w:ascii="Times New Roman" w:hAnsi="Times New Roman" w:cs="Times New Roman"/>
                <w:color w:val="auto"/>
                <w:sz w:val="24"/>
                <w:szCs w:val="24"/>
                <w:lang w:val="en-US" w:eastAsia="zh-CN"/>
              </w:rPr>
              <w:t>心坐标为东经107°29'29.00"， 北纬34°30'58.31"，</w:t>
            </w:r>
            <w:r>
              <w:rPr>
                <w:rFonts w:hint="eastAsia" w:cs="Times New Roman"/>
                <w:color w:val="auto"/>
                <w:sz w:val="24"/>
                <w:szCs w:val="24"/>
                <w:lang w:val="en-US" w:eastAsia="zh-CN"/>
              </w:rPr>
              <w:t>地理位置图见附图1。不在永久基本农田区域内，不在溶洞区或易遭受洪水、滑坡、泥石流、潮汐等严重自然灾害影响的地区，不在江河、湖泊、运河、渠道、水库及其最高水位线以下的滩地和岸坡。</w:t>
            </w:r>
          </w:p>
          <w:p w14:paraId="5859CFD4">
            <w:pPr>
              <w:spacing w:line="360" w:lineRule="auto"/>
              <w:ind w:firstLine="480" w:firstLineChars="200"/>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（1）用地性质合理性</w:t>
            </w:r>
          </w:p>
          <w:p w14:paraId="0EA056D3">
            <w:pPr>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根据建设单位提供</w:t>
            </w:r>
            <w:r>
              <w:rPr>
                <w:rFonts w:hint="eastAsia" w:cs="Times New Roman"/>
                <w:bCs/>
                <w:color w:val="auto"/>
                <w:sz w:val="24"/>
                <w:szCs w:val="24"/>
                <w:lang w:val="en-US" w:eastAsia="zh-CN"/>
              </w:rPr>
              <w:t>资料，本</w:t>
            </w:r>
            <w:r>
              <w:rPr>
                <w:rFonts w:hint="default" w:ascii="Times New Roman" w:hAnsi="Times New Roman" w:eastAsia="宋体" w:cs="Times New Roman"/>
                <w:bCs/>
                <w:color w:val="auto"/>
                <w:sz w:val="24"/>
                <w:szCs w:val="24"/>
              </w:rPr>
              <w:t>项目</w:t>
            </w:r>
            <w:r>
              <w:rPr>
                <w:rFonts w:hint="eastAsia" w:ascii="Times New Roman" w:hAnsi="Times New Roman" w:eastAsia="宋体" w:cs="Times New Roman"/>
                <w:bCs/>
                <w:color w:val="auto"/>
                <w:sz w:val="24"/>
                <w:szCs w:val="24"/>
                <w:lang w:val="en-US" w:eastAsia="zh-CN"/>
              </w:rPr>
              <w:t>土地性质为工业用地</w:t>
            </w:r>
            <w:r>
              <w:rPr>
                <w:rFonts w:hint="eastAsia" w:cs="Times New Roman"/>
                <w:bCs/>
                <w:color w:val="auto"/>
                <w:sz w:val="24"/>
                <w:szCs w:val="24"/>
                <w:lang w:val="en-US" w:eastAsia="zh-CN"/>
              </w:rPr>
              <w:t>，</w:t>
            </w:r>
            <w:r>
              <w:rPr>
                <w:rFonts w:hint="eastAsia" w:ascii="Times New Roman" w:hAnsi="Times New Roman" w:eastAsia="宋体" w:cs="Times New Roman"/>
                <w:bCs/>
                <w:color w:val="auto"/>
                <w:sz w:val="24"/>
                <w:szCs w:val="24"/>
                <w:lang w:val="en-US" w:eastAsia="zh-CN"/>
              </w:rPr>
              <w:t>项目所在区域路网完善、交通便利。</w:t>
            </w:r>
          </w:p>
          <w:p w14:paraId="2CA75647">
            <w:pPr>
              <w:spacing w:line="360" w:lineRule="auto"/>
              <w:ind w:firstLine="480" w:firstLineChars="200"/>
              <w:rPr>
                <w:rFonts w:hint="default"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lang w:val="en-US" w:eastAsia="zh-CN"/>
              </w:rPr>
              <w:t>（2）环境敏感性</w:t>
            </w:r>
          </w:p>
          <w:p w14:paraId="09B22021">
            <w:pPr>
              <w:keepNext/>
              <w:keepLines/>
              <w:widowControl/>
              <w:adjustRightInd w:val="0"/>
              <w:snapToGrid w:val="0"/>
              <w:spacing w:line="360" w:lineRule="auto"/>
              <w:ind w:firstLine="480" w:firstLineChars="200"/>
              <w:jc w:val="left"/>
              <w:outlineLvl w:val="1"/>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根据现场勘查，项目所在区域不属于自然保护区、森林公园、风景名胜区、世界文化自然遗产、地质公园等禁止开发的生态红线区、重点保护生态红线区以及脆弱生态保护红线区内，项目建设不会占用生态红线保护区。</w:t>
            </w:r>
          </w:p>
          <w:p w14:paraId="16A24930">
            <w:pPr>
              <w:keepNext/>
              <w:keepLines/>
              <w:widowControl/>
              <w:numPr>
                <w:ilvl w:val="0"/>
                <w:numId w:val="3"/>
              </w:numPr>
              <w:adjustRightInd w:val="0"/>
              <w:snapToGrid w:val="0"/>
              <w:spacing w:line="360" w:lineRule="auto"/>
              <w:ind w:left="0" w:leftChars="0" w:firstLine="480" w:firstLineChars="200"/>
              <w:jc w:val="left"/>
              <w:outlineLvl w:val="1"/>
              <w:rPr>
                <w:rFonts w:hint="eastAsia" w:cs="Times New Roman"/>
                <w:bCs/>
                <w:color w:val="auto"/>
                <w:sz w:val="24"/>
                <w:szCs w:val="24"/>
                <w:lang w:val="en-US" w:eastAsia="zh-CN"/>
              </w:rPr>
            </w:pPr>
            <w:r>
              <w:rPr>
                <w:rFonts w:hint="eastAsia" w:cs="Times New Roman"/>
                <w:bCs/>
                <w:color w:val="auto"/>
                <w:sz w:val="24"/>
                <w:szCs w:val="24"/>
                <w:lang w:val="en-US" w:eastAsia="zh-CN"/>
              </w:rPr>
              <w:t>环境影响可接受性</w:t>
            </w:r>
          </w:p>
          <w:p w14:paraId="740DF2FB">
            <w:pPr>
              <w:keepNext/>
              <w:keepLines/>
              <w:widowControl/>
              <w:numPr>
                <w:ilvl w:val="0"/>
                <w:numId w:val="0"/>
              </w:numPr>
              <w:adjustRightInd w:val="0"/>
              <w:snapToGrid w:val="0"/>
              <w:spacing w:line="360" w:lineRule="auto"/>
              <w:ind w:firstLine="480" w:firstLineChars="200"/>
              <w:jc w:val="left"/>
              <w:outlineLvl w:val="1"/>
              <w:rPr>
                <w:rFonts w:hint="default" w:ascii="Times New Roman" w:hAnsi="Times New Roman" w:eastAsia="宋体" w:cs="Times New Roman"/>
                <w:bCs/>
                <w:color w:val="auto"/>
                <w:sz w:val="24"/>
                <w:szCs w:val="24"/>
              </w:rPr>
            </w:pPr>
            <w:r>
              <w:rPr>
                <w:rFonts w:hint="eastAsia" w:cs="Times New Roman"/>
                <w:bCs/>
                <w:color w:val="auto"/>
                <w:sz w:val="24"/>
                <w:szCs w:val="24"/>
                <w:lang w:val="en-US" w:eastAsia="zh-CN"/>
              </w:rPr>
              <w:t>根据现场勘查，项目产生的废气通过相应配套的治理设施处理后达标排放；项目经隔声减噪措施后，对周围环境影响较小；产生的危险废物暂存于危废暂存库，定期交由有资质单位处置。项目实施环评提出各项措施后，废气、废水及噪声均能达标排放，固体废物做到了合理处置；从环境影响角度分析对周围环境造成的影响小，</w:t>
            </w:r>
            <w:r>
              <w:rPr>
                <w:rFonts w:hint="default" w:ascii="Times New Roman" w:hAnsi="Times New Roman" w:eastAsia="宋体" w:cs="Times New Roman"/>
                <w:bCs/>
                <w:color w:val="auto"/>
                <w:sz w:val="24"/>
                <w:szCs w:val="24"/>
              </w:rPr>
              <w:t>不会对区域环境产生明显影响。</w:t>
            </w:r>
          </w:p>
          <w:p w14:paraId="0D3D7445">
            <w:pPr>
              <w:keepNext/>
              <w:keepLines/>
              <w:widowControl/>
              <w:numPr>
                <w:ilvl w:val="0"/>
                <w:numId w:val="0"/>
              </w:numPr>
              <w:adjustRightInd w:val="0"/>
              <w:snapToGrid w:val="0"/>
              <w:spacing w:line="360" w:lineRule="auto"/>
              <w:ind w:firstLine="480" w:firstLineChars="200"/>
              <w:jc w:val="left"/>
              <w:outlineLvl w:val="1"/>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综上所述，从环境保护角度分析，项目选址合理可行。</w:t>
            </w:r>
          </w:p>
          <w:p w14:paraId="39212B6F">
            <w:pPr>
              <w:keepNext/>
              <w:keepLines/>
              <w:widowControl/>
              <w:numPr>
                <w:ilvl w:val="0"/>
                <w:numId w:val="0"/>
              </w:numPr>
              <w:adjustRightInd w:val="0"/>
              <w:snapToGrid w:val="0"/>
              <w:spacing w:line="360" w:lineRule="auto"/>
              <w:ind w:firstLine="480" w:firstLineChars="200"/>
              <w:jc w:val="left"/>
              <w:outlineLvl w:val="1"/>
              <w:rPr>
                <w:rFonts w:hint="default" w:ascii="Times New Roman" w:hAnsi="Times New Roman" w:eastAsia="宋体" w:cs="Times New Roman"/>
                <w:bCs/>
                <w:color w:val="auto"/>
                <w:sz w:val="24"/>
                <w:szCs w:val="24"/>
              </w:rPr>
            </w:pPr>
          </w:p>
          <w:p w14:paraId="1D7C1A48">
            <w:pPr>
              <w:keepNext/>
              <w:keepLines/>
              <w:widowControl/>
              <w:numPr>
                <w:ilvl w:val="0"/>
                <w:numId w:val="0"/>
              </w:numPr>
              <w:adjustRightInd w:val="0"/>
              <w:snapToGrid w:val="0"/>
              <w:spacing w:line="360" w:lineRule="auto"/>
              <w:ind w:firstLine="480" w:firstLineChars="200"/>
              <w:jc w:val="left"/>
              <w:outlineLvl w:val="1"/>
              <w:rPr>
                <w:rFonts w:hint="default" w:ascii="Times New Roman" w:hAnsi="Times New Roman" w:eastAsia="宋体" w:cs="Times New Roman"/>
                <w:bCs/>
                <w:color w:val="auto"/>
                <w:sz w:val="24"/>
                <w:szCs w:val="24"/>
              </w:rPr>
            </w:pPr>
          </w:p>
          <w:p w14:paraId="3A8F80FB">
            <w:pPr>
              <w:keepNext/>
              <w:keepLines/>
              <w:widowControl/>
              <w:numPr>
                <w:ilvl w:val="0"/>
                <w:numId w:val="0"/>
              </w:numPr>
              <w:adjustRightInd w:val="0"/>
              <w:snapToGrid w:val="0"/>
              <w:spacing w:line="360" w:lineRule="auto"/>
              <w:ind w:firstLine="480" w:firstLineChars="200"/>
              <w:jc w:val="left"/>
              <w:outlineLvl w:val="1"/>
              <w:rPr>
                <w:rFonts w:hint="default" w:ascii="Times New Roman" w:hAnsi="Times New Roman" w:eastAsia="宋体" w:cs="Times New Roman"/>
                <w:bCs/>
                <w:color w:val="auto"/>
                <w:sz w:val="24"/>
                <w:szCs w:val="24"/>
              </w:rPr>
            </w:pPr>
          </w:p>
          <w:p w14:paraId="5D33965C">
            <w:pPr>
              <w:keepNext/>
              <w:keepLines/>
              <w:widowControl/>
              <w:numPr>
                <w:ilvl w:val="0"/>
                <w:numId w:val="0"/>
              </w:numPr>
              <w:adjustRightInd w:val="0"/>
              <w:snapToGrid w:val="0"/>
              <w:spacing w:line="360" w:lineRule="auto"/>
              <w:ind w:firstLine="480" w:firstLineChars="200"/>
              <w:jc w:val="left"/>
              <w:outlineLvl w:val="1"/>
              <w:rPr>
                <w:rFonts w:hint="default" w:ascii="Times New Roman" w:hAnsi="Times New Roman" w:eastAsia="宋体" w:cs="Times New Roman"/>
                <w:bCs/>
                <w:color w:val="auto"/>
                <w:sz w:val="24"/>
                <w:szCs w:val="24"/>
              </w:rPr>
            </w:pPr>
          </w:p>
          <w:p w14:paraId="6757AC1A">
            <w:pPr>
              <w:keepNext/>
              <w:keepLines/>
              <w:widowControl/>
              <w:numPr>
                <w:ilvl w:val="0"/>
                <w:numId w:val="0"/>
              </w:numPr>
              <w:adjustRightInd w:val="0"/>
              <w:snapToGrid w:val="0"/>
              <w:spacing w:line="360" w:lineRule="auto"/>
              <w:ind w:firstLine="480" w:firstLineChars="200"/>
              <w:jc w:val="left"/>
              <w:outlineLvl w:val="1"/>
              <w:rPr>
                <w:rFonts w:hint="default" w:ascii="Times New Roman" w:hAnsi="Times New Roman" w:eastAsia="宋体" w:cs="Times New Roman"/>
                <w:bCs/>
                <w:color w:val="auto"/>
                <w:sz w:val="24"/>
                <w:szCs w:val="24"/>
              </w:rPr>
            </w:pPr>
          </w:p>
          <w:p w14:paraId="53B32A47">
            <w:pPr>
              <w:keepNext/>
              <w:keepLines/>
              <w:widowControl/>
              <w:numPr>
                <w:ilvl w:val="0"/>
                <w:numId w:val="0"/>
              </w:numPr>
              <w:adjustRightInd w:val="0"/>
              <w:snapToGrid w:val="0"/>
              <w:spacing w:line="360" w:lineRule="auto"/>
              <w:ind w:firstLine="480" w:firstLineChars="200"/>
              <w:jc w:val="left"/>
              <w:outlineLvl w:val="1"/>
              <w:rPr>
                <w:rFonts w:hint="default" w:ascii="Times New Roman" w:hAnsi="Times New Roman" w:eastAsia="宋体" w:cs="Times New Roman"/>
                <w:bCs/>
                <w:color w:val="auto"/>
                <w:sz w:val="24"/>
                <w:szCs w:val="24"/>
              </w:rPr>
            </w:pPr>
          </w:p>
          <w:p w14:paraId="5E342451">
            <w:pPr>
              <w:keepNext/>
              <w:keepLines/>
              <w:widowControl/>
              <w:numPr>
                <w:ilvl w:val="0"/>
                <w:numId w:val="0"/>
              </w:numPr>
              <w:adjustRightInd w:val="0"/>
              <w:snapToGrid w:val="0"/>
              <w:spacing w:line="360" w:lineRule="auto"/>
              <w:ind w:firstLine="480" w:firstLineChars="200"/>
              <w:jc w:val="left"/>
              <w:outlineLvl w:val="1"/>
              <w:rPr>
                <w:rFonts w:hint="default" w:ascii="Times New Roman" w:hAnsi="Times New Roman" w:eastAsia="宋体" w:cs="Times New Roman"/>
                <w:bCs/>
                <w:color w:val="auto"/>
                <w:sz w:val="24"/>
                <w:szCs w:val="24"/>
              </w:rPr>
            </w:pPr>
          </w:p>
          <w:p w14:paraId="1E731225">
            <w:pPr>
              <w:keepNext/>
              <w:keepLines/>
              <w:widowControl/>
              <w:numPr>
                <w:ilvl w:val="0"/>
                <w:numId w:val="0"/>
              </w:numPr>
              <w:adjustRightInd w:val="0"/>
              <w:snapToGrid w:val="0"/>
              <w:spacing w:line="360" w:lineRule="auto"/>
              <w:ind w:firstLine="480" w:firstLineChars="200"/>
              <w:jc w:val="left"/>
              <w:outlineLvl w:val="1"/>
              <w:rPr>
                <w:rFonts w:hint="default" w:ascii="Times New Roman" w:hAnsi="Times New Roman" w:eastAsia="宋体" w:cs="Times New Roman"/>
                <w:bCs/>
                <w:color w:val="auto"/>
                <w:sz w:val="24"/>
                <w:szCs w:val="24"/>
              </w:rPr>
            </w:pPr>
          </w:p>
          <w:p w14:paraId="60B3BD61">
            <w:pPr>
              <w:keepNext/>
              <w:keepLines/>
              <w:widowControl/>
              <w:numPr>
                <w:ilvl w:val="0"/>
                <w:numId w:val="0"/>
              </w:numPr>
              <w:adjustRightInd w:val="0"/>
              <w:snapToGrid w:val="0"/>
              <w:spacing w:line="360" w:lineRule="auto"/>
              <w:ind w:firstLine="480" w:firstLineChars="200"/>
              <w:jc w:val="left"/>
              <w:outlineLvl w:val="1"/>
              <w:rPr>
                <w:rFonts w:hint="default" w:ascii="Times New Roman" w:hAnsi="Times New Roman" w:eastAsia="宋体" w:cs="Times New Roman"/>
                <w:bCs/>
                <w:color w:val="auto"/>
                <w:sz w:val="24"/>
                <w:szCs w:val="24"/>
              </w:rPr>
            </w:pPr>
          </w:p>
          <w:p w14:paraId="1E740DD1">
            <w:pPr>
              <w:keepNext/>
              <w:keepLines/>
              <w:widowControl/>
              <w:numPr>
                <w:ilvl w:val="0"/>
                <w:numId w:val="0"/>
              </w:numPr>
              <w:adjustRightInd w:val="0"/>
              <w:snapToGrid w:val="0"/>
              <w:spacing w:line="360" w:lineRule="auto"/>
              <w:ind w:firstLine="480" w:firstLineChars="200"/>
              <w:jc w:val="left"/>
              <w:outlineLvl w:val="1"/>
              <w:rPr>
                <w:rFonts w:hint="default" w:ascii="Times New Roman" w:hAnsi="Times New Roman" w:eastAsia="宋体" w:cs="Times New Roman"/>
                <w:bCs/>
                <w:color w:val="auto"/>
                <w:sz w:val="24"/>
                <w:szCs w:val="24"/>
              </w:rPr>
            </w:pPr>
          </w:p>
          <w:p w14:paraId="675CCC86">
            <w:pPr>
              <w:keepNext/>
              <w:keepLines/>
              <w:widowControl/>
              <w:numPr>
                <w:ilvl w:val="0"/>
                <w:numId w:val="0"/>
              </w:numPr>
              <w:adjustRightInd w:val="0"/>
              <w:snapToGrid w:val="0"/>
              <w:spacing w:line="360" w:lineRule="auto"/>
              <w:ind w:firstLine="480" w:firstLineChars="200"/>
              <w:jc w:val="left"/>
              <w:outlineLvl w:val="1"/>
              <w:rPr>
                <w:rFonts w:hint="default" w:ascii="Times New Roman" w:hAnsi="Times New Roman" w:eastAsia="宋体" w:cs="Times New Roman"/>
                <w:bCs/>
                <w:color w:val="auto"/>
                <w:sz w:val="24"/>
                <w:szCs w:val="24"/>
              </w:rPr>
            </w:pPr>
          </w:p>
          <w:p w14:paraId="0C309B45">
            <w:pPr>
              <w:keepNext/>
              <w:keepLines/>
              <w:widowControl/>
              <w:numPr>
                <w:ilvl w:val="0"/>
                <w:numId w:val="0"/>
              </w:numPr>
              <w:adjustRightInd w:val="0"/>
              <w:snapToGrid w:val="0"/>
              <w:spacing w:line="360" w:lineRule="auto"/>
              <w:ind w:firstLine="480" w:firstLineChars="200"/>
              <w:jc w:val="left"/>
              <w:outlineLvl w:val="1"/>
              <w:rPr>
                <w:rFonts w:hint="default" w:ascii="Times New Roman" w:hAnsi="Times New Roman" w:eastAsia="宋体" w:cs="Times New Roman"/>
                <w:bCs/>
                <w:color w:val="auto"/>
                <w:sz w:val="24"/>
                <w:szCs w:val="24"/>
              </w:rPr>
            </w:pPr>
          </w:p>
          <w:p w14:paraId="02BE885A">
            <w:pPr>
              <w:keepNext/>
              <w:keepLines/>
              <w:widowControl/>
              <w:numPr>
                <w:ilvl w:val="0"/>
                <w:numId w:val="0"/>
              </w:numPr>
              <w:adjustRightInd w:val="0"/>
              <w:snapToGrid w:val="0"/>
              <w:spacing w:line="360" w:lineRule="auto"/>
              <w:ind w:firstLine="480" w:firstLineChars="200"/>
              <w:jc w:val="left"/>
              <w:outlineLvl w:val="1"/>
              <w:rPr>
                <w:rFonts w:hint="default" w:ascii="Times New Roman" w:hAnsi="Times New Roman" w:eastAsia="宋体" w:cs="Times New Roman"/>
                <w:bCs/>
                <w:color w:val="auto"/>
                <w:sz w:val="24"/>
                <w:szCs w:val="24"/>
              </w:rPr>
            </w:pPr>
          </w:p>
          <w:p w14:paraId="6BCCA6E2">
            <w:pPr>
              <w:keepNext/>
              <w:keepLines/>
              <w:widowControl/>
              <w:numPr>
                <w:ilvl w:val="0"/>
                <w:numId w:val="0"/>
              </w:numPr>
              <w:adjustRightInd w:val="0"/>
              <w:snapToGrid w:val="0"/>
              <w:spacing w:line="360" w:lineRule="auto"/>
              <w:ind w:firstLine="480" w:firstLineChars="200"/>
              <w:jc w:val="left"/>
              <w:outlineLvl w:val="1"/>
              <w:rPr>
                <w:rFonts w:hint="default" w:ascii="Times New Roman" w:hAnsi="Times New Roman" w:eastAsia="宋体" w:cs="Times New Roman"/>
                <w:bCs/>
                <w:color w:val="auto"/>
                <w:sz w:val="24"/>
                <w:szCs w:val="24"/>
              </w:rPr>
            </w:pPr>
          </w:p>
          <w:p w14:paraId="10234023">
            <w:pPr>
              <w:keepNext/>
              <w:keepLines/>
              <w:widowControl/>
              <w:numPr>
                <w:ilvl w:val="0"/>
                <w:numId w:val="0"/>
              </w:numPr>
              <w:adjustRightInd w:val="0"/>
              <w:snapToGrid w:val="0"/>
              <w:spacing w:line="360" w:lineRule="auto"/>
              <w:ind w:firstLine="480" w:firstLineChars="200"/>
              <w:jc w:val="left"/>
              <w:outlineLvl w:val="1"/>
              <w:rPr>
                <w:rFonts w:hint="default" w:ascii="Times New Roman" w:hAnsi="Times New Roman" w:eastAsia="宋体" w:cs="Times New Roman"/>
                <w:bCs/>
                <w:color w:val="auto"/>
                <w:sz w:val="24"/>
                <w:szCs w:val="24"/>
              </w:rPr>
            </w:pPr>
          </w:p>
          <w:p w14:paraId="7144DC4C">
            <w:pPr>
              <w:keepNext/>
              <w:keepLines/>
              <w:widowControl/>
              <w:numPr>
                <w:ilvl w:val="0"/>
                <w:numId w:val="0"/>
              </w:numPr>
              <w:adjustRightInd w:val="0"/>
              <w:snapToGrid w:val="0"/>
              <w:spacing w:line="360" w:lineRule="auto"/>
              <w:ind w:firstLine="480" w:firstLineChars="200"/>
              <w:jc w:val="left"/>
              <w:outlineLvl w:val="1"/>
              <w:rPr>
                <w:rFonts w:hint="default" w:ascii="Times New Roman" w:hAnsi="Times New Roman" w:eastAsia="宋体" w:cs="Times New Roman"/>
                <w:bCs/>
                <w:color w:val="auto"/>
                <w:sz w:val="24"/>
                <w:szCs w:val="24"/>
              </w:rPr>
            </w:pPr>
          </w:p>
          <w:p w14:paraId="6154AD96">
            <w:pPr>
              <w:keepNext/>
              <w:keepLines/>
              <w:widowControl/>
              <w:numPr>
                <w:ilvl w:val="0"/>
                <w:numId w:val="0"/>
              </w:numPr>
              <w:adjustRightInd w:val="0"/>
              <w:snapToGrid w:val="0"/>
              <w:spacing w:line="360" w:lineRule="auto"/>
              <w:ind w:firstLine="480" w:firstLineChars="200"/>
              <w:jc w:val="left"/>
              <w:outlineLvl w:val="1"/>
              <w:rPr>
                <w:rFonts w:hint="default" w:ascii="Times New Roman" w:hAnsi="Times New Roman" w:eastAsia="宋体" w:cs="Times New Roman"/>
                <w:bCs/>
                <w:color w:val="auto"/>
                <w:sz w:val="24"/>
                <w:szCs w:val="24"/>
              </w:rPr>
            </w:pPr>
          </w:p>
          <w:p w14:paraId="3B9CBBBD">
            <w:pPr>
              <w:keepNext/>
              <w:keepLines/>
              <w:widowControl/>
              <w:numPr>
                <w:ilvl w:val="0"/>
                <w:numId w:val="0"/>
              </w:numPr>
              <w:adjustRightInd w:val="0"/>
              <w:snapToGrid w:val="0"/>
              <w:spacing w:line="360" w:lineRule="auto"/>
              <w:ind w:firstLine="480" w:firstLineChars="200"/>
              <w:jc w:val="left"/>
              <w:outlineLvl w:val="1"/>
              <w:rPr>
                <w:rFonts w:hint="default" w:ascii="Times New Roman" w:hAnsi="Times New Roman" w:eastAsia="宋体" w:cs="Times New Roman"/>
                <w:bCs/>
                <w:color w:val="auto"/>
                <w:sz w:val="24"/>
                <w:szCs w:val="24"/>
              </w:rPr>
            </w:pPr>
          </w:p>
          <w:p w14:paraId="62454D9C">
            <w:pPr>
              <w:keepNext/>
              <w:keepLines/>
              <w:widowControl/>
              <w:numPr>
                <w:ilvl w:val="0"/>
                <w:numId w:val="0"/>
              </w:numPr>
              <w:adjustRightInd w:val="0"/>
              <w:snapToGrid w:val="0"/>
              <w:spacing w:line="360" w:lineRule="auto"/>
              <w:ind w:firstLine="480" w:firstLineChars="200"/>
              <w:jc w:val="left"/>
              <w:outlineLvl w:val="1"/>
              <w:rPr>
                <w:rFonts w:hint="default" w:ascii="Times New Roman" w:hAnsi="Times New Roman" w:eastAsia="宋体" w:cs="Times New Roman"/>
                <w:bCs/>
                <w:color w:val="auto"/>
                <w:sz w:val="24"/>
                <w:szCs w:val="24"/>
              </w:rPr>
            </w:pPr>
          </w:p>
          <w:p w14:paraId="0280D5EC">
            <w:pPr>
              <w:keepNext/>
              <w:keepLines/>
              <w:widowControl/>
              <w:numPr>
                <w:ilvl w:val="0"/>
                <w:numId w:val="0"/>
              </w:numPr>
              <w:adjustRightInd w:val="0"/>
              <w:snapToGrid w:val="0"/>
              <w:spacing w:line="360" w:lineRule="auto"/>
              <w:ind w:firstLine="480" w:firstLineChars="200"/>
              <w:jc w:val="left"/>
              <w:outlineLvl w:val="1"/>
              <w:rPr>
                <w:rFonts w:hint="default" w:ascii="Times New Roman" w:hAnsi="Times New Roman" w:eastAsia="宋体" w:cs="Times New Roman"/>
                <w:bCs/>
                <w:color w:val="auto"/>
                <w:sz w:val="24"/>
                <w:szCs w:val="24"/>
              </w:rPr>
            </w:pPr>
          </w:p>
          <w:p w14:paraId="6986C5D2">
            <w:pPr>
              <w:keepNext/>
              <w:keepLines/>
              <w:widowControl/>
              <w:numPr>
                <w:ilvl w:val="0"/>
                <w:numId w:val="0"/>
              </w:numPr>
              <w:adjustRightInd w:val="0"/>
              <w:snapToGrid w:val="0"/>
              <w:spacing w:line="360" w:lineRule="auto"/>
              <w:ind w:firstLine="420" w:firstLineChars="200"/>
              <w:jc w:val="left"/>
              <w:outlineLvl w:val="1"/>
              <w:rPr>
                <w:rFonts w:hint="eastAsia" w:eastAsia="宋体"/>
                <w:color w:val="auto"/>
                <w:lang w:val="en-US" w:eastAsia="zh-CN"/>
              </w:rPr>
            </w:pPr>
          </w:p>
        </w:tc>
      </w:tr>
    </w:tbl>
    <w:p w14:paraId="0FCAFEEC">
      <w:pPr>
        <w:spacing w:line="360" w:lineRule="auto"/>
        <w:outlineLvl w:val="9"/>
        <w:rPr>
          <w:rFonts w:eastAsia="黑体"/>
          <w:color w:val="auto"/>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4940A873">
      <w:pPr>
        <w:pStyle w:val="29"/>
        <w:jc w:val="center"/>
        <w:outlineLvl w:val="0"/>
        <w:rPr>
          <w:rFonts w:ascii="黑体" w:hAnsi="黑体" w:eastAsia="黑体"/>
          <w:snapToGrid w:val="0"/>
          <w:color w:val="auto"/>
          <w:sz w:val="30"/>
          <w:szCs w:val="30"/>
        </w:rPr>
      </w:pPr>
      <w:bookmarkStart w:id="7" w:name="_Toc14757"/>
      <w:r>
        <w:rPr>
          <w:rFonts w:hint="eastAsia" w:ascii="黑体" w:hAnsi="黑体" w:eastAsia="黑体"/>
          <w:snapToGrid w:val="0"/>
          <w:color w:val="auto"/>
          <w:sz w:val="30"/>
          <w:szCs w:val="30"/>
        </w:rPr>
        <w:t>二、建设项目工程分析</w:t>
      </w:r>
      <w:bookmarkEnd w:id="7"/>
    </w:p>
    <w:tbl>
      <w:tblPr>
        <w:tblStyle w:val="3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2"/>
        <w:gridCol w:w="8638"/>
      </w:tblGrid>
      <w:tr w14:paraId="27CBBC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34" w:type="pct"/>
            <w:vAlign w:val="center"/>
          </w:tcPr>
          <w:p w14:paraId="34E943B4">
            <w:pPr>
              <w:pStyle w:val="29"/>
              <w:adjustRightInd w:val="0"/>
              <w:snapToGrid w:val="0"/>
              <w:spacing w:before="0" w:beforeAutospacing="0" w:after="0" w:afterAutospacing="0"/>
              <w:jc w:val="center"/>
              <w:rPr>
                <w:rFonts w:cs="宋体"/>
                <w:color w:val="auto"/>
                <w:sz w:val="21"/>
                <w:szCs w:val="21"/>
              </w:rPr>
            </w:pPr>
            <w:r>
              <w:rPr>
                <w:rFonts w:hint="eastAsia" w:cs="宋体"/>
                <w:color w:val="auto"/>
                <w:sz w:val="21"/>
                <w:szCs w:val="21"/>
              </w:rPr>
              <w:t>建设内容</w:t>
            </w:r>
          </w:p>
        </w:tc>
        <w:tc>
          <w:tcPr>
            <w:tcW w:w="4765" w:type="pct"/>
          </w:tcPr>
          <w:p w14:paraId="685430EE">
            <w:pPr>
              <w:numPr>
                <w:ilvl w:val="0"/>
                <w:numId w:val="0"/>
              </w:numPr>
              <w:spacing w:line="360" w:lineRule="auto"/>
              <w:ind w:firstLine="482" w:firstLineChars="200"/>
              <w:rPr>
                <w:rFonts w:hint="eastAsia"/>
                <w:b/>
                <w:bCs/>
                <w:color w:val="auto"/>
                <w:sz w:val="24"/>
                <w:szCs w:val="24"/>
                <w:lang w:val="en-US" w:eastAsia="zh-CN"/>
              </w:rPr>
            </w:pPr>
            <w:r>
              <w:rPr>
                <w:rFonts w:hint="eastAsia"/>
                <w:b/>
                <w:bCs/>
                <w:color w:val="auto"/>
                <w:sz w:val="24"/>
                <w:szCs w:val="24"/>
                <w:lang w:val="en-US" w:eastAsia="zh-CN"/>
              </w:rPr>
              <w:t>一、项目由来</w:t>
            </w:r>
          </w:p>
          <w:p w14:paraId="235C6BD7">
            <w:pPr>
              <w:numPr>
                <w:ilvl w:val="0"/>
                <w:numId w:val="0"/>
              </w:numPr>
              <w:spacing w:line="360" w:lineRule="auto"/>
              <w:ind w:firstLine="480" w:firstLineChars="200"/>
              <w:rPr>
                <w:rFonts w:hint="eastAsia" w:cs="Times New Roman" w:eastAsiaTheme="minorEastAsia"/>
                <w:color w:val="auto"/>
                <w:kern w:val="0"/>
                <w:sz w:val="24"/>
                <w:szCs w:val="24"/>
                <w:lang w:val="en-US" w:eastAsia="zh-CN"/>
              </w:rPr>
            </w:pPr>
            <w:r>
              <w:rPr>
                <w:rFonts w:hint="eastAsia" w:cs="Times New Roman" w:eastAsiaTheme="minorEastAsia"/>
                <w:color w:val="auto"/>
                <w:kern w:val="0"/>
                <w:sz w:val="24"/>
                <w:szCs w:val="24"/>
                <w:lang w:val="en-US" w:eastAsia="zh-CN"/>
              </w:rPr>
              <w:t>（1）项目实施的必要性</w:t>
            </w:r>
          </w:p>
          <w:p w14:paraId="28B46F91">
            <w:pPr>
              <w:numPr>
                <w:ilvl w:val="0"/>
                <w:numId w:val="0"/>
              </w:numPr>
              <w:spacing w:line="360" w:lineRule="auto"/>
              <w:ind w:firstLine="480" w:firstLineChars="200"/>
              <w:rPr>
                <w:rFonts w:hint="eastAsia" w:cs="Times New Roman" w:eastAsiaTheme="minorEastAsia"/>
                <w:color w:val="auto"/>
                <w:kern w:val="0"/>
                <w:sz w:val="24"/>
                <w:szCs w:val="24"/>
                <w:lang w:val="en-US" w:eastAsia="zh-CN"/>
              </w:rPr>
            </w:pPr>
            <w:r>
              <w:rPr>
                <w:rFonts w:hint="eastAsia" w:cs="Times New Roman" w:eastAsiaTheme="minorEastAsia"/>
                <w:color w:val="auto"/>
                <w:kern w:val="0"/>
                <w:sz w:val="24"/>
                <w:szCs w:val="24"/>
                <w:lang w:val="en-US" w:eastAsia="zh-CN"/>
              </w:rPr>
              <w:t>宝鸡机场初建于1945年，该机场位于宝鸡市凤翔县东北糜杆桥镇，距凤翔县7.4km。军队机型在该机场虽已停航，但一直设有留守场站，民航一直未使用该机场。为促进区域经济社会发展，完善地区综合交通运输体系，适应机场航空业务量增长的需求，决定建设军民合用机场，目前机场环评在审批过程中。供油工程是机场工程重要的配套工程，从工程实施上要服从机场发展大局，供油设施要满足机场发展的需要，与机场的发展同步，决定建设宝鸡机场供油工程项目。</w:t>
            </w:r>
          </w:p>
          <w:p w14:paraId="37D255BD">
            <w:pPr>
              <w:numPr>
                <w:ilvl w:val="0"/>
                <w:numId w:val="0"/>
              </w:numPr>
              <w:spacing w:line="360" w:lineRule="auto"/>
              <w:ind w:leftChars="0"/>
              <w:rPr>
                <w:rFonts w:hint="eastAsia" w:cs="Times New Roman" w:eastAsiaTheme="minorEastAsia"/>
                <w:color w:val="auto"/>
                <w:kern w:val="0"/>
                <w:sz w:val="24"/>
                <w:szCs w:val="24"/>
                <w:lang w:val="en-US" w:eastAsia="zh-CN"/>
              </w:rPr>
            </w:pPr>
            <w:r>
              <w:rPr>
                <w:rFonts w:hint="eastAsia" w:cs="Times New Roman" w:eastAsiaTheme="minorEastAsia"/>
                <w:color w:val="auto"/>
                <w:kern w:val="0"/>
                <w:sz w:val="24"/>
                <w:szCs w:val="24"/>
                <w:lang w:val="en-US" w:eastAsia="zh-CN"/>
              </w:rPr>
              <w:t xml:space="preserve">    （2）项目环评报告类型分析</w:t>
            </w:r>
          </w:p>
          <w:p w14:paraId="5CED6B01">
            <w:pPr>
              <w:numPr>
                <w:ilvl w:val="0"/>
                <w:numId w:val="0"/>
              </w:numPr>
              <w:spacing w:line="360" w:lineRule="auto"/>
              <w:ind w:firstLine="480" w:firstLineChars="200"/>
              <w:rPr>
                <w:rFonts w:hint="eastAsia" w:cs="Times New Roman" w:eastAsiaTheme="minorEastAsia"/>
                <w:color w:val="auto"/>
                <w:kern w:val="0"/>
                <w:sz w:val="24"/>
                <w:szCs w:val="24"/>
                <w:lang w:val="en-US" w:eastAsia="zh-CN"/>
              </w:rPr>
            </w:pPr>
            <w:r>
              <w:rPr>
                <w:rFonts w:hint="eastAsia" w:cs="Times New Roman" w:eastAsiaTheme="minorEastAsia"/>
                <w:color w:val="auto"/>
                <w:kern w:val="0"/>
                <w:sz w:val="24"/>
                <w:szCs w:val="24"/>
                <w:lang w:val="en-US" w:eastAsia="zh-CN"/>
              </w:rPr>
              <w:t>本项目新建航空煤油储罐为地上储罐，3个500m</w:t>
            </w:r>
            <w:r>
              <w:rPr>
                <w:rFonts w:hint="eastAsia" w:cs="Times New Roman" w:eastAsiaTheme="minorEastAsia"/>
                <w:color w:val="auto"/>
                <w:kern w:val="0"/>
                <w:sz w:val="24"/>
                <w:szCs w:val="24"/>
                <w:vertAlign w:val="superscript"/>
                <w:lang w:val="en-US" w:eastAsia="zh-CN"/>
              </w:rPr>
              <w:t>3</w:t>
            </w:r>
            <w:r>
              <w:rPr>
                <w:rFonts w:hint="eastAsia" w:cs="Times New Roman" w:eastAsiaTheme="minorEastAsia"/>
                <w:color w:val="auto"/>
                <w:kern w:val="0"/>
                <w:sz w:val="24"/>
                <w:szCs w:val="24"/>
                <w:lang w:val="en-US" w:eastAsia="zh-CN"/>
              </w:rPr>
              <w:t>立式内浮顶锥底储油罐，根据《国民经济行业分类》（2017版，2019修订）属于“G5941油气仓储中的-原油、成品油仓储服务”，根据《建设项目环境影响评价分类管理名录》（2021年版），属于其中“五十三、装卸搬运和仓储业149危险品仓储594（不含加油站的油库；不含加气站的气库）其他（含有毒、有害、危险品的仓储；含液化天然气库）”，应编制环境影响报告表。中国航空油料有限责任公司西安分公司委托我公司编制该项目环境影响报告表。我单位接受委托后，认真研究了该项目的有关资料，经环境影响识别和影响分析，并在此基础上根据国家相关的环保法律法规和相应的标准，编制了本项目环境影响评价报告表。</w:t>
            </w:r>
          </w:p>
          <w:p w14:paraId="0E29D8D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b/>
                <w:bCs/>
                <w:color w:val="auto"/>
                <w:sz w:val="24"/>
                <w:szCs w:val="24"/>
                <w:lang w:val="en-US" w:eastAsia="zh-CN"/>
              </w:rPr>
            </w:pPr>
            <w:r>
              <w:rPr>
                <w:rFonts w:hint="eastAsia"/>
                <w:b/>
                <w:bCs/>
                <w:color w:val="auto"/>
                <w:sz w:val="24"/>
                <w:szCs w:val="24"/>
                <w:lang w:val="en-US" w:eastAsia="zh-CN"/>
              </w:rPr>
              <w:t>二、项目概况</w:t>
            </w:r>
          </w:p>
          <w:p w14:paraId="6BD9B302">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项目名称：</w:t>
            </w:r>
            <w:r>
              <w:rPr>
                <w:rFonts w:hint="default" w:ascii="Times New Roman" w:hAnsi="Times New Roman" w:eastAsia="宋体" w:cs="Times New Roman"/>
                <w:color w:val="auto"/>
                <w:sz w:val="24"/>
                <w:szCs w:val="24"/>
                <w:lang w:val="en-US" w:eastAsia="zh-CN"/>
              </w:rPr>
              <w:t>宝鸡机场供油工程项目</w:t>
            </w:r>
          </w:p>
          <w:p w14:paraId="2DD33D3F">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建设单位：</w:t>
            </w:r>
            <w:r>
              <w:rPr>
                <w:rFonts w:hint="eastAsia" w:cs="Times New Roman" w:eastAsiaTheme="minorEastAsia"/>
                <w:color w:val="auto"/>
                <w:kern w:val="0"/>
                <w:sz w:val="24"/>
                <w:szCs w:val="24"/>
                <w:lang w:val="en-US" w:eastAsia="zh-CN"/>
              </w:rPr>
              <w:t>中国航空油料有限责任公司西安分公司</w:t>
            </w:r>
          </w:p>
          <w:p w14:paraId="632139CE">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建设性质：</w:t>
            </w:r>
            <w:r>
              <w:rPr>
                <w:rFonts w:hint="eastAsia" w:cs="Times New Roman"/>
                <w:color w:val="auto"/>
                <w:sz w:val="24"/>
                <w:szCs w:val="24"/>
                <w:lang w:eastAsia="zh-CN"/>
              </w:rPr>
              <w:t>新</w:t>
            </w:r>
            <w:r>
              <w:rPr>
                <w:rFonts w:hint="default" w:ascii="Times New Roman" w:hAnsi="Times New Roman" w:eastAsia="宋体" w:cs="Times New Roman"/>
                <w:color w:val="auto"/>
                <w:sz w:val="24"/>
                <w:szCs w:val="24"/>
              </w:rPr>
              <w:t>建</w:t>
            </w:r>
          </w:p>
          <w:p w14:paraId="35FB8717">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rPr>
              <w:t>占地面积：</w:t>
            </w:r>
            <w:r>
              <w:rPr>
                <w:rFonts w:hint="default" w:ascii="Times New Roman" w:hAnsi="Times New Roman" w:eastAsia="宋体" w:cs="Times New Roman"/>
                <w:color w:val="auto"/>
                <w:sz w:val="24"/>
                <w:szCs w:val="24"/>
                <w:lang w:val="en-US" w:eastAsia="zh-CN"/>
              </w:rPr>
              <w:t>2229</w:t>
            </w:r>
            <w:r>
              <w:rPr>
                <w:rFonts w:hint="eastAsia" w:cs="Times New Roman"/>
                <w:color w:val="auto"/>
                <w:sz w:val="24"/>
                <w:szCs w:val="24"/>
                <w:lang w:val="en-US" w:eastAsia="zh-CN"/>
              </w:rPr>
              <w:t>3.3</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p>
          <w:p w14:paraId="6F1FFBB6">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项目投资：本项目总投资为</w:t>
            </w:r>
            <w:r>
              <w:rPr>
                <w:rFonts w:hint="default" w:ascii="Times New Roman" w:hAnsi="Times New Roman" w:eastAsia="宋体" w:cs="Times New Roman"/>
                <w:color w:val="auto"/>
                <w:sz w:val="24"/>
                <w:szCs w:val="24"/>
                <w:highlight w:val="none"/>
                <w:lang w:val="en-US" w:eastAsia="zh-CN"/>
              </w:rPr>
              <w:t>4499.70</w:t>
            </w:r>
            <w:r>
              <w:rPr>
                <w:rFonts w:hint="default" w:ascii="Times New Roman" w:hAnsi="Times New Roman" w:eastAsia="宋体" w:cs="Times New Roman"/>
                <w:color w:val="auto"/>
                <w:sz w:val="24"/>
                <w:szCs w:val="24"/>
                <w:highlight w:val="none"/>
              </w:rPr>
              <w:t>万元，其中环保投资约</w:t>
            </w:r>
            <w:r>
              <w:rPr>
                <w:rFonts w:hint="eastAsia" w:cs="Times New Roman"/>
                <w:color w:val="auto"/>
                <w:sz w:val="24"/>
                <w:szCs w:val="24"/>
                <w:highlight w:val="none"/>
                <w:lang w:val="en-US" w:eastAsia="zh-CN"/>
              </w:rPr>
              <w:t>375</w:t>
            </w:r>
            <w:r>
              <w:rPr>
                <w:rFonts w:hint="default" w:ascii="Times New Roman" w:hAnsi="Times New Roman" w:eastAsia="宋体" w:cs="Times New Roman"/>
                <w:color w:val="auto"/>
                <w:sz w:val="24"/>
                <w:szCs w:val="24"/>
                <w:highlight w:val="none"/>
              </w:rPr>
              <w:t>万元，占总投资的</w:t>
            </w:r>
            <w:r>
              <w:rPr>
                <w:rFonts w:hint="eastAsia" w:cs="Times New Roman"/>
                <w:color w:val="auto"/>
                <w:sz w:val="24"/>
                <w:szCs w:val="24"/>
                <w:highlight w:val="none"/>
                <w:lang w:val="en-US" w:eastAsia="zh-CN"/>
              </w:rPr>
              <w:t>8.33</w:t>
            </w:r>
            <w:r>
              <w:rPr>
                <w:rFonts w:hint="default" w:ascii="Times New Roman" w:hAnsi="Times New Roman" w:eastAsia="宋体" w:cs="Times New Roman"/>
                <w:color w:val="auto"/>
                <w:sz w:val="24"/>
                <w:szCs w:val="24"/>
                <w:highlight w:val="none"/>
              </w:rPr>
              <w:t>%。</w:t>
            </w:r>
          </w:p>
          <w:p w14:paraId="1BE15DB3">
            <w:pPr>
              <w:keepNext w:val="0"/>
              <w:keepLines w:val="0"/>
              <w:pageBreakBefore w:val="0"/>
              <w:tabs>
                <w:tab w:val="center" w:pos="4937"/>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建设地点：</w:t>
            </w:r>
            <w:r>
              <w:rPr>
                <w:rFonts w:hint="default" w:ascii="Times New Roman" w:hAnsi="Times New Roman" w:eastAsia="宋体" w:cs="Times New Roman"/>
                <w:color w:val="auto"/>
                <w:sz w:val="24"/>
                <w:szCs w:val="24"/>
                <w:lang w:val="en-US" w:eastAsia="zh-CN"/>
              </w:rPr>
              <w:t>陕西省宝鸡市凤翔县东北糜杆桥镇宝鸡机场东南侧，</w:t>
            </w:r>
            <w:r>
              <w:rPr>
                <w:rFonts w:hint="default" w:ascii="Times New Roman" w:hAnsi="Times New Roman" w:eastAsia="宋体"/>
                <w:color w:val="auto"/>
                <w:sz w:val="24"/>
                <w:lang w:val="en-US" w:eastAsia="zh-CN"/>
              </w:rPr>
              <w:t>中心地理坐标为</w:t>
            </w:r>
            <w:r>
              <w:rPr>
                <w:rFonts w:hint="eastAsia" w:ascii="Times New Roman" w:hAnsi="Times New Roman" w:eastAsia="宋体"/>
                <w:color w:val="auto"/>
                <w:sz w:val="24"/>
                <w:lang w:val="en-US" w:eastAsia="zh-CN"/>
              </w:rPr>
              <w:t>：东经107°29'29.00"， 北纬34°30'58.31"</w:t>
            </w:r>
            <w:r>
              <w:rPr>
                <w:rFonts w:hint="eastAsia"/>
                <w:color w:val="auto"/>
                <w:sz w:val="24"/>
                <w:lang w:val="en-US" w:eastAsia="zh-CN"/>
              </w:rPr>
              <w:t>。</w:t>
            </w:r>
            <w:r>
              <w:rPr>
                <w:rFonts w:hint="eastAsia" w:ascii="Times New Roman" w:hAnsi="Times New Roman" w:eastAsia="宋体"/>
                <w:color w:val="auto"/>
                <w:sz w:val="24"/>
                <w:lang w:val="en-US" w:eastAsia="zh-CN"/>
              </w:rPr>
              <w:t xml:space="preserve"> </w:t>
            </w:r>
            <w:r>
              <w:rPr>
                <w:rFonts w:hint="default" w:ascii="Times New Roman" w:hAnsi="Times New Roman" w:eastAsia="宋体" w:cs="Times New Roman"/>
                <w:color w:val="auto"/>
                <w:sz w:val="24"/>
                <w:szCs w:val="24"/>
              </w:rPr>
              <w:t>本项目具体地理位置</w:t>
            </w:r>
            <w:r>
              <w:rPr>
                <w:rFonts w:hint="eastAsia" w:cs="Times New Roman"/>
                <w:color w:val="auto"/>
                <w:sz w:val="24"/>
                <w:szCs w:val="24"/>
                <w:lang w:val="en-US" w:eastAsia="zh-CN"/>
              </w:rPr>
              <w:t>及平面布置图见附图</w:t>
            </w:r>
            <w:r>
              <w:rPr>
                <w:rFonts w:hint="default" w:ascii="Times New Roman" w:hAnsi="Times New Roman" w:eastAsia="宋体" w:cs="Times New Roman"/>
                <w:color w:val="auto"/>
                <w:sz w:val="24"/>
                <w:szCs w:val="24"/>
              </w:rPr>
              <w:t>。</w:t>
            </w:r>
          </w:p>
          <w:p w14:paraId="6FCD1E8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b/>
                <w:bCs/>
                <w:color w:val="auto"/>
                <w:sz w:val="24"/>
                <w:szCs w:val="24"/>
                <w:lang w:val="en-US" w:eastAsia="zh-CN"/>
              </w:rPr>
            </w:pPr>
            <w:r>
              <w:rPr>
                <w:rFonts w:hint="eastAsia"/>
                <w:b/>
                <w:bCs/>
                <w:color w:val="auto"/>
                <w:sz w:val="24"/>
                <w:szCs w:val="24"/>
                <w:lang w:val="en-US" w:eastAsia="zh-CN"/>
              </w:rPr>
              <w:t>2、</w:t>
            </w:r>
            <w:r>
              <w:rPr>
                <w:rFonts w:hint="default" w:ascii="Times New Roman" w:hAnsi="Times New Roman" w:eastAsia="宋体" w:cs="Times New Roman"/>
                <w:b/>
                <w:bCs w:val="0"/>
                <w:color w:val="auto"/>
                <w:sz w:val="24"/>
                <w:szCs w:val="24"/>
              </w:rPr>
              <w:t>项目</w:t>
            </w:r>
            <w:r>
              <w:rPr>
                <w:rFonts w:hint="eastAsia"/>
                <w:b/>
                <w:bCs/>
                <w:color w:val="auto"/>
                <w:sz w:val="24"/>
                <w:szCs w:val="24"/>
                <w:lang w:val="en-US" w:eastAsia="zh-CN"/>
              </w:rPr>
              <w:t>主要建设内容</w:t>
            </w:r>
          </w:p>
          <w:p w14:paraId="31E37273">
            <w:pPr>
              <w:numPr>
                <w:ilvl w:val="0"/>
                <w:numId w:val="0"/>
              </w:numPr>
              <w:spacing w:line="360" w:lineRule="auto"/>
              <w:ind w:firstLine="480" w:firstLineChars="200"/>
              <w:rPr>
                <w:rFonts w:hint="eastAsia" w:cs="Times New Roman" w:eastAsiaTheme="minorEastAsia"/>
                <w:color w:val="auto"/>
                <w:kern w:val="0"/>
                <w:sz w:val="24"/>
                <w:szCs w:val="24"/>
                <w:lang w:val="en-US" w:eastAsia="zh-CN"/>
              </w:rPr>
            </w:pPr>
            <w:r>
              <w:rPr>
                <w:rFonts w:hint="eastAsia" w:cs="Times New Roman" w:eastAsiaTheme="minorEastAsia"/>
                <w:color w:val="auto"/>
                <w:kern w:val="0"/>
                <w:sz w:val="24"/>
                <w:szCs w:val="24"/>
                <w:lang w:val="en-US" w:eastAsia="zh-CN"/>
              </w:rPr>
              <w:t xml:space="preserve">新建油库本期红线内面积约33.44亩，属于四级油库。 </w:t>
            </w:r>
          </w:p>
          <w:p w14:paraId="16D550BD">
            <w:pPr>
              <w:numPr>
                <w:ilvl w:val="0"/>
                <w:numId w:val="0"/>
              </w:numPr>
              <w:spacing w:line="360" w:lineRule="auto"/>
              <w:ind w:firstLine="480" w:firstLineChars="200"/>
              <w:rPr>
                <w:rFonts w:hint="eastAsia" w:cs="Times New Roman" w:eastAsiaTheme="minorEastAsia"/>
                <w:color w:val="auto"/>
                <w:kern w:val="0"/>
                <w:sz w:val="24"/>
                <w:szCs w:val="24"/>
                <w:lang w:val="en-US" w:eastAsia="zh-CN"/>
              </w:rPr>
            </w:pPr>
            <w:r>
              <w:rPr>
                <w:rFonts w:hint="eastAsia" w:cs="Times New Roman" w:eastAsiaTheme="minorEastAsia"/>
                <w:color w:val="auto"/>
                <w:kern w:val="0"/>
                <w:sz w:val="24"/>
                <w:szCs w:val="24"/>
                <w:lang w:val="en-US" w:eastAsia="zh-CN"/>
              </w:rPr>
              <w:t>本期主要建设内容：生产值班用房（1000m</w:t>
            </w:r>
            <w:r>
              <w:rPr>
                <w:rFonts w:hint="eastAsia" w:cs="Times New Roman" w:eastAsiaTheme="minorEastAsia"/>
                <w:color w:val="auto"/>
                <w:kern w:val="0"/>
                <w:sz w:val="24"/>
                <w:szCs w:val="24"/>
                <w:vertAlign w:val="superscript"/>
                <w:lang w:val="en-US" w:eastAsia="zh-CN"/>
              </w:rPr>
              <w:t>2</w:t>
            </w:r>
            <w:r>
              <w:rPr>
                <w:rFonts w:hint="eastAsia" w:cs="Times New Roman" w:eastAsiaTheme="minorEastAsia"/>
                <w:color w:val="auto"/>
                <w:kern w:val="0"/>
                <w:sz w:val="24"/>
                <w:szCs w:val="24"/>
                <w:lang w:val="en-US" w:eastAsia="zh-CN"/>
              </w:rPr>
              <w:t>）、化验室（160m</w:t>
            </w:r>
            <w:r>
              <w:rPr>
                <w:rFonts w:hint="eastAsia" w:cs="Times New Roman" w:eastAsiaTheme="minorEastAsia"/>
                <w:color w:val="auto"/>
                <w:kern w:val="0"/>
                <w:sz w:val="24"/>
                <w:szCs w:val="24"/>
                <w:vertAlign w:val="superscript"/>
                <w:lang w:val="en-US" w:eastAsia="zh-CN"/>
              </w:rPr>
              <w:t>2</w:t>
            </w:r>
            <w:r>
              <w:rPr>
                <w:rFonts w:hint="eastAsia" w:cs="Times New Roman" w:eastAsiaTheme="minorEastAsia"/>
                <w:color w:val="auto"/>
                <w:kern w:val="0"/>
                <w:sz w:val="24"/>
                <w:szCs w:val="24"/>
                <w:lang w:val="en-US" w:eastAsia="zh-CN"/>
              </w:rPr>
              <w:t xml:space="preserve">）、油车库 </w:t>
            </w:r>
          </w:p>
          <w:p w14:paraId="66499F26">
            <w:pPr>
              <w:numPr>
                <w:ilvl w:val="0"/>
                <w:numId w:val="0"/>
              </w:numPr>
              <w:spacing w:line="360" w:lineRule="auto"/>
              <w:rPr>
                <w:b/>
                <w:color w:val="auto"/>
                <w:sz w:val="24"/>
                <w:szCs w:val="24"/>
              </w:rPr>
            </w:pPr>
            <w:r>
              <w:rPr>
                <w:rFonts w:hint="eastAsia" w:cs="Times New Roman" w:eastAsiaTheme="minorEastAsia"/>
                <w:color w:val="auto"/>
                <w:kern w:val="0"/>
                <w:sz w:val="24"/>
                <w:szCs w:val="24"/>
                <w:lang w:val="en-US" w:eastAsia="zh-CN"/>
              </w:rPr>
              <w:t>（383m</w:t>
            </w:r>
            <w:r>
              <w:rPr>
                <w:rFonts w:hint="eastAsia" w:cs="Times New Roman" w:eastAsiaTheme="minorEastAsia"/>
                <w:color w:val="auto"/>
                <w:kern w:val="0"/>
                <w:sz w:val="24"/>
                <w:szCs w:val="24"/>
                <w:vertAlign w:val="superscript"/>
                <w:lang w:val="en-US" w:eastAsia="zh-CN"/>
              </w:rPr>
              <w:t>2</w:t>
            </w:r>
            <w:r>
              <w:rPr>
                <w:rFonts w:hint="eastAsia" w:cs="Times New Roman" w:eastAsiaTheme="minorEastAsia"/>
                <w:color w:val="auto"/>
                <w:kern w:val="0"/>
                <w:sz w:val="24"/>
                <w:szCs w:val="24"/>
                <w:lang w:val="en-US" w:eastAsia="zh-CN"/>
              </w:rPr>
              <w:t>）、装卸油棚（72m</w:t>
            </w:r>
            <w:r>
              <w:rPr>
                <w:rFonts w:hint="eastAsia" w:cs="Times New Roman" w:eastAsiaTheme="minorEastAsia"/>
                <w:color w:val="auto"/>
                <w:kern w:val="0"/>
                <w:sz w:val="24"/>
                <w:szCs w:val="24"/>
                <w:vertAlign w:val="superscript"/>
                <w:lang w:val="en-US" w:eastAsia="zh-CN"/>
              </w:rPr>
              <w:t>2</w:t>
            </w:r>
            <w:r>
              <w:rPr>
                <w:rFonts w:hint="eastAsia" w:cs="Times New Roman" w:eastAsiaTheme="minorEastAsia"/>
                <w:color w:val="auto"/>
                <w:kern w:val="0"/>
                <w:sz w:val="24"/>
                <w:szCs w:val="24"/>
                <w:lang w:val="en-US" w:eastAsia="zh-CN"/>
              </w:rPr>
              <w:t>）、危废间（30m</w:t>
            </w:r>
            <w:r>
              <w:rPr>
                <w:rFonts w:hint="eastAsia" w:cs="Times New Roman" w:eastAsiaTheme="minorEastAsia"/>
                <w:color w:val="auto"/>
                <w:kern w:val="0"/>
                <w:sz w:val="24"/>
                <w:szCs w:val="24"/>
                <w:vertAlign w:val="superscript"/>
                <w:lang w:val="en-US" w:eastAsia="zh-CN"/>
              </w:rPr>
              <w:t>2</w:t>
            </w:r>
            <w:r>
              <w:rPr>
                <w:rFonts w:hint="eastAsia" w:cs="Times New Roman" w:eastAsiaTheme="minorEastAsia"/>
                <w:color w:val="auto"/>
                <w:kern w:val="0"/>
                <w:sz w:val="24"/>
                <w:szCs w:val="24"/>
                <w:lang w:val="en-US" w:eastAsia="zh-CN"/>
              </w:rPr>
              <w:t>）、门房（25m</w:t>
            </w:r>
            <w:r>
              <w:rPr>
                <w:rFonts w:hint="eastAsia" w:cs="Times New Roman" w:eastAsiaTheme="minorEastAsia"/>
                <w:color w:val="auto"/>
                <w:kern w:val="0"/>
                <w:sz w:val="24"/>
                <w:szCs w:val="24"/>
                <w:vertAlign w:val="superscript"/>
                <w:lang w:val="en-US" w:eastAsia="zh-CN"/>
              </w:rPr>
              <w:t>2</w:t>
            </w:r>
            <w:r>
              <w:rPr>
                <w:rFonts w:hint="eastAsia" w:cs="Times New Roman" w:eastAsiaTheme="minorEastAsia"/>
                <w:color w:val="auto"/>
                <w:kern w:val="0"/>
                <w:sz w:val="24"/>
                <w:szCs w:val="24"/>
                <w:lang w:val="en-US" w:eastAsia="zh-CN"/>
              </w:rPr>
              <w:t>）、3×500m</w:t>
            </w:r>
            <w:r>
              <w:rPr>
                <w:rFonts w:hint="eastAsia" w:cs="Times New Roman" w:eastAsiaTheme="minorEastAsia"/>
                <w:color w:val="auto"/>
                <w:kern w:val="0"/>
                <w:sz w:val="24"/>
                <w:szCs w:val="24"/>
                <w:vertAlign w:val="superscript"/>
                <w:lang w:val="en-US" w:eastAsia="zh-CN"/>
              </w:rPr>
              <w:t>3</w:t>
            </w:r>
            <w:r>
              <w:rPr>
                <w:rFonts w:hint="eastAsia" w:cs="Times New Roman" w:eastAsiaTheme="minorEastAsia"/>
                <w:color w:val="auto"/>
                <w:kern w:val="0"/>
                <w:sz w:val="24"/>
                <w:szCs w:val="24"/>
                <w:lang w:val="en-US" w:eastAsia="zh-CN"/>
              </w:rPr>
              <w:t>立式内浮顶锥底储油罐、1×20m</w:t>
            </w:r>
            <w:r>
              <w:rPr>
                <w:rFonts w:hint="eastAsia" w:cs="Times New Roman" w:eastAsiaTheme="minorEastAsia"/>
                <w:color w:val="auto"/>
                <w:kern w:val="0"/>
                <w:sz w:val="24"/>
                <w:szCs w:val="24"/>
                <w:vertAlign w:val="superscript"/>
                <w:lang w:val="en-US" w:eastAsia="zh-CN"/>
              </w:rPr>
              <w:t>3</w:t>
            </w:r>
            <w:r>
              <w:rPr>
                <w:rFonts w:hint="eastAsia" w:cs="Times New Roman" w:eastAsiaTheme="minorEastAsia"/>
                <w:color w:val="auto"/>
                <w:kern w:val="0"/>
                <w:sz w:val="24"/>
                <w:szCs w:val="24"/>
                <w:lang w:val="en-US" w:eastAsia="zh-CN"/>
              </w:rPr>
              <w:t>地上卧式回收罐、1×10m</w:t>
            </w:r>
            <w:r>
              <w:rPr>
                <w:rFonts w:hint="eastAsia" w:cs="Times New Roman" w:eastAsiaTheme="minorEastAsia"/>
                <w:color w:val="auto"/>
                <w:kern w:val="0"/>
                <w:sz w:val="24"/>
                <w:szCs w:val="24"/>
                <w:vertAlign w:val="superscript"/>
                <w:lang w:val="en-US" w:eastAsia="zh-CN"/>
              </w:rPr>
              <w:t>3</w:t>
            </w:r>
            <w:r>
              <w:rPr>
                <w:rFonts w:hint="eastAsia" w:cs="Times New Roman" w:eastAsiaTheme="minorEastAsia"/>
                <w:color w:val="auto"/>
                <w:kern w:val="0"/>
                <w:sz w:val="24"/>
                <w:szCs w:val="24"/>
                <w:lang w:val="en-US" w:eastAsia="zh-CN"/>
              </w:rPr>
              <w:t>埋地卧式污油罐、隔油池及事故污水收集池（350m</w:t>
            </w:r>
            <w:r>
              <w:rPr>
                <w:rFonts w:hint="eastAsia" w:cs="Times New Roman" w:eastAsiaTheme="minorEastAsia"/>
                <w:color w:val="auto"/>
                <w:kern w:val="0"/>
                <w:sz w:val="24"/>
                <w:szCs w:val="24"/>
                <w:vertAlign w:val="superscript"/>
                <w:lang w:val="en-US" w:eastAsia="zh-CN"/>
              </w:rPr>
              <w:t>3</w:t>
            </w:r>
            <w:r>
              <w:rPr>
                <w:rFonts w:hint="eastAsia" w:cs="Times New Roman" w:eastAsiaTheme="minorEastAsia"/>
                <w:color w:val="auto"/>
                <w:kern w:val="0"/>
                <w:sz w:val="24"/>
                <w:szCs w:val="24"/>
                <w:lang w:val="en-US" w:eastAsia="zh-CN"/>
              </w:rPr>
              <w:t>）及配套的小型构筑物。</w:t>
            </w:r>
            <w:r>
              <w:rPr>
                <w:bCs/>
                <w:color w:val="auto"/>
                <w:sz w:val="24"/>
                <w:szCs w:val="24"/>
              </w:rPr>
              <w:t>详见表</w:t>
            </w:r>
            <w:r>
              <w:rPr>
                <w:rFonts w:hint="eastAsia"/>
                <w:bCs/>
                <w:color w:val="auto"/>
                <w:sz w:val="24"/>
                <w:szCs w:val="24"/>
              </w:rPr>
              <w:t>2-</w:t>
            </w:r>
            <w:r>
              <w:rPr>
                <w:rFonts w:hint="eastAsia"/>
                <w:bCs/>
                <w:color w:val="auto"/>
                <w:sz w:val="24"/>
                <w:szCs w:val="24"/>
                <w:lang w:val="en-US" w:eastAsia="zh-CN"/>
              </w:rPr>
              <w:t>1</w:t>
            </w:r>
            <w:r>
              <w:rPr>
                <w:bCs/>
                <w:color w:val="auto"/>
                <w:sz w:val="24"/>
                <w:szCs w:val="24"/>
              </w:rPr>
              <w:t>。</w:t>
            </w:r>
          </w:p>
          <w:p w14:paraId="3A2B1280">
            <w:pPr>
              <w:spacing w:line="360" w:lineRule="auto"/>
              <w:jc w:val="center"/>
              <w:rPr>
                <w:rFonts w:hint="eastAsia"/>
                <w:b/>
                <w:color w:val="auto"/>
                <w:sz w:val="24"/>
                <w:szCs w:val="24"/>
                <w:lang w:val="en-US" w:eastAsia="zh-CN"/>
              </w:rPr>
            </w:pPr>
            <w:r>
              <w:rPr>
                <w:b/>
                <w:color w:val="auto"/>
                <w:sz w:val="24"/>
                <w:szCs w:val="24"/>
              </w:rPr>
              <w:t>表</w:t>
            </w:r>
            <w:r>
              <w:rPr>
                <w:rFonts w:hint="eastAsia"/>
                <w:b/>
                <w:color w:val="auto"/>
                <w:sz w:val="24"/>
                <w:szCs w:val="24"/>
              </w:rPr>
              <w:t>2-</w:t>
            </w:r>
            <w:r>
              <w:rPr>
                <w:rFonts w:hint="eastAsia"/>
                <w:b/>
                <w:color w:val="auto"/>
                <w:sz w:val="24"/>
                <w:szCs w:val="24"/>
                <w:lang w:val="en-US" w:eastAsia="zh-CN"/>
              </w:rPr>
              <w:t>1  项目建设内容情况一览表</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6"/>
              <w:gridCol w:w="1078"/>
              <w:gridCol w:w="5726"/>
              <w:gridCol w:w="799"/>
            </w:tblGrid>
            <w:tr w14:paraId="67A12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pct"/>
                  <w:gridSpan w:val="2"/>
                  <w:vAlign w:val="center"/>
                </w:tcPr>
                <w:p w14:paraId="408E8AA7">
                  <w:pPr>
                    <w:tabs>
                      <w:tab w:val="left" w:pos="8080"/>
                    </w:tabs>
                    <w:ind w:firstLine="0" w:firstLineChars="0"/>
                    <w:jc w:val="center"/>
                    <w:rPr>
                      <w:b/>
                      <w:bCs/>
                      <w:color w:val="auto"/>
                      <w:sz w:val="21"/>
                      <w:szCs w:val="21"/>
                    </w:rPr>
                  </w:pPr>
                  <w:r>
                    <w:rPr>
                      <w:rFonts w:hint="eastAsia"/>
                      <w:b/>
                      <w:bCs/>
                      <w:color w:val="auto"/>
                      <w:sz w:val="21"/>
                      <w:szCs w:val="21"/>
                    </w:rPr>
                    <w:t>项目组成</w:t>
                  </w:r>
                </w:p>
              </w:tc>
              <w:tc>
                <w:tcPr>
                  <w:tcW w:w="3404" w:type="pct"/>
                  <w:vAlign w:val="center"/>
                </w:tcPr>
                <w:p w14:paraId="1068172A">
                  <w:pPr>
                    <w:adjustRightInd w:val="0"/>
                    <w:snapToGrid w:val="0"/>
                    <w:spacing w:line="276" w:lineRule="auto"/>
                    <w:jc w:val="center"/>
                    <w:rPr>
                      <w:rFonts w:hint="eastAsia" w:eastAsia="宋体"/>
                      <w:b/>
                      <w:bCs/>
                      <w:color w:val="auto"/>
                      <w:sz w:val="21"/>
                      <w:szCs w:val="21"/>
                      <w:lang w:eastAsia="zh-CN"/>
                    </w:rPr>
                  </w:pPr>
                  <w:r>
                    <w:rPr>
                      <w:rFonts w:hint="eastAsia" w:hAnsi="宋体"/>
                      <w:b/>
                      <w:bCs/>
                      <w:color w:val="auto"/>
                      <w:szCs w:val="21"/>
                      <w:lang w:eastAsia="zh-CN"/>
                    </w:rPr>
                    <w:t>主要建设内容</w:t>
                  </w:r>
                </w:p>
              </w:tc>
              <w:tc>
                <w:tcPr>
                  <w:tcW w:w="475" w:type="pct"/>
                  <w:vAlign w:val="center"/>
                </w:tcPr>
                <w:p w14:paraId="4AFD3F4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rPr>
                  </w:pPr>
                  <w:r>
                    <w:rPr>
                      <w:rFonts w:hint="default" w:ascii="Times New Roman" w:hAnsi="Times New Roman" w:cs="Times New Roman"/>
                      <w:b/>
                      <w:bCs/>
                      <w:color w:val="auto"/>
                      <w:sz w:val="21"/>
                      <w:szCs w:val="21"/>
                      <w:lang w:eastAsia="zh-CN"/>
                    </w:rPr>
                    <w:t>备注</w:t>
                  </w:r>
                </w:p>
              </w:tc>
            </w:tr>
            <w:tr w14:paraId="78F8B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vAlign w:val="center"/>
                </w:tcPr>
                <w:p w14:paraId="220B6D70">
                  <w:pPr>
                    <w:tabs>
                      <w:tab w:val="left" w:pos="8080"/>
                    </w:tabs>
                    <w:ind w:firstLine="0" w:firstLineChars="0"/>
                    <w:jc w:val="center"/>
                    <w:rPr>
                      <w:color w:val="auto"/>
                      <w:sz w:val="21"/>
                      <w:szCs w:val="21"/>
                    </w:rPr>
                  </w:pPr>
                  <w:r>
                    <w:rPr>
                      <w:rFonts w:hint="eastAsia"/>
                      <w:color w:val="auto"/>
                      <w:sz w:val="21"/>
                      <w:szCs w:val="21"/>
                    </w:rPr>
                    <w:t>主体工程</w:t>
                  </w:r>
                </w:p>
              </w:tc>
              <w:tc>
                <w:tcPr>
                  <w:tcW w:w="640" w:type="pct"/>
                  <w:vAlign w:val="center"/>
                </w:tcPr>
                <w:p w14:paraId="2B7233BC">
                  <w:pPr>
                    <w:tabs>
                      <w:tab w:val="left" w:pos="8080"/>
                    </w:tabs>
                    <w:ind w:firstLine="0" w:firstLineChars="0"/>
                    <w:jc w:val="center"/>
                    <w:rPr>
                      <w:rFonts w:hint="eastAsia" w:eastAsia="宋体"/>
                      <w:color w:val="auto"/>
                      <w:sz w:val="21"/>
                      <w:szCs w:val="21"/>
                      <w:lang w:eastAsia="zh-CN"/>
                    </w:rPr>
                  </w:pPr>
                  <w:r>
                    <w:rPr>
                      <w:rFonts w:hint="eastAsia"/>
                      <w:color w:val="auto"/>
                      <w:sz w:val="21"/>
                      <w:szCs w:val="21"/>
                      <w:lang w:eastAsia="zh-CN"/>
                    </w:rPr>
                    <w:t>储油罐</w:t>
                  </w:r>
                </w:p>
              </w:tc>
              <w:tc>
                <w:tcPr>
                  <w:tcW w:w="3404" w:type="pct"/>
                  <w:vAlign w:val="center"/>
                </w:tcPr>
                <w:p w14:paraId="3EE1FEEF">
                  <w:pPr>
                    <w:keepNext w:val="0"/>
                    <w:keepLines w:val="0"/>
                    <w:pageBreakBefore w:val="0"/>
                    <w:widowControl w:val="0"/>
                    <w:tabs>
                      <w:tab w:val="left" w:pos="8080"/>
                    </w:tabs>
                    <w:kinsoku/>
                    <w:wordWrap/>
                    <w:overflowPunct/>
                    <w:topLinePunct w:val="0"/>
                    <w:autoSpaceDE/>
                    <w:autoSpaceDN/>
                    <w:bidi w:val="0"/>
                    <w:adjustRightInd/>
                    <w:snapToGrid/>
                    <w:spacing w:line="280" w:lineRule="exact"/>
                    <w:ind w:firstLine="0" w:firstLineChars="0"/>
                    <w:jc w:val="left"/>
                    <w:textAlignment w:val="auto"/>
                    <w:rPr>
                      <w:rFonts w:hint="default" w:eastAsia="宋体"/>
                      <w:color w:val="auto"/>
                      <w:sz w:val="21"/>
                      <w:szCs w:val="21"/>
                      <w:lang w:val="en-US" w:eastAsia="zh-CN"/>
                    </w:rPr>
                  </w:pPr>
                  <w:r>
                    <w:rPr>
                      <w:rFonts w:hint="eastAsia" w:cs="Times New Roman" w:eastAsiaTheme="minorEastAsia"/>
                      <w:color w:val="auto"/>
                      <w:kern w:val="0"/>
                      <w:sz w:val="21"/>
                      <w:szCs w:val="21"/>
                      <w:lang w:val="en-US" w:eastAsia="zh-CN"/>
                    </w:rPr>
                    <w:t>3×500m</w:t>
                  </w:r>
                  <w:r>
                    <w:rPr>
                      <w:rFonts w:hint="eastAsia" w:cs="Times New Roman" w:eastAsiaTheme="minorEastAsia"/>
                      <w:color w:val="auto"/>
                      <w:kern w:val="0"/>
                      <w:sz w:val="21"/>
                      <w:szCs w:val="21"/>
                      <w:vertAlign w:val="superscript"/>
                      <w:lang w:val="en-US" w:eastAsia="zh-CN"/>
                    </w:rPr>
                    <w:t>3</w:t>
                  </w:r>
                  <w:r>
                    <w:rPr>
                      <w:rFonts w:hint="eastAsia" w:cs="Times New Roman" w:eastAsiaTheme="minorEastAsia"/>
                      <w:color w:val="auto"/>
                      <w:kern w:val="0"/>
                      <w:sz w:val="21"/>
                      <w:szCs w:val="21"/>
                      <w:lang w:val="en-US" w:eastAsia="zh-CN"/>
                    </w:rPr>
                    <w:t>立式内浮顶锥底储油罐，单个储罐内径φ=9000mm，H=8920mm。</w:t>
                  </w:r>
                </w:p>
              </w:tc>
              <w:tc>
                <w:tcPr>
                  <w:tcW w:w="475" w:type="pct"/>
                  <w:vAlign w:val="center"/>
                </w:tcPr>
                <w:p w14:paraId="18BE70CF">
                  <w:pPr>
                    <w:tabs>
                      <w:tab w:val="left" w:pos="8080"/>
                    </w:tabs>
                    <w:ind w:firstLine="0" w:firstLineChars="0"/>
                    <w:jc w:val="center"/>
                    <w:rPr>
                      <w:rFonts w:hint="eastAsia"/>
                      <w:color w:val="auto"/>
                      <w:sz w:val="21"/>
                      <w:szCs w:val="21"/>
                    </w:rPr>
                  </w:pPr>
                </w:p>
              </w:tc>
            </w:tr>
            <w:tr w14:paraId="7F33B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vMerge w:val="restart"/>
                  <w:vAlign w:val="center"/>
                </w:tcPr>
                <w:p w14:paraId="362F522A">
                  <w:pPr>
                    <w:tabs>
                      <w:tab w:val="left" w:pos="8080"/>
                    </w:tabs>
                    <w:ind w:firstLine="0" w:firstLineChars="0"/>
                    <w:jc w:val="center"/>
                    <w:rPr>
                      <w:color w:val="auto"/>
                      <w:sz w:val="21"/>
                      <w:szCs w:val="21"/>
                    </w:rPr>
                  </w:pPr>
                  <w:r>
                    <w:rPr>
                      <w:rFonts w:hint="eastAsia"/>
                      <w:color w:val="auto"/>
                      <w:sz w:val="21"/>
                      <w:szCs w:val="21"/>
                    </w:rPr>
                    <w:t>辅助工程</w:t>
                  </w:r>
                </w:p>
              </w:tc>
              <w:tc>
                <w:tcPr>
                  <w:tcW w:w="640" w:type="pct"/>
                  <w:vAlign w:val="center"/>
                </w:tcPr>
                <w:p w14:paraId="27C26976">
                  <w:pPr>
                    <w:tabs>
                      <w:tab w:val="left" w:pos="8080"/>
                    </w:tabs>
                    <w:ind w:firstLine="0" w:firstLineChars="0"/>
                    <w:jc w:val="center"/>
                    <w:rPr>
                      <w:rFonts w:hint="eastAsia"/>
                      <w:color w:val="auto"/>
                      <w:sz w:val="21"/>
                      <w:szCs w:val="21"/>
                      <w:lang w:eastAsia="zh-CN"/>
                    </w:rPr>
                  </w:pPr>
                  <w:r>
                    <w:rPr>
                      <w:rFonts w:hint="eastAsia" w:cs="Times New Roman" w:eastAsiaTheme="minorEastAsia"/>
                      <w:color w:val="auto"/>
                      <w:kern w:val="0"/>
                      <w:sz w:val="21"/>
                      <w:szCs w:val="21"/>
                      <w:lang w:val="en-US" w:eastAsia="zh-CN"/>
                    </w:rPr>
                    <w:t>回收罐</w:t>
                  </w:r>
                </w:p>
              </w:tc>
              <w:tc>
                <w:tcPr>
                  <w:tcW w:w="3404" w:type="pct"/>
                  <w:vAlign w:val="center"/>
                </w:tcPr>
                <w:p w14:paraId="5BA13C80">
                  <w:pPr>
                    <w:keepNext w:val="0"/>
                    <w:keepLines w:val="0"/>
                    <w:pageBreakBefore w:val="0"/>
                    <w:widowControl w:val="0"/>
                    <w:tabs>
                      <w:tab w:val="left" w:pos="8080"/>
                    </w:tabs>
                    <w:kinsoku/>
                    <w:wordWrap/>
                    <w:overflowPunct/>
                    <w:topLinePunct w:val="0"/>
                    <w:autoSpaceDE/>
                    <w:autoSpaceDN/>
                    <w:bidi w:val="0"/>
                    <w:adjustRightInd/>
                    <w:snapToGrid/>
                    <w:spacing w:line="280" w:lineRule="exact"/>
                    <w:ind w:firstLine="0" w:firstLineChars="0"/>
                    <w:jc w:val="left"/>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1×20m</w:t>
                  </w:r>
                  <w:r>
                    <w:rPr>
                      <w:rFonts w:hint="eastAsia" w:cs="Times New Roman" w:eastAsiaTheme="minorEastAsia"/>
                      <w:color w:val="auto"/>
                      <w:kern w:val="0"/>
                      <w:sz w:val="21"/>
                      <w:szCs w:val="21"/>
                      <w:vertAlign w:val="superscript"/>
                      <w:lang w:val="en-US" w:eastAsia="zh-CN"/>
                    </w:rPr>
                    <w:t>3</w:t>
                  </w:r>
                  <w:r>
                    <w:rPr>
                      <w:rFonts w:hint="eastAsia" w:cs="Times New Roman" w:eastAsiaTheme="minorEastAsia"/>
                      <w:color w:val="auto"/>
                      <w:kern w:val="0"/>
                      <w:sz w:val="21"/>
                      <w:szCs w:val="21"/>
                      <w:lang w:val="en-US" w:eastAsia="zh-CN"/>
                    </w:rPr>
                    <w:t>地上卧式回收罐，内径φ=2200mm，L=5766mm，油罐应在制造厂整体制造，成品油罐应按《常压容器第1部分：钢制焊接常压容器》（NB/T 47003.1-2022）的规定进行设计、制造、检验和验收。油罐采用Q245R钢板材质。</w:t>
                  </w:r>
                </w:p>
              </w:tc>
              <w:tc>
                <w:tcPr>
                  <w:tcW w:w="475" w:type="pct"/>
                  <w:vAlign w:val="center"/>
                </w:tcPr>
                <w:p w14:paraId="2A819E48">
                  <w:pPr>
                    <w:tabs>
                      <w:tab w:val="left" w:pos="8080"/>
                    </w:tabs>
                    <w:ind w:firstLine="0" w:firstLineChars="0"/>
                    <w:jc w:val="center"/>
                    <w:rPr>
                      <w:rFonts w:hint="eastAsia"/>
                      <w:color w:val="auto"/>
                      <w:sz w:val="21"/>
                      <w:szCs w:val="21"/>
                    </w:rPr>
                  </w:pPr>
                </w:p>
              </w:tc>
            </w:tr>
            <w:tr w14:paraId="755E6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vMerge w:val="continue"/>
                  <w:vAlign w:val="center"/>
                </w:tcPr>
                <w:p w14:paraId="6BB729FD">
                  <w:pPr>
                    <w:tabs>
                      <w:tab w:val="left" w:pos="8080"/>
                    </w:tabs>
                    <w:ind w:firstLine="0" w:firstLineChars="0"/>
                    <w:jc w:val="center"/>
                    <w:rPr>
                      <w:rFonts w:hint="eastAsia"/>
                      <w:color w:val="auto"/>
                      <w:sz w:val="21"/>
                      <w:szCs w:val="21"/>
                    </w:rPr>
                  </w:pPr>
                </w:p>
              </w:tc>
              <w:tc>
                <w:tcPr>
                  <w:tcW w:w="640" w:type="pct"/>
                  <w:vAlign w:val="center"/>
                </w:tcPr>
                <w:p w14:paraId="5E3B48DA">
                  <w:pPr>
                    <w:tabs>
                      <w:tab w:val="left" w:pos="8080"/>
                    </w:tabs>
                    <w:ind w:firstLine="0" w:firstLineChars="0"/>
                    <w:jc w:val="center"/>
                    <w:rPr>
                      <w:rFonts w:hint="eastAsia"/>
                      <w:color w:val="auto"/>
                      <w:sz w:val="21"/>
                      <w:szCs w:val="21"/>
                      <w:lang w:eastAsia="zh-CN"/>
                    </w:rPr>
                  </w:pPr>
                  <w:r>
                    <w:rPr>
                      <w:rFonts w:hint="eastAsia" w:cs="Times New Roman" w:eastAsiaTheme="minorEastAsia"/>
                      <w:color w:val="auto"/>
                      <w:kern w:val="0"/>
                      <w:sz w:val="21"/>
                      <w:szCs w:val="21"/>
                      <w:lang w:val="en-US" w:eastAsia="zh-CN"/>
                    </w:rPr>
                    <w:t>污油罐</w:t>
                  </w:r>
                </w:p>
              </w:tc>
              <w:tc>
                <w:tcPr>
                  <w:tcW w:w="3404" w:type="pct"/>
                  <w:vAlign w:val="center"/>
                </w:tcPr>
                <w:p w14:paraId="18405B95">
                  <w:pPr>
                    <w:keepNext w:val="0"/>
                    <w:keepLines w:val="0"/>
                    <w:pageBreakBefore w:val="0"/>
                    <w:widowControl w:val="0"/>
                    <w:tabs>
                      <w:tab w:val="left" w:pos="8080"/>
                    </w:tabs>
                    <w:kinsoku/>
                    <w:wordWrap/>
                    <w:overflowPunct/>
                    <w:topLinePunct w:val="0"/>
                    <w:autoSpaceDE/>
                    <w:autoSpaceDN/>
                    <w:bidi w:val="0"/>
                    <w:adjustRightInd/>
                    <w:snapToGrid/>
                    <w:spacing w:line="280" w:lineRule="exact"/>
                    <w:ind w:firstLine="0" w:firstLineChars="0"/>
                    <w:jc w:val="left"/>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1×10m</w:t>
                  </w:r>
                  <w:r>
                    <w:rPr>
                      <w:rFonts w:hint="eastAsia" w:cs="Times New Roman" w:eastAsiaTheme="minorEastAsia"/>
                      <w:color w:val="auto"/>
                      <w:kern w:val="0"/>
                      <w:sz w:val="21"/>
                      <w:szCs w:val="21"/>
                      <w:vertAlign w:val="superscript"/>
                      <w:lang w:val="en-US" w:eastAsia="zh-CN"/>
                    </w:rPr>
                    <w:t>3</w:t>
                  </w:r>
                  <w:r>
                    <w:rPr>
                      <w:rFonts w:hint="eastAsia" w:cs="Times New Roman" w:eastAsiaTheme="minorEastAsia"/>
                      <w:color w:val="auto"/>
                      <w:kern w:val="0"/>
                      <w:sz w:val="21"/>
                      <w:szCs w:val="21"/>
                      <w:lang w:val="en-US" w:eastAsia="zh-CN"/>
                    </w:rPr>
                    <w:t>埋地卧式污油罐，内径φ=1600mm，L=5780mm，埋地卧式SF双壁油罐作为污油罐收集污油。储罐外壁采用玻璃钢纤维材质，内壁采用Q245R钢板材质。</w:t>
                  </w:r>
                </w:p>
              </w:tc>
              <w:tc>
                <w:tcPr>
                  <w:tcW w:w="475" w:type="pct"/>
                  <w:vAlign w:val="center"/>
                </w:tcPr>
                <w:p w14:paraId="207CC2B3">
                  <w:pPr>
                    <w:tabs>
                      <w:tab w:val="left" w:pos="8080"/>
                    </w:tabs>
                    <w:ind w:firstLine="0" w:firstLineChars="0"/>
                    <w:jc w:val="center"/>
                    <w:rPr>
                      <w:rFonts w:hint="eastAsia"/>
                      <w:color w:val="auto"/>
                      <w:sz w:val="21"/>
                      <w:szCs w:val="21"/>
                    </w:rPr>
                  </w:pPr>
                </w:p>
              </w:tc>
            </w:tr>
            <w:tr w14:paraId="346C3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vMerge w:val="continue"/>
                  <w:vAlign w:val="center"/>
                </w:tcPr>
                <w:p w14:paraId="7B2E4825">
                  <w:pPr>
                    <w:tabs>
                      <w:tab w:val="left" w:pos="8080"/>
                    </w:tabs>
                    <w:ind w:firstLine="0" w:firstLineChars="0"/>
                    <w:jc w:val="center"/>
                    <w:rPr>
                      <w:color w:val="auto"/>
                      <w:sz w:val="21"/>
                      <w:szCs w:val="21"/>
                    </w:rPr>
                  </w:pPr>
                </w:p>
              </w:tc>
              <w:tc>
                <w:tcPr>
                  <w:tcW w:w="640" w:type="pct"/>
                  <w:vAlign w:val="center"/>
                </w:tcPr>
                <w:p w14:paraId="3992BA8A">
                  <w:pPr>
                    <w:tabs>
                      <w:tab w:val="left" w:pos="8080"/>
                    </w:tabs>
                    <w:ind w:firstLine="0" w:firstLineChars="0"/>
                    <w:jc w:val="center"/>
                    <w:rPr>
                      <w:rFonts w:hint="eastAsia" w:eastAsia="宋体"/>
                      <w:color w:val="auto"/>
                      <w:sz w:val="21"/>
                      <w:szCs w:val="21"/>
                      <w:lang w:eastAsia="zh-CN"/>
                    </w:rPr>
                  </w:pPr>
                  <w:r>
                    <w:rPr>
                      <w:rFonts w:hint="eastAsia"/>
                      <w:color w:val="auto"/>
                      <w:sz w:val="21"/>
                      <w:szCs w:val="21"/>
                      <w:lang w:eastAsia="zh-CN"/>
                    </w:rPr>
                    <w:t>办公设施</w:t>
                  </w:r>
                </w:p>
              </w:tc>
              <w:tc>
                <w:tcPr>
                  <w:tcW w:w="3404" w:type="pct"/>
                  <w:vAlign w:val="center"/>
                </w:tcPr>
                <w:p w14:paraId="6CA8A972">
                  <w:pPr>
                    <w:keepNext w:val="0"/>
                    <w:keepLines w:val="0"/>
                    <w:pageBreakBefore w:val="0"/>
                    <w:widowControl w:val="0"/>
                    <w:tabs>
                      <w:tab w:val="left" w:pos="8080"/>
                    </w:tabs>
                    <w:kinsoku/>
                    <w:wordWrap/>
                    <w:overflowPunct/>
                    <w:topLinePunct w:val="0"/>
                    <w:autoSpaceDE/>
                    <w:autoSpaceDN/>
                    <w:bidi w:val="0"/>
                    <w:adjustRightInd/>
                    <w:snapToGrid/>
                    <w:spacing w:line="280" w:lineRule="exact"/>
                    <w:ind w:firstLine="0" w:firstLineChars="0"/>
                    <w:jc w:val="left"/>
                    <w:textAlignment w:val="auto"/>
                    <w:rPr>
                      <w:rFonts w:hint="eastAsia"/>
                      <w:color w:val="auto"/>
                      <w:sz w:val="21"/>
                      <w:szCs w:val="21"/>
                    </w:rPr>
                  </w:pPr>
                  <w:r>
                    <w:rPr>
                      <w:color w:val="auto"/>
                      <w:spacing w:val="-6"/>
                    </w:rPr>
                    <w:t>新建生产值班用房，为地上二层，建筑面积</w:t>
                  </w:r>
                  <w:r>
                    <w:rPr>
                      <w:rFonts w:hint="eastAsia" w:cs="Times New Roman" w:eastAsiaTheme="minorEastAsia"/>
                      <w:color w:val="auto"/>
                      <w:kern w:val="0"/>
                      <w:sz w:val="21"/>
                      <w:szCs w:val="21"/>
                      <w:lang w:val="en-US" w:eastAsia="zh-CN"/>
                    </w:rPr>
                    <w:t>1000m</w:t>
                  </w:r>
                  <w:r>
                    <w:rPr>
                      <w:rFonts w:hint="eastAsia" w:cs="Times New Roman" w:eastAsiaTheme="minorEastAsia"/>
                      <w:color w:val="auto"/>
                      <w:kern w:val="0"/>
                      <w:sz w:val="21"/>
                      <w:szCs w:val="21"/>
                      <w:vertAlign w:val="superscript"/>
                      <w:lang w:val="en-US" w:eastAsia="zh-CN"/>
                    </w:rPr>
                    <w:t>2</w:t>
                  </w:r>
                  <w:r>
                    <w:rPr>
                      <w:color w:val="auto"/>
                      <w:spacing w:val="-10"/>
                    </w:rPr>
                    <w:t>，钢框架结构。其功</w:t>
                  </w:r>
                  <w:r>
                    <w:rPr>
                      <w:color w:val="auto"/>
                      <w:spacing w:val="-1"/>
                    </w:rPr>
                    <w:t>能用房包括：办公室、厨房、餐厅、会议室、值班室、配电间、倒班休息室、</w:t>
                  </w:r>
                  <w:r>
                    <w:rPr>
                      <w:color w:val="auto"/>
                      <w:spacing w:val="-6"/>
                    </w:rPr>
                    <w:t>卫生间、淋浴间等。</w:t>
                  </w:r>
                </w:p>
              </w:tc>
              <w:tc>
                <w:tcPr>
                  <w:tcW w:w="475" w:type="pct"/>
                  <w:vAlign w:val="center"/>
                </w:tcPr>
                <w:p w14:paraId="294172A1">
                  <w:pPr>
                    <w:tabs>
                      <w:tab w:val="left" w:pos="8080"/>
                    </w:tabs>
                    <w:ind w:firstLine="0" w:firstLineChars="0"/>
                    <w:jc w:val="center"/>
                    <w:rPr>
                      <w:rFonts w:hint="eastAsia"/>
                      <w:color w:val="auto"/>
                      <w:sz w:val="21"/>
                      <w:szCs w:val="21"/>
                    </w:rPr>
                  </w:pPr>
                </w:p>
              </w:tc>
            </w:tr>
            <w:tr w14:paraId="295FF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vMerge w:val="continue"/>
                  <w:vAlign w:val="center"/>
                </w:tcPr>
                <w:p w14:paraId="7D15E25D">
                  <w:pPr>
                    <w:tabs>
                      <w:tab w:val="left" w:pos="8080"/>
                    </w:tabs>
                    <w:ind w:firstLine="0" w:firstLineChars="0"/>
                    <w:jc w:val="center"/>
                    <w:rPr>
                      <w:color w:val="auto"/>
                      <w:sz w:val="21"/>
                      <w:szCs w:val="21"/>
                    </w:rPr>
                  </w:pPr>
                </w:p>
              </w:tc>
              <w:tc>
                <w:tcPr>
                  <w:tcW w:w="640" w:type="pct"/>
                  <w:vAlign w:val="center"/>
                </w:tcPr>
                <w:p w14:paraId="4B9A118E">
                  <w:pPr>
                    <w:tabs>
                      <w:tab w:val="left" w:pos="8080"/>
                    </w:tabs>
                    <w:ind w:firstLine="0" w:firstLineChars="0"/>
                    <w:jc w:val="center"/>
                    <w:rPr>
                      <w:color w:val="auto"/>
                      <w:sz w:val="21"/>
                      <w:szCs w:val="21"/>
                    </w:rPr>
                  </w:pPr>
                  <w:r>
                    <w:rPr>
                      <w:rFonts w:hint="eastAsia" w:cs="Times New Roman" w:eastAsiaTheme="minorEastAsia"/>
                      <w:color w:val="auto"/>
                      <w:kern w:val="0"/>
                      <w:sz w:val="21"/>
                      <w:szCs w:val="21"/>
                      <w:lang w:val="en-US" w:eastAsia="zh-CN"/>
                    </w:rPr>
                    <w:t>化验室</w:t>
                  </w:r>
                </w:p>
              </w:tc>
              <w:tc>
                <w:tcPr>
                  <w:tcW w:w="3404" w:type="pct"/>
                  <w:vAlign w:val="center"/>
                </w:tcPr>
                <w:p w14:paraId="508E3E85">
                  <w:pPr>
                    <w:keepNext w:val="0"/>
                    <w:keepLines w:val="0"/>
                    <w:pageBreakBefore w:val="0"/>
                    <w:widowControl w:val="0"/>
                    <w:tabs>
                      <w:tab w:val="left" w:pos="8080"/>
                    </w:tabs>
                    <w:kinsoku/>
                    <w:wordWrap/>
                    <w:overflowPunct/>
                    <w:topLinePunct w:val="0"/>
                    <w:autoSpaceDE/>
                    <w:autoSpaceDN/>
                    <w:bidi w:val="0"/>
                    <w:adjustRightInd/>
                    <w:snapToGrid/>
                    <w:spacing w:line="280" w:lineRule="exact"/>
                    <w:ind w:firstLine="0" w:firstLineChars="0"/>
                    <w:jc w:val="left"/>
                    <w:textAlignment w:val="auto"/>
                    <w:rPr>
                      <w:rFonts w:hint="eastAsia"/>
                      <w:color w:val="auto"/>
                      <w:sz w:val="21"/>
                      <w:szCs w:val="21"/>
                    </w:rPr>
                  </w:pPr>
                  <w:r>
                    <w:rPr>
                      <w:rFonts w:hint="eastAsia" w:cs="Times New Roman" w:eastAsiaTheme="minorEastAsia"/>
                      <w:color w:val="auto"/>
                      <w:kern w:val="0"/>
                      <w:sz w:val="21"/>
                      <w:szCs w:val="21"/>
                      <w:lang w:val="en-US" w:eastAsia="zh-CN"/>
                    </w:rPr>
                    <w:t>新建化验室，地上一层，框架结构，功能房间包括：操作间、油样间、天平间、更衣间等，160m</w:t>
                  </w:r>
                  <w:r>
                    <w:rPr>
                      <w:rFonts w:hint="eastAsia" w:cs="Times New Roman" w:eastAsiaTheme="minorEastAsia"/>
                      <w:color w:val="auto"/>
                      <w:kern w:val="0"/>
                      <w:sz w:val="21"/>
                      <w:szCs w:val="21"/>
                      <w:vertAlign w:val="superscript"/>
                      <w:lang w:val="en-US" w:eastAsia="zh-CN"/>
                    </w:rPr>
                    <w:t>2</w:t>
                  </w:r>
                  <w:r>
                    <w:rPr>
                      <w:rFonts w:hint="eastAsia" w:cs="Times New Roman" w:eastAsiaTheme="minorEastAsia"/>
                      <w:color w:val="auto"/>
                      <w:kern w:val="0"/>
                      <w:sz w:val="21"/>
                      <w:szCs w:val="21"/>
                      <w:lang w:val="en-US" w:eastAsia="zh-CN"/>
                    </w:rPr>
                    <w:t>。</w:t>
                  </w:r>
                </w:p>
              </w:tc>
              <w:tc>
                <w:tcPr>
                  <w:tcW w:w="475" w:type="pct"/>
                  <w:vAlign w:val="center"/>
                </w:tcPr>
                <w:p w14:paraId="05229E56">
                  <w:pPr>
                    <w:tabs>
                      <w:tab w:val="left" w:pos="8080"/>
                    </w:tabs>
                    <w:ind w:firstLine="0" w:firstLineChars="0"/>
                    <w:jc w:val="center"/>
                    <w:rPr>
                      <w:rFonts w:hint="eastAsia" w:eastAsia="宋体"/>
                      <w:color w:val="auto"/>
                      <w:sz w:val="21"/>
                      <w:szCs w:val="21"/>
                      <w:lang w:eastAsia="zh-CN"/>
                    </w:rPr>
                  </w:pPr>
                </w:p>
              </w:tc>
            </w:tr>
            <w:tr w14:paraId="0F151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vMerge w:val="continue"/>
                  <w:vAlign w:val="center"/>
                </w:tcPr>
                <w:p w14:paraId="098701F8">
                  <w:pPr>
                    <w:tabs>
                      <w:tab w:val="left" w:pos="8080"/>
                    </w:tabs>
                    <w:ind w:firstLine="0" w:firstLineChars="0"/>
                    <w:jc w:val="center"/>
                    <w:rPr>
                      <w:color w:val="auto"/>
                      <w:sz w:val="21"/>
                      <w:szCs w:val="21"/>
                    </w:rPr>
                  </w:pPr>
                </w:p>
              </w:tc>
              <w:tc>
                <w:tcPr>
                  <w:tcW w:w="640" w:type="pct"/>
                  <w:vAlign w:val="center"/>
                </w:tcPr>
                <w:p w14:paraId="041A45F1">
                  <w:pPr>
                    <w:tabs>
                      <w:tab w:val="left" w:pos="8080"/>
                    </w:tabs>
                    <w:ind w:firstLine="0" w:firstLineChars="0"/>
                    <w:jc w:val="center"/>
                    <w:rPr>
                      <w:color w:val="auto"/>
                      <w:sz w:val="21"/>
                      <w:szCs w:val="21"/>
                    </w:rPr>
                  </w:pPr>
                  <w:r>
                    <w:rPr>
                      <w:rFonts w:hint="eastAsia" w:cs="Times New Roman" w:eastAsiaTheme="minorEastAsia"/>
                      <w:color w:val="auto"/>
                      <w:kern w:val="0"/>
                      <w:sz w:val="21"/>
                      <w:szCs w:val="21"/>
                      <w:lang w:val="en-US" w:eastAsia="zh-CN"/>
                    </w:rPr>
                    <w:t>油车库</w:t>
                  </w:r>
                </w:p>
              </w:tc>
              <w:tc>
                <w:tcPr>
                  <w:tcW w:w="3404" w:type="pct"/>
                  <w:vAlign w:val="center"/>
                </w:tcPr>
                <w:p w14:paraId="4F705DAB">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0" w:firstLineChars="0"/>
                    <w:jc w:val="left"/>
                    <w:textAlignment w:val="auto"/>
                    <w:rPr>
                      <w:rFonts w:hint="eastAsia" w:cs="Times New Roman" w:eastAsiaTheme="minorEastAsia"/>
                      <w:color w:val="auto"/>
                      <w:kern w:val="0"/>
                      <w:sz w:val="21"/>
                      <w:szCs w:val="21"/>
                      <w:lang w:val="en-US" w:eastAsia="zh-CN"/>
                    </w:rPr>
                  </w:pPr>
                  <w:r>
                    <w:rPr>
                      <w:color w:val="auto"/>
                    </w:rPr>
                    <w:t>新建油车库，地</w:t>
                  </w:r>
                  <w:r>
                    <w:rPr>
                      <w:color w:val="auto"/>
                      <w:spacing w:val="-19"/>
                      <w:w w:val="100"/>
                    </w:rPr>
                    <w:t>上一层，框架结构</w:t>
                  </w:r>
                  <w:r>
                    <w:rPr>
                      <w:rFonts w:hint="eastAsia"/>
                      <w:color w:val="auto"/>
                      <w:spacing w:val="-19"/>
                      <w:w w:val="100"/>
                      <w:lang w:eastAsia="zh-CN"/>
                    </w:rPr>
                    <w:t>，</w:t>
                  </w:r>
                  <w:r>
                    <w:rPr>
                      <w:rFonts w:hint="eastAsia" w:cs="Times New Roman" w:eastAsiaTheme="minorEastAsia"/>
                      <w:color w:val="auto"/>
                      <w:kern w:val="0"/>
                      <w:sz w:val="21"/>
                      <w:szCs w:val="21"/>
                      <w:lang w:val="en-US" w:eastAsia="zh-CN"/>
                    </w:rPr>
                    <w:t>383m</w:t>
                  </w:r>
                  <w:r>
                    <w:rPr>
                      <w:rFonts w:hint="eastAsia" w:cs="Times New Roman" w:eastAsiaTheme="minorEastAsia"/>
                      <w:color w:val="auto"/>
                      <w:kern w:val="0"/>
                      <w:sz w:val="21"/>
                      <w:szCs w:val="21"/>
                      <w:vertAlign w:val="superscript"/>
                      <w:lang w:val="en-US" w:eastAsia="zh-CN"/>
                    </w:rPr>
                    <w:t>2</w:t>
                  </w:r>
                  <w:r>
                    <w:rPr>
                      <w:rFonts w:hint="eastAsia"/>
                      <w:color w:val="auto"/>
                      <w:spacing w:val="-19"/>
                      <w:w w:val="100"/>
                      <w:lang w:eastAsia="zh-CN"/>
                    </w:rPr>
                    <w:t>。</w:t>
                  </w:r>
                </w:p>
              </w:tc>
              <w:tc>
                <w:tcPr>
                  <w:tcW w:w="475" w:type="pct"/>
                  <w:vAlign w:val="center"/>
                </w:tcPr>
                <w:p w14:paraId="448818C6">
                  <w:pPr>
                    <w:tabs>
                      <w:tab w:val="left" w:pos="8080"/>
                    </w:tabs>
                    <w:ind w:firstLine="0" w:firstLineChars="0"/>
                    <w:jc w:val="center"/>
                    <w:rPr>
                      <w:rFonts w:hint="eastAsia" w:eastAsia="宋体"/>
                      <w:color w:val="auto"/>
                      <w:sz w:val="21"/>
                      <w:szCs w:val="21"/>
                      <w:lang w:eastAsia="zh-CN"/>
                    </w:rPr>
                  </w:pPr>
                </w:p>
              </w:tc>
            </w:tr>
            <w:tr w14:paraId="10DB6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vMerge w:val="continue"/>
                  <w:vAlign w:val="center"/>
                </w:tcPr>
                <w:p w14:paraId="3E611EA1">
                  <w:pPr>
                    <w:tabs>
                      <w:tab w:val="left" w:pos="8080"/>
                    </w:tabs>
                    <w:ind w:firstLine="0" w:firstLineChars="0"/>
                    <w:jc w:val="center"/>
                    <w:rPr>
                      <w:color w:val="auto"/>
                      <w:sz w:val="21"/>
                      <w:szCs w:val="21"/>
                    </w:rPr>
                  </w:pPr>
                </w:p>
              </w:tc>
              <w:tc>
                <w:tcPr>
                  <w:tcW w:w="640" w:type="pct"/>
                  <w:vAlign w:val="center"/>
                </w:tcPr>
                <w:p w14:paraId="4B5AA687">
                  <w:pPr>
                    <w:tabs>
                      <w:tab w:val="left" w:pos="8080"/>
                    </w:tabs>
                    <w:ind w:firstLine="0" w:firstLineChars="0"/>
                    <w:jc w:val="center"/>
                    <w:rPr>
                      <w:color w:val="auto"/>
                      <w:sz w:val="21"/>
                      <w:szCs w:val="21"/>
                    </w:rPr>
                  </w:pPr>
                  <w:r>
                    <w:rPr>
                      <w:rFonts w:hint="eastAsia" w:cs="Times New Roman" w:eastAsiaTheme="minorEastAsia"/>
                      <w:color w:val="auto"/>
                      <w:kern w:val="0"/>
                      <w:sz w:val="21"/>
                      <w:szCs w:val="21"/>
                      <w:lang w:val="en-US" w:eastAsia="zh-CN"/>
                    </w:rPr>
                    <w:t>装卸油棚</w:t>
                  </w:r>
                </w:p>
              </w:tc>
              <w:tc>
                <w:tcPr>
                  <w:tcW w:w="3404" w:type="pct"/>
                  <w:vAlign w:val="center"/>
                </w:tcPr>
                <w:p w14:paraId="664126F6">
                  <w:pPr>
                    <w:keepNext w:val="0"/>
                    <w:keepLines w:val="0"/>
                    <w:pageBreakBefore w:val="0"/>
                    <w:widowControl w:val="0"/>
                    <w:tabs>
                      <w:tab w:val="left" w:pos="8080"/>
                    </w:tabs>
                    <w:kinsoku/>
                    <w:wordWrap/>
                    <w:overflowPunct/>
                    <w:topLinePunct w:val="0"/>
                    <w:autoSpaceDE/>
                    <w:autoSpaceDN/>
                    <w:bidi w:val="0"/>
                    <w:adjustRightInd/>
                    <w:snapToGrid/>
                    <w:spacing w:line="280" w:lineRule="exact"/>
                    <w:ind w:firstLine="0" w:firstLineChars="0"/>
                    <w:jc w:val="left"/>
                    <w:textAlignment w:val="auto"/>
                    <w:rPr>
                      <w:rFonts w:hint="eastAsia" w:cs="Times New Roman" w:eastAsiaTheme="minorEastAsia"/>
                      <w:color w:val="auto"/>
                      <w:kern w:val="0"/>
                      <w:sz w:val="21"/>
                      <w:szCs w:val="21"/>
                      <w:lang w:val="en-US" w:eastAsia="zh-CN"/>
                    </w:rPr>
                  </w:pPr>
                  <w:r>
                    <w:rPr>
                      <w:color w:val="auto"/>
                      <w:spacing w:val="-12"/>
                    </w:rPr>
                    <w:t>新建装卸油棚，地上一层，钢结构</w:t>
                  </w:r>
                  <w:r>
                    <w:rPr>
                      <w:rFonts w:hint="eastAsia"/>
                      <w:color w:val="auto"/>
                      <w:spacing w:val="-12"/>
                      <w:lang w:eastAsia="zh-CN"/>
                    </w:rPr>
                    <w:t>，</w:t>
                  </w:r>
                  <w:r>
                    <w:rPr>
                      <w:rFonts w:hint="eastAsia" w:cs="Times New Roman" w:eastAsiaTheme="minorEastAsia"/>
                      <w:color w:val="auto"/>
                      <w:kern w:val="0"/>
                      <w:sz w:val="21"/>
                      <w:szCs w:val="21"/>
                      <w:lang w:val="en-US" w:eastAsia="zh-CN"/>
                    </w:rPr>
                    <w:t>72m</w:t>
                  </w:r>
                  <w:r>
                    <w:rPr>
                      <w:rFonts w:hint="eastAsia" w:cs="Times New Roman" w:eastAsiaTheme="minorEastAsia"/>
                      <w:color w:val="auto"/>
                      <w:kern w:val="0"/>
                      <w:sz w:val="21"/>
                      <w:szCs w:val="21"/>
                      <w:vertAlign w:val="superscript"/>
                      <w:lang w:val="en-US" w:eastAsia="zh-CN"/>
                    </w:rPr>
                    <w:t>2</w:t>
                  </w:r>
                  <w:r>
                    <w:rPr>
                      <w:rFonts w:hint="eastAsia"/>
                      <w:color w:val="auto"/>
                      <w:spacing w:val="-12"/>
                      <w:lang w:eastAsia="zh-CN"/>
                    </w:rPr>
                    <w:t>。</w:t>
                  </w:r>
                </w:p>
              </w:tc>
              <w:tc>
                <w:tcPr>
                  <w:tcW w:w="475" w:type="pct"/>
                  <w:vAlign w:val="center"/>
                </w:tcPr>
                <w:p w14:paraId="10D67536">
                  <w:pPr>
                    <w:tabs>
                      <w:tab w:val="left" w:pos="8080"/>
                    </w:tabs>
                    <w:ind w:firstLine="0" w:firstLineChars="0"/>
                    <w:jc w:val="center"/>
                    <w:rPr>
                      <w:rFonts w:hint="eastAsia" w:eastAsia="宋体"/>
                      <w:color w:val="auto"/>
                      <w:sz w:val="21"/>
                      <w:szCs w:val="21"/>
                      <w:lang w:eastAsia="zh-CN"/>
                    </w:rPr>
                  </w:pPr>
                </w:p>
              </w:tc>
            </w:tr>
            <w:tr w14:paraId="4A4DD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vMerge w:val="continue"/>
                  <w:vAlign w:val="center"/>
                </w:tcPr>
                <w:p w14:paraId="6C0BE67A">
                  <w:pPr>
                    <w:tabs>
                      <w:tab w:val="left" w:pos="8080"/>
                    </w:tabs>
                    <w:ind w:firstLine="0" w:firstLineChars="0"/>
                    <w:jc w:val="center"/>
                    <w:rPr>
                      <w:color w:val="auto"/>
                      <w:sz w:val="21"/>
                      <w:szCs w:val="21"/>
                    </w:rPr>
                  </w:pPr>
                </w:p>
              </w:tc>
              <w:tc>
                <w:tcPr>
                  <w:tcW w:w="640" w:type="pct"/>
                  <w:vAlign w:val="center"/>
                </w:tcPr>
                <w:p w14:paraId="0F80A731">
                  <w:pPr>
                    <w:tabs>
                      <w:tab w:val="left" w:pos="8080"/>
                    </w:tabs>
                    <w:ind w:firstLine="0" w:firstLineChars="0"/>
                    <w:jc w:val="center"/>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门房</w:t>
                  </w:r>
                </w:p>
              </w:tc>
              <w:tc>
                <w:tcPr>
                  <w:tcW w:w="3404" w:type="pct"/>
                  <w:vAlign w:val="center"/>
                </w:tcPr>
                <w:p w14:paraId="162A9CCD">
                  <w:pPr>
                    <w:keepNext w:val="0"/>
                    <w:keepLines w:val="0"/>
                    <w:pageBreakBefore w:val="0"/>
                    <w:widowControl w:val="0"/>
                    <w:tabs>
                      <w:tab w:val="left" w:pos="8080"/>
                    </w:tabs>
                    <w:kinsoku/>
                    <w:wordWrap/>
                    <w:overflowPunct/>
                    <w:topLinePunct w:val="0"/>
                    <w:autoSpaceDE/>
                    <w:autoSpaceDN/>
                    <w:bidi w:val="0"/>
                    <w:adjustRightInd/>
                    <w:snapToGrid/>
                    <w:spacing w:line="280" w:lineRule="exact"/>
                    <w:ind w:firstLine="0" w:firstLineChars="0"/>
                    <w:jc w:val="left"/>
                    <w:textAlignment w:val="auto"/>
                    <w:rPr>
                      <w:rFonts w:hint="eastAsia" w:cs="Times New Roman" w:eastAsiaTheme="minorEastAsia"/>
                      <w:color w:val="auto"/>
                      <w:kern w:val="0"/>
                      <w:sz w:val="21"/>
                      <w:szCs w:val="21"/>
                      <w:lang w:val="en-US" w:eastAsia="zh-CN"/>
                    </w:rPr>
                  </w:pPr>
                  <w:r>
                    <w:rPr>
                      <w:color w:val="auto"/>
                      <w:spacing w:val="-6"/>
                    </w:rPr>
                    <w:t>地上一层，砖混结构</w:t>
                  </w:r>
                  <w:r>
                    <w:rPr>
                      <w:rFonts w:hint="eastAsia"/>
                      <w:color w:val="auto"/>
                      <w:spacing w:val="-6"/>
                      <w:lang w:eastAsia="zh-CN"/>
                    </w:rPr>
                    <w:t>，</w:t>
                  </w:r>
                  <w:r>
                    <w:rPr>
                      <w:rFonts w:hint="eastAsia" w:cs="Times New Roman" w:eastAsiaTheme="minorEastAsia"/>
                      <w:color w:val="auto"/>
                      <w:kern w:val="0"/>
                      <w:sz w:val="21"/>
                      <w:szCs w:val="21"/>
                      <w:lang w:val="en-US" w:eastAsia="zh-CN"/>
                    </w:rPr>
                    <w:t>25m</w:t>
                  </w:r>
                  <w:r>
                    <w:rPr>
                      <w:rFonts w:hint="eastAsia" w:cs="Times New Roman" w:eastAsiaTheme="minorEastAsia"/>
                      <w:color w:val="auto"/>
                      <w:kern w:val="0"/>
                      <w:sz w:val="21"/>
                      <w:szCs w:val="21"/>
                      <w:vertAlign w:val="superscript"/>
                      <w:lang w:val="en-US" w:eastAsia="zh-CN"/>
                    </w:rPr>
                    <w:t>2</w:t>
                  </w:r>
                  <w:r>
                    <w:rPr>
                      <w:rFonts w:hint="eastAsia"/>
                      <w:color w:val="auto"/>
                      <w:spacing w:val="-6"/>
                      <w:lang w:eastAsia="zh-CN"/>
                    </w:rPr>
                    <w:t>。</w:t>
                  </w:r>
                </w:p>
              </w:tc>
              <w:tc>
                <w:tcPr>
                  <w:tcW w:w="475" w:type="pct"/>
                  <w:vAlign w:val="center"/>
                </w:tcPr>
                <w:p w14:paraId="5DFAD0D5">
                  <w:pPr>
                    <w:tabs>
                      <w:tab w:val="left" w:pos="8080"/>
                    </w:tabs>
                    <w:ind w:firstLine="0" w:firstLineChars="0"/>
                    <w:jc w:val="center"/>
                    <w:rPr>
                      <w:rFonts w:hint="eastAsia" w:eastAsia="宋体"/>
                      <w:color w:val="auto"/>
                      <w:sz w:val="21"/>
                      <w:szCs w:val="21"/>
                      <w:lang w:eastAsia="zh-CN"/>
                    </w:rPr>
                  </w:pPr>
                </w:p>
              </w:tc>
            </w:tr>
            <w:tr w14:paraId="49F88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vMerge w:val="continue"/>
                  <w:vAlign w:val="center"/>
                </w:tcPr>
                <w:p w14:paraId="197DF7A3">
                  <w:pPr>
                    <w:tabs>
                      <w:tab w:val="left" w:pos="8080"/>
                    </w:tabs>
                    <w:ind w:firstLine="0" w:firstLineChars="0"/>
                    <w:jc w:val="center"/>
                    <w:rPr>
                      <w:color w:val="auto"/>
                      <w:sz w:val="21"/>
                      <w:szCs w:val="21"/>
                    </w:rPr>
                  </w:pPr>
                </w:p>
              </w:tc>
              <w:tc>
                <w:tcPr>
                  <w:tcW w:w="640" w:type="pct"/>
                  <w:vAlign w:val="center"/>
                </w:tcPr>
                <w:p w14:paraId="6981FAAC">
                  <w:pPr>
                    <w:tabs>
                      <w:tab w:val="left" w:pos="8080"/>
                    </w:tabs>
                    <w:ind w:firstLine="0" w:firstLineChars="0"/>
                    <w:jc w:val="center"/>
                    <w:rPr>
                      <w:color w:val="auto"/>
                      <w:sz w:val="21"/>
                      <w:szCs w:val="21"/>
                    </w:rPr>
                  </w:pPr>
                  <w:r>
                    <w:rPr>
                      <w:rFonts w:hint="eastAsia" w:cs="Times New Roman" w:eastAsiaTheme="minorEastAsia"/>
                      <w:color w:val="auto"/>
                      <w:kern w:val="0"/>
                      <w:sz w:val="21"/>
                      <w:szCs w:val="21"/>
                      <w:lang w:val="en-US" w:eastAsia="zh-CN"/>
                    </w:rPr>
                    <w:t>危废间</w:t>
                  </w:r>
                </w:p>
              </w:tc>
              <w:tc>
                <w:tcPr>
                  <w:tcW w:w="3404" w:type="pct"/>
                  <w:vAlign w:val="center"/>
                </w:tcPr>
                <w:p w14:paraId="4529BEAB">
                  <w:pPr>
                    <w:keepNext w:val="0"/>
                    <w:keepLines w:val="0"/>
                    <w:pageBreakBefore w:val="0"/>
                    <w:widowControl w:val="0"/>
                    <w:tabs>
                      <w:tab w:val="left" w:pos="8080"/>
                    </w:tabs>
                    <w:kinsoku/>
                    <w:wordWrap/>
                    <w:overflowPunct/>
                    <w:topLinePunct w:val="0"/>
                    <w:autoSpaceDE/>
                    <w:autoSpaceDN/>
                    <w:bidi w:val="0"/>
                    <w:adjustRightInd/>
                    <w:snapToGrid/>
                    <w:spacing w:line="280" w:lineRule="exact"/>
                    <w:ind w:firstLine="0" w:firstLineChars="0"/>
                    <w:jc w:val="left"/>
                    <w:textAlignment w:val="auto"/>
                    <w:rPr>
                      <w:rFonts w:hint="eastAsia" w:cs="Times New Roman" w:eastAsiaTheme="minorEastAsia"/>
                      <w:color w:val="auto"/>
                      <w:kern w:val="0"/>
                      <w:sz w:val="21"/>
                      <w:szCs w:val="21"/>
                      <w:lang w:val="en-US" w:eastAsia="zh-CN"/>
                    </w:rPr>
                  </w:pPr>
                  <w:r>
                    <w:rPr>
                      <w:color w:val="auto"/>
                      <w:spacing w:val="-4"/>
                    </w:rPr>
                    <w:t>危废间及含油污水处理间，地上一层，砖混结构</w:t>
                  </w:r>
                  <w:r>
                    <w:rPr>
                      <w:rFonts w:hint="eastAsia"/>
                      <w:color w:val="auto"/>
                      <w:spacing w:val="-4"/>
                      <w:lang w:eastAsia="zh-CN"/>
                    </w:rPr>
                    <w:t>，</w:t>
                  </w:r>
                  <w:r>
                    <w:rPr>
                      <w:rFonts w:hint="eastAsia"/>
                      <w:color w:val="auto"/>
                      <w:spacing w:val="-4"/>
                      <w:lang w:val="en-US" w:eastAsia="zh-CN"/>
                    </w:rPr>
                    <w:t>重点防渗，防渗层为至少1m厚粘土层(渗透系数≤10</w:t>
                  </w:r>
                  <w:r>
                    <w:rPr>
                      <w:rFonts w:hint="eastAsia"/>
                      <w:color w:val="auto"/>
                      <w:spacing w:val="-4"/>
                      <w:vertAlign w:val="superscript"/>
                      <w:lang w:val="en-US" w:eastAsia="zh-CN"/>
                    </w:rPr>
                    <w:t>-7</w:t>
                  </w:r>
                  <w:r>
                    <w:rPr>
                      <w:rFonts w:hint="eastAsia"/>
                      <w:color w:val="auto"/>
                      <w:spacing w:val="-4"/>
                      <w:lang w:val="en-US" w:eastAsia="zh-CN"/>
                    </w:rPr>
                    <w:t>cm/s)，或2 mm厚高密度聚乙烯，或至2 mm厚的其它人工材料，渗透系数≤10</w:t>
                  </w:r>
                  <w:r>
                    <w:rPr>
                      <w:rFonts w:hint="eastAsia"/>
                      <w:color w:val="auto"/>
                      <w:spacing w:val="-4"/>
                      <w:vertAlign w:val="superscript"/>
                      <w:lang w:val="en-US" w:eastAsia="zh-CN"/>
                    </w:rPr>
                    <w:t xml:space="preserve"> -10</w:t>
                  </w:r>
                  <w:r>
                    <w:rPr>
                      <w:rFonts w:hint="eastAsia"/>
                      <w:color w:val="auto"/>
                      <w:spacing w:val="-4"/>
                      <w:lang w:val="en-US" w:eastAsia="zh-CN"/>
                    </w:rPr>
                    <w:t>cm/s</w:t>
                  </w:r>
                  <w:r>
                    <w:rPr>
                      <w:rFonts w:hint="eastAsia"/>
                      <w:color w:val="auto"/>
                      <w:spacing w:val="-4"/>
                      <w:lang w:eastAsia="zh-CN"/>
                    </w:rPr>
                    <w:t>，</w:t>
                  </w:r>
                  <w:r>
                    <w:rPr>
                      <w:rFonts w:hint="eastAsia" w:cs="Times New Roman" w:eastAsiaTheme="minorEastAsia"/>
                      <w:color w:val="auto"/>
                      <w:kern w:val="0"/>
                      <w:sz w:val="21"/>
                      <w:szCs w:val="21"/>
                      <w:lang w:val="en-US" w:eastAsia="zh-CN"/>
                    </w:rPr>
                    <w:t>30m</w:t>
                  </w:r>
                  <w:r>
                    <w:rPr>
                      <w:rFonts w:hint="eastAsia" w:cs="Times New Roman" w:eastAsiaTheme="minorEastAsia"/>
                      <w:color w:val="auto"/>
                      <w:kern w:val="0"/>
                      <w:sz w:val="21"/>
                      <w:szCs w:val="21"/>
                      <w:vertAlign w:val="superscript"/>
                      <w:lang w:val="en-US" w:eastAsia="zh-CN"/>
                    </w:rPr>
                    <w:t>2</w:t>
                  </w:r>
                  <w:r>
                    <w:rPr>
                      <w:rFonts w:hint="eastAsia" w:cs="Times New Roman" w:eastAsiaTheme="minorEastAsia"/>
                      <w:color w:val="auto"/>
                      <w:kern w:val="0"/>
                      <w:sz w:val="21"/>
                      <w:szCs w:val="21"/>
                      <w:lang w:val="en-US" w:eastAsia="zh-CN"/>
                    </w:rPr>
                    <w:t>。</w:t>
                  </w:r>
                </w:p>
              </w:tc>
              <w:tc>
                <w:tcPr>
                  <w:tcW w:w="475" w:type="pct"/>
                  <w:vAlign w:val="center"/>
                </w:tcPr>
                <w:p w14:paraId="72EEAD70">
                  <w:pPr>
                    <w:tabs>
                      <w:tab w:val="left" w:pos="8080"/>
                    </w:tabs>
                    <w:ind w:firstLine="0" w:firstLineChars="0"/>
                    <w:jc w:val="center"/>
                    <w:rPr>
                      <w:rFonts w:hint="eastAsia" w:eastAsia="宋体"/>
                      <w:color w:val="auto"/>
                      <w:sz w:val="21"/>
                      <w:szCs w:val="21"/>
                      <w:lang w:eastAsia="zh-CN"/>
                    </w:rPr>
                  </w:pPr>
                </w:p>
              </w:tc>
            </w:tr>
            <w:tr w14:paraId="510B6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vMerge w:val="continue"/>
                  <w:vAlign w:val="center"/>
                </w:tcPr>
                <w:p w14:paraId="6478C007">
                  <w:pPr>
                    <w:tabs>
                      <w:tab w:val="left" w:pos="8080"/>
                    </w:tabs>
                    <w:ind w:firstLine="0" w:firstLineChars="0"/>
                    <w:jc w:val="center"/>
                    <w:rPr>
                      <w:color w:val="auto"/>
                      <w:sz w:val="21"/>
                      <w:szCs w:val="21"/>
                    </w:rPr>
                  </w:pPr>
                </w:p>
              </w:tc>
              <w:tc>
                <w:tcPr>
                  <w:tcW w:w="640" w:type="pct"/>
                  <w:vAlign w:val="center"/>
                </w:tcPr>
                <w:p w14:paraId="40417C8B">
                  <w:pPr>
                    <w:tabs>
                      <w:tab w:val="left" w:pos="8080"/>
                    </w:tabs>
                    <w:ind w:firstLine="0" w:firstLineChars="0"/>
                    <w:jc w:val="center"/>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消防设施</w:t>
                  </w:r>
                </w:p>
              </w:tc>
              <w:tc>
                <w:tcPr>
                  <w:tcW w:w="3404" w:type="pct"/>
                  <w:vAlign w:val="center"/>
                </w:tcPr>
                <w:p w14:paraId="5A5E2522">
                  <w:pPr>
                    <w:keepNext w:val="0"/>
                    <w:keepLines w:val="0"/>
                    <w:pageBreakBefore w:val="0"/>
                    <w:widowControl w:val="0"/>
                    <w:tabs>
                      <w:tab w:val="left" w:pos="8080"/>
                    </w:tabs>
                    <w:kinsoku/>
                    <w:wordWrap/>
                    <w:overflowPunct/>
                    <w:topLinePunct w:val="0"/>
                    <w:autoSpaceDE/>
                    <w:autoSpaceDN/>
                    <w:bidi w:val="0"/>
                    <w:adjustRightInd/>
                    <w:snapToGrid/>
                    <w:spacing w:line="280" w:lineRule="exact"/>
                    <w:ind w:firstLine="0" w:firstLineChars="0"/>
                    <w:jc w:val="left"/>
                    <w:textAlignment w:val="auto"/>
                    <w:rPr>
                      <w:color w:val="auto"/>
                      <w:spacing w:val="-4"/>
                    </w:rPr>
                  </w:pPr>
                  <w:r>
                    <w:rPr>
                      <w:rFonts w:hint="eastAsia"/>
                      <w:color w:val="auto"/>
                      <w:spacing w:val="-4"/>
                      <w:lang w:val="en-US" w:eastAsia="zh-CN"/>
                    </w:rPr>
                    <w:t>防依托机场消防设施，机场建设2座有效容积为700m³钢筋混凝土消防水池。</w:t>
                  </w:r>
                </w:p>
              </w:tc>
              <w:tc>
                <w:tcPr>
                  <w:tcW w:w="475" w:type="pct"/>
                  <w:vAlign w:val="center"/>
                </w:tcPr>
                <w:p w14:paraId="2D89BC68">
                  <w:pPr>
                    <w:tabs>
                      <w:tab w:val="left" w:pos="8080"/>
                    </w:tabs>
                    <w:ind w:firstLine="0" w:firstLineChars="0"/>
                    <w:jc w:val="center"/>
                    <w:rPr>
                      <w:rFonts w:hint="eastAsia" w:eastAsia="宋体"/>
                      <w:color w:val="auto"/>
                      <w:sz w:val="21"/>
                      <w:szCs w:val="21"/>
                      <w:lang w:eastAsia="zh-CN"/>
                    </w:rPr>
                  </w:pPr>
                </w:p>
              </w:tc>
            </w:tr>
            <w:tr w14:paraId="63A18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vMerge w:val="continue"/>
                  <w:vAlign w:val="center"/>
                </w:tcPr>
                <w:p w14:paraId="170A45F1">
                  <w:pPr>
                    <w:tabs>
                      <w:tab w:val="left" w:pos="8080"/>
                    </w:tabs>
                    <w:ind w:firstLine="0" w:firstLineChars="0"/>
                    <w:jc w:val="center"/>
                    <w:rPr>
                      <w:color w:val="auto"/>
                      <w:sz w:val="21"/>
                      <w:szCs w:val="21"/>
                    </w:rPr>
                  </w:pPr>
                </w:p>
              </w:tc>
              <w:tc>
                <w:tcPr>
                  <w:tcW w:w="640" w:type="pct"/>
                  <w:vAlign w:val="center"/>
                </w:tcPr>
                <w:p w14:paraId="1730D0B7">
                  <w:pPr>
                    <w:tabs>
                      <w:tab w:val="left" w:pos="8080"/>
                    </w:tabs>
                    <w:ind w:firstLine="0" w:firstLineChars="0"/>
                    <w:jc w:val="center"/>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隔油池</w:t>
                  </w:r>
                </w:p>
              </w:tc>
              <w:tc>
                <w:tcPr>
                  <w:tcW w:w="3404" w:type="pct"/>
                  <w:vAlign w:val="center"/>
                </w:tcPr>
                <w:p w14:paraId="75B7E589">
                  <w:pPr>
                    <w:keepNext w:val="0"/>
                    <w:keepLines w:val="0"/>
                    <w:pageBreakBefore w:val="0"/>
                    <w:widowControl w:val="0"/>
                    <w:tabs>
                      <w:tab w:val="left" w:pos="8080"/>
                    </w:tabs>
                    <w:kinsoku/>
                    <w:wordWrap/>
                    <w:overflowPunct/>
                    <w:topLinePunct w:val="0"/>
                    <w:autoSpaceDE/>
                    <w:autoSpaceDN/>
                    <w:bidi w:val="0"/>
                    <w:adjustRightInd/>
                    <w:snapToGrid/>
                    <w:spacing w:line="280" w:lineRule="exact"/>
                    <w:ind w:firstLine="0" w:firstLineChars="0"/>
                    <w:jc w:val="left"/>
                    <w:textAlignment w:val="auto"/>
                    <w:rPr>
                      <w:rFonts w:hint="eastAsia"/>
                      <w:color w:val="auto"/>
                      <w:spacing w:val="-4"/>
                      <w:lang w:val="en-US" w:eastAsia="zh-CN"/>
                    </w:rPr>
                  </w:pPr>
                  <w:r>
                    <w:rPr>
                      <w:rFonts w:hint="default"/>
                      <w:color w:val="auto"/>
                      <w:spacing w:val="-4"/>
                      <w:lang w:val="en-US" w:eastAsia="zh-CN"/>
                    </w:rPr>
                    <w:t>50m³</w:t>
                  </w:r>
                  <w:r>
                    <w:rPr>
                      <w:rFonts w:hint="eastAsia"/>
                      <w:color w:val="auto"/>
                      <w:spacing w:val="-4"/>
                      <w:lang w:val="en-US" w:eastAsia="zh-CN"/>
                    </w:rPr>
                    <w:t>，重点防渗，防渗层为至少1m厚粘土层（渗透系数≤10</w:t>
                  </w:r>
                  <w:r>
                    <w:rPr>
                      <w:rFonts w:hint="eastAsia"/>
                      <w:color w:val="auto"/>
                      <w:spacing w:val="-4"/>
                      <w:vertAlign w:val="superscript"/>
                      <w:lang w:val="en-US" w:eastAsia="zh-CN"/>
                    </w:rPr>
                    <w:t>-7</w:t>
                  </w:r>
                  <w:r>
                    <w:rPr>
                      <w:rFonts w:hint="eastAsia"/>
                      <w:color w:val="auto"/>
                      <w:spacing w:val="-4"/>
                      <w:lang w:val="en-US" w:eastAsia="zh-CN"/>
                    </w:rPr>
                    <w:t>cm/s），或2 mm厚高密度聚乙烯，或至2 mm厚的其它人工材料，渗透系数≤10</w:t>
                  </w:r>
                  <w:r>
                    <w:rPr>
                      <w:rFonts w:hint="eastAsia"/>
                      <w:color w:val="auto"/>
                      <w:spacing w:val="-4"/>
                      <w:vertAlign w:val="superscript"/>
                      <w:lang w:val="en-US" w:eastAsia="zh-CN"/>
                    </w:rPr>
                    <w:t xml:space="preserve"> -10</w:t>
                  </w:r>
                  <w:r>
                    <w:rPr>
                      <w:rFonts w:hint="eastAsia"/>
                      <w:color w:val="auto"/>
                      <w:spacing w:val="-4"/>
                      <w:lang w:val="en-US" w:eastAsia="zh-CN"/>
                    </w:rPr>
                    <w:t>cm/s。</w:t>
                  </w:r>
                </w:p>
              </w:tc>
              <w:tc>
                <w:tcPr>
                  <w:tcW w:w="475" w:type="pct"/>
                  <w:vAlign w:val="center"/>
                </w:tcPr>
                <w:p w14:paraId="076042D4">
                  <w:pPr>
                    <w:tabs>
                      <w:tab w:val="left" w:pos="8080"/>
                    </w:tabs>
                    <w:ind w:firstLine="0" w:firstLineChars="0"/>
                    <w:jc w:val="center"/>
                    <w:rPr>
                      <w:rFonts w:hint="eastAsia" w:eastAsia="宋体"/>
                      <w:color w:val="auto"/>
                      <w:sz w:val="21"/>
                      <w:szCs w:val="21"/>
                      <w:lang w:eastAsia="zh-CN"/>
                    </w:rPr>
                  </w:pPr>
                </w:p>
              </w:tc>
            </w:tr>
            <w:tr w14:paraId="3F10D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vMerge w:val="continue"/>
                  <w:vAlign w:val="center"/>
                </w:tcPr>
                <w:p w14:paraId="210D74B6">
                  <w:pPr>
                    <w:tabs>
                      <w:tab w:val="left" w:pos="8080"/>
                    </w:tabs>
                    <w:ind w:firstLine="0" w:firstLineChars="0"/>
                    <w:jc w:val="center"/>
                    <w:rPr>
                      <w:color w:val="auto"/>
                      <w:sz w:val="21"/>
                      <w:szCs w:val="21"/>
                    </w:rPr>
                  </w:pPr>
                </w:p>
              </w:tc>
              <w:tc>
                <w:tcPr>
                  <w:tcW w:w="640" w:type="pct"/>
                  <w:vAlign w:val="center"/>
                </w:tcPr>
                <w:p w14:paraId="1F7FC917">
                  <w:pPr>
                    <w:tabs>
                      <w:tab w:val="left" w:pos="8080"/>
                    </w:tabs>
                    <w:ind w:firstLine="0" w:firstLineChars="0"/>
                    <w:jc w:val="center"/>
                    <w:rPr>
                      <w:rFonts w:hint="eastAsia" w:cs="Times New Roman" w:eastAsiaTheme="minorEastAsia"/>
                      <w:color w:val="auto"/>
                      <w:kern w:val="0"/>
                      <w:sz w:val="21"/>
                      <w:szCs w:val="21"/>
                      <w:lang w:val="en-US" w:eastAsia="zh-CN"/>
                    </w:rPr>
                  </w:pPr>
                  <w:r>
                    <w:rPr>
                      <w:rFonts w:hint="eastAsia"/>
                      <w:color w:val="auto"/>
                      <w:spacing w:val="-4"/>
                      <w:lang w:val="en-US" w:eastAsia="zh-CN"/>
                    </w:rPr>
                    <w:t>事故污水收集池</w:t>
                  </w:r>
                </w:p>
              </w:tc>
              <w:tc>
                <w:tcPr>
                  <w:tcW w:w="3404" w:type="pct"/>
                  <w:vAlign w:val="center"/>
                </w:tcPr>
                <w:p w14:paraId="034500D2">
                  <w:pPr>
                    <w:keepNext w:val="0"/>
                    <w:keepLines w:val="0"/>
                    <w:pageBreakBefore w:val="0"/>
                    <w:widowControl w:val="0"/>
                    <w:tabs>
                      <w:tab w:val="left" w:pos="8080"/>
                    </w:tabs>
                    <w:kinsoku/>
                    <w:wordWrap/>
                    <w:overflowPunct/>
                    <w:topLinePunct w:val="0"/>
                    <w:autoSpaceDE/>
                    <w:autoSpaceDN/>
                    <w:bidi w:val="0"/>
                    <w:adjustRightInd/>
                    <w:snapToGrid/>
                    <w:spacing w:line="280" w:lineRule="exact"/>
                    <w:ind w:firstLine="0" w:firstLineChars="0"/>
                    <w:jc w:val="left"/>
                    <w:textAlignment w:val="auto"/>
                    <w:rPr>
                      <w:color w:val="auto"/>
                      <w:spacing w:val="-4"/>
                    </w:rPr>
                  </w:pPr>
                  <w:r>
                    <w:rPr>
                      <w:rFonts w:hint="default"/>
                      <w:color w:val="auto"/>
                      <w:spacing w:val="-4"/>
                      <w:lang w:val="en-US" w:eastAsia="zh-CN"/>
                    </w:rPr>
                    <w:t>3</w:t>
                  </w:r>
                  <w:r>
                    <w:rPr>
                      <w:rFonts w:hint="eastAsia"/>
                      <w:color w:val="auto"/>
                      <w:spacing w:val="-4"/>
                      <w:lang w:val="en-US" w:eastAsia="zh-CN"/>
                    </w:rPr>
                    <w:t>0</w:t>
                  </w:r>
                  <w:r>
                    <w:rPr>
                      <w:rFonts w:hint="default"/>
                      <w:color w:val="auto"/>
                      <w:spacing w:val="-4"/>
                      <w:lang w:val="en-US" w:eastAsia="zh-CN"/>
                    </w:rPr>
                    <w:t>0m³</w:t>
                  </w:r>
                  <w:r>
                    <w:rPr>
                      <w:rFonts w:hint="eastAsia"/>
                      <w:color w:val="auto"/>
                      <w:spacing w:val="-4"/>
                      <w:lang w:val="en-US" w:eastAsia="zh-CN"/>
                    </w:rPr>
                    <w:t>，重点防渗，防渗层为至少1m厚粘土层（渗透系数≤10</w:t>
                  </w:r>
                  <w:r>
                    <w:rPr>
                      <w:rFonts w:hint="eastAsia"/>
                      <w:color w:val="auto"/>
                      <w:spacing w:val="-4"/>
                      <w:vertAlign w:val="superscript"/>
                      <w:lang w:val="en-US" w:eastAsia="zh-CN"/>
                    </w:rPr>
                    <w:t>-7</w:t>
                  </w:r>
                  <w:r>
                    <w:rPr>
                      <w:rFonts w:hint="eastAsia"/>
                      <w:color w:val="auto"/>
                      <w:spacing w:val="-4"/>
                      <w:lang w:val="en-US" w:eastAsia="zh-CN"/>
                    </w:rPr>
                    <w:t>cm/s），或2 mm厚高密度聚乙烯，或至2 mm厚的其它人工材料，渗透系数≤10</w:t>
                  </w:r>
                  <w:r>
                    <w:rPr>
                      <w:rFonts w:hint="eastAsia"/>
                      <w:color w:val="auto"/>
                      <w:spacing w:val="-4"/>
                      <w:vertAlign w:val="superscript"/>
                      <w:lang w:val="en-US" w:eastAsia="zh-CN"/>
                    </w:rPr>
                    <w:t xml:space="preserve"> -10</w:t>
                  </w:r>
                  <w:r>
                    <w:rPr>
                      <w:rFonts w:hint="eastAsia"/>
                      <w:color w:val="auto"/>
                      <w:spacing w:val="-4"/>
                      <w:lang w:val="en-US" w:eastAsia="zh-CN"/>
                    </w:rPr>
                    <w:t>cm/s。</w:t>
                  </w:r>
                </w:p>
              </w:tc>
              <w:tc>
                <w:tcPr>
                  <w:tcW w:w="475" w:type="pct"/>
                  <w:vAlign w:val="center"/>
                </w:tcPr>
                <w:p w14:paraId="0F1E209B">
                  <w:pPr>
                    <w:tabs>
                      <w:tab w:val="left" w:pos="8080"/>
                    </w:tabs>
                    <w:ind w:firstLine="0" w:firstLineChars="0"/>
                    <w:jc w:val="center"/>
                    <w:rPr>
                      <w:rFonts w:hint="eastAsia" w:eastAsia="宋体"/>
                      <w:color w:val="auto"/>
                      <w:sz w:val="21"/>
                      <w:szCs w:val="21"/>
                      <w:lang w:eastAsia="zh-CN"/>
                    </w:rPr>
                  </w:pPr>
                </w:p>
              </w:tc>
            </w:tr>
            <w:tr w14:paraId="250AA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vMerge w:val="continue"/>
                  <w:vAlign w:val="center"/>
                </w:tcPr>
                <w:p w14:paraId="37CE3653">
                  <w:pPr>
                    <w:tabs>
                      <w:tab w:val="left" w:pos="8080"/>
                    </w:tabs>
                    <w:ind w:firstLine="0" w:firstLineChars="0"/>
                    <w:jc w:val="center"/>
                    <w:rPr>
                      <w:color w:val="auto"/>
                      <w:sz w:val="21"/>
                      <w:szCs w:val="21"/>
                    </w:rPr>
                  </w:pPr>
                </w:p>
              </w:tc>
              <w:tc>
                <w:tcPr>
                  <w:tcW w:w="640" w:type="pct"/>
                  <w:vAlign w:val="center"/>
                </w:tcPr>
                <w:p w14:paraId="011EFEDB">
                  <w:pPr>
                    <w:tabs>
                      <w:tab w:val="left" w:pos="8080"/>
                    </w:tabs>
                    <w:ind w:firstLine="0" w:firstLineChars="0"/>
                    <w:jc w:val="center"/>
                    <w:rPr>
                      <w:rFonts w:hint="eastAsia"/>
                      <w:color w:val="auto"/>
                      <w:spacing w:val="-4"/>
                      <w:lang w:val="en-US" w:eastAsia="zh-CN"/>
                    </w:rPr>
                  </w:pPr>
                  <w:r>
                    <w:rPr>
                      <w:rFonts w:hint="eastAsia"/>
                      <w:color w:val="auto"/>
                      <w:spacing w:val="-4"/>
                      <w:lang w:val="en-US" w:eastAsia="zh-CN"/>
                    </w:rPr>
                    <w:t>化粪池</w:t>
                  </w:r>
                </w:p>
              </w:tc>
              <w:tc>
                <w:tcPr>
                  <w:tcW w:w="3404" w:type="pct"/>
                  <w:vAlign w:val="center"/>
                </w:tcPr>
                <w:p w14:paraId="65512428">
                  <w:pPr>
                    <w:keepNext w:val="0"/>
                    <w:keepLines w:val="0"/>
                    <w:pageBreakBefore w:val="0"/>
                    <w:widowControl w:val="0"/>
                    <w:tabs>
                      <w:tab w:val="left" w:pos="8080"/>
                    </w:tabs>
                    <w:kinsoku/>
                    <w:wordWrap/>
                    <w:overflowPunct/>
                    <w:topLinePunct w:val="0"/>
                    <w:autoSpaceDE/>
                    <w:autoSpaceDN/>
                    <w:bidi w:val="0"/>
                    <w:adjustRightInd/>
                    <w:snapToGrid/>
                    <w:spacing w:line="280" w:lineRule="exact"/>
                    <w:ind w:firstLine="0" w:firstLineChars="0"/>
                    <w:jc w:val="left"/>
                    <w:textAlignment w:val="auto"/>
                    <w:rPr>
                      <w:rFonts w:hint="default"/>
                      <w:color w:val="auto"/>
                      <w:spacing w:val="-4"/>
                      <w:lang w:val="en-US" w:eastAsia="zh-CN"/>
                    </w:rPr>
                  </w:pPr>
                  <w:r>
                    <w:rPr>
                      <w:rFonts w:hint="default"/>
                      <w:color w:val="auto"/>
                      <w:spacing w:val="-4"/>
                      <w:lang w:val="en-US" w:eastAsia="zh-CN"/>
                    </w:rPr>
                    <w:t>V=</w:t>
                  </w:r>
                  <w:r>
                    <w:rPr>
                      <w:rFonts w:hint="eastAsia"/>
                      <w:color w:val="auto"/>
                      <w:spacing w:val="-4"/>
                      <w:lang w:val="en-US" w:eastAsia="zh-CN"/>
                    </w:rPr>
                    <w:t>10</w:t>
                  </w:r>
                  <w:r>
                    <w:rPr>
                      <w:rFonts w:hint="default"/>
                      <w:color w:val="auto"/>
                      <w:spacing w:val="-4"/>
                      <w:lang w:val="en-US" w:eastAsia="zh-CN"/>
                    </w:rPr>
                    <w:t>m³</w:t>
                  </w:r>
                  <w:r>
                    <w:rPr>
                      <w:rFonts w:hint="eastAsia"/>
                      <w:color w:val="auto"/>
                      <w:spacing w:val="-4"/>
                      <w:lang w:val="en-US" w:eastAsia="zh-CN"/>
                    </w:rPr>
                    <w:t>，重点防渗，防渗层为至少1m厚粘土层（渗透系数≤10</w:t>
                  </w:r>
                  <w:r>
                    <w:rPr>
                      <w:rFonts w:hint="eastAsia"/>
                      <w:color w:val="auto"/>
                      <w:spacing w:val="-4"/>
                      <w:vertAlign w:val="superscript"/>
                      <w:lang w:val="en-US" w:eastAsia="zh-CN"/>
                    </w:rPr>
                    <w:t>-7</w:t>
                  </w:r>
                  <w:r>
                    <w:rPr>
                      <w:rFonts w:hint="eastAsia"/>
                      <w:color w:val="auto"/>
                      <w:spacing w:val="-4"/>
                      <w:lang w:val="en-US" w:eastAsia="zh-CN"/>
                    </w:rPr>
                    <w:t>cm/s），或2 mm厚高密度聚乙烯，或至2 mm厚的其它人工材料，渗透系数≤10</w:t>
                  </w:r>
                  <w:r>
                    <w:rPr>
                      <w:rFonts w:hint="eastAsia"/>
                      <w:color w:val="auto"/>
                      <w:spacing w:val="-4"/>
                      <w:vertAlign w:val="superscript"/>
                      <w:lang w:val="en-US" w:eastAsia="zh-CN"/>
                    </w:rPr>
                    <w:t xml:space="preserve"> -10</w:t>
                  </w:r>
                  <w:r>
                    <w:rPr>
                      <w:rFonts w:hint="eastAsia"/>
                      <w:color w:val="auto"/>
                      <w:spacing w:val="-4"/>
                      <w:lang w:val="en-US" w:eastAsia="zh-CN"/>
                    </w:rPr>
                    <w:t>cm/s。</w:t>
                  </w:r>
                </w:p>
              </w:tc>
              <w:tc>
                <w:tcPr>
                  <w:tcW w:w="475" w:type="pct"/>
                  <w:vAlign w:val="center"/>
                </w:tcPr>
                <w:p w14:paraId="7084D367">
                  <w:pPr>
                    <w:tabs>
                      <w:tab w:val="left" w:pos="8080"/>
                    </w:tabs>
                    <w:ind w:firstLine="0" w:firstLineChars="0"/>
                    <w:jc w:val="center"/>
                    <w:rPr>
                      <w:rFonts w:hint="eastAsia" w:eastAsia="宋体"/>
                      <w:color w:val="auto"/>
                      <w:sz w:val="21"/>
                      <w:szCs w:val="21"/>
                      <w:lang w:eastAsia="zh-CN"/>
                    </w:rPr>
                  </w:pPr>
                </w:p>
              </w:tc>
            </w:tr>
            <w:tr w14:paraId="5A248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vMerge w:val="continue"/>
                  <w:vAlign w:val="center"/>
                </w:tcPr>
                <w:p w14:paraId="19467666">
                  <w:pPr>
                    <w:tabs>
                      <w:tab w:val="left" w:pos="8080"/>
                    </w:tabs>
                    <w:ind w:firstLine="0" w:firstLineChars="0"/>
                    <w:jc w:val="center"/>
                    <w:rPr>
                      <w:color w:val="auto"/>
                      <w:sz w:val="21"/>
                      <w:szCs w:val="21"/>
                    </w:rPr>
                  </w:pPr>
                </w:p>
              </w:tc>
              <w:tc>
                <w:tcPr>
                  <w:tcW w:w="640" w:type="pct"/>
                  <w:vAlign w:val="center"/>
                </w:tcPr>
                <w:p w14:paraId="248D6D4B">
                  <w:pPr>
                    <w:tabs>
                      <w:tab w:val="left" w:pos="8080"/>
                    </w:tabs>
                    <w:ind w:firstLine="0" w:firstLineChars="0"/>
                    <w:jc w:val="center"/>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雨水收集排放系统</w:t>
                  </w:r>
                </w:p>
              </w:tc>
              <w:tc>
                <w:tcPr>
                  <w:tcW w:w="3404" w:type="pct"/>
                  <w:vAlign w:val="center"/>
                </w:tcPr>
                <w:p w14:paraId="30C242E1">
                  <w:pPr>
                    <w:keepNext w:val="0"/>
                    <w:keepLines w:val="0"/>
                    <w:pageBreakBefore w:val="0"/>
                    <w:widowControl w:val="0"/>
                    <w:tabs>
                      <w:tab w:val="left" w:pos="8080"/>
                    </w:tabs>
                    <w:kinsoku/>
                    <w:wordWrap/>
                    <w:overflowPunct/>
                    <w:topLinePunct w:val="0"/>
                    <w:autoSpaceDE/>
                    <w:autoSpaceDN/>
                    <w:bidi w:val="0"/>
                    <w:adjustRightInd/>
                    <w:snapToGrid/>
                    <w:spacing w:line="280" w:lineRule="exact"/>
                    <w:ind w:firstLine="0" w:firstLineChars="0"/>
                    <w:jc w:val="left"/>
                    <w:textAlignment w:val="auto"/>
                    <w:rPr>
                      <w:color w:val="auto"/>
                      <w:spacing w:val="-4"/>
                    </w:rPr>
                  </w:pPr>
                  <w:r>
                    <w:rPr>
                      <w:rFonts w:hint="eastAsia"/>
                      <w:color w:val="auto"/>
                      <w:spacing w:val="-4"/>
                      <w:lang w:val="en-US" w:eastAsia="zh-CN"/>
                    </w:rPr>
                    <w:t xml:space="preserve">初期雨水若含油花时排入含油污水管道，收集至调节隔油池， </w:t>
                  </w:r>
                </w:p>
                <w:p w14:paraId="660D700E">
                  <w:pPr>
                    <w:keepNext w:val="0"/>
                    <w:keepLines w:val="0"/>
                    <w:pageBreakBefore w:val="0"/>
                    <w:widowControl w:val="0"/>
                    <w:tabs>
                      <w:tab w:val="left" w:pos="8080"/>
                    </w:tabs>
                    <w:kinsoku/>
                    <w:wordWrap/>
                    <w:overflowPunct/>
                    <w:topLinePunct w:val="0"/>
                    <w:autoSpaceDE/>
                    <w:autoSpaceDN/>
                    <w:bidi w:val="0"/>
                    <w:adjustRightInd/>
                    <w:snapToGrid/>
                    <w:spacing w:line="280" w:lineRule="exact"/>
                    <w:ind w:firstLine="0" w:firstLineChars="0"/>
                    <w:jc w:val="left"/>
                    <w:textAlignment w:val="auto"/>
                    <w:rPr>
                      <w:color w:val="auto"/>
                      <w:spacing w:val="-4"/>
                    </w:rPr>
                  </w:pPr>
                  <w:r>
                    <w:rPr>
                      <w:rFonts w:hint="eastAsia"/>
                      <w:color w:val="auto"/>
                      <w:spacing w:val="-4"/>
                      <w:lang w:val="en-US" w:eastAsia="zh-CN"/>
                    </w:rPr>
                    <w:t>按含油污水统一处理；后期清净雨水排至库区雨水管网。库区防火堤外雨水系统由暗管和明沟收集后在下游实体围墙内设置水封井及阀门井后接入机场雨水系统。库区内采用平坡式竖向设计，雨水通过不小于地面坡度（约0.3%）排入雨水明沟，最终经过水封井排入机场雨水系统。油罐区内地面雨水以不小于 0.5%的坡率散排至罐区内明沟，汇入集水井，出防火堤处通过阀门控制，进行清污分流，含油污的雨水切入含油污水管网，干净雨水排出库区。</w:t>
                  </w:r>
                </w:p>
              </w:tc>
              <w:tc>
                <w:tcPr>
                  <w:tcW w:w="475" w:type="pct"/>
                  <w:vAlign w:val="center"/>
                </w:tcPr>
                <w:p w14:paraId="19A7AD15">
                  <w:pPr>
                    <w:tabs>
                      <w:tab w:val="left" w:pos="8080"/>
                    </w:tabs>
                    <w:ind w:firstLine="0" w:firstLineChars="0"/>
                    <w:jc w:val="center"/>
                    <w:rPr>
                      <w:rFonts w:hint="eastAsia" w:eastAsia="宋体"/>
                      <w:color w:val="auto"/>
                      <w:sz w:val="21"/>
                      <w:szCs w:val="21"/>
                      <w:lang w:eastAsia="zh-CN"/>
                    </w:rPr>
                  </w:pPr>
                </w:p>
              </w:tc>
            </w:tr>
            <w:tr w14:paraId="2FA61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vMerge w:val="restart"/>
                  <w:vAlign w:val="center"/>
                </w:tcPr>
                <w:p w14:paraId="0C9FBA2D">
                  <w:pPr>
                    <w:tabs>
                      <w:tab w:val="left" w:pos="8080"/>
                    </w:tabs>
                    <w:ind w:firstLine="0" w:firstLineChars="0"/>
                    <w:jc w:val="center"/>
                    <w:rPr>
                      <w:color w:val="auto"/>
                      <w:sz w:val="21"/>
                      <w:szCs w:val="21"/>
                    </w:rPr>
                  </w:pPr>
                  <w:r>
                    <w:rPr>
                      <w:rFonts w:hint="eastAsia"/>
                      <w:color w:val="auto"/>
                      <w:sz w:val="21"/>
                      <w:szCs w:val="21"/>
                    </w:rPr>
                    <w:t>公用工程</w:t>
                  </w:r>
                </w:p>
              </w:tc>
              <w:tc>
                <w:tcPr>
                  <w:tcW w:w="640" w:type="pct"/>
                  <w:vAlign w:val="center"/>
                </w:tcPr>
                <w:p w14:paraId="66B5F942">
                  <w:pPr>
                    <w:tabs>
                      <w:tab w:val="left" w:pos="8080"/>
                    </w:tabs>
                    <w:ind w:firstLine="0" w:firstLineChars="0"/>
                    <w:jc w:val="center"/>
                    <w:rPr>
                      <w:color w:val="auto"/>
                      <w:sz w:val="21"/>
                      <w:szCs w:val="21"/>
                    </w:rPr>
                  </w:pPr>
                  <w:r>
                    <w:rPr>
                      <w:rFonts w:hint="eastAsia"/>
                      <w:color w:val="auto"/>
                      <w:sz w:val="21"/>
                      <w:szCs w:val="21"/>
                    </w:rPr>
                    <w:t>供电系统</w:t>
                  </w:r>
                </w:p>
              </w:tc>
              <w:tc>
                <w:tcPr>
                  <w:tcW w:w="3404" w:type="pct"/>
                  <w:vAlign w:val="center"/>
                </w:tcPr>
                <w:p w14:paraId="6BBB1F9F">
                  <w:pPr>
                    <w:keepNext w:val="0"/>
                    <w:keepLines w:val="0"/>
                    <w:pageBreakBefore w:val="0"/>
                    <w:widowControl w:val="0"/>
                    <w:tabs>
                      <w:tab w:val="left" w:pos="8080"/>
                    </w:tabs>
                    <w:kinsoku/>
                    <w:wordWrap/>
                    <w:overflowPunct/>
                    <w:topLinePunct w:val="0"/>
                    <w:autoSpaceDE/>
                    <w:autoSpaceDN/>
                    <w:bidi w:val="0"/>
                    <w:adjustRightInd/>
                    <w:snapToGrid/>
                    <w:spacing w:line="280" w:lineRule="exact"/>
                    <w:ind w:firstLine="0" w:firstLineChars="0"/>
                    <w:jc w:val="left"/>
                    <w:textAlignment w:val="auto"/>
                    <w:rPr>
                      <w:rFonts w:hint="eastAsia"/>
                      <w:color w:val="auto"/>
                      <w:sz w:val="21"/>
                      <w:szCs w:val="21"/>
                    </w:rPr>
                  </w:pPr>
                  <w:r>
                    <w:rPr>
                      <w:rFonts w:hint="eastAsia"/>
                      <w:color w:val="auto"/>
                      <w:sz w:val="21"/>
                      <w:szCs w:val="21"/>
                      <w:lang w:val="en-US" w:eastAsia="zh-CN"/>
                    </w:rPr>
                    <w:t>本期油库设一路380V低压电源供电，引自机场中心变电站。</w:t>
                  </w:r>
                </w:p>
              </w:tc>
              <w:tc>
                <w:tcPr>
                  <w:tcW w:w="475" w:type="pct"/>
                  <w:vAlign w:val="center"/>
                </w:tcPr>
                <w:p w14:paraId="08D42D96">
                  <w:pPr>
                    <w:tabs>
                      <w:tab w:val="left" w:pos="8080"/>
                    </w:tabs>
                    <w:ind w:firstLine="0" w:firstLineChars="0"/>
                    <w:jc w:val="center"/>
                    <w:rPr>
                      <w:rFonts w:hint="eastAsia"/>
                      <w:color w:val="auto"/>
                      <w:sz w:val="21"/>
                      <w:szCs w:val="21"/>
                    </w:rPr>
                  </w:pPr>
                </w:p>
              </w:tc>
            </w:tr>
            <w:tr w14:paraId="72C5A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vMerge w:val="continue"/>
                  <w:vAlign w:val="center"/>
                </w:tcPr>
                <w:p w14:paraId="4498FA22">
                  <w:pPr>
                    <w:tabs>
                      <w:tab w:val="left" w:pos="8080"/>
                    </w:tabs>
                    <w:ind w:firstLine="0" w:firstLineChars="0"/>
                    <w:jc w:val="center"/>
                    <w:rPr>
                      <w:color w:val="auto"/>
                      <w:sz w:val="21"/>
                      <w:szCs w:val="21"/>
                    </w:rPr>
                  </w:pPr>
                </w:p>
              </w:tc>
              <w:tc>
                <w:tcPr>
                  <w:tcW w:w="640" w:type="pct"/>
                  <w:vAlign w:val="center"/>
                </w:tcPr>
                <w:p w14:paraId="3BC0B3EF">
                  <w:pPr>
                    <w:tabs>
                      <w:tab w:val="left" w:pos="8080"/>
                    </w:tabs>
                    <w:ind w:firstLine="0" w:firstLineChars="0"/>
                    <w:jc w:val="center"/>
                    <w:rPr>
                      <w:color w:val="auto"/>
                      <w:sz w:val="21"/>
                      <w:szCs w:val="21"/>
                    </w:rPr>
                  </w:pPr>
                  <w:r>
                    <w:rPr>
                      <w:rFonts w:hint="eastAsia"/>
                      <w:color w:val="auto"/>
                      <w:sz w:val="21"/>
                      <w:szCs w:val="21"/>
                    </w:rPr>
                    <w:t>采暖通风</w:t>
                  </w:r>
                </w:p>
              </w:tc>
              <w:tc>
                <w:tcPr>
                  <w:tcW w:w="3404" w:type="pct"/>
                  <w:vAlign w:val="center"/>
                </w:tcPr>
                <w:p w14:paraId="5E253C99">
                  <w:pPr>
                    <w:keepNext w:val="0"/>
                    <w:keepLines w:val="0"/>
                    <w:pageBreakBefore w:val="0"/>
                    <w:widowControl w:val="0"/>
                    <w:tabs>
                      <w:tab w:val="left" w:pos="8080"/>
                    </w:tabs>
                    <w:kinsoku/>
                    <w:wordWrap/>
                    <w:overflowPunct/>
                    <w:topLinePunct w:val="0"/>
                    <w:autoSpaceDE/>
                    <w:autoSpaceDN/>
                    <w:bidi w:val="0"/>
                    <w:adjustRightInd/>
                    <w:snapToGrid/>
                    <w:spacing w:line="280" w:lineRule="exact"/>
                    <w:ind w:firstLine="0" w:firstLineChars="0"/>
                    <w:jc w:val="left"/>
                    <w:textAlignment w:val="auto"/>
                    <w:rPr>
                      <w:rFonts w:hint="eastAsia" w:eastAsia="宋体"/>
                      <w:color w:val="auto"/>
                      <w:sz w:val="21"/>
                      <w:szCs w:val="21"/>
                      <w:lang w:eastAsia="zh-CN"/>
                    </w:rPr>
                  </w:pPr>
                  <w:r>
                    <w:rPr>
                      <w:rFonts w:hint="eastAsia"/>
                      <w:color w:val="auto"/>
                      <w:sz w:val="21"/>
                      <w:szCs w:val="21"/>
                      <w:lang w:val="en-US" w:eastAsia="zh-CN"/>
                    </w:rPr>
                    <w:t>冬季采用集中供暖系统，热源引接机场热力管网，</w:t>
                  </w:r>
                  <w:r>
                    <w:rPr>
                      <w:rFonts w:hint="eastAsia"/>
                      <w:color w:val="auto"/>
                      <w:sz w:val="21"/>
                      <w:szCs w:val="21"/>
                      <w:lang w:eastAsia="zh-CN"/>
                    </w:rPr>
                    <w:t>空调：</w:t>
                  </w:r>
                  <w:r>
                    <w:rPr>
                      <w:rFonts w:hint="eastAsia"/>
                      <w:color w:val="auto"/>
                      <w:sz w:val="21"/>
                      <w:szCs w:val="21"/>
                      <w:lang w:val="en-US" w:eastAsia="zh-CN"/>
                    </w:rPr>
                    <w:t>夏季制冷，过渡季节制热。</w:t>
                  </w:r>
                </w:p>
              </w:tc>
              <w:tc>
                <w:tcPr>
                  <w:tcW w:w="475" w:type="pct"/>
                  <w:vAlign w:val="center"/>
                </w:tcPr>
                <w:p w14:paraId="43481AAE">
                  <w:pPr>
                    <w:tabs>
                      <w:tab w:val="left" w:pos="8080"/>
                    </w:tabs>
                    <w:ind w:firstLine="0" w:firstLineChars="0"/>
                    <w:jc w:val="center"/>
                    <w:rPr>
                      <w:rFonts w:hint="eastAsia" w:eastAsia="宋体"/>
                      <w:color w:val="auto"/>
                      <w:sz w:val="21"/>
                      <w:szCs w:val="21"/>
                      <w:lang w:eastAsia="zh-CN"/>
                    </w:rPr>
                  </w:pPr>
                </w:p>
              </w:tc>
            </w:tr>
            <w:tr w14:paraId="3E04C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vMerge w:val="continue"/>
                  <w:vAlign w:val="center"/>
                </w:tcPr>
                <w:p w14:paraId="4EEA5C8E">
                  <w:pPr>
                    <w:tabs>
                      <w:tab w:val="left" w:pos="8080"/>
                    </w:tabs>
                    <w:ind w:firstLine="0" w:firstLineChars="0"/>
                    <w:jc w:val="center"/>
                    <w:rPr>
                      <w:color w:val="auto"/>
                      <w:sz w:val="21"/>
                      <w:szCs w:val="21"/>
                    </w:rPr>
                  </w:pPr>
                </w:p>
              </w:tc>
              <w:tc>
                <w:tcPr>
                  <w:tcW w:w="640" w:type="pct"/>
                  <w:vAlign w:val="center"/>
                </w:tcPr>
                <w:p w14:paraId="0FEDA2B5">
                  <w:pPr>
                    <w:tabs>
                      <w:tab w:val="left" w:pos="8080"/>
                    </w:tabs>
                    <w:ind w:firstLine="0" w:firstLineChars="0"/>
                    <w:jc w:val="center"/>
                    <w:rPr>
                      <w:color w:val="auto"/>
                      <w:sz w:val="21"/>
                      <w:szCs w:val="21"/>
                    </w:rPr>
                  </w:pPr>
                  <w:r>
                    <w:rPr>
                      <w:rFonts w:hint="eastAsia"/>
                      <w:color w:val="auto"/>
                      <w:sz w:val="21"/>
                      <w:szCs w:val="21"/>
                    </w:rPr>
                    <w:t>给水系统</w:t>
                  </w:r>
                </w:p>
              </w:tc>
              <w:tc>
                <w:tcPr>
                  <w:tcW w:w="3404" w:type="pct"/>
                  <w:vAlign w:val="center"/>
                </w:tcPr>
                <w:p w14:paraId="2AD8173A">
                  <w:pPr>
                    <w:keepNext w:val="0"/>
                    <w:keepLines w:val="0"/>
                    <w:pageBreakBefore w:val="0"/>
                    <w:widowControl w:val="0"/>
                    <w:tabs>
                      <w:tab w:val="left" w:pos="8080"/>
                    </w:tabs>
                    <w:kinsoku/>
                    <w:wordWrap/>
                    <w:overflowPunct/>
                    <w:topLinePunct w:val="0"/>
                    <w:autoSpaceDE/>
                    <w:autoSpaceDN/>
                    <w:bidi w:val="0"/>
                    <w:adjustRightInd/>
                    <w:snapToGrid/>
                    <w:spacing w:line="280" w:lineRule="exact"/>
                    <w:ind w:firstLine="0" w:firstLineChars="0"/>
                    <w:jc w:val="left"/>
                    <w:textAlignment w:val="auto"/>
                    <w:rPr>
                      <w:rFonts w:hint="eastAsia"/>
                      <w:color w:val="auto"/>
                      <w:sz w:val="21"/>
                      <w:szCs w:val="21"/>
                    </w:rPr>
                  </w:pPr>
                  <w:r>
                    <w:rPr>
                      <w:rFonts w:hint="eastAsia"/>
                      <w:color w:val="auto"/>
                      <w:sz w:val="21"/>
                      <w:szCs w:val="21"/>
                    </w:rPr>
                    <w:t>供油工程用水由机场供水管网供给，水源为机场给水管网</w:t>
                  </w:r>
                </w:p>
              </w:tc>
              <w:tc>
                <w:tcPr>
                  <w:tcW w:w="475" w:type="pct"/>
                  <w:vAlign w:val="center"/>
                </w:tcPr>
                <w:p w14:paraId="6C507E94">
                  <w:pPr>
                    <w:ind w:firstLine="0" w:firstLineChars="0"/>
                    <w:jc w:val="center"/>
                    <w:rPr>
                      <w:rFonts w:hint="eastAsia"/>
                      <w:color w:val="auto"/>
                      <w:sz w:val="21"/>
                      <w:szCs w:val="21"/>
                    </w:rPr>
                  </w:pPr>
                </w:p>
              </w:tc>
            </w:tr>
            <w:tr w14:paraId="0B3D3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vMerge w:val="continue"/>
                  <w:vAlign w:val="center"/>
                </w:tcPr>
                <w:p w14:paraId="11CE2051">
                  <w:pPr>
                    <w:tabs>
                      <w:tab w:val="left" w:pos="8080"/>
                    </w:tabs>
                    <w:ind w:firstLine="0" w:firstLineChars="0"/>
                    <w:jc w:val="center"/>
                    <w:rPr>
                      <w:color w:val="auto"/>
                      <w:sz w:val="21"/>
                      <w:szCs w:val="21"/>
                    </w:rPr>
                  </w:pPr>
                </w:p>
              </w:tc>
              <w:tc>
                <w:tcPr>
                  <w:tcW w:w="640" w:type="pct"/>
                  <w:vAlign w:val="center"/>
                </w:tcPr>
                <w:p w14:paraId="2BBA8C7C">
                  <w:pPr>
                    <w:tabs>
                      <w:tab w:val="left" w:pos="8080"/>
                    </w:tabs>
                    <w:ind w:firstLine="0" w:firstLineChars="0"/>
                    <w:jc w:val="center"/>
                    <w:rPr>
                      <w:color w:val="auto"/>
                      <w:sz w:val="21"/>
                      <w:szCs w:val="21"/>
                    </w:rPr>
                  </w:pPr>
                  <w:r>
                    <w:rPr>
                      <w:rFonts w:hint="eastAsia"/>
                      <w:color w:val="auto"/>
                      <w:sz w:val="21"/>
                      <w:szCs w:val="21"/>
                    </w:rPr>
                    <w:t>排水系统</w:t>
                  </w:r>
                </w:p>
              </w:tc>
              <w:tc>
                <w:tcPr>
                  <w:tcW w:w="3404" w:type="pct"/>
                  <w:vAlign w:val="center"/>
                </w:tcPr>
                <w:p w14:paraId="6E446FCB">
                  <w:pPr>
                    <w:keepNext w:val="0"/>
                    <w:keepLines w:val="0"/>
                    <w:pageBreakBefore w:val="0"/>
                    <w:widowControl w:val="0"/>
                    <w:tabs>
                      <w:tab w:val="left" w:pos="8080"/>
                    </w:tabs>
                    <w:kinsoku/>
                    <w:wordWrap/>
                    <w:overflowPunct/>
                    <w:topLinePunct w:val="0"/>
                    <w:autoSpaceDE/>
                    <w:autoSpaceDN/>
                    <w:bidi w:val="0"/>
                    <w:adjustRightInd/>
                    <w:snapToGrid/>
                    <w:spacing w:line="280" w:lineRule="exact"/>
                    <w:ind w:firstLine="0" w:firstLineChars="0"/>
                    <w:jc w:val="left"/>
                    <w:textAlignment w:val="auto"/>
                    <w:rPr>
                      <w:rFonts w:hint="eastAsia" w:eastAsia="宋体"/>
                      <w:color w:val="auto"/>
                      <w:sz w:val="21"/>
                      <w:szCs w:val="21"/>
                      <w:lang w:eastAsia="zh-CN"/>
                    </w:rPr>
                  </w:pPr>
                  <w:r>
                    <w:rPr>
                      <w:rFonts w:hint="eastAsia"/>
                      <w:color w:val="auto"/>
                      <w:sz w:val="21"/>
                      <w:szCs w:val="21"/>
                    </w:rPr>
                    <w:t>生活污水，通过管道收集进入化粪池初步处理后，排至库内生活污水管网，库内污水最终排入机场污水管网</w:t>
                  </w:r>
                  <w:r>
                    <w:rPr>
                      <w:rFonts w:hint="eastAsia"/>
                      <w:color w:val="auto"/>
                      <w:sz w:val="21"/>
                      <w:szCs w:val="21"/>
                      <w:lang w:eastAsia="zh-CN"/>
                    </w:rPr>
                    <w:t>；油罐清洗废水、装卸油区域冲洗地面产生的废水、化验室实验器皿清洗排放的含油废水、化验试剂废液专门收集至回收桶，由有资质的单位处理。</w:t>
                  </w:r>
                </w:p>
              </w:tc>
              <w:tc>
                <w:tcPr>
                  <w:tcW w:w="475" w:type="pct"/>
                  <w:vAlign w:val="center"/>
                </w:tcPr>
                <w:p w14:paraId="699B1058">
                  <w:pPr>
                    <w:ind w:firstLine="0" w:firstLineChars="0"/>
                    <w:jc w:val="center"/>
                    <w:rPr>
                      <w:rFonts w:hint="eastAsia"/>
                      <w:color w:val="auto"/>
                      <w:sz w:val="21"/>
                      <w:szCs w:val="21"/>
                    </w:rPr>
                  </w:pPr>
                </w:p>
              </w:tc>
            </w:tr>
            <w:tr w14:paraId="653DA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vMerge w:val="restart"/>
                  <w:vAlign w:val="center"/>
                </w:tcPr>
                <w:p w14:paraId="1356D78B">
                  <w:pPr>
                    <w:tabs>
                      <w:tab w:val="left" w:pos="8080"/>
                    </w:tabs>
                    <w:ind w:firstLine="0" w:firstLineChars="0"/>
                    <w:jc w:val="center"/>
                    <w:rPr>
                      <w:color w:val="auto"/>
                      <w:sz w:val="21"/>
                      <w:szCs w:val="21"/>
                    </w:rPr>
                  </w:pPr>
                  <w:r>
                    <w:rPr>
                      <w:rFonts w:hint="eastAsia"/>
                      <w:color w:val="auto"/>
                      <w:sz w:val="21"/>
                      <w:szCs w:val="21"/>
                    </w:rPr>
                    <w:t>环保工程</w:t>
                  </w:r>
                </w:p>
              </w:tc>
              <w:tc>
                <w:tcPr>
                  <w:tcW w:w="640" w:type="pct"/>
                  <w:vAlign w:val="center"/>
                </w:tcPr>
                <w:p w14:paraId="0597B928">
                  <w:pPr>
                    <w:tabs>
                      <w:tab w:val="left" w:pos="8080"/>
                    </w:tabs>
                    <w:ind w:firstLine="0" w:firstLineChars="0"/>
                    <w:jc w:val="center"/>
                    <w:rPr>
                      <w:color w:val="auto"/>
                      <w:sz w:val="21"/>
                      <w:szCs w:val="21"/>
                    </w:rPr>
                  </w:pPr>
                  <w:r>
                    <w:rPr>
                      <w:rFonts w:hint="eastAsia"/>
                      <w:color w:val="auto"/>
                      <w:sz w:val="21"/>
                      <w:szCs w:val="21"/>
                    </w:rPr>
                    <w:t>废气</w:t>
                  </w:r>
                </w:p>
              </w:tc>
              <w:tc>
                <w:tcPr>
                  <w:tcW w:w="3404" w:type="pct"/>
                  <w:vAlign w:val="center"/>
                </w:tcPr>
                <w:p w14:paraId="6DB1FC55">
                  <w:pPr>
                    <w:keepNext w:val="0"/>
                    <w:keepLines w:val="0"/>
                    <w:widowControl/>
                    <w:suppressLineNumbers w:val="0"/>
                    <w:jc w:val="left"/>
                    <w:rPr>
                      <w:rFonts w:hint="eastAsia"/>
                      <w:color w:val="auto"/>
                      <w:sz w:val="21"/>
                      <w:szCs w:val="21"/>
                    </w:rPr>
                  </w:pPr>
                  <w:r>
                    <w:rPr>
                      <w:rFonts w:hint="default" w:ascii="Times New Roman" w:hAnsi="Times New Roman" w:eastAsia="宋体" w:cs="Times New Roman"/>
                      <w:color w:val="auto"/>
                      <w:sz w:val="21"/>
                      <w:szCs w:val="21"/>
                      <w:lang w:val="en-US" w:eastAsia="zh-CN"/>
                    </w:rPr>
                    <w:t>安装油烟净化装置</w:t>
                  </w:r>
                  <w:r>
                    <w:rPr>
                      <w:rFonts w:hint="eastAsia" w:ascii="Times New Roman" w:hAnsi="Times New Roman" w:eastAsia="宋体" w:cs="Times New Roman"/>
                      <w:color w:val="auto"/>
                      <w:sz w:val="21"/>
                      <w:szCs w:val="21"/>
                      <w:lang w:val="en-US" w:eastAsia="zh-CN"/>
                    </w:rPr>
                    <w:t>满足</w:t>
                  </w:r>
                  <w:r>
                    <w:rPr>
                      <w:rFonts w:hint="default" w:ascii="Times New Roman" w:hAnsi="Times New Roman" w:eastAsia="宋体" w:cs="Times New Roman"/>
                      <w:color w:val="auto"/>
                      <w:sz w:val="21"/>
                      <w:szCs w:val="21"/>
                      <w:lang w:val="en-US" w:eastAsia="zh-CN"/>
                    </w:rPr>
                    <w:t>《饮食业油烟排放标准（试行）》（GB18483-2001）中最高允许排放浓度</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经外置的专用排烟管道于楼顶排放，高出食堂楼顶1.5m，食堂楼顶空间开阔，利于少量油烟的进一步扩散，可实现达标排放。</w:t>
                  </w:r>
                  <w:r>
                    <w:rPr>
                      <w:rFonts w:hint="eastAsia"/>
                      <w:color w:val="auto"/>
                      <w:sz w:val="21"/>
                      <w:szCs w:val="21"/>
                    </w:rPr>
                    <w:t>罐体大小呼吸产生的非甲烷总烃无组织排放</w:t>
                  </w:r>
                </w:p>
              </w:tc>
              <w:tc>
                <w:tcPr>
                  <w:tcW w:w="475" w:type="pct"/>
                  <w:vAlign w:val="center"/>
                </w:tcPr>
                <w:p w14:paraId="1B31B6B5">
                  <w:pPr>
                    <w:tabs>
                      <w:tab w:val="left" w:pos="8080"/>
                    </w:tabs>
                    <w:ind w:firstLine="0" w:firstLineChars="0"/>
                    <w:jc w:val="center"/>
                    <w:rPr>
                      <w:rFonts w:hint="eastAsia"/>
                      <w:color w:val="auto"/>
                      <w:sz w:val="21"/>
                      <w:szCs w:val="21"/>
                    </w:rPr>
                  </w:pPr>
                </w:p>
              </w:tc>
            </w:tr>
            <w:tr w14:paraId="3C326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vMerge w:val="continue"/>
                  <w:vAlign w:val="center"/>
                </w:tcPr>
                <w:p w14:paraId="74B066D4">
                  <w:pPr>
                    <w:tabs>
                      <w:tab w:val="left" w:pos="8080"/>
                    </w:tabs>
                    <w:ind w:firstLine="0" w:firstLineChars="0"/>
                    <w:jc w:val="center"/>
                    <w:rPr>
                      <w:color w:val="auto"/>
                      <w:sz w:val="21"/>
                      <w:szCs w:val="21"/>
                    </w:rPr>
                  </w:pPr>
                </w:p>
              </w:tc>
              <w:tc>
                <w:tcPr>
                  <w:tcW w:w="640" w:type="pct"/>
                  <w:vAlign w:val="center"/>
                </w:tcPr>
                <w:p w14:paraId="2E65C97B">
                  <w:pPr>
                    <w:tabs>
                      <w:tab w:val="left" w:pos="8080"/>
                    </w:tabs>
                    <w:ind w:firstLine="0" w:firstLineChars="0"/>
                    <w:jc w:val="center"/>
                    <w:rPr>
                      <w:color w:val="auto"/>
                      <w:sz w:val="21"/>
                      <w:szCs w:val="21"/>
                    </w:rPr>
                  </w:pPr>
                  <w:r>
                    <w:rPr>
                      <w:rFonts w:hint="eastAsia"/>
                      <w:color w:val="auto"/>
                      <w:sz w:val="21"/>
                      <w:szCs w:val="21"/>
                    </w:rPr>
                    <w:t>污水</w:t>
                  </w:r>
                </w:p>
              </w:tc>
              <w:tc>
                <w:tcPr>
                  <w:tcW w:w="3404" w:type="pct"/>
                  <w:vAlign w:val="center"/>
                </w:tcPr>
                <w:p w14:paraId="18E0C6EE">
                  <w:pPr>
                    <w:tabs>
                      <w:tab w:val="left" w:pos="8080"/>
                    </w:tabs>
                    <w:ind w:firstLine="0" w:firstLineChars="0"/>
                    <w:jc w:val="center"/>
                    <w:rPr>
                      <w:rFonts w:hint="eastAsia"/>
                      <w:color w:val="auto"/>
                      <w:sz w:val="21"/>
                      <w:szCs w:val="21"/>
                    </w:rPr>
                  </w:pPr>
                  <w:r>
                    <w:rPr>
                      <w:rFonts w:hint="eastAsia"/>
                      <w:color w:val="auto"/>
                      <w:sz w:val="21"/>
                      <w:szCs w:val="21"/>
                    </w:rPr>
                    <w:t>生活污水，通过管道收集进入化粪池初步处理后，排至库内生活污水管网，库内污水最终排入机场污水管网</w:t>
                  </w:r>
                  <w:r>
                    <w:rPr>
                      <w:rFonts w:hint="eastAsia"/>
                      <w:color w:val="auto"/>
                      <w:sz w:val="21"/>
                      <w:szCs w:val="21"/>
                      <w:lang w:eastAsia="zh-CN"/>
                    </w:rPr>
                    <w:t>；油罐清洗废水、装卸油区域冲洗地面产生的废水，</w:t>
                  </w:r>
                  <w:r>
                    <w:rPr>
                      <w:rFonts w:hint="default" w:ascii="Times New Roman" w:hAnsi="Times New Roman" w:eastAsia="宋体" w:cs="Times New Roman"/>
                      <w:color w:val="auto"/>
                      <w:sz w:val="21"/>
                      <w:szCs w:val="21"/>
                    </w:rPr>
                    <w:t>经隔油池处理后，排入</w:t>
                  </w:r>
                  <w:r>
                    <w:rPr>
                      <w:rFonts w:hint="eastAsia" w:ascii="Times New Roman" w:hAnsi="Times New Roman" w:eastAsia="宋体" w:cs="Times New Roman"/>
                      <w:color w:val="auto"/>
                      <w:sz w:val="21"/>
                      <w:szCs w:val="21"/>
                      <w:lang w:eastAsia="zh-CN"/>
                    </w:rPr>
                    <w:t>宝鸡</w:t>
                  </w:r>
                  <w:r>
                    <w:rPr>
                      <w:rFonts w:hint="default" w:ascii="Times New Roman" w:hAnsi="Times New Roman" w:eastAsia="宋体" w:cs="Times New Roman"/>
                      <w:color w:val="auto"/>
                      <w:sz w:val="21"/>
                      <w:szCs w:val="21"/>
                    </w:rPr>
                    <w:t>机场污水处理站</w:t>
                  </w:r>
                  <w:r>
                    <w:rPr>
                      <w:rFonts w:hint="eastAsia" w:ascii="Times New Roman" w:hAnsi="Times New Roman" w:eastAsia="宋体" w:cs="Times New Roman"/>
                      <w:color w:val="auto"/>
                      <w:sz w:val="21"/>
                      <w:szCs w:val="21"/>
                      <w:lang w:eastAsia="zh-CN"/>
                    </w:rPr>
                    <w:t>处理，不外排；</w:t>
                  </w:r>
                  <w:r>
                    <w:rPr>
                      <w:rFonts w:hint="eastAsia"/>
                      <w:color w:val="auto"/>
                      <w:sz w:val="21"/>
                      <w:szCs w:val="21"/>
                      <w:lang w:eastAsia="zh-CN"/>
                    </w:rPr>
                    <w:t>化验室含油废水和化验试剂废液专门收集至回收桶，由有资质的单位处理。</w:t>
                  </w:r>
                </w:p>
              </w:tc>
              <w:tc>
                <w:tcPr>
                  <w:tcW w:w="475" w:type="pct"/>
                  <w:vAlign w:val="center"/>
                </w:tcPr>
                <w:p w14:paraId="18D44E5A">
                  <w:pPr>
                    <w:tabs>
                      <w:tab w:val="left" w:pos="8080"/>
                    </w:tabs>
                    <w:ind w:firstLine="0" w:firstLineChars="0"/>
                    <w:jc w:val="center"/>
                    <w:rPr>
                      <w:rFonts w:hint="eastAsia" w:eastAsia="宋体"/>
                      <w:color w:val="auto"/>
                      <w:sz w:val="21"/>
                      <w:szCs w:val="21"/>
                      <w:lang w:eastAsia="zh-CN"/>
                    </w:rPr>
                  </w:pPr>
                </w:p>
              </w:tc>
            </w:tr>
            <w:tr w14:paraId="1AB4B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vMerge w:val="continue"/>
                  <w:vAlign w:val="center"/>
                </w:tcPr>
                <w:p w14:paraId="4DBEE62F">
                  <w:pPr>
                    <w:tabs>
                      <w:tab w:val="left" w:pos="8080"/>
                    </w:tabs>
                    <w:ind w:firstLine="0" w:firstLineChars="0"/>
                    <w:jc w:val="center"/>
                    <w:rPr>
                      <w:color w:val="auto"/>
                      <w:sz w:val="21"/>
                      <w:szCs w:val="21"/>
                    </w:rPr>
                  </w:pPr>
                </w:p>
              </w:tc>
              <w:tc>
                <w:tcPr>
                  <w:tcW w:w="640" w:type="pct"/>
                  <w:vAlign w:val="center"/>
                </w:tcPr>
                <w:p w14:paraId="22F5953A">
                  <w:pPr>
                    <w:tabs>
                      <w:tab w:val="left" w:pos="8080"/>
                    </w:tabs>
                    <w:ind w:firstLine="0" w:firstLineChars="0"/>
                    <w:jc w:val="center"/>
                    <w:rPr>
                      <w:rFonts w:hint="eastAsia" w:eastAsia="宋体"/>
                      <w:color w:val="auto"/>
                      <w:sz w:val="21"/>
                      <w:szCs w:val="21"/>
                      <w:lang w:eastAsia="zh-CN"/>
                    </w:rPr>
                  </w:pPr>
                  <w:r>
                    <w:rPr>
                      <w:rFonts w:hint="eastAsia"/>
                      <w:color w:val="auto"/>
                      <w:sz w:val="21"/>
                      <w:szCs w:val="21"/>
                      <w:lang w:eastAsia="zh-CN"/>
                    </w:rPr>
                    <w:t>雨水</w:t>
                  </w:r>
                </w:p>
              </w:tc>
              <w:tc>
                <w:tcPr>
                  <w:tcW w:w="3404" w:type="pct"/>
                  <w:vAlign w:val="center"/>
                </w:tcPr>
                <w:p w14:paraId="11A0C83C">
                  <w:pPr>
                    <w:tabs>
                      <w:tab w:val="left" w:pos="8080"/>
                    </w:tabs>
                    <w:ind w:firstLine="0" w:firstLineChars="0"/>
                    <w:jc w:val="left"/>
                    <w:rPr>
                      <w:rFonts w:hint="eastAsia"/>
                      <w:color w:val="auto"/>
                      <w:sz w:val="21"/>
                      <w:szCs w:val="21"/>
                      <w:lang w:val="en-US" w:eastAsia="zh-CN"/>
                    </w:rPr>
                  </w:pPr>
                  <w:r>
                    <w:rPr>
                      <w:rFonts w:hint="eastAsia"/>
                      <w:color w:val="auto"/>
                      <w:sz w:val="21"/>
                      <w:szCs w:val="21"/>
                      <w:lang w:val="en-US" w:eastAsia="zh-CN"/>
                    </w:rPr>
                    <w:t>罐区初期雨水含油花时排入含油污水管道，收集至调节隔油池，按含油污水统一处理，排入机场污水处理站，不外排。</w:t>
                  </w:r>
                </w:p>
                <w:p w14:paraId="33A4E264">
                  <w:pPr>
                    <w:tabs>
                      <w:tab w:val="left" w:pos="8080"/>
                    </w:tabs>
                    <w:ind w:firstLine="0" w:firstLineChars="0"/>
                    <w:jc w:val="left"/>
                    <w:rPr>
                      <w:rFonts w:hint="eastAsia"/>
                      <w:color w:val="auto"/>
                      <w:sz w:val="21"/>
                      <w:szCs w:val="21"/>
                    </w:rPr>
                  </w:pPr>
                  <w:r>
                    <w:rPr>
                      <w:rFonts w:hint="eastAsia"/>
                      <w:color w:val="auto"/>
                      <w:sz w:val="21"/>
                      <w:szCs w:val="21"/>
                      <w:lang w:val="en-US" w:eastAsia="zh-CN"/>
                    </w:rPr>
                    <w:t>罐区防火堤外初期雨水暗管和明沟收集后在下游实体围墙内设置水封井及阀门井后接入机场雨水系统。</w:t>
                  </w:r>
                </w:p>
              </w:tc>
              <w:tc>
                <w:tcPr>
                  <w:tcW w:w="475" w:type="pct"/>
                  <w:vAlign w:val="center"/>
                </w:tcPr>
                <w:p w14:paraId="0F8AC0D6">
                  <w:pPr>
                    <w:tabs>
                      <w:tab w:val="left" w:pos="8080"/>
                    </w:tabs>
                    <w:ind w:firstLine="0" w:firstLineChars="0"/>
                    <w:jc w:val="center"/>
                    <w:rPr>
                      <w:rFonts w:hint="eastAsia" w:eastAsia="宋体"/>
                      <w:color w:val="auto"/>
                      <w:sz w:val="21"/>
                      <w:szCs w:val="21"/>
                      <w:lang w:eastAsia="zh-CN"/>
                    </w:rPr>
                  </w:pPr>
                </w:p>
              </w:tc>
            </w:tr>
            <w:tr w14:paraId="21278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vMerge w:val="continue"/>
                  <w:vAlign w:val="center"/>
                </w:tcPr>
                <w:p w14:paraId="403F0D55">
                  <w:pPr>
                    <w:tabs>
                      <w:tab w:val="left" w:pos="8080"/>
                    </w:tabs>
                    <w:ind w:firstLine="0" w:firstLineChars="0"/>
                    <w:jc w:val="center"/>
                    <w:rPr>
                      <w:color w:val="auto"/>
                      <w:sz w:val="21"/>
                      <w:szCs w:val="21"/>
                    </w:rPr>
                  </w:pPr>
                </w:p>
              </w:tc>
              <w:tc>
                <w:tcPr>
                  <w:tcW w:w="640" w:type="pct"/>
                  <w:vAlign w:val="center"/>
                </w:tcPr>
                <w:p w14:paraId="49079636">
                  <w:pPr>
                    <w:tabs>
                      <w:tab w:val="left" w:pos="8080"/>
                    </w:tabs>
                    <w:ind w:firstLine="0" w:firstLineChars="0"/>
                    <w:jc w:val="center"/>
                    <w:rPr>
                      <w:color w:val="auto"/>
                      <w:sz w:val="21"/>
                      <w:szCs w:val="21"/>
                    </w:rPr>
                  </w:pPr>
                  <w:r>
                    <w:rPr>
                      <w:rFonts w:hint="eastAsia"/>
                      <w:color w:val="auto"/>
                      <w:sz w:val="21"/>
                      <w:szCs w:val="21"/>
                    </w:rPr>
                    <w:t>噪声</w:t>
                  </w:r>
                </w:p>
              </w:tc>
              <w:tc>
                <w:tcPr>
                  <w:tcW w:w="3404" w:type="pct"/>
                  <w:vAlign w:val="center"/>
                </w:tcPr>
                <w:p w14:paraId="38B6B290">
                  <w:pPr>
                    <w:tabs>
                      <w:tab w:val="left" w:pos="8080"/>
                    </w:tabs>
                    <w:ind w:firstLine="0" w:firstLineChars="0"/>
                    <w:jc w:val="center"/>
                    <w:rPr>
                      <w:rFonts w:hint="eastAsia"/>
                      <w:color w:val="auto"/>
                      <w:sz w:val="21"/>
                      <w:szCs w:val="21"/>
                    </w:rPr>
                  </w:pPr>
                  <w:r>
                    <w:rPr>
                      <w:rFonts w:hint="eastAsia" w:ascii="Times New Roman" w:hAnsi="Times New Roman"/>
                      <w:color w:val="auto"/>
                      <w:kern w:val="0"/>
                      <w:szCs w:val="21"/>
                    </w:rPr>
                    <w:t>噪声主要来源于泵房，对其进行基础减震</w:t>
                  </w:r>
                </w:p>
              </w:tc>
              <w:tc>
                <w:tcPr>
                  <w:tcW w:w="475" w:type="pct"/>
                  <w:vAlign w:val="center"/>
                </w:tcPr>
                <w:p w14:paraId="7F9C5B3E">
                  <w:pPr>
                    <w:tabs>
                      <w:tab w:val="left" w:pos="8080"/>
                    </w:tabs>
                    <w:ind w:firstLine="0" w:firstLineChars="0"/>
                    <w:jc w:val="center"/>
                    <w:rPr>
                      <w:rFonts w:hint="eastAsia" w:eastAsia="宋体"/>
                      <w:color w:val="auto"/>
                      <w:sz w:val="21"/>
                      <w:szCs w:val="21"/>
                      <w:lang w:eastAsia="zh-CN"/>
                    </w:rPr>
                  </w:pPr>
                </w:p>
              </w:tc>
            </w:tr>
            <w:tr w14:paraId="44B88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vMerge w:val="continue"/>
                  <w:vAlign w:val="center"/>
                </w:tcPr>
                <w:p w14:paraId="2512DB59">
                  <w:pPr>
                    <w:tabs>
                      <w:tab w:val="left" w:pos="8080"/>
                    </w:tabs>
                    <w:ind w:firstLine="0" w:firstLineChars="0"/>
                    <w:jc w:val="center"/>
                    <w:rPr>
                      <w:color w:val="auto"/>
                      <w:sz w:val="21"/>
                      <w:szCs w:val="21"/>
                    </w:rPr>
                  </w:pPr>
                </w:p>
              </w:tc>
              <w:tc>
                <w:tcPr>
                  <w:tcW w:w="640" w:type="pct"/>
                  <w:vAlign w:val="center"/>
                </w:tcPr>
                <w:p w14:paraId="5F75BCEC">
                  <w:pPr>
                    <w:tabs>
                      <w:tab w:val="left" w:pos="8080"/>
                    </w:tabs>
                    <w:ind w:firstLine="0" w:firstLineChars="0"/>
                    <w:jc w:val="center"/>
                    <w:rPr>
                      <w:color w:val="auto"/>
                      <w:sz w:val="21"/>
                      <w:szCs w:val="21"/>
                    </w:rPr>
                  </w:pPr>
                  <w:r>
                    <w:rPr>
                      <w:rFonts w:hint="eastAsia"/>
                      <w:color w:val="auto"/>
                      <w:sz w:val="21"/>
                      <w:szCs w:val="21"/>
                    </w:rPr>
                    <w:t>固废</w:t>
                  </w:r>
                </w:p>
              </w:tc>
              <w:tc>
                <w:tcPr>
                  <w:tcW w:w="3404" w:type="pct"/>
                  <w:vAlign w:val="center"/>
                </w:tcPr>
                <w:p w14:paraId="0B9EA907">
                  <w:pPr>
                    <w:tabs>
                      <w:tab w:val="left" w:pos="8080"/>
                    </w:tabs>
                    <w:ind w:firstLine="0" w:firstLineChars="0"/>
                    <w:jc w:val="center"/>
                    <w:rPr>
                      <w:rFonts w:hint="eastAsia"/>
                      <w:color w:val="auto"/>
                      <w:sz w:val="21"/>
                      <w:szCs w:val="21"/>
                    </w:rPr>
                  </w:pPr>
                  <w:r>
                    <w:rPr>
                      <w:rFonts w:hint="eastAsia"/>
                      <w:color w:val="auto"/>
                      <w:sz w:val="21"/>
                      <w:szCs w:val="21"/>
                    </w:rPr>
                    <w:t>废</w:t>
                  </w:r>
                  <w:r>
                    <w:rPr>
                      <w:rFonts w:hint="eastAsia" w:ascii="Times New Roman" w:hAnsi="Times New Roman"/>
                      <w:color w:val="auto"/>
                      <w:kern w:val="0"/>
                      <w:szCs w:val="21"/>
                    </w:rPr>
                    <w:t>清罐油泥</w:t>
                  </w:r>
                  <w:r>
                    <w:rPr>
                      <w:rFonts w:hint="eastAsia" w:ascii="Times New Roman" w:hAnsi="Times New Roman"/>
                      <w:color w:val="auto"/>
                      <w:kern w:val="0"/>
                      <w:szCs w:val="21"/>
                      <w:lang w:eastAsia="zh-CN"/>
                    </w:rPr>
                    <w:t>、</w:t>
                  </w:r>
                  <w:r>
                    <w:rPr>
                      <w:rFonts w:hint="eastAsia"/>
                      <w:color w:val="auto"/>
                      <w:sz w:val="21"/>
                      <w:szCs w:val="21"/>
                      <w:lang w:eastAsia="zh-CN"/>
                    </w:rPr>
                    <w:t>化验室实验器皿清洗排放的含油废水、化验试剂废液</w:t>
                  </w:r>
                  <w:r>
                    <w:rPr>
                      <w:rFonts w:hint="eastAsia" w:ascii="Times New Roman" w:hAnsi="Times New Roman"/>
                      <w:color w:val="auto"/>
                      <w:kern w:val="0"/>
                      <w:szCs w:val="21"/>
                    </w:rPr>
                    <w:t>属危险废物，收集后暂存危废暂存</w:t>
                  </w:r>
                  <w:r>
                    <w:rPr>
                      <w:rFonts w:hint="eastAsia"/>
                      <w:color w:val="auto"/>
                      <w:kern w:val="0"/>
                      <w:szCs w:val="21"/>
                      <w:lang w:eastAsia="zh-CN"/>
                    </w:rPr>
                    <w:t>库</w:t>
                  </w:r>
                  <w:r>
                    <w:rPr>
                      <w:rFonts w:hint="eastAsia" w:ascii="Times New Roman" w:hAnsi="Times New Roman"/>
                      <w:color w:val="auto"/>
                      <w:kern w:val="0"/>
                      <w:szCs w:val="21"/>
                    </w:rPr>
                    <w:t>，定期委托有危险废物处理资质单位进行处置；生活垃圾经垃圾桶收集由环卫部门统一处理；输油管线应急更新项目</w:t>
                  </w:r>
                  <w:r>
                    <w:rPr>
                      <w:rFonts w:ascii="Times New Roman" w:hAnsi="Times New Roman"/>
                      <w:color w:val="auto"/>
                      <w:szCs w:val="21"/>
                    </w:rPr>
                    <w:t>运营期对站场产生的废渣及滤芯，</w:t>
                  </w:r>
                  <w:r>
                    <w:rPr>
                      <w:rFonts w:hint="eastAsia" w:ascii="Times New Roman" w:hAnsi="Times New Roman"/>
                      <w:color w:val="auto"/>
                      <w:szCs w:val="21"/>
                    </w:rPr>
                    <w:t>由厂家</w:t>
                  </w:r>
                  <w:r>
                    <w:rPr>
                      <w:rFonts w:ascii="Times New Roman" w:hAnsi="Times New Roman"/>
                      <w:color w:val="auto"/>
                      <w:szCs w:val="21"/>
                    </w:rPr>
                    <w:t>回收利用，不外排。</w:t>
                  </w:r>
                </w:p>
              </w:tc>
              <w:tc>
                <w:tcPr>
                  <w:tcW w:w="475" w:type="pct"/>
                  <w:vAlign w:val="center"/>
                </w:tcPr>
                <w:p w14:paraId="7E473D11">
                  <w:pPr>
                    <w:tabs>
                      <w:tab w:val="left" w:pos="8080"/>
                    </w:tabs>
                    <w:ind w:firstLine="0" w:firstLineChars="0"/>
                    <w:jc w:val="center"/>
                    <w:rPr>
                      <w:rFonts w:hint="eastAsia" w:eastAsia="宋体"/>
                      <w:color w:val="auto"/>
                      <w:sz w:val="21"/>
                      <w:szCs w:val="21"/>
                      <w:lang w:eastAsia="zh-CN"/>
                    </w:rPr>
                  </w:pPr>
                </w:p>
              </w:tc>
            </w:tr>
          </w:tbl>
          <w:p w14:paraId="42BCAE75">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firstLine="482" w:firstLineChars="200"/>
              <w:textAlignment w:val="auto"/>
              <w:rPr>
                <w:b/>
                <w:bCs/>
                <w:color w:val="auto"/>
                <w:sz w:val="24"/>
                <w:szCs w:val="24"/>
              </w:rPr>
            </w:pPr>
            <w:r>
              <w:rPr>
                <w:rFonts w:hint="eastAsia"/>
                <w:b/>
                <w:bCs/>
                <w:color w:val="auto"/>
                <w:sz w:val="24"/>
                <w:szCs w:val="24"/>
                <w:lang w:val="en-US" w:eastAsia="zh-CN"/>
              </w:rPr>
              <w:t>3、</w:t>
            </w:r>
            <w:r>
              <w:rPr>
                <w:rFonts w:hint="eastAsia"/>
                <w:b/>
                <w:bCs/>
                <w:color w:val="auto"/>
                <w:sz w:val="24"/>
                <w:szCs w:val="24"/>
              </w:rPr>
              <w:t>主要设备</w:t>
            </w:r>
          </w:p>
          <w:p w14:paraId="02449EEE">
            <w:pPr>
              <w:numPr>
                <w:ilvl w:val="0"/>
                <w:numId w:val="0"/>
              </w:numPr>
              <w:spacing w:line="360" w:lineRule="auto"/>
              <w:ind w:firstLine="480" w:firstLineChars="200"/>
              <w:rPr>
                <w:rFonts w:hint="eastAsia"/>
                <w:b/>
                <w:color w:val="auto"/>
                <w:sz w:val="24"/>
                <w:szCs w:val="24"/>
              </w:rPr>
            </w:pPr>
            <w:r>
              <w:rPr>
                <w:rFonts w:hint="eastAsia"/>
                <w:color w:val="auto"/>
                <w:sz w:val="24"/>
                <w:szCs w:val="24"/>
              </w:rPr>
              <w:t>主要设备</w:t>
            </w:r>
            <w:r>
              <w:rPr>
                <w:rFonts w:hint="eastAsia"/>
                <w:color w:val="auto"/>
                <w:sz w:val="24"/>
                <w:szCs w:val="24"/>
                <w:lang w:eastAsia="zh-CN"/>
              </w:rPr>
              <w:t>（设施）</w:t>
            </w:r>
            <w:r>
              <w:rPr>
                <w:rFonts w:hint="eastAsia"/>
                <w:color w:val="auto"/>
                <w:sz w:val="24"/>
                <w:szCs w:val="24"/>
              </w:rPr>
              <w:t>清单见下表2-</w:t>
            </w:r>
            <w:r>
              <w:rPr>
                <w:rFonts w:hint="eastAsia"/>
                <w:color w:val="auto"/>
                <w:sz w:val="24"/>
                <w:szCs w:val="24"/>
                <w:lang w:val="en-US" w:eastAsia="zh-CN"/>
              </w:rPr>
              <w:t>2</w:t>
            </w:r>
            <w:r>
              <w:rPr>
                <w:rFonts w:hint="eastAsia"/>
                <w:color w:val="auto"/>
                <w:sz w:val="24"/>
                <w:szCs w:val="24"/>
              </w:rPr>
              <w:t>。</w:t>
            </w:r>
          </w:p>
          <w:p w14:paraId="47E037F3">
            <w:pPr>
              <w:keepNext w:val="0"/>
              <w:keepLines w:val="0"/>
              <w:pageBreakBefore w:val="0"/>
              <w:widowControl w:val="0"/>
              <w:kinsoku/>
              <w:wordWrap/>
              <w:overflowPunct/>
              <w:topLinePunct w:val="0"/>
              <w:autoSpaceDE/>
              <w:autoSpaceDN/>
              <w:bidi w:val="0"/>
              <w:adjustRightInd/>
              <w:snapToGrid w:val="0"/>
              <w:jc w:val="center"/>
              <w:textAlignment w:val="auto"/>
              <w:rPr>
                <w:rFonts w:hint="eastAsia"/>
                <w:b/>
                <w:color w:val="auto"/>
                <w:sz w:val="24"/>
                <w:szCs w:val="24"/>
              </w:rPr>
            </w:pPr>
          </w:p>
          <w:p w14:paraId="55340F7E">
            <w:pPr>
              <w:keepNext w:val="0"/>
              <w:keepLines w:val="0"/>
              <w:pageBreakBefore w:val="0"/>
              <w:widowControl w:val="0"/>
              <w:kinsoku/>
              <w:wordWrap/>
              <w:overflowPunct/>
              <w:topLinePunct w:val="0"/>
              <w:autoSpaceDE/>
              <w:autoSpaceDN/>
              <w:bidi w:val="0"/>
              <w:adjustRightInd/>
              <w:snapToGrid w:val="0"/>
              <w:jc w:val="center"/>
              <w:textAlignment w:val="auto"/>
              <w:rPr>
                <w:rFonts w:hint="eastAsia"/>
                <w:b/>
                <w:color w:val="auto"/>
                <w:sz w:val="24"/>
                <w:szCs w:val="24"/>
              </w:rPr>
            </w:pPr>
          </w:p>
          <w:p w14:paraId="2D7C00DE">
            <w:pPr>
              <w:keepNext w:val="0"/>
              <w:keepLines w:val="0"/>
              <w:pageBreakBefore w:val="0"/>
              <w:widowControl w:val="0"/>
              <w:kinsoku/>
              <w:wordWrap/>
              <w:overflowPunct/>
              <w:topLinePunct w:val="0"/>
              <w:autoSpaceDE/>
              <w:autoSpaceDN/>
              <w:bidi w:val="0"/>
              <w:adjustRightInd/>
              <w:snapToGrid w:val="0"/>
              <w:jc w:val="center"/>
              <w:textAlignment w:val="auto"/>
              <w:rPr>
                <w:rFonts w:hint="eastAsia"/>
                <w:b/>
                <w:color w:val="auto"/>
                <w:sz w:val="24"/>
                <w:szCs w:val="24"/>
              </w:rPr>
            </w:pPr>
          </w:p>
          <w:p w14:paraId="02522649">
            <w:pPr>
              <w:keepNext w:val="0"/>
              <w:keepLines w:val="0"/>
              <w:pageBreakBefore w:val="0"/>
              <w:widowControl w:val="0"/>
              <w:kinsoku/>
              <w:wordWrap/>
              <w:overflowPunct/>
              <w:topLinePunct w:val="0"/>
              <w:autoSpaceDE/>
              <w:autoSpaceDN/>
              <w:bidi w:val="0"/>
              <w:adjustRightInd/>
              <w:snapToGrid w:val="0"/>
              <w:jc w:val="center"/>
              <w:textAlignment w:val="auto"/>
              <w:rPr>
                <w:rFonts w:hint="eastAsia"/>
                <w:b/>
                <w:color w:val="auto"/>
                <w:sz w:val="24"/>
                <w:szCs w:val="24"/>
              </w:rPr>
            </w:pPr>
          </w:p>
          <w:p w14:paraId="134AC932">
            <w:pPr>
              <w:keepNext w:val="0"/>
              <w:keepLines w:val="0"/>
              <w:pageBreakBefore w:val="0"/>
              <w:widowControl w:val="0"/>
              <w:kinsoku/>
              <w:wordWrap/>
              <w:overflowPunct/>
              <w:topLinePunct w:val="0"/>
              <w:autoSpaceDE/>
              <w:autoSpaceDN/>
              <w:bidi w:val="0"/>
              <w:adjustRightInd/>
              <w:snapToGrid w:val="0"/>
              <w:jc w:val="center"/>
              <w:textAlignment w:val="auto"/>
              <w:rPr>
                <w:rFonts w:hint="eastAsia"/>
                <w:b/>
                <w:color w:val="auto"/>
                <w:sz w:val="24"/>
                <w:szCs w:val="24"/>
              </w:rPr>
            </w:pPr>
          </w:p>
          <w:p w14:paraId="77B08AE2">
            <w:pPr>
              <w:keepNext w:val="0"/>
              <w:keepLines w:val="0"/>
              <w:pageBreakBefore w:val="0"/>
              <w:widowControl w:val="0"/>
              <w:kinsoku/>
              <w:wordWrap/>
              <w:overflowPunct/>
              <w:topLinePunct w:val="0"/>
              <w:autoSpaceDE/>
              <w:autoSpaceDN/>
              <w:bidi w:val="0"/>
              <w:adjustRightInd/>
              <w:snapToGrid w:val="0"/>
              <w:jc w:val="center"/>
              <w:textAlignment w:val="auto"/>
              <w:rPr>
                <w:rFonts w:hint="eastAsia"/>
                <w:b/>
                <w:color w:val="auto"/>
                <w:sz w:val="24"/>
                <w:szCs w:val="24"/>
                <w:lang w:val="en-US" w:eastAsia="zh-CN"/>
              </w:rPr>
            </w:pPr>
            <w:r>
              <w:rPr>
                <w:rFonts w:hint="eastAsia"/>
                <w:b/>
                <w:color w:val="auto"/>
                <w:sz w:val="24"/>
                <w:szCs w:val="24"/>
              </w:rPr>
              <w:t>表2-</w:t>
            </w:r>
            <w:r>
              <w:rPr>
                <w:rFonts w:hint="eastAsia"/>
                <w:b/>
                <w:color w:val="auto"/>
                <w:sz w:val="24"/>
                <w:szCs w:val="24"/>
                <w:lang w:val="en-US" w:eastAsia="zh-CN"/>
              </w:rPr>
              <w:t>2</w:t>
            </w:r>
            <w:r>
              <w:rPr>
                <w:rFonts w:hint="eastAsia"/>
                <w:b/>
                <w:color w:val="auto"/>
                <w:sz w:val="24"/>
                <w:szCs w:val="24"/>
              </w:rPr>
              <w:t xml:space="preserve"> </w:t>
            </w:r>
            <w:r>
              <w:rPr>
                <w:rFonts w:hint="eastAsia"/>
                <w:b/>
                <w:color w:val="auto"/>
                <w:sz w:val="24"/>
                <w:szCs w:val="24"/>
                <w:lang w:val="en-US" w:eastAsia="zh-CN"/>
              </w:rPr>
              <w:t xml:space="preserve">  机场油库内主要设备表</w:t>
            </w:r>
          </w:p>
          <w:tbl>
            <w:tblPr>
              <w:tblStyle w:val="32"/>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49"/>
              <w:gridCol w:w="1984"/>
              <w:gridCol w:w="2958"/>
              <w:gridCol w:w="643"/>
              <w:gridCol w:w="897"/>
              <w:gridCol w:w="1178"/>
            </w:tblGrid>
            <w:tr w14:paraId="5576CF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445" w:type="pct"/>
                  <w:vAlign w:val="center"/>
                </w:tcPr>
                <w:p w14:paraId="508BA4D6">
                  <w:pPr>
                    <w:pStyle w:val="81"/>
                    <w:keepNext w:val="0"/>
                    <w:keepLines w:val="0"/>
                    <w:pageBreakBefore w:val="0"/>
                    <w:widowControl w:val="0"/>
                    <w:kinsoku/>
                    <w:wordWrap/>
                    <w:overflowPunct/>
                    <w:topLinePunct w:val="0"/>
                    <w:autoSpaceDE/>
                    <w:autoSpaceDN/>
                    <w:bidi w:val="0"/>
                    <w:adjustRightInd/>
                    <w:snapToGrid/>
                    <w:spacing w:line="290" w:lineRule="exact"/>
                    <w:ind w:left="0" w:right="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1179" w:type="pct"/>
                  <w:vAlign w:val="center"/>
                </w:tcPr>
                <w:p w14:paraId="033729EF">
                  <w:pPr>
                    <w:pStyle w:val="81"/>
                    <w:keepNext w:val="0"/>
                    <w:keepLines w:val="0"/>
                    <w:pageBreakBefore w:val="0"/>
                    <w:widowControl w:val="0"/>
                    <w:tabs>
                      <w:tab w:val="left" w:pos="849"/>
                    </w:tabs>
                    <w:kinsoku/>
                    <w:wordWrap/>
                    <w:overflowPunct/>
                    <w:topLinePunct w:val="0"/>
                    <w:autoSpaceDE/>
                    <w:autoSpaceDN/>
                    <w:bidi w:val="0"/>
                    <w:adjustRightInd/>
                    <w:snapToGrid/>
                    <w:spacing w:line="290" w:lineRule="exact"/>
                    <w:ind w:left="0" w:right="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名</w:t>
                  </w:r>
                  <w:r>
                    <w:rPr>
                      <w:rFonts w:hint="default" w:ascii="Times New Roman" w:hAnsi="Times New Roman" w:cs="Times New Roman"/>
                      <w:b/>
                      <w:bCs/>
                      <w:color w:val="auto"/>
                      <w:sz w:val="21"/>
                      <w:szCs w:val="21"/>
                    </w:rPr>
                    <w:tab/>
                  </w:r>
                  <w:r>
                    <w:rPr>
                      <w:rFonts w:hint="default" w:ascii="Times New Roman" w:hAnsi="Times New Roman" w:cs="Times New Roman"/>
                      <w:b/>
                      <w:bCs/>
                      <w:color w:val="auto"/>
                      <w:sz w:val="21"/>
                      <w:szCs w:val="21"/>
                    </w:rPr>
                    <w:t>称</w:t>
                  </w:r>
                </w:p>
              </w:tc>
              <w:tc>
                <w:tcPr>
                  <w:tcW w:w="1758" w:type="pct"/>
                  <w:vAlign w:val="center"/>
                </w:tcPr>
                <w:p w14:paraId="47361120">
                  <w:pPr>
                    <w:pStyle w:val="81"/>
                    <w:keepNext w:val="0"/>
                    <w:keepLines w:val="0"/>
                    <w:pageBreakBefore w:val="0"/>
                    <w:widowControl w:val="0"/>
                    <w:tabs>
                      <w:tab w:val="left" w:pos="847"/>
                    </w:tabs>
                    <w:kinsoku/>
                    <w:wordWrap/>
                    <w:overflowPunct/>
                    <w:topLinePunct w:val="0"/>
                    <w:autoSpaceDE/>
                    <w:autoSpaceDN/>
                    <w:bidi w:val="0"/>
                    <w:adjustRightInd/>
                    <w:snapToGrid/>
                    <w:spacing w:line="290" w:lineRule="exact"/>
                    <w:ind w:left="0" w:right="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规</w:t>
                  </w:r>
                  <w:r>
                    <w:rPr>
                      <w:rFonts w:hint="default" w:ascii="Times New Roman" w:hAnsi="Times New Roman" w:cs="Times New Roman"/>
                      <w:b/>
                      <w:bCs/>
                      <w:color w:val="auto"/>
                      <w:sz w:val="21"/>
                      <w:szCs w:val="21"/>
                    </w:rPr>
                    <w:tab/>
                  </w:r>
                  <w:r>
                    <w:rPr>
                      <w:rFonts w:hint="default" w:ascii="Times New Roman" w:hAnsi="Times New Roman" w:cs="Times New Roman"/>
                      <w:b/>
                      <w:bCs/>
                      <w:color w:val="auto"/>
                      <w:sz w:val="21"/>
                      <w:szCs w:val="21"/>
                    </w:rPr>
                    <w:t>格</w:t>
                  </w:r>
                </w:p>
              </w:tc>
              <w:tc>
                <w:tcPr>
                  <w:tcW w:w="382" w:type="pct"/>
                  <w:vAlign w:val="center"/>
                </w:tcPr>
                <w:p w14:paraId="59989ED7">
                  <w:pPr>
                    <w:pStyle w:val="81"/>
                    <w:keepNext w:val="0"/>
                    <w:keepLines w:val="0"/>
                    <w:pageBreakBefore w:val="0"/>
                    <w:widowControl w:val="0"/>
                    <w:kinsoku/>
                    <w:wordWrap/>
                    <w:overflowPunct/>
                    <w:topLinePunct w:val="0"/>
                    <w:autoSpaceDE/>
                    <w:autoSpaceDN/>
                    <w:bidi w:val="0"/>
                    <w:adjustRightInd/>
                    <w:snapToGrid/>
                    <w:spacing w:line="290" w:lineRule="exact"/>
                    <w:ind w:left="0" w:right="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单位</w:t>
                  </w:r>
                </w:p>
              </w:tc>
              <w:tc>
                <w:tcPr>
                  <w:tcW w:w="533" w:type="pct"/>
                  <w:vAlign w:val="center"/>
                </w:tcPr>
                <w:p w14:paraId="53C4861F">
                  <w:pPr>
                    <w:pStyle w:val="81"/>
                    <w:keepNext w:val="0"/>
                    <w:keepLines w:val="0"/>
                    <w:pageBreakBefore w:val="0"/>
                    <w:widowControl w:val="0"/>
                    <w:kinsoku/>
                    <w:wordWrap/>
                    <w:overflowPunct/>
                    <w:topLinePunct w:val="0"/>
                    <w:autoSpaceDE/>
                    <w:autoSpaceDN/>
                    <w:bidi w:val="0"/>
                    <w:adjustRightInd/>
                    <w:snapToGrid/>
                    <w:spacing w:line="290" w:lineRule="exact"/>
                    <w:ind w:left="0" w:right="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数量</w:t>
                  </w:r>
                </w:p>
              </w:tc>
              <w:tc>
                <w:tcPr>
                  <w:tcW w:w="700" w:type="pct"/>
                  <w:vAlign w:val="center"/>
                </w:tcPr>
                <w:p w14:paraId="423F6B2A">
                  <w:pPr>
                    <w:pStyle w:val="81"/>
                    <w:keepNext w:val="0"/>
                    <w:keepLines w:val="0"/>
                    <w:pageBreakBefore w:val="0"/>
                    <w:widowControl w:val="0"/>
                    <w:kinsoku/>
                    <w:wordWrap/>
                    <w:overflowPunct/>
                    <w:topLinePunct w:val="0"/>
                    <w:autoSpaceDE/>
                    <w:autoSpaceDN/>
                    <w:bidi w:val="0"/>
                    <w:adjustRightInd/>
                    <w:snapToGrid/>
                    <w:spacing w:line="290" w:lineRule="exact"/>
                    <w:ind w:left="0" w:right="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备注</w:t>
                  </w:r>
                </w:p>
              </w:tc>
            </w:tr>
            <w:tr w14:paraId="445323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45" w:type="pct"/>
                </w:tcPr>
                <w:p w14:paraId="2A2D69BD">
                  <w:pPr>
                    <w:pStyle w:val="81"/>
                    <w:spacing w:before="2" w:line="289" w:lineRule="exact"/>
                    <w:ind w:left="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w:t>
                  </w:r>
                </w:p>
              </w:tc>
              <w:tc>
                <w:tcPr>
                  <w:tcW w:w="1179" w:type="pct"/>
                </w:tcPr>
                <w:p w14:paraId="3F6AB996">
                  <w:pPr>
                    <w:pStyle w:val="81"/>
                    <w:spacing w:before="2" w:line="289" w:lineRule="exact"/>
                    <w:ind w:left="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油罐及附件</w:t>
                  </w:r>
                </w:p>
              </w:tc>
              <w:tc>
                <w:tcPr>
                  <w:tcW w:w="1758" w:type="pct"/>
                </w:tcPr>
                <w:p w14:paraId="31B7BFA7">
                  <w:pPr>
                    <w:pStyle w:val="81"/>
                    <w:jc w:val="center"/>
                    <w:rPr>
                      <w:rFonts w:hint="default" w:ascii="Times New Roman" w:hAnsi="Times New Roman" w:cs="Times New Roman"/>
                      <w:color w:val="auto"/>
                      <w:sz w:val="21"/>
                      <w:szCs w:val="21"/>
                    </w:rPr>
                  </w:pPr>
                </w:p>
              </w:tc>
              <w:tc>
                <w:tcPr>
                  <w:tcW w:w="382" w:type="pct"/>
                </w:tcPr>
                <w:p w14:paraId="6C5B6DB6">
                  <w:pPr>
                    <w:pStyle w:val="81"/>
                    <w:jc w:val="center"/>
                    <w:rPr>
                      <w:rFonts w:hint="default" w:ascii="Times New Roman" w:hAnsi="Times New Roman" w:cs="Times New Roman"/>
                      <w:color w:val="auto"/>
                      <w:sz w:val="21"/>
                      <w:szCs w:val="21"/>
                    </w:rPr>
                  </w:pPr>
                </w:p>
              </w:tc>
              <w:tc>
                <w:tcPr>
                  <w:tcW w:w="533" w:type="pct"/>
                </w:tcPr>
                <w:p w14:paraId="19322CA9">
                  <w:pPr>
                    <w:pStyle w:val="81"/>
                    <w:jc w:val="center"/>
                    <w:rPr>
                      <w:rFonts w:hint="default" w:ascii="Times New Roman" w:hAnsi="Times New Roman" w:cs="Times New Roman"/>
                      <w:color w:val="auto"/>
                      <w:sz w:val="21"/>
                      <w:szCs w:val="21"/>
                    </w:rPr>
                  </w:pPr>
                </w:p>
              </w:tc>
              <w:tc>
                <w:tcPr>
                  <w:tcW w:w="700" w:type="pct"/>
                </w:tcPr>
                <w:p w14:paraId="3155804E">
                  <w:pPr>
                    <w:pStyle w:val="81"/>
                    <w:jc w:val="center"/>
                    <w:rPr>
                      <w:rFonts w:hint="default" w:ascii="Times New Roman" w:hAnsi="Times New Roman" w:cs="Times New Roman"/>
                      <w:color w:val="auto"/>
                      <w:sz w:val="21"/>
                      <w:szCs w:val="21"/>
                    </w:rPr>
                  </w:pPr>
                </w:p>
              </w:tc>
            </w:tr>
            <w:tr w14:paraId="3BFA13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45" w:type="pct"/>
                </w:tcPr>
                <w:p w14:paraId="5FB6FF23">
                  <w:pPr>
                    <w:pStyle w:val="81"/>
                    <w:spacing w:before="172"/>
                    <w:ind w:left="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179" w:type="pct"/>
                  <w:vAlign w:val="center"/>
                </w:tcPr>
                <w:p w14:paraId="11B73916">
                  <w:pPr>
                    <w:pStyle w:val="81"/>
                    <w:spacing w:line="290" w:lineRule="exact"/>
                    <w:ind w:left="9"/>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立式内浮顶锥底油罐</w:t>
                  </w:r>
                </w:p>
              </w:tc>
              <w:tc>
                <w:tcPr>
                  <w:tcW w:w="1758" w:type="pct"/>
                </w:tcPr>
                <w:p w14:paraId="07AE93B2">
                  <w:pPr>
                    <w:pStyle w:val="81"/>
                    <w:spacing w:before="16"/>
                    <w:ind w:left="9"/>
                    <w:jc w:val="center"/>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V=500m</w:t>
                  </w:r>
                  <w:r>
                    <w:rPr>
                      <w:rFonts w:hint="eastAsia" w:ascii="Times New Roman" w:hAnsi="Times New Roman" w:cs="Times New Roman"/>
                      <w:color w:val="auto"/>
                      <w:sz w:val="21"/>
                      <w:szCs w:val="21"/>
                      <w:vertAlign w:val="superscript"/>
                      <w:lang w:val="en-US" w:eastAsia="zh-CN"/>
                    </w:rPr>
                    <w:t>3</w:t>
                  </w:r>
                </w:p>
                <w:p w14:paraId="279DEE46">
                  <w:pPr>
                    <w:pStyle w:val="81"/>
                    <w:spacing w:before="3"/>
                    <w:ind w:left="7"/>
                    <w:jc w:val="center"/>
                    <w:rPr>
                      <w:rFonts w:hint="default" w:ascii="Times New Roman" w:hAnsi="Times New Roman" w:eastAsia="Times New Roman" w:cs="Times New Roman"/>
                      <w:color w:val="auto"/>
                      <w:sz w:val="21"/>
                      <w:szCs w:val="21"/>
                    </w:rPr>
                  </w:pPr>
                  <w:r>
                    <w:rPr>
                      <w:rFonts w:hint="default" w:ascii="Times New Roman" w:hAnsi="Times New Roman" w:cs="Times New Roman"/>
                      <w:color w:val="auto"/>
                      <w:spacing w:val="-1"/>
                      <w:sz w:val="21"/>
                      <w:szCs w:val="21"/>
                    </w:rPr>
                    <w:t>内径φ</w:t>
                  </w:r>
                  <w:r>
                    <w:rPr>
                      <w:rFonts w:hint="default" w:ascii="Times New Roman" w:hAnsi="Times New Roman" w:eastAsia="Times New Roman" w:cs="Times New Roman"/>
                      <w:color w:val="auto"/>
                      <w:spacing w:val="-1"/>
                      <w:sz w:val="21"/>
                      <w:szCs w:val="21"/>
                    </w:rPr>
                    <w:t>=9000mm</w:t>
                  </w:r>
                  <w:r>
                    <w:rPr>
                      <w:rFonts w:hint="default" w:ascii="Times New Roman" w:hAnsi="Times New Roman" w:cs="Times New Roman"/>
                      <w:color w:val="auto"/>
                      <w:spacing w:val="-1"/>
                      <w:sz w:val="21"/>
                      <w:szCs w:val="21"/>
                    </w:rPr>
                    <w:t>，</w:t>
                  </w:r>
                  <w:r>
                    <w:rPr>
                      <w:rFonts w:hint="default" w:ascii="Times New Roman" w:hAnsi="Times New Roman" w:eastAsia="Times New Roman" w:cs="Times New Roman"/>
                      <w:color w:val="auto"/>
                      <w:spacing w:val="-1"/>
                      <w:sz w:val="21"/>
                      <w:szCs w:val="21"/>
                    </w:rPr>
                    <w:t>H=8920mm</w:t>
                  </w:r>
                </w:p>
              </w:tc>
              <w:tc>
                <w:tcPr>
                  <w:tcW w:w="382" w:type="pct"/>
                </w:tcPr>
                <w:p w14:paraId="37781076">
                  <w:pPr>
                    <w:pStyle w:val="81"/>
                    <w:spacing w:before="156"/>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座</w:t>
                  </w:r>
                </w:p>
              </w:tc>
              <w:tc>
                <w:tcPr>
                  <w:tcW w:w="533" w:type="pct"/>
                </w:tcPr>
                <w:p w14:paraId="51F5A7DC">
                  <w:pPr>
                    <w:pStyle w:val="81"/>
                    <w:spacing w:before="172"/>
                    <w:ind w:left="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700" w:type="pct"/>
                </w:tcPr>
                <w:p w14:paraId="24825DB2">
                  <w:pPr>
                    <w:pStyle w:val="81"/>
                    <w:spacing w:before="156"/>
                    <w:ind w:left="129" w:right="121"/>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 xml:space="preserve">27 </w:t>
                  </w:r>
                  <w:r>
                    <w:rPr>
                      <w:rFonts w:hint="default" w:ascii="Times New Roman" w:hAnsi="Times New Roman" w:cs="Times New Roman"/>
                      <w:color w:val="auto"/>
                      <w:sz w:val="21"/>
                      <w:szCs w:val="21"/>
                    </w:rPr>
                    <w:t>吨</w:t>
                  </w:r>
                  <w:r>
                    <w:rPr>
                      <w:rFonts w:hint="default" w:ascii="Times New Roman" w:hAnsi="Times New Roman" w:eastAsia="Times New Roman" w:cs="Times New Roman"/>
                      <w:color w:val="auto"/>
                      <w:sz w:val="21"/>
                      <w:szCs w:val="21"/>
                    </w:rPr>
                    <w:t>/</w:t>
                  </w:r>
                  <w:r>
                    <w:rPr>
                      <w:rFonts w:hint="default" w:ascii="Times New Roman" w:hAnsi="Times New Roman" w:cs="Times New Roman"/>
                      <w:color w:val="auto"/>
                      <w:sz w:val="21"/>
                      <w:szCs w:val="21"/>
                    </w:rPr>
                    <w:t>座</w:t>
                  </w:r>
                </w:p>
              </w:tc>
            </w:tr>
            <w:tr w14:paraId="65B285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45" w:type="pct"/>
                  <w:vAlign w:val="center"/>
                </w:tcPr>
                <w:p w14:paraId="5E57E885">
                  <w:pPr>
                    <w:pStyle w:val="81"/>
                    <w:spacing w:before="16" w:line="274" w:lineRule="exact"/>
                    <w:ind w:left="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179" w:type="pct"/>
                  <w:vAlign w:val="center"/>
                </w:tcPr>
                <w:p w14:paraId="1508C2B7">
                  <w:pPr>
                    <w:pStyle w:val="81"/>
                    <w:spacing w:line="290" w:lineRule="exact"/>
                    <w:ind w:left="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内浮盘</w:t>
                  </w:r>
                </w:p>
              </w:tc>
              <w:tc>
                <w:tcPr>
                  <w:tcW w:w="1758" w:type="pct"/>
                </w:tcPr>
                <w:p w14:paraId="27BD0520">
                  <w:pPr>
                    <w:pStyle w:val="81"/>
                    <w:spacing w:line="290" w:lineRule="exact"/>
                    <w:ind w:left="9"/>
                    <w:jc w:val="center"/>
                    <w:rPr>
                      <w:rFonts w:hint="default" w:ascii="Times New Roman" w:hAnsi="Times New Roman" w:eastAsia="Times New Roman" w:cs="Times New Roman"/>
                      <w:color w:val="auto"/>
                      <w:sz w:val="21"/>
                      <w:szCs w:val="21"/>
                    </w:rPr>
                  </w:pPr>
                  <w:r>
                    <w:rPr>
                      <w:rFonts w:hint="default" w:ascii="Times New Roman" w:hAnsi="Times New Roman" w:cs="Times New Roman"/>
                      <w:color w:val="auto"/>
                      <w:spacing w:val="-10"/>
                      <w:sz w:val="21"/>
                      <w:szCs w:val="21"/>
                      <w:lang w:val="en-US" w:eastAsia="zh-CN"/>
                    </w:rPr>
                    <w:t>装配式铝制内浮顶</w:t>
                  </w:r>
                  <w:r>
                    <w:rPr>
                      <w:rFonts w:hint="eastAsia" w:ascii="Times New Roman" w:hAnsi="Times New Roman" w:cs="Times New Roman"/>
                      <w:color w:val="auto"/>
                      <w:spacing w:val="-10"/>
                      <w:sz w:val="21"/>
                      <w:szCs w:val="21"/>
                      <w:lang w:val="en-US" w:eastAsia="zh-CN"/>
                    </w:rPr>
                    <w:t>，</w:t>
                  </w:r>
                  <w:r>
                    <w:rPr>
                      <w:rFonts w:hint="eastAsia" w:ascii="宋体" w:hAnsi="宋体" w:eastAsia="宋体"/>
                      <w:sz w:val="21"/>
                      <w:szCs w:val="21"/>
                    </w:rPr>
                    <w:t>浸液式囊式</w:t>
                  </w:r>
                  <w:r>
                    <w:rPr>
                      <w:sz w:val="21"/>
                      <w:szCs w:val="21"/>
                    </w:rPr>
                    <w:t>+</w:t>
                  </w:r>
                  <w:r>
                    <w:rPr>
                      <w:rFonts w:hint="eastAsia" w:ascii="宋体" w:hAnsi="宋体" w:eastAsia="宋体"/>
                      <w:sz w:val="21"/>
                      <w:szCs w:val="21"/>
                    </w:rPr>
                    <w:t>舌形双密封</w:t>
                  </w:r>
                  <w:r>
                    <w:rPr>
                      <w:rFonts w:hint="eastAsia" w:ascii="宋体" w:hAnsi="宋体" w:eastAsia="宋体"/>
                      <w:sz w:val="21"/>
                      <w:szCs w:val="21"/>
                      <w:lang w:eastAsia="zh-CN"/>
                    </w:rPr>
                    <w:t>，</w:t>
                  </w:r>
                  <w:r>
                    <w:rPr>
                      <w:rFonts w:hint="default" w:ascii="Times New Roman" w:hAnsi="Times New Roman" w:cs="Times New Roman"/>
                      <w:color w:val="auto"/>
                      <w:spacing w:val="-10"/>
                      <w:sz w:val="21"/>
                      <w:szCs w:val="21"/>
                    </w:rPr>
                    <w:t xml:space="preserve">直径 </w:t>
                  </w:r>
                  <w:r>
                    <w:rPr>
                      <w:rFonts w:hint="default" w:ascii="Times New Roman" w:hAnsi="Times New Roman" w:eastAsia="Times New Roman" w:cs="Times New Roman"/>
                      <w:color w:val="auto"/>
                      <w:sz w:val="21"/>
                      <w:szCs w:val="21"/>
                    </w:rPr>
                    <w:t>9m</w:t>
                  </w:r>
                </w:p>
              </w:tc>
              <w:tc>
                <w:tcPr>
                  <w:tcW w:w="382" w:type="pct"/>
                </w:tcPr>
                <w:p w14:paraId="61FFDB81">
                  <w:pPr>
                    <w:pStyle w:val="81"/>
                    <w:spacing w:line="290" w:lineRule="exact"/>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座</w:t>
                  </w:r>
                </w:p>
              </w:tc>
              <w:tc>
                <w:tcPr>
                  <w:tcW w:w="533" w:type="pct"/>
                </w:tcPr>
                <w:p w14:paraId="5DDC7484">
                  <w:pPr>
                    <w:pStyle w:val="81"/>
                    <w:spacing w:before="16" w:line="274" w:lineRule="exact"/>
                    <w:ind w:left="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700" w:type="pct"/>
                </w:tcPr>
                <w:p w14:paraId="3C3DE027">
                  <w:pPr>
                    <w:pStyle w:val="81"/>
                    <w:jc w:val="center"/>
                    <w:rPr>
                      <w:rFonts w:hint="default" w:ascii="Times New Roman" w:hAnsi="Times New Roman" w:cs="Times New Roman"/>
                      <w:color w:val="auto"/>
                      <w:sz w:val="21"/>
                      <w:szCs w:val="21"/>
                    </w:rPr>
                  </w:pPr>
                </w:p>
              </w:tc>
            </w:tr>
            <w:tr w14:paraId="5A28FD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6" w:hRule="atLeast"/>
              </w:trPr>
              <w:tc>
                <w:tcPr>
                  <w:tcW w:w="445" w:type="pct"/>
                </w:tcPr>
                <w:p w14:paraId="205ECC4E">
                  <w:pPr>
                    <w:pStyle w:val="81"/>
                    <w:spacing w:before="154"/>
                    <w:ind w:left="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179" w:type="pct"/>
                </w:tcPr>
                <w:p w14:paraId="6E5F2D5E">
                  <w:pPr>
                    <w:pStyle w:val="81"/>
                    <w:spacing w:before="138"/>
                    <w:ind w:left="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地上卧式回收罐</w:t>
                  </w:r>
                </w:p>
              </w:tc>
              <w:tc>
                <w:tcPr>
                  <w:tcW w:w="1758" w:type="pct"/>
                </w:tcPr>
                <w:p w14:paraId="2E19615D">
                  <w:pPr>
                    <w:pStyle w:val="81"/>
                    <w:ind w:left="9"/>
                    <w:jc w:val="center"/>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V=20m</w:t>
                  </w:r>
                  <w:r>
                    <w:rPr>
                      <w:rFonts w:hint="eastAsia" w:ascii="Times New Roman" w:hAnsi="Times New Roman" w:cs="Times New Roman"/>
                      <w:color w:val="auto"/>
                      <w:sz w:val="21"/>
                      <w:szCs w:val="21"/>
                      <w:vertAlign w:val="superscript"/>
                      <w:lang w:val="en-US" w:eastAsia="zh-CN"/>
                    </w:rPr>
                    <w:t>3</w:t>
                  </w:r>
                </w:p>
                <w:p w14:paraId="41A1DDC9">
                  <w:pPr>
                    <w:pStyle w:val="81"/>
                    <w:spacing w:before="1" w:line="290" w:lineRule="exact"/>
                    <w:ind w:left="7"/>
                    <w:jc w:val="center"/>
                    <w:rPr>
                      <w:rFonts w:hint="default" w:ascii="Times New Roman" w:hAnsi="Times New Roman" w:eastAsia="Times New Roman" w:cs="Times New Roman"/>
                      <w:color w:val="auto"/>
                      <w:sz w:val="21"/>
                      <w:szCs w:val="21"/>
                    </w:rPr>
                  </w:pPr>
                  <w:r>
                    <w:rPr>
                      <w:rFonts w:hint="default" w:ascii="Times New Roman" w:hAnsi="Times New Roman" w:cs="Times New Roman"/>
                      <w:color w:val="auto"/>
                      <w:spacing w:val="-1"/>
                      <w:sz w:val="21"/>
                      <w:szCs w:val="21"/>
                    </w:rPr>
                    <w:t>内径φ</w:t>
                  </w:r>
                  <w:r>
                    <w:rPr>
                      <w:rFonts w:hint="default" w:ascii="Times New Roman" w:hAnsi="Times New Roman" w:eastAsia="Times New Roman" w:cs="Times New Roman"/>
                      <w:color w:val="auto"/>
                      <w:spacing w:val="-1"/>
                      <w:sz w:val="21"/>
                      <w:szCs w:val="21"/>
                    </w:rPr>
                    <w:t>=2200mm</w:t>
                  </w:r>
                  <w:r>
                    <w:rPr>
                      <w:rFonts w:hint="default" w:ascii="Times New Roman" w:hAnsi="Times New Roman" w:cs="Times New Roman"/>
                      <w:color w:val="auto"/>
                      <w:spacing w:val="-1"/>
                      <w:sz w:val="21"/>
                      <w:szCs w:val="21"/>
                    </w:rPr>
                    <w:t>，</w:t>
                  </w:r>
                  <w:r>
                    <w:rPr>
                      <w:rFonts w:hint="default" w:ascii="Times New Roman" w:hAnsi="Times New Roman" w:eastAsia="Times New Roman" w:cs="Times New Roman"/>
                      <w:color w:val="auto"/>
                      <w:spacing w:val="-1"/>
                      <w:sz w:val="21"/>
                      <w:szCs w:val="21"/>
                    </w:rPr>
                    <w:t>L=5766mm</w:t>
                  </w:r>
                </w:p>
              </w:tc>
              <w:tc>
                <w:tcPr>
                  <w:tcW w:w="382" w:type="pct"/>
                </w:tcPr>
                <w:p w14:paraId="2101AD31">
                  <w:pPr>
                    <w:pStyle w:val="81"/>
                    <w:spacing w:before="138"/>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座</w:t>
                  </w:r>
                </w:p>
              </w:tc>
              <w:tc>
                <w:tcPr>
                  <w:tcW w:w="533" w:type="pct"/>
                </w:tcPr>
                <w:p w14:paraId="363730D3">
                  <w:pPr>
                    <w:pStyle w:val="81"/>
                    <w:spacing w:before="154"/>
                    <w:ind w:left="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700" w:type="pct"/>
                </w:tcPr>
                <w:p w14:paraId="492D8610">
                  <w:pPr>
                    <w:pStyle w:val="81"/>
                    <w:jc w:val="center"/>
                    <w:rPr>
                      <w:rFonts w:hint="default" w:ascii="Times New Roman" w:hAnsi="Times New Roman" w:cs="Times New Roman"/>
                      <w:color w:val="auto"/>
                      <w:sz w:val="21"/>
                      <w:szCs w:val="21"/>
                    </w:rPr>
                  </w:pPr>
                </w:p>
              </w:tc>
            </w:tr>
            <w:tr w14:paraId="44050F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445" w:type="pct"/>
                  <w:vAlign w:val="center"/>
                </w:tcPr>
                <w:p w14:paraId="00E37B66">
                  <w:pPr>
                    <w:pStyle w:val="81"/>
                    <w:spacing w:before="154"/>
                    <w:ind w:left="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1179" w:type="pct"/>
                  <w:vAlign w:val="center"/>
                </w:tcPr>
                <w:p w14:paraId="5F085ED7">
                  <w:pPr>
                    <w:pStyle w:val="81"/>
                    <w:spacing w:before="138"/>
                    <w:ind w:left="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埋地卧式污油罐</w:t>
                  </w:r>
                </w:p>
              </w:tc>
              <w:tc>
                <w:tcPr>
                  <w:tcW w:w="1758" w:type="pct"/>
                  <w:vAlign w:val="center"/>
                </w:tcPr>
                <w:p w14:paraId="492905A5">
                  <w:pPr>
                    <w:pStyle w:val="81"/>
                    <w:spacing w:before="1"/>
                    <w:ind w:left="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V=10m</w:t>
                  </w:r>
                  <w:r>
                    <w:rPr>
                      <w:rFonts w:hint="default" w:ascii="Times New Roman" w:hAnsi="Times New Roman" w:cs="Times New Roman"/>
                      <w:color w:val="auto"/>
                      <w:sz w:val="21"/>
                      <w:szCs w:val="21"/>
                      <w:vertAlign w:val="superscript"/>
                    </w:rPr>
                    <w:t>3</w:t>
                  </w:r>
                </w:p>
                <w:p w14:paraId="785CFE31">
                  <w:pPr>
                    <w:pStyle w:val="81"/>
                    <w:spacing w:before="1" w:line="290" w:lineRule="exact"/>
                    <w:ind w:left="7"/>
                    <w:jc w:val="center"/>
                    <w:rPr>
                      <w:rFonts w:hint="default" w:ascii="Times New Roman" w:hAnsi="Times New Roman" w:eastAsia="Times New Roman" w:cs="Times New Roman"/>
                      <w:color w:val="auto"/>
                      <w:sz w:val="21"/>
                      <w:szCs w:val="21"/>
                    </w:rPr>
                  </w:pPr>
                  <w:r>
                    <w:rPr>
                      <w:rFonts w:hint="default" w:ascii="Times New Roman" w:hAnsi="Times New Roman" w:cs="Times New Roman"/>
                      <w:color w:val="auto"/>
                      <w:spacing w:val="-1"/>
                      <w:sz w:val="21"/>
                      <w:szCs w:val="21"/>
                    </w:rPr>
                    <w:t>内径φ</w:t>
                  </w:r>
                  <w:r>
                    <w:rPr>
                      <w:rFonts w:hint="default" w:ascii="Times New Roman" w:hAnsi="Times New Roman" w:eastAsia="Times New Roman" w:cs="Times New Roman"/>
                      <w:color w:val="auto"/>
                      <w:spacing w:val="-1"/>
                      <w:sz w:val="21"/>
                      <w:szCs w:val="21"/>
                    </w:rPr>
                    <w:t>=1600mm</w:t>
                  </w:r>
                  <w:r>
                    <w:rPr>
                      <w:rFonts w:hint="default" w:ascii="Times New Roman" w:hAnsi="Times New Roman" w:cs="Times New Roman"/>
                      <w:color w:val="auto"/>
                      <w:spacing w:val="-1"/>
                      <w:sz w:val="21"/>
                      <w:szCs w:val="21"/>
                    </w:rPr>
                    <w:t>，</w:t>
                  </w:r>
                  <w:r>
                    <w:rPr>
                      <w:rFonts w:hint="default" w:ascii="Times New Roman" w:hAnsi="Times New Roman" w:eastAsia="Times New Roman" w:cs="Times New Roman"/>
                      <w:color w:val="auto"/>
                      <w:spacing w:val="-1"/>
                      <w:sz w:val="21"/>
                      <w:szCs w:val="21"/>
                    </w:rPr>
                    <w:t>L=5780mm</w:t>
                  </w:r>
                </w:p>
              </w:tc>
              <w:tc>
                <w:tcPr>
                  <w:tcW w:w="382" w:type="pct"/>
                  <w:vAlign w:val="center"/>
                </w:tcPr>
                <w:p w14:paraId="7B322B40">
                  <w:pPr>
                    <w:pStyle w:val="81"/>
                    <w:spacing w:before="138"/>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座</w:t>
                  </w:r>
                </w:p>
              </w:tc>
              <w:tc>
                <w:tcPr>
                  <w:tcW w:w="533" w:type="pct"/>
                  <w:vAlign w:val="center"/>
                </w:tcPr>
                <w:p w14:paraId="2FD216CB">
                  <w:pPr>
                    <w:pStyle w:val="81"/>
                    <w:spacing w:before="154"/>
                    <w:ind w:left="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700" w:type="pct"/>
                  <w:vAlign w:val="center"/>
                </w:tcPr>
                <w:p w14:paraId="25BCE9E1">
                  <w:pPr>
                    <w:pStyle w:val="81"/>
                    <w:spacing w:before="138"/>
                    <w:ind w:left="127" w:right="12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成品</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SF双壁罐</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 xml:space="preserve"> 配泄漏检测开关</w:t>
                  </w:r>
                </w:p>
              </w:tc>
            </w:tr>
            <w:tr w14:paraId="7CD2B3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45" w:type="pct"/>
                  <w:vMerge w:val="restart"/>
                  <w:vAlign w:val="center"/>
                </w:tcPr>
                <w:p w14:paraId="75CC156D">
                  <w:pPr>
                    <w:pStyle w:val="81"/>
                    <w:spacing w:before="15"/>
                    <w:ind w:left="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1179" w:type="pct"/>
                  <w:vMerge w:val="restart"/>
                  <w:vAlign w:val="center"/>
                </w:tcPr>
                <w:p w14:paraId="177587F4">
                  <w:pPr>
                    <w:pStyle w:val="81"/>
                    <w:spacing w:before="1" w:line="290" w:lineRule="exact"/>
                    <w:ind w:left="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量油孔</w:t>
                  </w:r>
                </w:p>
              </w:tc>
              <w:tc>
                <w:tcPr>
                  <w:tcW w:w="1758" w:type="pct"/>
                  <w:vAlign w:val="center"/>
                </w:tcPr>
                <w:p w14:paraId="62C157C7">
                  <w:pPr>
                    <w:pStyle w:val="81"/>
                    <w:spacing w:before="15"/>
                    <w:ind w:left="7"/>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DN150</w:t>
                  </w:r>
                </w:p>
              </w:tc>
              <w:tc>
                <w:tcPr>
                  <w:tcW w:w="382" w:type="pct"/>
                  <w:vAlign w:val="center"/>
                </w:tcPr>
                <w:p w14:paraId="72BC5B6A">
                  <w:pPr>
                    <w:pStyle w:val="81"/>
                    <w:spacing w:before="1" w:line="290" w:lineRule="exact"/>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个</w:t>
                  </w:r>
                </w:p>
              </w:tc>
              <w:tc>
                <w:tcPr>
                  <w:tcW w:w="533" w:type="pct"/>
                  <w:vAlign w:val="center"/>
                </w:tcPr>
                <w:p w14:paraId="64E8ED58">
                  <w:pPr>
                    <w:pStyle w:val="81"/>
                    <w:spacing w:before="15"/>
                    <w:ind w:left="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700" w:type="pct"/>
                  <w:vAlign w:val="center"/>
                </w:tcPr>
                <w:p w14:paraId="20A6D46C">
                  <w:pPr>
                    <w:pStyle w:val="81"/>
                    <w:jc w:val="center"/>
                    <w:rPr>
                      <w:rFonts w:hint="default" w:ascii="Times New Roman" w:hAnsi="Times New Roman" w:cs="Times New Roman"/>
                      <w:color w:val="auto"/>
                      <w:sz w:val="21"/>
                      <w:szCs w:val="21"/>
                    </w:rPr>
                  </w:pPr>
                </w:p>
              </w:tc>
            </w:tr>
            <w:tr w14:paraId="69BD7F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45" w:type="pct"/>
                  <w:vMerge w:val="continue"/>
                  <w:vAlign w:val="center"/>
                </w:tcPr>
                <w:p w14:paraId="4035DF7E">
                  <w:pPr>
                    <w:pStyle w:val="81"/>
                    <w:jc w:val="center"/>
                    <w:rPr>
                      <w:rFonts w:hint="default" w:ascii="Times New Roman" w:hAnsi="Times New Roman" w:cs="Times New Roman"/>
                      <w:color w:val="auto"/>
                      <w:sz w:val="21"/>
                      <w:szCs w:val="21"/>
                    </w:rPr>
                  </w:pPr>
                </w:p>
              </w:tc>
              <w:tc>
                <w:tcPr>
                  <w:tcW w:w="1179" w:type="pct"/>
                  <w:vMerge w:val="continue"/>
                  <w:vAlign w:val="center"/>
                </w:tcPr>
                <w:p w14:paraId="7FD4B5AE">
                  <w:pPr>
                    <w:pStyle w:val="81"/>
                    <w:jc w:val="center"/>
                    <w:rPr>
                      <w:rFonts w:hint="default" w:ascii="Times New Roman" w:hAnsi="Times New Roman" w:cs="Times New Roman"/>
                      <w:color w:val="auto"/>
                      <w:sz w:val="21"/>
                      <w:szCs w:val="21"/>
                    </w:rPr>
                  </w:pPr>
                </w:p>
              </w:tc>
              <w:tc>
                <w:tcPr>
                  <w:tcW w:w="1758" w:type="pct"/>
                  <w:vAlign w:val="center"/>
                </w:tcPr>
                <w:p w14:paraId="797C06CF">
                  <w:pPr>
                    <w:pStyle w:val="81"/>
                    <w:spacing w:before="15" w:line="275" w:lineRule="exact"/>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DN100</w:t>
                  </w:r>
                </w:p>
              </w:tc>
              <w:tc>
                <w:tcPr>
                  <w:tcW w:w="382" w:type="pct"/>
                  <w:vAlign w:val="center"/>
                </w:tcPr>
                <w:p w14:paraId="482A671B">
                  <w:pPr>
                    <w:pStyle w:val="81"/>
                    <w:spacing w:before="2" w:line="289" w:lineRule="exact"/>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个</w:t>
                  </w:r>
                </w:p>
              </w:tc>
              <w:tc>
                <w:tcPr>
                  <w:tcW w:w="533" w:type="pct"/>
                  <w:vAlign w:val="center"/>
                </w:tcPr>
                <w:p w14:paraId="3790FADD">
                  <w:pPr>
                    <w:pStyle w:val="81"/>
                    <w:spacing w:before="15" w:line="275" w:lineRule="exact"/>
                    <w:ind w:left="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700" w:type="pct"/>
                  <w:vAlign w:val="center"/>
                </w:tcPr>
                <w:p w14:paraId="26C11023">
                  <w:pPr>
                    <w:pStyle w:val="81"/>
                    <w:jc w:val="center"/>
                    <w:rPr>
                      <w:rFonts w:hint="default" w:ascii="Times New Roman" w:hAnsi="Times New Roman" w:cs="Times New Roman"/>
                      <w:color w:val="auto"/>
                      <w:sz w:val="21"/>
                      <w:szCs w:val="21"/>
                    </w:rPr>
                  </w:pPr>
                </w:p>
              </w:tc>
            </w:tr>
            <w:tr w14:paraId="7F692C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45" w:type="pct"/>
                  <w:vAlign w:val="center"/>
                </w:tcPr>
                <w:p w14:paraId="6F97EB64">
                  <w:pPr>
                    <w:pStyle w:val="81"/>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1179" w:type="pct"/>
                  <w:vAlign w:val="center"/>
                </w:tcPr>
                <w:p w14:paraId="69EE4E45">
                  <w:pPr>
                    <w:pStyle w:val="81"/>
                    <w:spacing w:before="76"/>
                    <w:ind w:left="57" w:leftChars="0"/>
                    <w:jc w:val="center"/>
                    <w:rPr>
                      <w:rFonts w:hint="default" w:ascii="Times New Roman" w:hAnsi="Times New Roman" w:cs="Times New Roman"/>
                      <w:color w:val="auto"/>
                      <w:sz w:val="21"/>
                      <w:szCs w:val="21"/>
                    </w:rPr>
                  </w:pPr>
                  <w:r>
                    <w:rPr>
                      <w:rFonts w:hint="default" w:ascii="Times New Roman" w:hAnsi="Times New Roman" w:eastAsia="宋体" w:cs="Times New Roman"/>
                      <w:sz w:val="21"/>
                      <w:szCs w:val="21"/>
                    </w:rPr>
                    <w:t>罐顶环向通气孔</w:t>
                  </w:r>
                </w:p>
              </w:tc>
              <w:tc>
                <w:tcPr>
                  <w:tcW w:w="1758" w:type="pct"/>
                  <w:vAlign w:val="center"/>
                </w:tcPr>
                <w:p w14:paraId="16028F2F">
                  <w:pPr>
                    <w:pStyle w:val="81"/>
                    <w:spacing w:before="59"/>
                    <w:ind w:left="54" w:leftChars="0"/>
                    <w:jc w:val="center"/>
                    <w:rPr>
                      <w:rFonts w:hint="default" w:ascii="Times New Roman" w:hAnsi="Times New Roman" w:cs="Times New Roman"/>
                      <w:color w:val="auto"/>
                      <w:sz w:val="21"/>
                      <w:szCs w:val="21"/>
                    </w:rPr>
                  </w:pPr>
                  <w:r>
                    <w:rPr>
                      <w:rFonts w:hint="default" w:ascii="Times New Roman" w:hAnsi="Times New Roman" w:cs="Times New Roman"/>
                      <w:sz w:val="21"/>
                      <w:szCs w:val="21"/>
                    </w:rPr>
                    <w:t>500x400</w:t>
                  </w:r>
                  <w:r>
                    <w:rPr>
                      <w:rFonts w:hint="default" w:ascii="Times New Roman" w:hAnsi="Times New Roman" w:cs="Times New Roman"/>
                      <w:spacing w:val="-3"/>
                      <w:sz w:val="21"/>
                      <w:szCs w:val="21"/>
                    </w:rPr>
                    <w:t xml:space="preserve"> </w:t>
                  </w:r>
                  <w:r>
                    <w:rPr>
                      <w:rFonts w:hint="default" w:ascii="Times New Roman" w:hAnsi="Times New Roman" w:eastAsia="宋体" w:cs="Times New Roman"/>
                      <w:sz w:val="21"/>
                      <w:szCs w:val="21"/>
                    </w:rPr>
                    <w:t>碳钢</w:t>
                  </w:r>
                </w:p>
              </w:tc>
              <w:tc>
                <w:tcPr>
                  <w:tcW w:w="382" w:type="pct"/>
                  <w:vAlign w:val="center"/>
                </w:tcPr>
                <w:p w14:paraId="4166276D">
                  <w:pPr>
                    <w:pStyle w:val="81"/>
                    <w:spacing w:before="76"/>
                    <w:ind w:left="55" w:leftChars="0"/>
                    <w:jc w:val="center"/>
                    <w:rPr>
                      <w:rFonts w:hint="default" w:ascii="Times New Roman" w:hAnsi="Times New Roman" w:cs="Times New Roman"/>
                      <w:color w:val="auto"/>
                      <w:sz w:val="21"/>
                      <w:szCs w:val="21"/>
                    </w:rPr>
                  </w:pPr>
                  <w:r>
                    <w:rPr>
                      <w:rFonts w:hint="default" w:ascii="Times New Roman" w:hAnsi="Times New Roman" w:eastAsia="宋体" w:cs="Times New Roman"/>
                      <w:sz w:val="21"/>
                      <w:szCs w:val="21"/>
                    </w:rPr>
                    <w:t>个</w:t>
                  </w:r>
                </w:p>
              </w:tc>
              <w:tc>
                <w:tcPr>
                  <w:tcW w:w="533" w:type="pct"/>
                  <w:vAlign w:val="center"/>
                </w:tcPr>
                <w:p w14:paraId="69A57142">
                  <w:pPr>
                    <w:pStyle w:val="81"/>
                    <w:spacing w:before="75"/>
                    <w:ind w:left="186" w:leftChars="0" w:right="129" w:rightChars="0"/>
                    <w:jc w:val="center"/>
                    <w:rPr>
                      <w:rFonts w:hint="default" w:ascii="Times New Roman" w:hAnsi="Times New Roman" w:cs="Times New Roman"/>
                      <w:color w:val="auto"/>
                      <w:sz w:val="21"/>
                      <w:szCs w:val="21"/>
                    </w:rPr>
                  </w:pPr>
                  <w:r>
                    <w:rPr>
                      <w:rFonts w:hint="default" w:ascii="Times New Roman" w:hAnsi="Times New Roman" w:cs="Times New Roman"/>
                      <w:sz w:val="21"/>
                      <w:szCs w:val="21"/>
                    </w:rPr>
                    <w:t>12</w:t>
                  </w:r>
                </w:p>
              </w:tc>
              <w:tc>
                <w:tcPr>
                  <w:tcW w:w="700" w:type="pct"/>
                  <w:vAlign w:val="center"/>
                </w:tcPr>
                <w:p w14:paraId="28D15CF3">
                  <w:pPr>
                    <w:pStyle w:val="81"/>
                    <w:jc w:val="center"/>
                    <w:rPr>
                      <w:rFonts w:hint="default" w:ascii="Times New Roman" w:hAnsi="Times New Roman" w:cs="Times New Roman"/>
                      <w:color w:val="auto"/>
                      <w:sz w:val="21"/>
                      <w:szCs w:val="21"/>
                    </w:rPr>
                  </w:pPr>
                </w:p>
              </w:tc>
            </w:tr>
            <w:tr w14:paraId="330816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445" w:type="pct"/>
                  <w:vAlign w:val="center"/>
                </w:tcPr>
                <w:p w14:paraId="33F3116E">
                  <w:pPr>
                    <w:pStyle w:val="81"/>
                    <w:spacing w:before="155"/>
                    <w:ind w:left="11"/>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7</w:t>
                  </w:r>
                </w:p>
              </w:tc>
              <w:tc>
                <w:tcPr>
                  <w:tcW w:w="1179" w:type="pct"/>
                  <w:vAlign w:val="center"/>
                </w:tcPr>
                <w:p w14:paraId="6C249896">
                  <w:pPr>
                    <w:pStyle w:val="81"/>
                    <w:spacing w:before="139"/>
                    <w:ind w:left="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防爆阻火通气罩</w:t>
                  </w:r>
                </w:p>
              </w:tc>
              <w:tc>
                <w:tcPr>
                  <w:tcW w:w="1758" w:type="pct"/>
                  <w:vAlign w:val="center"/>
                </w:tcPr>
                <w:p w14:paraId="5A2E862F">
                  <w:pPr>
                    <w:pStyle w:val="81"/>
                    <w:spacing w:line="275" w:lineRule="exact"/>
                    <w:ind w:left="7"/>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DN100</w:t>
                  </w:r>
                </w:p>
                <w:p w14:paraId="3CC86A4D">
                  <w:pPr>
                    <w:pStyle w:val="81"/>
                    <w:spacing w:before="1" w:line="291" w:lineRule="exact"/>
                    <w:ind w:left="8"/>
                    <w:jc w:val="center"/>
                    <w:rPr>
                      <w:rFonts w:hint="default" w:ascii="Times New Roman" w:hAnsi="Times New Roman" w:eastAsia="Times New Roman" w:cs="Times New Roman"/>
                      <w:color w:val="auto"/>
                      <w:sz w:val="21"/>
                      <w:szCs w:val="21"/>
                    </w:rPr>
                  </w:pPr>
                  <w:r>
                    <w:rPr>
                      <w:rFonts w:hint="default" w:ascii="Times New Roman" w:hAnsi="Times New Roman" w:cs="Times New Roman"/>
                      <w:color w:val="auto"/>
                      <w:spacing w:val="-21"/>
                      <w:sz w:val="21"/>
                      <w:szCs w:val="21"/>
                    </w:rPr>
                    <w:t xml:space="preserve">正压 </w:t>
                  </w:r>
                  <w:r>
                    <w:rPr>
                      <w:rFonts w:hint="default" w:ascii="Times New Roman" w:hAnsi="Times New Roman" w:eastAsia="Times New Roman" w:cs="Times New Roman"/>
                      <w:color w:val="auto"/>
                      <w:sz w:val="21"/>
                      <w:szCs w:val="21"/>
                    </w:rPr>
                    <w:t>1766Pa</w:t>
                  </w:r>
                  <w:r>
                    <w:rPr>
                      <w:rFonts w:hint="default" w:ascii="Times New Roman" w:hAnsi="Times New Roman" w:cs="Times New Roman"/>
                      <w:color w:val="auto"/>
                      <w:spacing w:val="-15"/>
                      <w:sz w:val="21"/>
                      <w:szCs w:val="21"/>
                    </w:rPr>
                    <w:t xml:space="preserve">，负压 </w:t>
                  </w:r>
                  <w:r>
                    <w:rPr>
                      <w:rFonts w:hint="default" w:ascii="Times New Roman" w:hAnsi="Times New Roman" w:eastAsia="Times New Roman" w:cs="Times New Roman"/>
                      <w:color w:val="auto"/>
                      <w:sz w:val="21"/>
                      <w:szCs w:val="21"/>
                    </w:rPr>
                    <w:t>294Pa</w:t>
                  </w:r>
                </w:p>
              </w:tc>
              <w:tc>
                <w:tcPr>
                  <w:tcW w:w="382" w:type="pct"/>
                  <w:vAlign w:val="center"/>
                </w:tcPr>
                <w:p w14:paraId="4E257B34">
                  <w:pPr>
                    <w:pStyle w:val="81"/>
                    <w:spacing w:before="139"/>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个</w:t>
                  </w:r>
                </w:p>
              </w:tc>
              <w:tc>
                <w:tcPr>
                  <w:tcW w:w="533" w:type="pct"/>
                  <w:vAlign w:val="center"/>
                </w:tcPr>
                <w:p w14:paraId="4E30BD22">
                  <w:pPr>
                    <w:pStyle w:val="81"/>
                    <w:spacing w:before="155"/>
                    <w:ind w:left="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700" w:type="pct"/>
                  <w:vAlign w:val="center"/>
                </w:tcPr>
                <w:p w14:paraId="6A5B589A">
                  <w:pPr>
                    <w:pStyle w:val="81"/>
                    <w:jc w:val="center"/>
                    <w:rPr>
                      <w:rFonts w:hint="default" w:ascii="Times New Roman" w:hAnsi="Times New Roman" w:cs="Times New Roman"/>
                      <w:color w:val="auto"/>
                      <w:sz w:val="21"/>
                      <w:szCs w:val="21"/>
                    </w:rPr>
                  </w:pPr>
                </w:p>
              </w:tc>
            </w:tr>
            <w:tr w14:paraId="0AD692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445" w:type="pct"/>
                  <w:vAlign w:val="center"/>
                </w:tcPr>
                <w:p w14:paraId="5A36A8B6">
                  <w:pPr>
                    <w:pStyle w:val="81"/>
                    <w:spacing w:before="172"/>
                    <w:ind w:left="11"/>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8</w:t>
                  </w:r>
                </w:p>
              </w:tc>
              <w:tc>
                <w:tcPr>
                  <w:tcW w:w="1179" w:type="pct"/>
                  <w:vAlign w:val="center"/>
                </w:tcPr>
                <w:p w14:paraId="51D57741">
                  <w:pPr>
                    <w:pStyle w:val="81"/>
                    <w:spacing w:before="138"/>
                    <w:ind w:left="9"/>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全天候</w:t>
                  </w:r>
                  <w:r>
                    <w:rPr>
                      <w:rFonts w:hint="default" w:ascii="Times New Roman" w:hAnsi="Times New Roman" w:eastAsia="宋体" w:cs="Times New Roman"/>
                      <w:color w:val="auto"/>
                      <w:sz w:val="21"/>
                      <w:szCs w:val="21"/>
                    </w:rPr>
                    <w:t>阻火呼吸阀</w:t>
                  </w:r>
                </w:p>
              </w:tc>
              <w:tc>
                <w:tcPr>
                  <w:tcW w:w="1758" w:type="pct"/>
                  <w:vAlign w:val="center"/>
                </w:tcPr>
                <w:p w14:paraId="12FE6E6E">
                  <w:pPr>
                    <w:pStyle w:val="81"/>
                    <w:spacing w:before="16"/>
                    <w:ind w:left="7"/>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DN100</w:t>
                  </w:r>
                </w:p>
                <w:p w14:paraId="114923CF">
                  <w:pPr>
                    <w:pStyle w:val="81"/>
                    <w:spacing w:before="1"/>
                    <w:ind w:left="8"/>
                    <w:jc w:val="center"/>
                    <w:rPr>
                      <w:rFonts w:hint="default" w:ascii="Times New Roman" w:hAnsi="Times New Roman" w:eastAsia="Times New Roman" w:cs="Times New Roman"/>
                      <w:color w:val="auto"/>
                      <w:sz w:val="21"/>
                      <w:szCs w:val="21"/>
                    </w:rPr>
                  </w:pPr>
                  <w:r>
                    <w:rPr>
                      <w:rFonts w:hint="default" w:ascii="Times New Roman" w:hAnsi="Times New Roman" w:cs="Times New Roman"/>
                      <w:color w:val="auto"/>
                      <w:spacing w:val="-21"/>
                      <w:sz w:val="21"/>
                      <w:szCs w:val="21"/>
                    </w:rPr>
                    <w:t xml:space="preserve">正压 </w:t>
                  </w:r>
                  <w:r>
                    <w:rPr>
                      <w:rFonts w:hint="default" w:ascii="Times New Roman" w:hAnsi="Times New Roman" w:eastAsia="Times New Roman" w:cs="Times New Roman"/>
                      <w:color w:val="auto"/>
                      <w:sz w:val="21"/>
                      <w:szCs w:val="21"/>
                    </w:rPr>
                    <w:t>1766Pa</w:t>
                  </w:r>
                  <w:r>
                    <w:rPr>
                      <w:rFonts w:hint="default" w:ascii="Times New Roman" w:hAnsi="Times New Roman" w:cs="Times New Roman"/>
                      <w:color w:val="auto"/>
                      <w:spacing w:val="-15"/>
                      <w:sz w:val="21"/>
                      <w:szCs w:val="21"/>
                    </w:rPr>
                    <w:t xml:space="preserve">，负压 </w:t>
                  </w:r>
                  <w:r>
                    <w:rPr>
                      <w:rFonts w:hint="default" w:ascii="Times New Roman" w:hAnsi="Times New Roman" w:eastAsia="Times New Roman" w:cs="Times New Roman"/>
                      <w:color w:val="auto"/>
                      <w:sz w:val="21"/>
                      <w:szCs w:val="21"/>
                    </w:rPr>
                    <w:t>294Pa</w:t>
                  </w:r>
                </w:p>
              </w:tc>
              <w:tc>
                <w:tcPr>
                  <w:tcW w:w="382" w:type="pct"/>
                  <w:vAlign w:val="center"/>
                </w:tcPr>
                <w:p w14:paraId="0BCDD0C6">
                  <w:pPr>
                    <w:pStyle w:val="81"/>
                    <w:spacing w:before="156"/>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个</w:t>
                  </w:r>
                </w:p>
              </w:tc>
              <w:tc>
                <w:tcPr>
                  <w:tcW w:w="533" w:type="pct"/>
                  <w:vAlign w:val="center"/>
                </w:tcPr>
                <w:p w14:paraId="6868450E">
                  <w:pPr>
                    <w:pStyle w:val="81"/>
                    <w:spacing w:before="172"/>
                    <w:ind w:left="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700" w:type="pct"/>
                  <w:vAlign w:val="center"/>
                </w:tcPr>
                <w:p w14:paraId="08957188">
                  <w:pPr>
                    <w:pStyle w:val="81"/>
                    <w:jc w:val="center"/>
                    <w:rPr>
                      <w:rFonts w:hint="default" w:ascii="Times New Roman" w:hAnsi="Times New Roman" w:cs="Times New Roman"/>
                      <w:color w:val="auto"/>
                      <w:sz w:val="21"/>
                      <w:szCs w:val="21"/>
                    </w:rPr>
                  </w:pPr>
                </w:p>
              </w:tc>
            </w:tr>
            <w:tr w14:paraId="29E125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45" w:type="pct"/>
                  <w:vMerge w:val="restart"/>
                  <w:vAlign w:val="center"/>
                </w:tcPr>
                <w:p w14:paraId="7026A802">
                  <w:pPr>
                    <w:pStyle w:val="81"/>
                    <w:spacing w:before="15"/>
                    <w:ind w:left="11"/>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9</w:t>
                  </w:r>
                </w:p>
              </w:tc>
              <w:tc>
                <w:tcPr>
                  <w:tcW w:w="1179" w:type="pct"/>
                  <w:vMerge w:val="restart"/>
                  <w:vAlign w:val="center"/>
                </w:tcPr>
                <w:p w14:paraId="1BFE6586">
                  <w:pPr>
                    <w:pStyle w:val="81"/>
                    <w:spacing w:before="1" w:line="290" w:lineRule="exact"/>
                    <w:ind w:left="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浮动出油装置</w:t>
                  </w:r>
                </w:p>
              </w:tc>
              <w:tc>
                <w:tcPr>
                  <w:tcW w:w="1758" w:type="pct"/>
                  <w:vAlign w:val="center"/>
                </w:tcPr>
                <w:p w14:paraId="4B9ACCFF">
                  <w:pPr>
                    <w:pStyle w:val="81"/>
                    <w:tabs>
                      <w:tab w:val="left" w:pos="1059"/>
                    </w:tabs>
                    <w:spacing w:before="15"/>
                    <w:ind w:left="7"/>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NFZ150</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DN150</w:t>
                  </w:r>
                </w:p>
              </w:tc>
              <w:tc>
                <w:tcPr>
                  <w:tcW w:w="382" w:type="pct"/>
                  <w:vAlign w:val="center"/>
                </w:tcPr>
                <w:p w14:paraId="09114C5B">
                  <w:pPr>
                    <w:pStyle w:val="81"/>
                    <w:spacing w:before="1" w:line="290" w:lineRule="exact"/>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个</w:t>
                  </w:r>
                </w:p>
              </w:tc>
              <w:tc>
                <w:tcPr>
                  <w:tcW w:w="533" w:type="pct"/>
                  <w:vAlign w:val="center"/>
                </w:tcPr>
                <w:p w14:paraId="741D0129">
                  <w:pPr>
                    <w:pStyle w:val="81"/>
                    <w:spacing w:before="15"/>
                    <w:ind w:left="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700" w:type="pct"/>
                  <w:vAlign w:val="center"/>
                </w:tcPr>
                <w:p w14:paraId="178C4FF6">
                  <w:pPr>
                    <w:pStyle w:val="81"/>
                    <w:spacing w:before="1" w:line="290" w:lineRule="exact"/>
                    <w:ind w:left="127" w:right="12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折臂式</w:t>
                  </w:r>
                </w:p>
              </w:tc>
            </w:tr>
            <w:tr w14:paraId="6B8B78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45" w:type="pct"/>
                  <w:vMerge w:val="continue"/>
                  <w:vAlign w:val="center"/>
                </w:tcPr>
                <w:p w14:paraId="1CA7C570">
                  <w:pPr>
                    <w:pStyle w:val="81"/>
                    <w:jc w:val="center"/>
                    <w:rPr>
                      <w:rFonts w:hint="default" w:ascii="Times New Roman" w:hAnsi="Times New Roman" w:cs="Times New Roman"/>
                      <w:color w:val="auto"/>
                      <w:sz w:val="21"/>
                      <w:szCs w:val="21"/>
                    </w:rPr>
                  </w:pPr>
                </w:p>
              </w:tc>
              <w:tc>
                <w:tcPr>
                  <w:tcW w:w="1179" w:type="pct"/>
                  <w:vMerge w:val="continue"/>
                  <w:vAlign w:val="center"/>
                </w:tcPr>
                <w:p w14:paraId="0A22120D">
                  <w:pPr>
                    <w:pStyle w:val="81"/>
                    <w:jc w:val="center"/>
                    <w:rPr>
                      <w:rFonts w:hint="default" w:ascii="Times New Roman" w:hAnsi="Times New Roman" w:cs="Times New Roman"/>
                      <w:color w:val="auto"/>
                      <w:sz w:val="21"/>
                      <w:szCs w:val="21"/>
                    </w:rPr>
                  </w:pPr>
                </w:p>
              </w:tc>
              <w:tc>
                <w:tcPr>
                  <w:tcW w:w="1758" w:type="pct"/>
                  <w:vAlign w:val="center"/>
                </w:tcPr>
                <w:p w14:paraId="46144FFF">
                  <w:pPr>
                    <w:pStyle w:val="81"/>
                    <w:tabs>
                      <w:tab w:val="left" w:pos="886"/>
                    </w:tabs>
                    <w:spacing w:before="18" w:line="273" w:lineRule="exact"/>
                    <w:ind w:left="5"/>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LF100</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DN100</w:t>
                  </w:r>
                </w:p>
              </w:tc>
              <w:tc>
                <w:tcPr>
                  <w:tcW w:w="382" w:type="pct"/>
                  <w:vAlign w:val="center"/>
                </w:tcPr>
                <w:p w14:paraId="0FC40C4A">
                  <w:pPr>
                    <w:pStyle w:val="81"/>
                    <w:spacing w:before="2" w:line="289" w:lineRule="exact"/>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个</w:t>
                  </w:r>
                </w:p>
              </w:tc>
              <w:tc>
                <w:tcPr>
                  <w:tcW w:w="533" w:type="pct"/>
                  <w:vAlign w:val="center"/>
                </w:tcPr>
                <w:p w14:paraId="091E64D1">
                  <w:pPr>
                    <w:pStyle w:val="81"/>
                    <w:spacing w:before="18" w:line="273" w:lineRule="exact"/>
                    <w:ind w:left="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700" w:type="pct"/>
                  <w:vAlign w:val="center"/>
                </w:tcPr>
                <w:p w14:paraId="609367F6">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直臂式</w:t>
                  </w:r>
                </w:p>
              </w:tc>
            </w:tr>
            <w:tr w14:paraId="464DC8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445" w:type="pct"/>
                  <w:vAlign w:val="center"/>
                </w:tcPr>
                <w:p w14:paraId="7ED07DDE">
                  <w:pPr>
                    <w:pStyle w:val="81"/>
                    <w:spacing w:before="172"/>
                    <w:ind w:left="11"/>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c>
                <w:tcPr>
                  <w:tcW w:w="1179" w:type="pct"/>
                  <w:vAlign w:val="center"/>
                </w:tcPr>
                <w:p w14:paraId="09E1E161">
                  <w:pPr>
                    <w:pStyle w:val="81"/>
                    <w:spacing w:before="156"/>
                    <w:ind w:left="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质量检查桶</w:t>
                  </w:r>
                </w:p>
              </w:tc>
              <w:tc>
                <w:tcPr>
                  <w:tcW w:w="1758" w:type="pct"/>
                  <w:vAlign w:val="center"/>
                </w:tcPr>
                <w:p w14:paraId="71C26C3F">
                  <w:pPr>
                    <w:pStyle w:val="81"/>
                    <w:spacing w:before="156"/>
                    <w:ind w:left="8"/>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200L</w:t>
                  </w:r>
                  <w:r>
                    <w:rPr>
                      <w:rFonts w:hint="default" w:ascii="Times New Roman" w:hAnsi="Times New Roman" w:eastAsia="Times New Roman" w:cs="Times New Roman"/>
                      <w:color w:val="auto"/>
                      <w:spacing w:val="-1"/>
                      <w:sz w:val="21"/>
                      <w:szCs w:val="21"/>
                    </w:rPr>
                    <w:t xml:space="preserve"> </w:t>
                  </w:r>
                  <w:r>
                    <w:rPr>
                      <w:rFonts w:hint="default" w:ascii="Times New Roman" w:hAnsi="Times New Roman" w:cs="Times New Roman"/>
                      <w:color w:val="auto"/>
                      <w:sz w:val="21"/>
                      <w:szCs w:val="21"/>
                    </w:rPr>
                    <w:t>不锈钢</w:t>
                  </w:r>
                </w:p>
              </w:tc>
              <w:tc>
                <w:tcPr>
                  <w:tcW w:w="382" w:type="pct"/>
                  <w:vAlign w:val="center"/>
                </w:tcPr>
                <w:p w14:paraId="4B6000C4">
                  <w:pPr>
                    <w:pStyle w:val="81"/>
                    <w:spacing w:before="156"/>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座</w:t>
                  </w:r>
                </w:p>
              </w:tc>
              <w:tc>
                <w:tcPr>
                  <w:tcW w:w="533" w:type="pct"/>
                  <w:vAlign w:val="center"/>
                </w:tcPr>
                <w:p w14:paraId="385500FA">
                  <w:pPr>
                    <w:pStyle w:val="81"/>
                    <w:spacing w:before="172"/>
                    <w:ind w:left="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700" w:type="pct"/>
                  <w:vAlign w:val="center"/>
                </w:tcPr>
                <w:p w14:paraId="11216AFF">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8"/>
                      <w:sz w:val="21"/>
                      <w:szCs w:val="21"/>
                    </w:rPr>
                    <w:t>成品，带</w:t>
                  </w:r>
                  <w:r>
                    <w:rPr>
                      <w:rFonts w:hint="default" w:ascii="Times New Roman" w:hAnsi="Times New Roman" w:cs="Times New Roman"/>
                      <w:color w:val="auto"/>
                      <w:sz w:val="21"/>
                      <w:szCs w:val="21"/>
                    </w:rPr>
                    <w:t>液位计</w:t>
                  </w:r>
                </w:p>
              </w:tc>
            </w:tr>
            <w:tr w14:paraId="438F8F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445" w:type="pct"/>
                  <w:vAlign w:val="center"/>
                </w:tcPr>
                <w:p w14:paraId="65680AC3">
                  <w:pPr>
                    <w:pStyle w:val="81"/>
                    <w:spacing w:before="172"/>
                    <w:ind w:left="11"/>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11</w:t>
                  </w:r>
                </w:p>
              </w:tc>
              <w:tc>
                <w:tcPr>
                  <w:tcW w:w="1179" w:type="pct"/>
                  <w:vAlign w:val="center"/>
                </w:tcPr>
                <w:p w14:paraId="34F5CCD6">
                  <w:pPr>
                    <w:pStyle w:val="81"/>
                    <w:spacing w:before="78"/>
                    <w:ind w:left="57" w:leftChars="0"/>
                    <w:jc w:val="center"/>
                    <w:rPr>
                      <w:rFonts w:hint="default" w:ascii="Times New Roman" w:hAnsi="Times New Roman" w:cs="Times New Roman"/>
                      <w:color w:val="auto"/>
                      <w:sz w:val="21"/>
                      <w:szCs w:val="21"/>
                    </w:rPr>
                  </w:pPr>
                  <w:r>
                    <w:rPr>
                      <w:rFonts w:hint="default" w:ascii="Times New Roman" w:hAnsi="Times New Roman" w:eastAsia="宋体" w:cs="Times New Roman"/>
                      <w:sz w:val="21"/>
                      <w:szCs w:val="21"/>
                    </w:rPr>
                    <w:t>罐壁人孔</w:t>
                  </w:r>
                </w:p>
              </w:tc>
              <w:tc>
                <w:tcPr>
                  <w:tcW w:w="1758" w:type="pct"/>
                  <w:vAlign w:val="center"/>
                </w:tcPr>
                <w:p w14:paraId="3EA0861B">
                  <w:pPr>
                    <w:pStyle w:val="81"/>
                    <w:spacing w:before="60"/>
                    <w:ind w:left="54" w:leftChars="0"/>
                    <w:jc w:val="center"/>
                    <w:rPr>
                      <w:rFonts w:hint="default" w:ascii="Times New Roman" w:hAnsi="Times New Roman" w:eastAsia="Times New Roman" w:cs="Times New Roman"/>
                      <w:color w:val="auto"/>
                      <w:sz w:val="21"/>
                      <w:szCs w:val="21"/>
                    </w:rPr>
                  </w:pPr>
                  <w:r>
                    <w:rPr>
                      <w:rFonts w:hint="default" w:ascii="Times New Roman" w:hAnsi="Times New Roman" w:cs="Times New Roman"/>
                      <w:sz w:val="21"/>
                      <w:szCs w:val="21"/>
                    </w:rPr>
                    <w:t>DN600</w:t>
                  </w:r>
                  <w:r>
                    <w:rPr>
                      <w:rFonts w:hint="default" w:ascii="Times New Roman" w:hAnsi="Times New Roman" w:cs="Times New Roman"/>
                      <w:spacing w:val="2"/>
                      <w:sz w:val="21"/>
                      <w:szCs w:val="21"/>
                    </w:rPr>
                    <w:t xml:space="preserve"> </w:t>
                  </w:r>
                  <w:r>
                    <w:rPr>
                      <w:rFonts w:hint="default" w:ascii="Times New Roman" w:hAnsi="Times New Roman" w:eastAsia="宋体" w:cs="Times New Roman"/>
                      <w:sz w:val="21"/>
                      <w:szCs w:val="21"/>
                    </w:rPr>
                    <w:t>铰链式（成品）</w:t>
                  </w:r>
                </w:p>
              </w:tc>
              <w:tc>
                <w:tcPr>
                  <w:tcW w:w="382" w:type="pct"/>
                  <w:vAlign w:val="center"/>
                </w:tcPr>
                <w:p w14:paraId="6EEE1342">
                  <w:pPr>
                    <w:pStyle w:val="81"/>
                    <w:spacing w:before="78"/>
                    <w:ind w:left="55" w:leftChars="0"/>
                    <w:jc w:val="center"/>
                    <w:rPr>
                      <w:rFonts w:hint="default" w:ascii="Times New Roman" w:hAnsi="Times New Roman" w:cs="Times New Roman"/>
                      <w:color w:val="auto"/>
                      <w:sz w:val="21"/>
                      <w:szCs w:val="21"/>
                    </w:rPr>
                  </w:pPr>
                  <w:r>
                    <w:rPr>
                      <w:rFonts w:hint="default" w:ascii="Times New Roman" w:hAnsi="Times New Roman" w:eastAsia="宋体" w:cs="Times New Roman"/>
                      <w:sz w:val="21"/>
                      <w:szCs w:val="21"/>
                    </w:rPr>
                    <w:t>个</w:t>
                  </w:r>
                </w:p>
              </w:tc>
              <w:tc>
                <w:tcPr>
                  <w:tcW w:w="533" w:type="pct"/>
                  <w:vAlign w:val="center"/>
                </w:tcPr>
                <w:p w14:paraId="05E646E3">
                  <w:pPr>
                    <w:pStyle w:val="81"/>
                    <w:spacing w:before="75"/>
                    <w:ind w:left="57" w:leftChars="0"/>
                    <w:jc w:val="center"/>
                    <w:rPr>
                      <w:rFonts w:hint="default" w:ascii="Times New Roman" w:hAnsi="Times New Roman" w:cs="Times New Roman"/>
                      <w:color w:val="auto"/>
                      <w:sz w:val="21"/>
                      <w:szCs w:val="21"/>
                    </w:rPr>
                  </w:pPr>
                  <w:r>
                    <w:rPr>
                      <w:rFonts w:hint="default" w:ascii="Times New Roman" w:hAnsi="Times New Roman" w:cs="Times New Roman"/>
                      <w:sz w:val="21"/>
                      <w:szCs w:val="21"/>
                    </w:rPr>
                    <w:t>3</w:t>
                  </w:r>
                </w:p>
              </w:tc>
              <w:tc>
                <w:tcPr>
                  <w:tcW w:w="700" w:type="pct"/>
                  <w:vAlign w:val="center"/>
                </w:tcPr>
                <w:p w14:paraId="62398546">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cs="Times New Roman"/>
                      <w:color w:val="auto"/>
                      <w:spacing w:val="-8"/>
                      <w:sz w:val="21"/>
                      <w:szCs w:val="21"/>
                    </w:rPr>
                  </w:pPr>
                </w:p>
              </w:tc>
            </w:tr>
            <w:tr w14:paraId="1E5121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445" w:type="pct"/>
                  <w:vAlign w:val="center"/>
                </w:tcPr>
                <w:p w14:paraId="0B5480C1">
                  <w:pPr>
                    <w:pStyle w:val="81"/>
                    <w:spacing w:before="172"/>
                    <w:ind w:left="11"/>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12</w:t>
                  </w:r>
                </w:p>
              </w:tc>
              <w:tc>
                <w:tcPr>
                  <w:tcW w:w="1179" w:type="pct"/>
                  <w:vAlign w:val="center"/>
                </w:tcPr>
                <w:p w14:paraId="04E7EE9F">
                  <w:pPr>
                    <w:pStyle w:val="81"/>
                    <w:spacing w:before="76"/>
                    <w:ind w:left="57" w:leftChars="0"/>
                    <w:jc w:val="center"/>
                    <w:rPr>
                      <w:rFonts w:hint="default" w:ascii="Times New Roman" w:hAnsi="Times New Roman" w:cs="Times New Roman"/>
                      <w:color w:val="auto"/>
                      <w:sz w:val="21"/>
                      <w:szCs w:val="21"/>
                    </w:rPr>
                  </w:pPr>
                  <w:r>
                    <w:rPr>
                      <w:rFonts w:hint="default" w:ascii="Times New Roman" w:hAnsi="Times New Roman" w:eastAsia="宋体" w:cs="Times New Roman"/>
                      <w:sz w:val="21"/>
                      <w:szCs w:val="21"/>
                    </w:rPr>
                    <w:t>透光孔</w:t>
                  </w:r>
                </w:p>
              </w:tc>
              <w:tc>
                <w:tcPr>
                  <w:tcW w:w="1758" w:type="pct"/>
                  <w:vAlign w:val="center"/>
                </w:tcPr>
                <w:p w14:paraId="05A17CE3">
                  <w:pPr>
                    <w:pStyle w:val="81"/>
                    <w:spacing w:before="59"/>
                    <w:ind w:left="54" w:leftChars="0"/>
                    <w:jc w:val="center"/>
                    <w:rPr>
                      <w:rFonts w:hint="default" w:ascii="Times New Roman" w:hAnsi="Times New Roman" w:eastAsia="Times New Roman" w:cs="Times New Roman"/>
                      <w:color w:val="auto"/>
                      <w:sz w:val="21"/>
                      <w:szCs w:val="21"/>
                    </w:rPr>
                  </w:pPr>
                  <w:r>
                    <w:rPr>
                      <w:rFonts w:hint="default" w:ascii="Times New Roman" w:hAnsi="Times New Roman" w:cs="Times New Roman"/>
                      <w:sz w:val="21"/>
                      <w:szCs w:val="21"/>
                    </w:rPr>
                    <w:t>DN500</w:t>
                  </w:r>
                  <w:r>
                    <w:rPr>
                      <w:rFonts w:hint="default" w:ascii="Times New Roman" w:hAnsi="Times New Roman" w:eastAsia="宋体" w:cs="Times New Roman"/>
                      <w:sz w:val="21"/>
                      <w:szCs w:val="21"/>
                    </w:rPr>
                    <w:t>（常压，成品）</w:t>
                  </w:r>
                </w:p>
              </w:tc>
              <w:tc>
                <w:tcPr>
                  <w:tcW w:w="382" w:type="pct"/>
                  <w:vAlign w:val="center"/>
                </w:tcPr>
                <w:p w14:paraId="2B7C5B77">
                  <w:pPr>
                    <w:pStyle w:val="81"/>
                    <w:spacing w:before="76"/>
                    <w:ind w:left="55" w:leftChars="0"/>
                    <w:jc w:val="center"/>
                    <w:rPr>
                      <w:rFonts w:hint="default" w:ascii="Times New Roman" w:hAnsi="Times New Roman" w:cs="Times New Roman"/>
                      <w:color w:val="auto"/>
                      <w:sz w:val="21"/>
                      <w:szCs w:val="21"/>
                    </w:rPr>
                  </w:pPr>
                  <w:r>
                    <w:rPr>
                      <w:rFonts w:hint="default" w:ascii="Times New Roman" w:hAnsi="Times New Roman" w:eastAsia="宋体" w:cs="Times New Roman"/>
                      <w:sz w:val="21"/>
                      <w:szCs w:val="21"/>
                    </w:rPr>
                    <w:t>个</w:t>
                  </w:r>
                </w:p>
              </w:tc>
              <w:tc>
                <w:tcPr>
                  <w:tcW w:w="533" w:type="pct"/>
                  <w:vAlign w:val="center"/>
                </w:tcPr>
                <w:p w14:paraId="4F9ECCA1">
                  <w:pPr>
                    <w:pStyle w:val="81"/>
                    <w:spacing w:before="75"/>
                    <w:ind w:left="57" w:leftChars="0"/>
                    <w:jc w:val="center"/>
                    <w:rPr>
                      <w:rFonts w:hint="default" w:ascii="Times New Roman" w:hAnsi="Times New Roman" w:cs="Times New Roman"/>
                      <w:color w:val="auto"/>
                      <w:sz w:val="21"/>
                      <w:szCs w:val="21"/>
                    </w:rPr>
                  </w:pPr>
                  <w:r>
                    <w:rPr>
                      <w:rFonts w:hint="default" w:ascii="Times New Roman" w:hAnsi="Times New Roman" w:cs="Times New Roman"/>
                      <w:sz w:val="21"/>
                      <w:szCs w:val="21"/>
                    </w:rPr>
                    <w:t>3</w:t>
                  </w:r>
                </w:p>
              </w:tc>
              <w:tc>
                <w:tcPr>
                  <w:tcW w:w="700" w:type="pct"/>
                  <w:vAlign w:val="center"/>
                </w:tcPr>
                <w:p w14:paraId="113803FB">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cs="Times New Roman"/>
                      <w:color w:val="auto"/>
                      <w:spacing w:val="-8"/>
                      <w:sz w:val="21"/>
                      <w:szCs w:val="21"/>
                    </w:rPr>
                  </w:pPr>
                </w:p>
              </w:tc>
            </w:tr>
            <w:tr w14:paraId="559F03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445" w:type="pct"/>
                  <w:vAlign w:val="center"/>
                </w:tcPr>
                <w:p w14:paraId="76E2B1E1">
                  <w:pPr>
                    <w:pStyle w:val="81"/>
                    <w:spacing w:before="172"/>
                    <w:ind w:left="11"/>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13</w:t>
                  </w:r>
                </w:p>
              </w:tc>
              <w:tc>
                <w:tcPr>
                  <w:tcW w:w="1179" w:type="pct"/>
                  <w:vAlign w:val="center"/>
                </w:tcPr>
                <w:p w14:paraId="59682F44">
                  <w:pPr>
                    <w:pStyle w:val="81"/>
                    <w:spacing w:before="76"/>
                    <w:ind w:left="57" w:lef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罐顶通气管</w:t>
                  </w:r>
                </w:p>
              </w:tc>
              <w:tc>
                <w:tcPr>
                  <w:tcW w:w="1758" w:type="pct"/>
                  <w:vAlign w:val="center"/>
                </w:tcPr>
                <w:p w14:paraId="3A3AE71E">
                  <w:pPr>
                    <w:pStyle w:val="81"/>
                    <w:spacing w:before="59"/>
                    <w:ind w:left="52" w:leftChars="0"/>
                    <w:jc w:val="center"/>
                    <w:rPr>
                      <w:rFonts w:hint="default" w:ascii="Times New Roman" w:hAnsi="Times New Roman" w:cs="Times New Roman"/>
                      <w:sz w:val="21"/>
                      <w:szCs w:val="21"/>
                    </w:rPr>
                  </w:pPr>
                  <w:r>
                    <w:rPr>
                      <w:rFonts w:hint="default" w:ascii="Times New Roman" w:hAnsi="Times New Roman" w:cs="Times New Roman"/>
                      <w:sz w:val="21"/>
                      <w:szCs w:val="21"/>
                    </w:rPr>
                    <w:t>DN150</w:t>
                  </w:r>
                  <w:r>
                    <w:rPr>
                      <w:rFonts w:hint="default" w:ascii="Times New Roman" w:hAnsi="Times New Roman" w:cs="Times New Roman"/>
                      <w:spacing w:val="-1"/>
                      <w:sz w:val="21"/>
                      <w:szCs w:val="21"/>
                    </w:rPr>
                    <w:t xml:space="preserve"> </w:t>
                  </w:r>
                  <w:r>
                    <w:rPr>
                      <w:rFonts w:hint="default" w:ascii="Times New Roman" w:hAnsi="Times New Roman" w:cs="Times New Roman"/>
                      <w:sz w:val="21"/>
                      <w:szCs w:val="21"/>
                    </w:rPr>
                    <w:t>PN6</w:t>
                  </w:r>
                  <w:r>
                    <w:rPr>
                      <w:rFonts w:hint="default" w:ascii="Times New Roman" w:hAnsi="Times New Roman" w:cs="Times New Roman"/>
                      <w:spacing w:val="-1"/>
                      <w:sz w:val="21"/>
                      <w:szCs w:val="21"/>
                    </w:rPr>
                    <w:t xml:space="preserve"> </w:t>
                  </w:r>
                  <w:r>
                    <w:rPr>
                      <w:rFonts w:hint="default" w:ascii="Times New Roman" w:hAnsi="Times New Roman" w:eastAsia="宋体" w:cs="Times New Roman"/>
                      <w:sz w:val="21"/>
                      <w:szCs w:val="21"/>
                    </w:rPr>
                    <w:t>带阻火器</w:t>
                  </w:r>
                </w:p>
              </w:tc>
              <w:tc>
                <w:tcPr>
                  <w:tcW w:w="382" w:type="pct"/>
                  <w:vAlign w:val="center"/>
                </w:tcPr>
                <w:p w14:paraId="058E8149">
                  <w:pPr>
                    <w:pStyle w:val="81"/>
                    <w:spacing w:before="76"/>
                    <w:ind w:left="55" w:lef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个</w:t>
                  </w:r>
                </w:p>
              </w:tc>
              <w:tc>
                <w:tcPr>
                  <w:tcW w:w="533" w:type="pct"/>
                  <w:vAlign w:val="center"/>
                </w:tcPr>
                <w:p w14:paraId="471459B8">
                  <w:pPr>
                    <w:pStyle w:val="81"/>
                    <w:spacing w:before="75"/>
                    <w:ind w:left="57" w:leftChars="0"/>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700" w:type="pct"/>
                  <w:vAlign w:val="center"/>
                </w:tcPr>
                <w:p w14:paraId="01AE8DA1">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cs="Times New Roman"/>
                      <w:color w:val="auto"/>
                      <w:spacing w:val="-8"/>
                      <w:sz w:val="21"/>
                      <w:szCs w:val="21"/>
                    </w:rPr>
                  </w:pPr>
                </w:p>
              </w:tc>
            </w:tr>
            <w:tr w14:paraId="06FECE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445" w:type="pct"/>
                  <w:vMerge w:val="restart"/>
                  <w:vAlign w:val="center"/>
                </w:tcPr>
                <w:p w14:paraId="0ACD818F">
                  <w:pPr>
                    <w:pStyle w:val="81"/>
                    <w:spacing w:before="172"/>
                    <w:ind w:left="11"/>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14</w:t>
                  </w:r>
                </w:p>
              </w:tc>
              <w:tc>
                <w:tcPr>
                  <w:tcW w:w="1179" w:type="pct"/>
                  <w:vMerge w:val="restart"/>
                  <w:vAlign w:val="center"/>
                </w:tcPr>
                <w:p w14:paraId="7F202578">
                  <w:pPr>
                    <w:pStyle w:val="81"/>
                    <w:spacing w:before="5"/>
                    <w:jc w:val="center"/>
                    <w:rPr>
                      <w:rFonts w:hint="default" w:ascii="Times New Roman" w:hAnsi="Times New Roman" w:cs="Times New Roman"/>
                      <w:sz w:val="21"/>
                      <w:szCs w:val="21"/>
                    </w:rPr>
                  </w:pPr>
                </w:p>
                <w:p w14:paraId="2E82B1E2">
                  <w:pPr>
                    <w:pStyle w:val="81"/>
                    <w:ind w:left="57" w:lef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抗震金属软管</w:t>
                  </w:r>
                </w:p>
              </w:tc>
              <w:tc>
                <w:tcPr>
                  <w:tcW w:w="1758" w:type="pct"/>
                  <w:vAlign w:val="center"/>
                </w:tcPr>
                <w:p w14:paraId="7BD3074F">
                  <w:pPr>
                    <w:pStyle w:val="81"/>
                    <w:spacing w:line="290" w:lineRule="exact"/>
                    <w:ind w:left="54"/>
                    <w:jc w:val="center"/>
                    <w:rPr>
                      <w:rFonts w:hint="default" w:ascii="Times New Roman" w:hAnsi="Times New Roman" w:eastAsia="宋体" w:cs="Times New Roman"/>
                      <w:sz w:val="21"/>
                      <w:szCs w:val="21"/>
                    </w:rPr>
                  </w:pPr>
                  <w:r>
                    <w:rPr>
                      <w:rFonts w:hint="default" w:ascii="Times New Roman" w:hAnsi="Times New Roman" w:cs="Times New Roman"/>
                      <w:sz w:val="21"/>
                      <w:szCs w:val="21"/>
                    </w:rPr>
                    <w:t>DN150</w:t>
                  </w:r>
                  <w:r>
                    <w:rPr>
                      <w:rFonts w:hint="default" w:ascii="Times New Roman" w:hAnsi="Times New Roman" w:cs="Times New Roman"/>
                      <w:spacing w:val="-2"/>
                      <w:sz w:val="21"/>
                      <w:szCs w:val="21"/>
                    </w:rPr>
                    <w:t xml:space="preserve"> </w:t>
                  </w:r>
                  <w:r>
                    <w:rPr>
                      <w:rFonts w:hint="default" w:ascii="Times New Roman" w:hAnsi="Times New Roman" w:cs="Times New Roman"/>
                      <w:sz w:val="21"/>
                      <w:szCs w:val="21"/>
                    </w:rPr>
                    <w:t>PN16</w:t>
                  </w:r>
                  <w:r>
                    <w:rPr>
                      <w:rFonts w:hint="default" w:ascii="Times New Roman" w:hAnsi="Times New Roman" w:cs="Times New Roman"/>
                      <w:spacing w:val="-1"/>
                      <w:sz w:val="21"/>
                      <w:szCs w:val="21"/>
                    </w:rPr>
                    <w:t xml:space="preserve"> </w:t>
                  </w:r>
                  <w:r>
                    <w:rPr>
                      <w:rFonts w:hint="default" w:ascii="Times New Roman" w:hAnsi="Times New Roman" w:cs="Times New Roman"/>
                      <w:sz w:val="21"/>
                      <w:szCs w:val="21"/>
                    </w:rPr>
                    <w:t>L=1600mm</w:t>
                  </w:r>
                  <w:r>
                    <w:rPr>
                      <w:rFonts w:hint="default" w:ascii="Times New Roman" w:hAnsi="Times New Roman" w:eastAsia="宋体" w:cs="Times New Roman"/>
                      <w:sz w:val="21"/>
                      <w:szCs w:val="21"/>
                    </w:rPr>
                    <w:t>碳钢</w:t>
                  </w:r>
                </w:p>
                <w:p w14:paraId="0A661CFC">
                  <w:pPr>
                    <w:pStyle w:val="81"/>
                    <w:spacing w:line="302" w:lineRule="exact"/>
                    <w:ind w:left="57"/>
                    <w:jc w:val="center"/>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地震烈度</w:t>
                  </w:r>
                  <w:r>
                    <w:rPr>
                      <w:rFonts w:hint="default" w:ascii="Times New Roman" w:hAnsi="Times New Roman" w:cs="Times New Roman"/>
                      <w:sz w:val="21"/>
                      <w:szCs w:val="21"/>
                    </w:rPr>
                    <w:t>8</w:t>
                  </w:r>
                  <w:r>
                    <w:rPr>
                      <w:rFonts w:hint="default" w:ascii="Times New Roman" w:hAnsi="Times New Roman" w:eastAsia="宋体" w:cs="Times New Roman"/>
                      <w:sz w:val="21"/>
                      <w:szCs w:val="21"/>
                    </w:rPr>
                    <w:t>度</w:t>
                  </w:r>
                </w:p>
                <w:p w14:paraId="5D674C14">
                  <w:pPr>
                    <w:pStyle w:val="81"/>
                    <w:spacing w:line="275" w:lineRule="exact"/>
                    <w:ind w:left="54" w:leftChars="0"/>
                    <w:jc w:val="center"/>
                    <w:rPr>
                      <w:rFonts w:hint="default" w:ascii="Times New Roman" w:hAnsi="Times New Roman" w:cs="Times New Roman"/>
                      <w:sz w:val="21"/>
                      <w:szCs w:val="21"/>
                    </w:rPr>
                  </w:pPr>
                  <w:r>
                    <w:rPr>
                      <w:rFonts w:hint="default" w:ascii="Times New Roman" w:hAnsi="Times New Roman" w:eastAsia="宋体" w:cs="Times New Roman"/>
                      <w:sz w:val="21"/>
                      <w:szCs w:val="21"/>
                    </w:rPr>
                    <w:t>最大径向位移</w:t>
                  </w:r>
                  <w:r>
                    <w:rPr>
                      <w:rFonts w:hint="default" w:ascii="Times New Roman" w:hAnsi="Times New Roman" w:cs="Times New Roman"/>
                      <w:sz w:val="21"/>
                      <w:szCs w:val="21"/>
                    </w:rPr>
                    <w:t>±200mm</w:t>
                  </w:r>
                </w:p>
              </w:tc>
              <w:tc>
                <w:tcPr>
                  <w:tcW w:w="382" w:type="pct"/>
                  <w:vAlign w:val="center"/>
                </w:tcPr>
                <w:p w14:paraId="4E431C1F">
                  <w:pPr>
                    <w:pStyle w:val="81"/>
                    <w:spacing w:before="5"/>
                    <w:jc w:val="center"/>
                    <w:rPr>
                      <w:rFonts w:hint="default" w:ascii="Times New Roman" w:hAnsi="Times New Roman" w:cs="Times New Roman"/>
                      <w:sz w:val="21"/>
                      <w:szCs w:val="21"/>
                    </w:rPr>
                  </w:pPr>
                </w:p>
                <w:p w14:paraId="6B19EE5E">
                  <w:pPr>
                    <w:pStyle w:val="81"/>
                    <w:ind w:left="55" w:lef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根</w:t>
                  </w:r>
                </w:p>
              </w:tc>
              <w:tc>
                <w:tcPr>
                  <w:tcW w:w="533" w:type="pct"/>
                  <w:vAlign w:val="center"/>
                </w:tcPr>
                <w:p w14:paraId="5E6DED37">
                  <w:pPr>
                    <w:pStyle w:val="81"/>
                    <w:spacing w:before="4"/>
                    <w:jc w:val="center"/>
                    <w:rPr>
                      <w:rFonts w:hint="default" w:ascii="Times New Roman" w:hAnsi="Times New Roman" w:cs="Times New Roman"/>
                      <w:sz w:val="21"/>
                      <w:szCs w:val="21"/>
                    </w:rPr>
                  </w:pPr>
                </w:p>
                <w:p w14:paraId="4F0EA511">
                  <w:pPr>
                    <w:pStyle w:val="81"/>
                    <w:ind w:left="57" w:leftChars="0"/>
                    <w:jc w:val="center"/>
                    <w:rPr>
                      <w:rFonts w:hint="default" w:ascii="Times New Roman" w:hAnsi="Times New Roman" w:cs="Times New Roman"/>
                      <w:sz w:val="21"/>
                      <w:szCs w:val="21"/>
                    </w:rPr>
                  </w:pPr>
                  <w:r>
                    <w:rPr>
                      <w:rFonts w:hint="default" w:ascii="Times New Roman" w:hAnsi="Times New Roman" w:cs="Times New Roman"/>
                      <w:sz w:val="21"/>
                      <w:szCs w:val="21"/>
                    </w:rPr>
                    <w:t>6</w:t>
                  </w:r>
                </w:p>
              </w:tc>
              <w:tc>
                <w:tcPr>
                  <w:tcW w:w="700" w:type="pct"/>
                  <w:vAlign w:val="center"/>
                </w:tcPr>
                <w:p w14:paraId="1CB5EB42">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cs="Times New Roman"/>
                      <w:color w:val="auto"/>
                      <w:spacing w:val="-8"/>
                      <w:sz w:val="21"/>
                      <w:szCs w:val="21"/>
                    </w:rPr>
                  </w:pPr>
                </w:p>
              </w:tc>
            </w:tr>
            <w:tr w14:paraId="7CFF1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445" w:type="pct"/>
                  <w:vMerge w:val="continue"/>
                  <w:vAlign w:val="center"/>
                </w:tcPr>
                <w:p w14:paraId="1D9A6BB6">
                  <w:pPr>
                    <w:pStyle w:val="81"/>
                    <w:spacing w:before="172"/>
                    <w:ind w:left="11"/>
                    <w:jc w:val="center"/>
                    <w:rPr>
                      <w:rFonts w:hint="eastAsia" w:ascii="Times New Roman" w:hAnsi="Times New Roman" w:cs="Times New Roman"/>
                      <w:color w:val="auto"/>
                      <w:sz w:val="21"/>
                      <w:szCs w:val="21"/>
                      <w:lang w:val="en-US" w:eastAsia="zh-CN"/>
                    </w:rPr>
                  </w:pPr>
                </w:p>
              </w:tc>
              <w:tc>
                <w:tcPr>
                  <w:tcW w:w="1179" w:type="pct"/>
                  <w:vMerge w:val="continue"/>
                  <w:vAlign w:val="center"/>
                </w:tcPr>
                <w:p w14:paraId="0DC858AE">
                  <w:pPr>
                    <w:pStyle w:val="81"/>
                    <w:jc w:val="center"/>
                    <w:rPr>
                      <w:rFonts w:hint="default" w:ascii="Times New Roman" w:hAnsi="Times New Roman" w:eastAsia="宋体" w:cs="Times New Roman"/>
                      <w:sz w:val="21"/>
                      <w:szCs w:val="21"/>
                    </w:rPr>
                  </w:pPr>
                </w:p>
              </w:tc>
              <w:tc>
                <w:tcPr>
                  <w:tcW w:w="1758" w:type="pct"/>
                  <w:vAlign w:val="center"/>
                </w:tcPr>
                <w:p w14:paraId="7D5F8DF3">
                  <w:pPr>
                    <w:pStyle w:val="81"/>
                    <w:spacing w:line="290" w:lineRule="exact"/>
                    <w:ind w:left="54"/>
                    <w:jc w:val="center"/>
                    <w:rPr>
                      <w:rFonts w:hint="default" w:ascii="Times New Roman" w:hAnsi="Times New Roman" w:eastAsia="宋体" w:cs="Times New Roman"/>
                      <w:sz w:val="21"/>
                      <w:szCs w:val="21"/>
                    </w:rPr>
                  </w:pPr>
                  <w:r>
                    <w:rPr>
                      <w:rFonts w:hint="default" w:ascii="Times New Roman" w:hAnsi="Times New Roman" w:cs="Times New Roman"/>
                      <w:sz w:val="21"/>
                      <w:szCs w:val="21"/>
                    </w:rPr>
                    <w:t>DN100</w:t>
                  </w:r>
                  <w:r>
                    <w:rPr>
                      <w:rFonts w:hint="default" w:ascii="Times New Roman" w:hAnsi="Times New Roman" w:cs="Times New Roman"/>
                      <w:spacing w:val="-2"/>
                      <w:sz w:val="21"/>
                      <w:szCs w:val="21"/>
                    </w:rPr>
                    <w:t xml:space="preserve"> </w:t>
                  </w:r>
                  <w:r>
                    <w:rPr>
                      <w:rFonts w:hint="default" w:ascii="Times New Roman" w:hAnsi="Times New Roman" w:cs="Times New Roman"/>
                      <w:sz w:val="21"/>
                      <w:szCs w:val="21"/>
                    </w:rPr>
                    <w:t>PN16</w:t>
                  </w:r>
                  <w:r>
                    <w:rPr>
                      <w:rFonts w:hint="default" w:ascii="Times New Roman" w:hAnsi="Times New Roman" w:cs="Times New Roman"/>
                      <w:spacing w:val="-1"/>
                      <w:sz w:val="21"/>
                      <w:szCs w:val="21"/>
                    </w:rPr>
                    <w:t xml:space="preserve"> </w:t>
                  </w:r>
                  <w:r>
                    <w:rPr>
                      <w:rFonts w:hint="default" w:ascii="Times New Roman" w:hAnsi="Times New Roman" w:cs="Times New Roman"/>
                      <w:sz w:val="21"/>
                      <w:szCs w:val="21"/>
                    </w:rPr>
                    <w:t>L=1500mm</w:t>
                  </w:r>
                  <w:r>
                    <w:rPr>
                      <w:rFonts w:hint="default" w:ascii="Times New Roman" w:hAnsi="Times New Roman" w:eastAsia="宋体" w:cs="Times New Roman"/>
                      <w:sz w:val="21"/>
                      <w:szCs w:val="21"/>
                    </w:rPr>
                    <w:t>不锈钢</w:t>
                  </w:r>
                </w:p>
                <w:p w14:paraId="3D152ABB">
                  <w:pPr>
                    <w:pStyle w:val="81"/>
                    <w:spacing w:line="302" w:lineRule="exact"/>
                    <w:ind w:left="57"/>
                    <w:jc w:val="center"/>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地震烈度</w:t>
                  </w:r>
                  <w:r>
                    <w:rPr>
                      <w:rFonts w:hint="default" w:ascii="Times New Roman" w:hAnsi="Times New Roman" w:cs="Times New Roman"/>
                      <w:sz w:val="21"/>
                      <w:szCs w:val="21"/>
                    </w:rPr>
                    <w:t>8</w:t>
                  </w:r>
                  <w:r>
                    <w:rPr>
                      <w:rFonts w:hint="default" w:ascii="Times New Roman" w:hAnsi="Times New Roman" w:eastAsia="宋体" w:cs="Times New Roman"/>
                      <w:sz w:val="21"/>
                      <w:szCs w:val="21"/>
                    </w:rPr>
                    <w:t>度</w:t>
                  </w:r>
                </w:p>
                <w:p w14:paraId="292CCFAD">
                  <w:pPr>
                    <w:pStyle w:val="81"/>
                    <w:spacing w:line="275" w:lineRule="exact"/>
                    <w:ind w:left="54" w:leftChars="0"/>
                    <w:jc w:val="center"/>
                    <w:rPr>
                      <w:rFonts w:hint="default" w:ascii="Times New Roman" w:hAnsi="Times New Roman" w:cs="Times New Roman"/>
                      <w:sz w:val="21"/>
                      <w:szCs w:val="21"/>
                    </w:rPr>
                  </w:pPr>
                  <w:r>
                    <w:rPr>
                      <w:rFonts w:hint="default" w:ascii="Times New Roman" w:hAnsi="Times New Roman" w:eastAsia="宋体" w:cs="Times New Roman"/>
                      <w:sz w:val="21"/>
                      <w:szCs w:val="21"/>
                    </w:rPr>
                    <w:t>最大径向位移</w:t>
                  </w:r>
                  <w:r>
                    <w:rPr>
                      <w:rFonts w:hint="default" w:ascii="Times New Roman" w:hAnsi="Times New Roman" w:cs="Times New Roman"/>
                      <w:sz w:val="21"/>
                      <w:szCs w:val="21"/>
                    </w:rPr>
                    <w:t>±200mm</w:t>
                  </w:r>
                </w:p>
              </w:tc>
              <w:tc>
                <w:tcPr>
                  <w:tcW w:w="382" w:type="pct"/>
                  <w:vAlign w:val="center"/>
                </w:tcPr>
                <w:p w14:paraId="562A1FFD">
                  <w:pPr>
                    <w:pStyle w:val="81"/>
                    <w:spacing w:before="7"/>
                    <w:jc w:val="center"/>
                    <w:rPr>
                      <w:rFonts w:hint="default" w:ascii="Times New Roman" w:hAnsi="Times New Roman" w:cs="Times New Roman"/>
                      <w:sz w:val="21"/>
                      <w:szCs w:val="21"/>
                    </w:rPr>
                  </w:pPr>
                </w:p>
                <w:p w14:paraId="6A7CF0BD">
                  <w:pPr>
                    <w:pStyle w:val="81"/>
                    <w:spacing w:before="1"/>
                    <w:ind w:left="55" w:lef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根</w:t>
                  </w:r>
                </w:p>
              </w:tc>
              <w:tc>
                <w:tcPr>
                  <w:tcW w:w="533" w:type="pct"/>
                  <w:vAlign w:val="center"/>
                </w:tcPr>
                <w:p w14:paraId="043DAFE1">
                  <w:pPr>
                    <w:pStyle w:val="81"/>
                    <w:spacing w:before="4"/>
                    <w:jc w:val="center"/>
                    <w:rPr>
                      <w:rFonts w:hint="default" w:ascii="Times New Roman" w:hAnsi="Times New Roman" w:cs="Times New Roman"/>
                      <w:sz w:val="21"/>
                      <w:szCs w:val="21"/>
                    </w:rPr>
                  </w:pPr>
                </w:p>
                <w:p w14:paraId="4FAFB809">
                  <w:pPr>
                    <w:pStyle w:val="81"/>
                    <w:ind w:left="57" w:leftChars="0"/>
                    <w:jc w:val="center"/>
                    <w:rPr>
                      <w:rFonts w:hint="default" w:ascii="Times New Roman" w:hAnsi="Times New Roman" w:cs="Times New Roman"/>
                      <w:sz w:val="21"/>
                      <w:szCs w:val="21"/>
                    </w:rPr>
                  </w:pPr>
                  <w:r>
                    <w:rPr>
                      <w:rFonts w:hint="default" w:ascii="Times New Roman" w:hAnsi="Times New Roman" w:cs="Times New Roman"/>
                      <w:sz w:val="21"/>
                      <w:szCs w:val="21"/>
                    </w:rPr>
                    <w:t>4</w:t>
                  </w:r>
                </w:p>
              </w:tc>
              <w:tc>
                <w:tcPr>
                  <w:tcW w:w="700" w:type="pct"/>
                  <w:vAlign w:val="center"/>
                </w:tcPr>
                <w:p w14:paraId="60448B17">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cs="Times New Roman"/>
                      <w:color w:val="auto"/>
                      <w:spacing w:val="-8"/>
                      <w:sz w:val="21"/>
                      <w:szCs w:val="21"/>
                    </w:rPr>
                  </w:pPr>
                </w:p>
              </w:tc>
            </w:tr>
            <w:tr w14:paraId="63645B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445" w:type="pct"/>
                  <w:vMerge w:val="continue"/>
                  <w:vAlign w:val="center"/>
                </w:tcPr>
                <w:p w14:paraId="0247ED05">
                  <w:pPr>
                    <w:pStyle w:val="81"/>
                    <w:spacing w:before="172"/>
                    <w:ind w:left="11"/>
                    <w:jc w:val="center"/>
                    <w:rPr>
                      <w:rFonts w:hint="eastAsia" w:ascii="Times New Roman" w:hAnsi="Times New Roman" w:cs="Times New Roman"/>
                      <w:color w:val="auto"/>
                      <w:sz w:val="21"/>
                      <w:szCs w:val="21"/>
                      <w:lang w:val="en-US" w:eastAsia="zh-CN"/>
                    </w:rPr>
                  </w:pPr>
                </w:p>
              </w:tc>
              <w:tc>
                <w:tcPr>
                  <w:tcW w:w="1179" w:type="pct"/>
                  <w:vMerge w:val="continue"/>
                  <w:vAlign w:val="center"/>
                </w:tcPr>
                <w:p w14:paraId="4FA1704D">
                  <w:pPr>
                    <w:pStyle w:val="81"/>
                    <w:jc w:val="center"/>
                    <w:rPr>
                      <w:rFonts w:hint="default" w:ascii="Times New Roman" w:hAnsi="Times New Roman" w:eastAsia="宋体" w:cs="Times New Roman"/>
                      <w:sz w:val="21"/>
                      <w:szCs w:val="21"/>
                    </w:rPr>
                  </w:pPr>
                </w:p>
              </w:tc>
              <w:tc>
                <w:tcPr>
                  <w:tcW w:w="1758" w:type="pct"/>
                  <w:vAlign w:val="center"/>
                </w:tcPr>
                <w:p w14:paraId="77EE777D">
                  <w:pPr>
                    <w:pStyle w:val="81"/>
                    <w:spacing w:line="290" w:lineRule="exact"/>
                    <w:ind w:left="54"/>
                    <w:jc w:val="center"/>
                    <w:rPr>
                      <w:rFonts w:hint="default" w:ascii="Times New Roman" w:hAnsi="Times New Roman" w:eastAsia="宋体" w:cs="Times New Roman"/>
                      <w:sz w:val="21"/>
                      <w:szCs w:val="21"/>
                    </w:rPr>
                  </w:pPr>
                  <w:r>
                    <w:rPr>
                      <w:rFonts w:hint="default" w:ascii="Times New Roman" w:hAnsi="Times New Roman" w:cs="Times New Roman"/>
                      <w:sz w:val="21"/>
                      <w:szCs w:val="21"/>
                    </w:rPr>
                    <w:t>DN50</w:t>
                  </w:r>
                  <w:r>
                    <w:rPr>
                      <w:rFonts w:hint="default" w:ascii="Times New Roman" w:hAnsi="Times New Roman" w:cs="Times New Roman"/>
                      <w:spacing w:val="-2"/>
                      <w:sz w:val="21"/>
                      <w:szCs w:val="21"/>
                    </w:rPr>
                    <w:t xml:space="preserve"> </w:t>
                  </w:r>
                  <w:r>
                    <w:rPr>
                      <w:rFonts w:hint="default" w:ascii="Times New Roman" w:hAnsi="Times New Roman" w:cs="Times New Roman"/>
                      <w:sz w:val="21"/>
                      <w:szCs w:val="21"/>
                    </w:rPr>
                    <w:t>PN16</w:t>
                  </w:r>
                  <w:r>
                    <w:rPr>
                      <w:rFonts w:hint="default" w:ascii="Times New Roman" w:hAnsi="Times New Roman" w:cs="Times New Roman"/>
                      <w:spacing w:val="-1"/>
                      <w:sz w:val="21"/>
                      <w:szCs w:val="21"/>
                    </w:rPr>
                    <w:t xml:space="preserve"> </w:t>
                  </w:r>
                  <w:r>
                    <w:rPr>
                      <w:rFonts w:hint="default" w:ascii="Times New Roman" w:hAnsi="Times New Roman" w:cs="Times New Roman"/>
                      <w:sz w:val="21"/>
                      <w:szCs w:val="21"/>
                    </w:rPr>
                    <w:t>L=1100mm</w:t>
                  </w:r>
                  <w:r>
                    <w:rPr>
                      <w:rFonts w:hint="default" w:ascii="Times New Roman" w:hAnsi="Times New Roman" w:eastAsia="宋体" w:cs="Times New Roman"/>
                      <w:sz w:val="21"/>
                      <w:szCs w:val="21"/>
                    </w:rPr>
                    <w:t>不锈钢</w:t>
                  </w:r>
                </w:p>
                <w:p w14:paraId="1B5BFE58">
                  <w:pPr>
                    <w:pStyle w:val="81"/>
                    <w:spacing w:line="302" w:lineRule="exact"/>
                    <w:ind w:left="57"/>
                    <w:jc w:val="center"/>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地震烈度</w:t>
                  </w:r>
                  <w:r>
                    <w:rPr>
                      <w:rFonts w:hint="default" w:ascii="Times New Roman" w:hAnsi="Times New Roman" w:cs="Times New Roman"/>
                      <w:sz w:val="21"/>
                      <w:szCs w:val="21"/>
                    </w:rPr>
                    <w:t>8</w:t>
                  </w:r>
                  <w:r>
                    <w:rPr>
                      <w:rFonts w:hint="default" w:ascii="Times New Roman" w:hAnsi="Times New Roman" w:eastAsia="宋体" w:cs="Times New Roman"/>
                      <w:sz w:val="21"/>
                      <w:szCs w:val="21"/>
                    </w:rPr>
                    <w:t>度</w:t>
                  </w:r>
                </w:p>
                <w:p w14:paraId="0EBD66AF">
                  <w:pPr>
                    <w:pStyle w:val="81"/>
                    <w:spacing w:line="275" w:lineRule="exact"/>
                    <w:ind w:left="54" w:leftChars="0"/>
                    <w:jc w:val="center"/>
                    <w:rPr>
                      <w:rFonts w:hint="default" w:ascii="Times New Roman" w:hAnsi="Times New Roman" w:cs="Times New Roman"/>
                      <w:sz w:val="21"/>
                      <w:szCs w:val="21"/>
                    </w:rPr>
                  </w:pPr>
                  <w:r>
                    <w:rPr>
                      <w:rFonts w:hint="default" w:ascii="Times New Roman" w:hAnsi="Times New Roman" w:eastAsia="宋体" w:cs="Times New Roman"/>
                      <w:sz w:val="21"/>
                      <w:szCs w:val="21"/>
                    </w:rPr>
                    <w:t>最大径向位移</w:t>
                  </w:r>
                  <w:r>
                    <w:rPr>
                      <w:rFonts w:hint="default" w:ascii="Times New Roman" w:hAnsi="Times New Roman" w:cs="Times New Roman"/>
                      <w:sz w:val="21"/>
                      <w:szCs w:val="21"/>
                    </w:rPr>
                    <w:t>±200mm</w:t>
                  </w:r>
                </w:p>
              </w:tc>
              <w:tc>
                <w:tcPr>
                  <w:tcW w:w="382" w:type="pct"/>
                  <w:vAlign w:val="center"/>
                </w:tcPr>
                <w:p w14:paraId="3FE7C198">
                  <w:pPr>
                    <w:pStyle w:val="81"/>
                    <w:spacing w:before="5"/>
                    <w:jc w:val="center"/>
                    <w:rPr>
                      <w:rFonts w:hint="default" w:ascii="Times New Roman" w:hAnsi="Times New Roman" w:cs="Times New Roman"/>
                      <w:sz w:val="21"/>
                      <w:szCs w:val="21"/>
                    </w:rPr>
                  </w:pPr>
                </w:p>
                <w:p w14:paraId="1F8392B0">
                  <w:pPr>
                    <w:pStyle w:val="81"/>
                    <w:ind w:left="55" w:lef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根</w:t>
                  </w:r>
                </w:p>
              </w:tc>
              <w:tc>
                <w:tcPr>
                  <w:tcW w:w="533" w:type="pct"/>
                  <w:vAlign w:val="center"/>
                </w:tcPr>
                <w:p w14:paraId="1F8C050B">
                  <w:pPr>
                    <w:pStyle w:val="81"/>
                    <w:spacing w:before="4"/>
                    <w:jc w:val="center"/>
                    <w:rPr>
                      <w:rFonts w:hint="default" w:ascii="Times New Roman" w:hAnsi="Times New Roman" w:cs="Times New Roman"/>
                      <w:sz w:val="21"/>
                      <w:szCs w:val="21"/>
                    </w:rPr>
                  </w:pPr>
                </w:p>
                <w:p w14:paraId="5D1652F6">
                  <w:pPr>
                    <w:pStyle w:val="81"/>
                    <w:ind w:left="57" w:leftChars="0"/>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700" w:type="pct"/>
                  <w:vAlign w:val="center"/>
                </w:tcPr>
                <w:p w14:paraId="160B12A1">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cs="Times New Roman"/>
                      <w:color w:val="auto"/>
                      <w:spacing w:val="-8"/>
                      <w:sz w:val="21"/>
                      <w:szCs w:val="21"/>
                    </w:rPr>
                  </w:pPr>
                </w:p>
              </w:tc>
            </w:tr>
            <w:tr w14:paraId="003ECC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45" w:type="pct"/>
                </w:tcPr>
                <w:p w14:paraId="3C2A3968">
                  <w:pPr>
                    <w:pStyle w:val="81"/>
                    <w:spacing w:line="290" w:lineRule="exact"/>
                    <w:ind w:left="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w:t>
                  </w:r>
                </w:p>
              </w:tc>
              <w:tc>
                <w:tcPr>
                  <w:tcW w:w="1179" w:type="pct"/>
                </w:tcPr>
                <w:p w14:paraId="771D7FD4">
                  <w:pPr>
                    <w:pStyle w:val="81"/>
                    <w:spacing w:line="290" w:lineRule="exact"/>
                    <w:ind w:left="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油泵</w:t>
                  </w:r>
                </w:p>
              </w:tc>
              <w:tc>
                <w:tcPr>
                  <w:tcW w:w="1758" w:type="pct"/>
                </w:tcPr>
                <w:p w14:paraId="5726DA20">
                  <w:pPr>
                    <w:pStyle w:val="81"/>
                    <w:jc w:val="center"/>
                    <w:rPr>
                      <w:rFonts w:hint="default" w:ascii="Times New Roman" w:hAnsi="Times New Roman" w:cs="Times New Roman"/>
                      <w:color w:val="auto"/>
                      <w:sz w:val="21"/>
                      <w:szCs w:val="21"/>
                    </w:rPr>
                  </w:pPr>
                </w:p>
              </w:tc>
              <w:tc>
                <w:tcPr>
                  <w:tcW w:w="382" w:type="pct"/>
                </w:tcPr>
                <w:p w14:paraId="5A56C4F4">
                  <w:pPr>
                    <w:pStyle w:val="81"/>
                    <w:jc w:val="center"/>
                    <w:rPr>
                      <w:rFonts w:hint="default" w:ascii="Times New Roman" w:hAnsi="Times New Roman" w:cs="Times New Roman"/>
                      <w:color w:val="auto"/>
                      <w:sz w:val="21"/>
                      <w:szCs w:val="21"/>
                    </w:rPr>
                  </w:pPr>
                </w:p>
              </w:tc>
              <w:tc>
                <w:tcPr>
                  <w:tcW w:w="533" w:type="pct"/>
                </w:tcPr>
                <w:p w14:paraId="1CFEE697">
                  <w:pPr>
                    <w:pStyle w:val="81"/>
                    <w:jc w:val="center"/>
                    <w:rPr>
                      <w:rFonts w:hint="default" w:ascii="Times New Roman" w:hAnsi="Times New Roman" w:cs="Times New Roman"/>
                      <w:color w:val="auto"/>
                      <w:sz w:val="21"/>
                      <w:szCs w:val="21"/>
                    </w:rPr>
                  </w:pPr>
                </w:p>
              </w:tc>
              <w:tc>
                <w:tcPr>
                  <w:tcW w:w="700" w:type="pct"/>
                </w:tcPr>
                <w:p w14:paraId="6A7D1AF2">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cs="Times New Roman"/>
                      <w:color w:val="auto"/>
                      <w:sz w:val="21"/>
                      <w:szCs w:val="21"/>
                    </w:rPr>
                  </w:pPr>
                </w:p>
              </w:tc>
            </w:tr>
            <w:tr w14:paraId="5A214C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trPr>
              <w:tc>
                <w:tcPr>
                  <w:tcW w:w="445" w:type="pct"/>
                </w:tcPr>
                <w:p w14:paraId="16BC1C5F">
                  <w:pPr>
                    <w:pStyle w:val="81"/>
                    <w:spacing w:before="137"/>
                    <w:ind w:left="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179" w:type="pct"/>
                </w:tcPr>
                <w:p w14:paraId="5F7CC2D1">
                  <w:pPr>
                    <w:pStyle w:val="81"/>
                    <w:spacing w:before="121"/>
                    <w:ind w:left="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卸</w:t>
                  </w:r>
                  <w:r>
                    <w:rPr>
                      <w:rFonts w:hint="default" w:ascii="Times New Roman" w:hAnsi="Times New Roman" w:eastAsia="Times New Roman" w:cs="Times New Roman"/>
                      <w:color w:val="auto"/>
                      <w:sz w:val="21"/>
                      <w:szCs w:val="21"/>
                    </w:rPr>
                    <w:t>/</w:t>
                  </w:r>
                  <w:r>
                    <w:rPr>
                      <w:rFonts w:hint="default" w:ascii="Times New Roman" w:hAnsi="Times New Roman" w:cs="Times New Roman"/>
                      <w:color w:val="auto"/>
                      <w:sz w:val="21"/>
                      <w:szCs w:val="21"/>
                    </w:rPr>
                    <w:t>发油泵</w:t>
                  </w:r>
                </w:p>
              </w:tc>
              <w:tc>
                <w:tcPr>
                  <w:tcW w:w="1758" w:type="pct"/>
                </w:tcPr>
                <w:p w14:paraId="27137662">
                  <w:pPr>
                    <w:pStyle w:val="81"/>
                    <w:spacing w:before="121"/>
                    <w:ind w:left="6"/>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Q=100m</w:t>
                  </w:r>
                  <w:r>
                    <w:rPr>
                      <w:rFonts w:hint="default" w:ascii="Times New Roman" w:hAnsi="Times New Roman" w:eastAsia="Times New Roman" w:cs="Times New Roman"/>
                      <w:color w:val="auto"/>
                      <w:sz w:val="21"/>
                      <w:szCs w:val="21"/>
                      <w:vertAlign w:val="superscript"/>
                    </w:rPr>
                    <w:t>3</w:t>
                  </w:r>
                  <w:r>
                    <w:rPr>
                      <w:rFonts w:hint="default" w:ascii="Times New Roman" w:hAnsi="Times New Roman" w:eastAsia="Times New Roman" w:cs="Times New Roman"/>
                      <w:color w:val="auto"/>
                      <w:sz w:val="21"/>
                      <w:szCs w:val="21"/>
                      <w:vertAlign w:val="baseline"/>
                    </w:rPr>
                    <w:t>/h</w:t>
                  </w:r>
                  <w:r>
                    <w:rPr>
                      <w:rFonts w:hint="default" w:ascii="Times New Roman" w:hAnsi="Times New Roman" w:cs="Times New Roman"/>
                      <w:color w:val="auto"/>
                      <w:sz w:val="21"/>
                      <w:szCs w:val="21"/>
                      <w:vertAlign w:val="baseline"/>
                    </w:rPr>
                    <w:t>，</w:t>
                  </w:r>
                  <w:r>
                    <w:rPr>
                      <w:rFonts w:hint="default" w:ascii="Times New Roman" w:hAnsi="Times New Roman" w:eastAsia="Times New Roman" w:cs="Times New Roman"/>
                      <w:color w:val="auto"/>
                      <w:sz w:val="21"/>
                      <w:szCs w:val="21"/>
                      <w:vertAlign w:val="baseline"/>
                    </w:rPr>
                    <w:t>H=32m</w:t>
                  </w:r>
                  <w:r>
                    <w:rPr>
                      <w:rFonts w:hint="default" w:ascii="Times New Roman" w:hAnsi="Times New Roman" w:cs="Times New Roman"/>
                      <w:color w:val="auto"/>
                      <w:sz w:val="21"/>
                      <w:szCs w:val="21"/>
                      <w:vertAlign w:val="baseline"/>
                    </w:rPr>
                    <w:t>，</w:t>
                  </w:r>
                  <w:r>
                    <w:rPr>
                      <w:rFonts w:hint="default" w:ascii="Times New Roman" w:hAnsi="Times New Roman" w:eastAsia="Times New Roman" w:cs="Times New Roman"/>
                      <w:color w:val="auto"/>
                      <w:sz w:val="21"/>
                      <w:szCs w:val="21"/>
                      <w:vertAlign w:val="baseline"/>
                    </w:rPr>
                    <w:t>N=15kW</w:t>
                  </w:r>
                </w:p>
              </w:tc>
              <w:tc>
                <w:tcPr>
                  <w:tcW w:w="382" w:type="pct"/>
                </w:tcPr>
                <w:p w14:paraId="373D638E">
                  <w:pPr>
                    <w:pStyle w:val="81"/>
                    <w:spacing w:before="121"/>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533" w:type="pct"/>
                </w:tcPr>
                <w:p w14:paraId="609560E5">
                  <w:pPr>
                    <w:pStyle w:val="81"/>
                    <w:spacing w:before="137"/>
                    <w:ind w:left="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700" w:type="pct"/>
                </w:tcPr>
                <w:p w14:paraId="53A75665">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cs="Times New Roman"/>
                      <w:color w:val="auto"/>
                      <w:sz w:val="21"/>
                      <w:szCs w:val="21"/>
                    </w:rPr>
                  </w:pPr>
                </w:p>
              </w:tc>
            </w:tr>
            <w:tr w14:paraId="332F79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45" w:type="pct"/>
                </w:tcPr>
                <w:p w14:paraId="78218423">
                  <w:pPr>
                    <w:pStyle w:val="81"/>
                    <w:spacing w:before="17" w:line="274" w:lineRule="exact"/>
                    <w:ind w:left="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179" w:type="pct"/>
                </w:tcPr>
                <w:p w14:paraId="0DDFFFF0">
                  <w:pPr>
                    <w:pStyle w:val="81"/>
                    <w:spacing w:before="1" w:line="290" w:lineRule="exact"/>
                    <w:ind w:left="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底油倒罐泵</w:t>
                  </w:r>
                </w:p>
              </w:tc>
              <w:tc>
                <w:tcPr>
                  <w:tcW w:w="1758" w:type="pct"/>
                </w:tcPr>
                <w:p w14:paraId="0C598C9B">
                  <w:pPr>
                    <w:pStyle w:val="81"/>
                    <w:spacing w:before="1" w:line="290" w:lineRule="exact"/>
                    <w:ind w:left="6"/>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Q=50m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eastAsia="Times New Roman" w:cs="Times New Roman"/>
                      <w:color w:val="auto"/>
                      <w:sz w:val="21"/>
                      <w:szCs w:val="21"/>
                    </w:rPr>
                    <w:t>/h</w:t>
                  </w:r>
                  <w:r>
                    <w:rPr>
                      <w:rFonts w:hint="default" w:ascii="Times New Roman" w:hAnsi="Times New Roman" w:cs="Times New Roman"/>
                      <w:color w:val="auto"/>
                      <w:sz w:val="21"/>
                      <w:szCs w:val="21"/>
                    </w:rPr>
                    <w:t>，</w:t>
                  </w:r>
                  <w:r>
                    <w:rPr>
                      <w:rFonts w:hint="default" w:ascii="Times New Roman" w:hAnsi="Times New Roman" w:eastAsia="Times New Roman" w:cs="Times New Roman"/>
                      <w:color w:val="auto"/>
                      <w:sz w:val="21"/>
                      <w:szCs w:val="21"/>
                    </w:rPr>
                    <w:t>H=32m</w:t>
                  </w:r>
                  <w:r>
                    <w:rPr>
                      <w:rFonts w:hint="default" w:ascii="Times New Roman" w:hAnsi="Times New Roman" w:cs="Times New Roman"/>
                      <w:color w:val="auto"/>
                      <w:sz w:val="21"/>
                      <w:szCs w:val="21"/>
                    </w:rPr>
                    <w:t>，</w:t>
                  </w:r>
                  <w:r>
                    <w:rPr>
                      <w:rFonts w:hint="default" w:ascii="Times New Roman" w:hAnsi="Times New Roman" w:eastAsia="Times New Roman" w:cs="Times New Roman"/>
                      <w:color w:val="auto"/>
                      <w:sz w:val="21"/>
                      <w:szCs w:val="21"/>
                    </w:rPr>
                    <w:t>N=7.5kW</w:t>
                  </w:r>
                </w:p>
              </w:tc>
              <w:tc>
                <w:tcPr>
                  <w:tcW w:w="382" w:type="pct"/>
                </w:tcPr>
                <w:p w14:paraId="3038CA51">
                  <w:pPr>
                    <w:pStyle w:val="81"/>
                    <w:spacing w:before="1" w:line="290" w:lineRule="exact"/>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533" w:type="pct"/>
                </w:tcPr>
                <w:p w14:paraId="18BCDA25">
                  <w:pPr>
                    <w:pStyle w:val="81"/>
                    <w:spacing w:before="17" w:line="274" w:lineRule="exact"/>
                    <w:ind w:left="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700" w:type="pct"/>
                </w:tcPr>
                <w:p w14:paraId="7F282070">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cs="Times New Roman"/>
                      <w:color w:val="auto"/>
                      <w:sz w:val="21"/>
                      <w:szCs w:val="21"/>
                    </w:rPr>
                  </w:pPr>
                </w:p>
              </w:tc>
            </w:tr>
            <w:tr w14:paraId="570998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445" w:type="pct"/>
                </w:tcPr>
                <w:p w14:paraId="111116AA">
                  <w:pPr>
                    <w:pStyle w:val="81"/>
                    <w:spacing w:before="137"/>
                    <w:ind w:left="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179" w:type="pct"/>
                </w:tcPr>
                <w:p w14:paraId="2F942C17">
                  <w:pPr>
                    <w:pStyle w:val="81"/>
                    <w:spacing w:before="121"/>
                    <w:ind w:left="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底油泵</w:t>
                  </w:r>
                </w:p>
              </w:tc>
              <w:tc>
                <w:tcPr>
                  <w:tcW w:w="1758" w:type="pct"/>
                </w:tcPr>
                <w:p w14:paraId="21E6D264">
                  <w:pPr>
                    <w:pStyle w:val="81"/>
                    <w:spacing w:before="137"/>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Q=6.25m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vertAlign w:val="baseline"/>
                    </w:rPr>
                    <w:t>/h</w:t>
                  </w:r>
                  <w:r>
                    <w:rPr>
                      <w:rFonts w:hint="default" w:ascii="Times New Roman" w:hAnsi="Times New Roman" w:cs="Times New Roman"/>
                      <w:color w:val="auto"/>
                      <w:spacing w:val="-1"/>
                      <w:sz w:val="21"/>
                      <w:szCs w:val="21"/>
                      <w:vertAlign w:val="baseline"/>
                    </w:rPr>
                    <w:t xml:space="preserve"> </w:t>
                  </w:r>
                  <w:r>
                    <w:rPr>
                      <w:rFonts w:hint="default" w:ascii="Times New Roman" w:hAnsi="Times New Roman" w:cs="Times New Roman"/>
                      <w:color w:val="auto"/>
                      <w:sz w:val="21"/>
                      <w:szCs w:val="21"/>
                      <w:vertAlign w:val="baseline"/>
                    </w:rPr>
                    <w:t>H=20m N=1.5kW</w:t>
                  </w:r>
                </w:p>
              </w:tc>
              <w:tc>
                <w:tcPr>
                  <w:tcW w:w="382" w:type="pct"/>
                </w:tcPr>
                <w:p w14:paraId="33C29BCD">
                  <w:pPr>
                    <w:pStyle w:val="81"/>
                    <w:spacing w:before="121"/>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533" w:type="pct"/>
                </w:tcPr>
                <w:p w14:paraId="6A513710">
                  <w:pPr>
                    <w:pStyle w:val="81"/>
                    <w:spacing w:before="137"/>
                    <w:ind w:left="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700" w:type="pct"/>
                </w:tcPr>
                <w:p w14:paraId="25438FAA">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cs="Times New Roman"/>
                      <w:color w:val="auto"/>
                      <w:sz w:val="21"/>
                      <w:szCs w:val="21"/>
                    </w:rPr>
                  </w:pPr>
                </w:p>
              </w:tc>
            </w:tr>
            <w:tr w14:paraId="32FB73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45" w:type="pct"/>
                </w:tcPr>
                <w:p w14:paraId="66364097">
                  <w:pPr>
                    <w:pStyle w:val="81"/>
                    <w:spacing w:before="18" w:line="274" w:lineRule="exact"/>
                    <w:ind w:left="11"/>
                    <w:jc w:val="center"/>
                    <w:rPr>
                      <w:rFonts w:ascii="Times New Roman"/>
                      <w:color w:val="auto"/>
                      <w:sz w:val="21"/>
                      <w:szCs w:val="21"/>
                    </w:rPr>
                  </w:pPr>
                  <w:r>
                    <w:rPr>
                      <w:rFonts w:ascii="Times New Roman"/>
                      <w:color w:val="auto"/>
                      <w:sz w:val="21"/>
                      <w:szCs w:val="21"/>
                    </w:rPr>
                    <w:t>4</w:t>
                  </w:r>
                </w:p>
              </w:tc>
              <w:tc>
                <w:tcPr>
                  <w:tcW w:w="1179" w:type="pct"/>
                </w:tcPr>
                <w:p w14:paraId="20F5825F">
                  <w:pPr>
                    <w:pStyle w:val="81"/>
                    <w:spacing w:before="2" w:line="290" w:lineRule="exact"/>
                    <w:ind w:left="9"/>
                    <w:jc w:val="center"/>
                    <w:rPr>
                      <w:color w:val="auto"/>
                      <w:sz w:val="21"/>
                      <w:szCs w:val="21"/>
                    </w:rPr>
                  </w:pPr>
                  <w:r>
                    <w:rPr>
                      <w:color w:val="auto"/>
                      <w:sz w:val="21"/>
                      <w:szCs w:val="21"/>
                    </w:rPr>
                    <w:t>移动式污油泵</w:t>
                  </w:r>
                </w:p>
              </w:tc>
              <w:tc>
                <w:tcPr>
                  <w:tcW w:w="1758" w:type="pct"/>
                </w:tcPr>
                <w:p w14:paraId="572C3335">
                  <w:pPr>
                    <w:pStyle w:val="81"/>
                    <w:spacing w:before="18" w:line="274" w:lineRule="exact"/>
                    <w:ind w:left="8"/>
                    <w:jc w:val="center"/>
                    <w:rPr>
                      <w:rFonts w:ascii="Times New Roman"/>
                      <w:color w:val="auto"/>
                      <w:sz w:val="21"/>
                      <w:szCs w:val="21"/>
                    </w:rPr>
                  </w:pPr>
                  <w:r>
                    <w:rPr>
                      <w:rFonts w:ascii="Times New Roman"/>
                      <w:color w:val="auto"/>
                      <w:sz w:val="21"/>
                      <w:szCs w:val="21"/>
                    </w:rPr>
                    <w:t>Q=6.25m</w:t>
                  </w:r>
                  <w:r>
                    <w:rPr>
                      <w:rFonts w:ascii="Times New Roman"/>
                      <w:color w:val="auto"/>
                      <w:sz w:val="21"/>
                      <w:szCs w:val="21"/>
                      <w:vertAlign w:val="superscript"/>
                    </w:rPr>
                    <w:t>3</w:t>
                  </w:r>
                  <w:r>
                    <w:rPr>
                      <w:rFonts w:ascii="Times New Roman"/>
                      <w:color w:val="auto"/>
                      <w:sz w:val="21"/>
                      <w:szCs w:val="21"/>
                      <w:vertAlign w:val="baseline"/>
                    </w:rPr>
                    <w:t>/h</w:t>
                  </w:r>
                  <w:r>
                    <w:rPr>
                      <w:rFonts w:ascii="Times New Roman"/>
                      <w:color w:val="auto"/>
                      <w:spacing w:val="-1"/>
                      <w:sz w:val="21"/>
                      <w:szCs w:val="21"/>
                      <w:vertAlign w:val="baseline"/>
                    </w:rPr>
                    <w:t xml:space="preserve"> </w:t>
                  </w:r>
                  <w:r>
                    <w:rPr>
                      <w:rFonts w:ascii="Times New Roman"/>
                      <w:color w:val="auto"/>
                      <w:sz w:val="21"/>
                      <w:szCs w:val="21"/>
                      <w:vertAlign w:val="baseline"/>
                    </w:rPr>
                    <w:t>H=20m N=1.5kW</w:t>
                  </w:r>
                </w:p>
              </w:tc>
              <w:tc>
                <w:tcPr>
                  <w:tcW w:w="382" w:type="pct"/>
                </w:tcPr>
                <w:p w14:paraId="04FA7ED7">
                  <w:pPr>
                    <w:pStyle w:val="81"/>
                    <w:spacing w:before="2" w:line="290" w:lineRule="exact"/>
                    <w:ind w:left="8"/>
                    <w:jc w:val="center"/>
                    <w:rPr>
                      <w:color w:val="auto"/>
                      <w:sz w:val="21"/>
                      <w:szCs w:val="21"/>
                    </w:rPr>
                  </w:pPr>
                  <w:r>
                    <w:rPr>
                      <w:color w:val="auto"/>
                      <w:sz w:val="21"/>
                      <w:szCs w:val="21"/>
                    </w:rPr>
                    <w:t>台</w:t>
                  </w:r>
                </w:p>
              </w:tc>
              <w:tc>
                <w:tcPr>
                  <w:tcW w:w="533" w:type="pct"/>
                </w:tcPr>
                <w:p w14:paraId="3AF22339">
                  <w:pPr>
                    <w:pStyle w:val="81"/>
                    <w:spacing w:before="18" w:line="274" w:lineRule="exact"/>
                    <w:ind w:left="6"/>
                    <w:jc w:val="center"/>
                    <w:rPr>
                      <w:rFonts w:ascii="Times New Roman"/>
                      <w:color w:val="auto"/>
                      <w:sz w:val="21"/>
                      <w:szCs w:val="21"/>
                    </w:rPr>
                  </w:pPr>
                  <w:r>
                    <w:rPr>
                      <w:rFonts w:ascii="Times New Roman"/>
                      <w:color w:val="auto"/>
                      <w:sz w:val="21"/>
                      <w:szCs w:val="21"/>
                    </w:rPr>
                    <w:t>1</w:t>
                  </w:r>
                </w:p>
              </w:tc>
              <w:tc>
                <w:tcPr>
                  <w:tcW w:w="700" w:type="pct"/>
                </w:tcPr>
                <w:p w14:paraId="2B5E7A84">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textAlignment w:val="auto"/>
                    <w:rPr>
                      <w:rFonts w:ascii="Times New Roman"/>
                      <w:color w:val="auto"/>
                      <w:sz w:val="21"/>
                      <w:szCs w:val="21"/>
                    </w:rPr>
                  </w:pPr>
                </w:p>
              </w:tc>
            </w:tr>
            <w:tr w14:paraId="3AD8F9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45" w:type="pct"/>
                </w:tcPr>
                <w:p w14:paraId="04912EAF">
                  <w:pPr>
                    <w:pStyle w:val="81"/>
                    <w:spacing w:before="2" w:line="289" w:lineRule="exact"/>
                    <w:ind w:left="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三</w:t>
                  </w:r>
                </w:p>
              </w:tc>
              <w:tc>
                <w:tcPr>
                  <w:tcW w:w="1179" w:type="pct"/>
                </w:tcPr>
                <w:p w14:paraId="2D24EC0A">
                  <w:pPr>
                    <w:pStyle w:val="81"/>
                    <w:spacing w:before="2" w:line="289" w:lineRule="exact"/>
                    <w:ind w:left="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过滤器</w:t>
                  </w:r>
                </w:p>
              </w:tc>
              <w:tc>
                <w:tcPr>
                  <w:tcW w:w="1758" w:type="pct"/>
                </w:tcPr>
                <w:p w14:paraId="1BBC55B0">
                  <w:pPr>
                    <w:pStyle w:val="81"/>
                    <w:jc w:val="center"/>
                    <w:rPr>
                      <w:rFonts w:hint="default" w:ascii="Times New Roman" w:hAnsi="Times New Roman" w:cs="Times New Roman"/>
                      <w:color w:val="auto"/>
                      <w:sz w:val="21"/>
                      <w:szCs w:val="21"/>
                    </w:rPr>
                  </w:pPr>
                </w:p>
              </w:tc>
              <w:tc>
                <w:tcPr>
                  <w:tcW w:w="382" w:type="pct"/>
                </w:tcPr>
                <w:p w14:paraId="3164C279">
                  <w:pPr>
                    <w:pStyle w:val="81"/>
                    <w:jc w:val="center"/>
                    <w:rPr>
                      <w:rFonts w:hint="default" w:ascii="Times New Roman" w:hAnsi="Times New Roman" w:cs="Times New Roman"/>
                      <w:color w:val="auto"/>
                      <w:sz w:val="21"/>
                      <w:szCs w:val="21"/>
                    </w:rPr>
                  </w:pPr>
                </w:p>
              </w:tc>
              <w:tc>
                <w:tcPr>
                  <w:tcW w:w="533" w:type="pct"/>
                </w:tcPr>
                <w:p w14:paraId="53A5D46F">
                  <w:pPr>
                    <w:pStyle w:val="81"/>
                    <w:jc w:val="center"/>
                    <w:rPr>
                      <w:rFonts w:hint="default" w:ascii="Times New Roman" w:hAnsi="Times New Roman" w:cs="Times New Roman"/>
                      <w:color w:val="auto"/>
                      <w:sz w:val="21"/>
                      <w:szCs w:val="21"/>
                    </w:rPr>
                  </w:pPr>
                </w:p>
              </w:tc>
              <w:tc>
                <w:tcPr>
                  <w:tcW w:w="700" w:type="pct"/>
                </w:tcPr>
                <w:p w14:paraId="7252DF59">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left"/>
                    <w:textAlignment w:val="auto"/>
                    <w:rPr>
                      <w:rFonts w:ascii="Times New Roman"/>
                      <w:color w:val="auto"/>
                      <w:sz w:val="21"/>
                      <w:szCs w:val="21"/>
                    </w:rPr>
                  </w:pPr>
                </w:p>
              </w:tc>
            </w:tr>
            <w:tr w14:paraId="152A41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45" w:type="pct"/>
                  <w:vAlign w:val="center"/>
                </w:tcPr>
                <w:p w14:paraId="0D93A2F3">
                  <w:pPr>
                    <w:pStyle w:val="81"/>
                    <w:spacing w:before="16" w:line="275" w:lineRule="exact"/>
                    <w:ind w:left="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179" w:type="pct"/>
                  <w:vAlign w:val="center"/>
                </w:tcPr>
                <w:p w14:paraId="3C36FB4C">
                  <w:pPr>
                    <w:pStyle w:val="81"/>
                    <w:spacing w:line="291" w:lineRule="exact"/>
                    <w:ind w:left="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立式过滤分离器</w:t>
                  </w:r>
                </w:p>
              </w:tc>
              <w:tc>
                <w:tcPr>
                  <w:tcW w:w="1758" w:type="pct"/>
                  <w:vAlign w:val="center"/>
                </w:tcPr>
                <w:p w14:paraId="280C8509">
                  <w:pPr>
                    <w:pStyle w:val="81"/>
                    <w:spacing w:before="16" w:line="275" w:lineRule="exact"/>
                    <w:ind w:left="1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Q=120m</w:t>
                  </w:r>
                  <w:r>
                    <w:rPr>
                      <w:rFonts w:hint="eastAsia"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rPr>
                    <w:t>/h</w:t>
                  </w:r>
                  <w:r>
                    <w:rPr>
                      <w:rFonts w:hint="default" w:ascii="Times New Roman" w:hAnsi="Times New Roman" w:cs="Times New Roman"/>
                      <w:color w:val="auto"/>
                      <w:spacing w:val="-1"/>
                      <w:sz w:val="21"/>
                      <w:szCs w:val="21"/>
                    </w:rPr>
                    <w:t xml:space="preserve"> </w:t>
                  </w:r>
                  <w:r>
                    <w:rPr>
                      <w:rFonts w:hint="default" w:ascii="Times New Roman" w:hAnsi="Times New Roman" w:cs="Times New Roman"/>
                      <w:color w:val="auto"/>
                      <w:sz w:val="21"/>
                      <w:szCs w:val="21"/>
                    </w:rPr>
                    <w:t>DN150 PN16</w:t>
                  </w:r>
                </w:p>
              </w:tc>
              <w:tc>
                <w:tcPr>
                  <w:tcW w:w="382" w:type="pct"/>
                  <w:vAlign w:val="center"/>
                </w:tcPr>
                <w:p w14:paraId="2FD00874">
                  <w:pPr>
                    <w:pStyle w:val="81"/>
                    <w:spacing w:line="291" w:lineRule="exact"/>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533" w:type="pct"/>
                  <w:vAlign w:val="center"/>
                </w:tcPr>
                <w:p w14:paraId="610E6AFC">
                  <w:pPr>
                    <w:pStyle w:val="81"/>
                    <w:spacing w:before="16" w:line="275" w:lineRule="exact"/>
                    <w:ind w:left="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700" w:type="pct"/>
                  <w:tcBorders>
                    <w:bottom w:val="single" w:color="auto" w:sz="4" w:space="0"/>
                  </w:tcBorders>
                </w:tcPr>
                <w:p w14:paraId="2704ACAE">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both"/>
                    <w:textAlignment w:val="auto"/>
                    <w:rPr>
                      <w:color w:val="auto"/>
                      <w:sz w:val="21"/>
                      <w:szCs w:val="21"/>
                    </w:rPr>
                  </w:pPr>
                  <w:r>
                    <w:rPr>
                      <w:color w:val="auto"/>
                      <w:spacing w:val="-2"/>
                      <w:sz w:val="21"/>
                      <w:szCs w:val="21"/>
                    </w:rPr>
                    <w:t>配自动排气阀、安全阀、压</w:t>
                  </w:r>
                  <w:r>
                    <w:rPr>
                      <w:color w:val="auto"/>
                      <w:sz w:val="21"/>
                      <w:szCs w:val="21"/>
                    </w:rPr>
                    <w:t>差计</w:t>
                  </w:r>
                </w:p>
              </w:tc>
            </w:tr>
            <w:tr w14:paraId="139267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45" w:type="pct"/>
                  <w:vMerge w:val="restart"/>
                  <w:vAlign w:val="center"/>
                </w:tcPr>
                <w:p w14:paraId="273EC9CD">
                  <w:pPr>
                    <w:pStyle w:val="81"/>
                    <w:spacing w:before="16"/>
                    <w:ind w:left="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179" w:type="pct"/>
                  <w:vMerge w:val="restart"/>
                  <w:vAlign w:val="center"/>
                </w:tcPr>
                <w:p w14:paraId="2E203A83">
                  <w:pPr>
                    <w:pStyle w:val="81"/>
                    <w:spacing w:before="2" w:line="289" w:lineRule="exact"/>
                    <w:ind w:left="9"/>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T</w:t>
                  </w:r>
                  <w:r>
                    <w:rPr>
                      <w:rFonts w:hint="default" w:ascii="Times New Roman" w:hAnsi="Times New Roman" w:eastAsia="Times New Roman" w:cs="Times New Roman"/>
                      <w:color w:val="auto"/>
                      <w:spacing w:val="-1"/>
                      <w:sz w:val="21"/>
                      <w:szCs w:val="21"/>
                    </w:rPr>
                    <w:t xml:space="preserve"> </w:t>
                  </w:r>
                  <w:r>
                    <w:rPr>
                      <w:rFonts w:hint="default" w:ascii="Times New Roman" w:hAnsi="Times New Roman" w:cs="Times New Roman"/>
                      <w:color w:val="auto"/>
                      <w:sz w:val="21"/>
                      <w:szCs w:val="21"/>
                    </w:rPr>
                    <w:t>型粗过滤器</w:t>
                  </w:r>
                </w:p>
              </w:tc>
              <w:tc>
                <w:tcPr>
                  <w:tcW w:w="1758" w:type="pct"/>
                </w:tcPr>
                <w:p w14:paraId="0D51E838">
                  <w:pPr>
                    <w:pStyle w:val="81"/>
                    <w:tabs>
                      <w:tab w:val="left" w:pos="953"/>
                    </w:tabs>
                    <w:spacing w:before="16"/>
                    <w:ind w:left="7"/>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DN150</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PN16</w:t>
                  </w:r>
                </w:p>
              </w:tc>
              <w:tc>
                <w:tcPr>
                  <w:tcW w:w="382" w:type="pct"/>
                </w:tcPr>
                <w:p w14:paraId="3C53CABB">
                  <w:pPr>
                    <w:pStyle w:val="81"/>
                    <w:spacing w:before="2" w:line="289" w:lineRule="exact"/>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533" w:type="pct"/>
                </w:tcPr>
                <w:p w14:paraId="5EE376CB">
                  <w:pPr>
                    <w:pStyle w:val="81"/>
                    <w:spacing w:before="16"/>
                    <w:ind w:left="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700" w:type="pct"/>
                </w:tcPr>
                <w:p w14:paraId="612A6546">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left"/>
                    <w:textAlignment w:val="auto"/>
                    <w:rPr>
                      <w:rFonts w:ascii="Times New Roman"/>
                      <w:color w:val="auto"/>
                      <w:sz w:val="21"/>
                      <w:szCs w:val="21"/>
                    </w:rPr>
                  </w:pPr>
                </w:p>
              </w:tc>
            </w:tr>
            <w:tr w14:paraId="3EACCD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45" w:type="pct"/>
                  <w:vMerge w:val="continue"/>
                </w:tcPr>
                <w:p w14:paraId="322A237B">
                  <w:pPr>
                    <w:pStyle w:val="81"/>
                    <w:jc w:val="center"/>
                    <w:rPr>
                      <w:rFonts w:hint="default" w:ascii="Times New Roman" w:hAnsi="Times New Roman" w:cs="Times New Roman"/>
                      <w:color w:val="auto"/>
                      <w:sz w:val="21"/>
                      <w:szCs w:val="21"/>
                    </w:rPr>
                  </w:pPr>
                </w:p>
              </w:tc>
              <w:tc>
                <w:tcPr>
                  <w:tcW w:w="1179" w:type="pct"/>
                  <w:vMerge w:val="continue"/>
                </w:tcPr>
                <w:p w14:paraId="158DD23F">
                  <w:pPr>
                    <w:pStyle w:val="81"/>
                    <w:jc w:val="center"/>
                    <w:rPr>
                      <w:rFonts w:hint="default" w:ascii="Times New Roman" w:hAnsi="Times New Roman" w:cs="Times New Roman"/>
                      <w:color w:val="auto"/>
                      <w:sz w:val="21"/>
                      <w:szCs w:val="21"/>
                    </w:rPr>
                  </w:pPr>
                </w:p>
              </w:tc>
              <w:tc>
                <w:tcPr>
                  <w:tcW w:w="1758" w:type="pct"/>
                </w:tcPr>
                <w:p w14:paraId="1450D757">
                  <w:pPr>
                    <w:pStyle w:val="81"/>
                    <w:tabs>
                      <w:tab w:val="left" w:pos="953"/>
                    </w:tabs>
                    <w:spacing w:before="15" w:line="275" w:lineRule="exact"/>
                    <w:ind w:left="7"/>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DN100</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PN16</w:t>
                  </w:r>
                </w:p>
              </w:tc>
              <w:tc>
                <w:tcPr>
                  <w:tcW w:w="382" w:type="pct"/>
                </w:tcPr>
                <w:p w14:paraId="1E6193C4">
                  <w:pPr>
                    <w:pStyle w:val="81"/>
                    <w:spacing w:before="2" w:line="289" w:lineRule="exact"/>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533" w:type="pct"/>
                </w:tcPr>
                <w:p w14:paraId="50FCBE0B">
                  <w:pPr>
                    <w:pStyle w:val="81"/>
                    <w:spacing w:before="15" w:line="275" w:lineRule="exact"/>
                    <w:ind w:left="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700" w:type="pct"/>
                </w:tcPr>
                <w:p w14:paraId="1E1A2FF7">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left"/>
                    <w:textAlignment w:val="auto"/>
                    <w:rPr>
                      <w:rFonts w:ascii="Times New Roman"/>
                      <w:color w:val="auto"/>
                      <w:sz w:val="21"/>
                      <w:szCs w:val="21"/>
                    </w:rPr>
                  </w:pPr>
                </w:p>
              </w:tc>
            </w:tr>
            <w:tr w14:paraId="03C70F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45" w:type="pct"/>
                </w:tcPr>
                <w:p w14:paraId="17FCB5ED">
                  <w:pPr>
                    <w:pStyle w:val="81"/>
                    <w:spacing w:before="16" w:line="275" w:lineRule="exact"/>
                    <w:ind w:left="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179" w:type="pct"/>
                </w:tcPr>
                <w:p w14:paraId="37201347">
                  <w:pPr>
                    <w:pStyle w:val="81"/>
                    <w:spacing w:line="291" w:lineRule="exact"/>
                    <w:ind w:left="9"/>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Y</w:t>
                  </w:r>
                  <w:r>
                    <w:rPr>
                      <w:rFonts w:hint="default" w:ascii="Times New Roman" w:hAnsi="Times New Roman" w:eastAsia="Times New Roman" w:cs="Times New Roman"/>
                      <w:color w:val="auto"/>
                      <w:spacing w:val="1"/>
                      <w:sz w:val="21"/>
                      <w:szCs w:val="21"/>
                    </w:rPr>
                    <w:t xml:space="preserve"> </w:t>
                  </w:r>
                  <w:r>
                    <w:rPr>
                      <w:rFonts w:hint="default" w:ascii="Times New Roman" w:hAnsi="Times New Roman" w:cs="Times New Roman"/>
                      <w:color w:val="auto"/>
                      <w:sz w:val="21"/>
                      <w:szCs w:val="21"/>
                    </w:rPr>
                    <w:t>型粗过滤器</w:t>
                  </w:r>
                </w:p>
              </w:tc>
              <w:tc>
                <w:tcPr>
                  <w:tcW w:w="1758" w:type="pct"/>
                </w:tcPr>
                <w:p w14:paraId="3F8655D1">
                  <w:pPr>
                    <w:pStyle w:val="81"/>
                    <w:tabs>
                      <w:tab w:val="left" w:pos="953"/>
                    </w:tabs>
                    <w:spacing w:before="16" w:line="275" w:lineRule="exact"/>
                    <w:ind w:left="7"/>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DN50</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PN16</w:t>
                  </w:r>
                </w:p>
              </w:tc>
              <w:tc>
                <w:tcPr>
                  <w:tcW w:w="382" w:type="pct"/>
                </w:tcPr>
                <w:p w14:paraId="58626505">
                  <w:pPr>
                    <w:pStyle w:val="81"/>
                    <w:spacing w:line="291" w:lineRule="exact"/>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533" w:type="pct"/>
                </w:tcPr>
                <w:p w14:paraId="1ABD8CF0">
                  <w:pPr>
                    <w:pStyle w:val="81"/>
                    <w:spacing w:before="16" w:line="275" w:lineRule="exact"/>
                    <w:ind w:left="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700" w:type="pct"/>
                </w:tcPr>
                <w:p w14:paraId="3D9A88A3">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left"/>
                    <w:textAlignment w:val="auto"/>
                    <w:rPr>
                      <w:rFonts w:ascii="Times New Roman"/>
                      <w:color w:val="auto"/>
                      <w:sz w:val="21"/>
                      <w:szCs w:val="21"/>
                    </w:rPr>
                  </w:pPr>
                </w:p>
              </w:tc>
            </w:tr>
            <w:tr w14:paraId="51FA6B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45" w:type="pct"/>
                </w:tcPr>
                <w:p w14:paraId="0AF231FB">
                  <w:pPr>
                    <w:pStyle w:val="81"/>
                    <w:spacing w:before="1" w:line="290" w:lineRule="exact"/>
                    <w:ind w:left="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四</w:t>
                  </w:r>
                </w:p>
              </w:tc>
              <w:tc>
                <w:tcPr>
                  <w:tcW w:w="1179" w:type="pct"/>
                </w:tcPr>
                <w:p w14:paraId="2686681C">
                  <w:pPr>
                    <w:pStyle w:val="81"/>
                    <w:spacing w:before="1" w:line="290" w:lineRule="exact"/>
                    <w:ind w:left="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仪表</w:t>
                  </w:r>
                </w:p>
              </w:tc>
              <w:tc>
                <w:tcPr>
                  <w:tcW w:w="1758" w:type="pct"/>
                </w:tcPr>
                <w:p w14:paraId="424ACF08">
                  <w:pPr>
                    <w:pStyle w:val="81"/>
                    <w:jc w:val="center"/>
                    <w:rPr>
                      <w:rFonts w:hint="default" w:ascii="Times New Roman" w:hAnsi="Times New Roman" w:cs="Times New Roman"/>
                      <w:color w:val="auto"/>
                      <w:sz w:val="21"/>
                      <w:szCs w:val="21"/>
                    </w:rPr>
                  </w:pPr>
                </w:p>
              </w:tc>
              <w:tc>
                <w:tcPr>
                  <w:tcW w:w="382" w:type="pct"/>
                </w:tcPr>
                <w:p w14:paraId="6D5CA7C6">
                  <w:pPr>
                    <w:pStyle w:val="81"/>
                    <w:jc w:val="center"/>
                    <w:rPr>
                      <w:rFonts w:hint="default" w:ascii="Times New Roman" w:hAnsi="Times New Roman" w:cs="Times New Roman"/>
                      <w:color w:val="auto"/>
                      <w:sz w:val="21"/>
                      <w:szCs w:val="21"/>
                    </w:rPr>
                  </w:pPr>
                </w:p>
              </w:tc>
              <w:tc>
                <w:tcPr>
                  <w:tcW w:w="533" w:type="pct"/>
                </w:tcPr>
                <w:p w14:paraId="103FE2E3">
                  <w:pPr>
                    <w:pStyle w:val="81"/>
                    <w:jc w:val="center"/>
                    <w:rPr>
                      <w:rFonts w:hint="default" w:ascii="Times New Roman" w:hAnsi="Times New Roman" w:cs="Times New Roman"/>
                      <w:color w:val="auto"/>
                      <w:sz w:val="21"/>
                      <w:szCs w:val="21"/>
                    </w:rPr>
                  </w:pPr>
                </w:p>
              </w:tc>
              <w:tc>
                <w:tcPr>
                  <w:tcW w:w="700" w:type="pct"/>
                </w:tcPr>
                <w:p w14:paraId="0B184B0B">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left"/>
                    <w:textAlignment w:val="auto"/>
                    <w:rPr>
                      <w:rFonts w:ascii="Times New Roman"/>
                      <w:color w:val="auto"/>
                      <w:sz w:val="21"/>
                      <w:szCs w:val="21"/>
                    </w:rPr>
                  </w:pPr>
                </w:p>
              </w:tc>
            </w:tr>
            <w:tr w14:paraId="6AF020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45" w:type="pct"/>
                </w:tcPr>
                <w:p w14:paraId="08380F06">
                  <w:pPr>
                    <w:pStyle w:val="81"/>
                    <w:spacing w:before="17" w:line="274" w:lineRule="exact"/>
                    <w:ind w:left="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179" w:type="pct"/>
                </w:tcPr>
                <w:p w14:paraId="165E0D18">
                  <w:pPr>
                    <w:pStyle w:val="81"/>
                    <w:spacing w:before="1" w:line="290" w:lineRule="exact"/>
                    <w:ind w:left="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压力真空表</w:t>
                  </w:r>
                </w:p>
              </w:tc>
              <w:tc>
                <w:tcPr>
                  <w:tcW w:w="1758" w:type="pct"/>
                </w:tcPr>
                <w:p w14:paraId="62E214A5">
                  <w:pPr>
                    <w:pStyle w:val="81"/>
                    <w:spacing w:before="1" w:line="290" w:lineRule="exact"/>
                    <w:ind w:left="8"/>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-0.1</w:t>
                  </w:r>
                  <w:r>
                    <w:rPr>
                      <w:rFonts w:hint="default" w:ascii="Times New Roman" w:hAnsi="Times New Roman" w:cs="Times New Roman"/>
                      <w:color w:val="auto"/>
                      <w:sz w:val="21"/>
                      <w:szCs w:val="21"/>
                    </w:rPr>
                    <w:t>～</w:t>
                  </w:r>
                  <w:r>
                    <w:rPr>
                      <w:rFonts w:hint="default" w:ascii="Times New Roman" w:hAnsi="Times New Roman" w:eastAsia="Times New Roman" w:cs="Times New Roman"/>
                      <w:color w:val="auto"/>
                      <w:sz w:val="21"/>
                      <w:szCs w:val="21"/>
                    </w:rPr>
                    <w:t>0.1MPa</w:t>
                  </w:r>
                </w:p>
              </w:tc>
              <w:tc>
                <w:tcPr>
                  <w:tcW w:w="382" w:type="pct"/>
                </w:tcPr>
                <w:p w14:paraId="046E1EE1">
                  <w:pPr>
                    <w:pStyle w:val="81"/>
                    <w:spacing w:before="1" w:line="290" w:lineRule="exact"/>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个</w:t>
                  </w:r>
                </w:p>
              </w:tc>
              <w:tc>
                <w:tcPr>
                  <w:tcW w:w="533" w:type="pct"/>
                </w:tcPr>
                <w:p w14:paraId="714C3A2F">
                  <w:pPr>
                    <w:pStyle w:val="81"/>
                    <w:spacing w:before="17" w:line="274" w:lineRule="exact"/>
                    <w:ind w:left="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700" w:type="pct"/>
                  <w:vMerge w:val="restart"/>
                </w:tcPr>
                <w:p w14:paraId="5E554CB9">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textAlignment w:val="auto"/>
                    <w:rPr>
                      <w:color w:val="auto"/>
                      <w:sz w:val="21"/>
                      <w:szCs w:val="21"/>
                    </w:rPr>
                  </w:pPr>
                  <w:r>
                    <w:rPr>
                      <w:color w:val="auto"/>
                      <w:sz w:val="21"/>
                      <w:szCs w:val="21"/>
                    </w:rPr>
                    <w:t>带根部阀及管</w:t>
                  </w:r>
                  <w:r>
                    <w:rPr>
                      <w:color w:val="auto"/>
                      <w:spacing w:val="-9"/>
                      <w:sz w:val="21"/>
                      <w:szCs w:val="21"/>
                    </w:rPr>
                    <w:t>接头，引</w:t>
                  </w:r>
                  <w:r>
                    <w:rPr>
                      <w:color w:val="auto"/>
                      <w:sz w:val="21"/>
                      <w:szCs w:val="21"/>
                    </w:rPr>
                    <w:t>压管采用不锈</w:t>
                  </w:r>
                </w:p>
                <w:p w14:paraId="78DED380">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textAlignment w:val="auto"/>
                    <w:rPr>
                      <w:color w:val="auto"/>
                      <w:sz w:val="21"/>
                      <w:szCs w:val="21"/>
                    </w:rPr>
                  </w:pPr>
                  <w:r>
                    <w:rPr>
                      <w:color w:val="auto"/>
                      <w:sz w:val="21"/>
                      <w:szCs w:val="21"/>
                    </w:rPr>
                    <w:t>钢</w:t>
                  </w:r>
                </w:p>
              </w:tc>
            </w:tr>
            <w:tr w14:paraId="7B76F8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445" w:type="pct"/>
                  <w:vAlign w:val="center"/>
                </w:tcPr>
                <w:p w14:paraId="3EBB5559">
                  <w:pPr>
                    <w:pStyle w:val="81"/>
                    <w:spacing w:before="1" w:line="290" w:lineRule="exact"/>
                    <w:ind w:left="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179" w:type="pct"/>
                  <w:vAlign w:val="center"/>
                </w:tcPr>
                <w:p w14:paraId="082F4A50">
                  <w:pPr>
                    <w:pStyle w:val="81"/>
                    <w:spacing w:before="1" w:line="290" w:lineRule="exact"/>
                    <w:ind w:left="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压力表</w:t>
                  </w:r>
                </w:p>
              </w:tc>
              <w:tc>
                <w:tcPr>
                  <w:tcW w:w="1758" w:type="pct"/>
                  <w:vAlign w:val="center"/>
                </w:tcPr>
                <w:p w14:paraId="4D3D7DAD">
                  <w:pPr>
                    <w:pStyle w:val="81"/>
                    <w:spacing w:before="1" w:line="290" w:lineRule="exact"/>
                    <w:ind w:left="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0～0.6MPa</w:t>
                  </w:r>
                </w:p>
              </w:tc>
              <w:tc>
                <w:tcPr>
                  <w:tcW w:w="382" w:type="pct"/>
                </w:tcPr>
                <w:p w14:paraId="24E7BFEB">
                  <w:pPr>
                    <w:pStyle w:val="81"/>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个</w:t>
                  </w:r>
                </w:p>
              </w:tc>
              <w:tc>
                <w:tcPr>
                  <w:tcW w:w="533" w:type="pct"/>
                </w:tcPr>
                <w:p w14:paraId="1F738277">
                  <w:pPr>
                    <w:pStyle w:val="81"/>
                    <w:ind w:left="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700" w:type="pct"/>
                  <w:vMerge w:val="continue"/>
                  <w:tcBorders>
                    <w:top w:val="nil"/>
                  </w:tcBorders>
                </w:tcPr>
                <w:p w14:paraId="26645889">
                  <w:pPr>
                    <w:keepNext w:val="0"/>
                    <w:keepLines w:val="0"/>
                    <w:pageBreakBefore w:val="0"/>
                    <w:widowControl w:val="0"/>
                    <w:kinsoku/>
                    <w:wordWrap/>
                    <w:overflowPunct/>
                    <w:topLinePunct w:val="0"/>
                    <w:autoSpaceDE/>
                    <w:autoSpaceDN/>
                    <w:bidi w:val="0"/>
                    <w:adjustRightInd/>
                    <w:snapToGrid/>
                    <w:spacing w:line="280" w:lineRule="exact"/>
                    <w:ind w:left="0" w:right="0" w:firstLine="0"/>
                    <w:textAlignment w:val="auto"/>
                    <w:rPr>
                      <w:color w:val="auto"/>
                      <w:sz w:val="21"/>
                      <w:szCs w:val="21"/>
                    </w:rPr>
                  </w:pPr>
                </w:p>
              </w:tc>
            </w:tr>
            <w:tr w14:paraId="163C7A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45" w:type="pct"/>
                </w:tcPr>
                <w:p w14:paraId="58791DD9">
                  <w:pPr>
                    <w:pStyle w:val="81"/>
                    <w:spacing w:line="291" w:lineRule="exact"/>
                    <w:ind w:left="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五</w:t>
                  </w:r>
                </w:p>
              </w:tc>
              <w:tc>
                <w:tcPr>
                  <w:tcW w:w="1179" w:type="pct"/>
                </w:tcPr>
                <w:p w14:paraId="339B5A3D">
                  <w:pPr>
                    <w:pStyle w:val="81"/>
                    <w:spacing w:line="291" w:lineRule="exact"/>
                    <w:ind w:left="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阀门</w:t>
                  </w:r>
                </w:p>
              </w:tc>
              <w:tc>
                <w:tcPr>
                  <w:tcW w:w="1758" w:type="pct"/>
                </w:tcPr>
                <w:p w14:paraId="5710F649">
                  <w:pPr>
                    <w:pStyle w:val="81"/>
                    <w:jc w:val="center"/>
                    <w:rPr>
                      <w:rFonts w:hint="default" w:ascii="Times New Roman" w:hAnsi="Times New Roman" w:cs="Times New Roman"/>
                      <w:color w:val="auto"/>
                      <w:sz w:val="21"/>
                      <w:szCs w:val="21"/>
                    </w:rPr>
                  </w:pPr>
                </w:p>
              </w:tc>
              <w:tc>
                <w:tcPr>
                  <w:tcW w:w="382" w:type="pct"/>
                </w:tcPr>
                <w:p w14:paraId="5B9DD160">
                  <w:pPr>
                    <w:pStyle w:val="81"/>
                    <w:jc w:val="center"/>
                    <w:rPr>
                      <w:rFonts w:hint="default" w:ascii="Times New Roman" w:hAnsi="Times New Roman" w:cs="Times New Roman"/>
                      <w:color w:val="auto"/>
                      <w:sz w:val="21"/>
                      <w:szCs w:val="21"/>
                    </w:rPr>
                  </w:pPr>
                </w:p>
              </w:tc>
              <w:tc>
                <w:tcPr>
                  <w:tcW w:w="533" w:type="pct"/>
                </w:tcPr>
                <w:p w14:paraId="0C79B385">
                  <w:pPr>
                    <w:pStyle w:val="81"/>
                    <w:jc w:val="center"/>
                    <w:rPr>
                      <w:rFonts w:hint="default" w:ascii="Times New Roman" w:hAnsi="Times New Roman" w:cs="Times New Roman"/>
                      <w:color w:val="auto"/>
                      <w:sz w:val="21"/>
                      <w:szCs w:val="21"/>
                    </w:rPr>
                  </w:pPr>
                </w:p>
              </w:tc>
              <w:tc>
                <w:tcPr>
                  <w:tcW w:w="700" w:type="pct"/>
                </w:tcPr>
                <w:p w14:paraId="00046292">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left"/>
                    <w:textAlignment w:val="auto"/>
                    <w:rPr>
                      <w:rFonts w:ascii="Times New Roman"/>
                      <w:color w:val="auto"/>
                      <w:sz w:val="21"/>
                      <w:szCs w:val="21"/>
                    </w:rPr>
                  </w:pPr>
                </w:p>
              </w:tc>
            </w:tr>
            <w:tr w14:paraId="379611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445" w:type="pct"/>
                </w:tcPr>
                <w:p w14:paraId="40A5651F">
                  <w:pPr>
                    <w:pStyle w:val="81"/>
                    <w:spacing w:before="17"/>
                    <w:ind w:left="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179" w:type="pct"/>
                </w:tcPr>
                <w:p w14:paraId="2349D0C7">
                  <w:pPr>
                    <w:pStyle w:val="81"/>
                    <w:spacing w:before="1" w:line="300" w:lineRule="exact"/>
                    <w:ind w:left="9"/>
                    <w:jc w:val="center"/>
                    <w:rPr>
                      <w:rFonts w:hint="default" w:ascii="Times New Roman" w:hAnsi="Times New Roman" w:cs="Times New Roman"/>
                      <w:color w:val="auto"/>
                      <w:sz w:val="21"/>
                      <w:szCs w:val="21"/>
                    </w:rPr>
                  </w:pPr>
                  <w:r>
                    <w:rPr>
                      <w:rFonts w:hint="default" w:ascii="Times New Roman" w:hAnsi="Times New Roman" w:cs="Times New Roman"/>
                      <w:color w:val="auto"/>
                      <w:spacing w:val="-21"/>
                      <w:sz w:val="21"/>
                      <w:szCs w:val="21"/>
                    </w:rPr>
                    <w:t xml:space="preserve">电动 </w:t>
                  </w:r>
                  <w:r>
                    <w:rPr>
                      <w:rFonts w:hint="default" w:ascii="Times New Roman" w:hAnsi="Times New Roman" w:eastAsia="Times New Roman" w:cs="Times New Roman"/>
                      <w:color w:val="auto"/>
                      <w:spacing w:val="-1"/>
                      <w:sz w:val="21"/>
                      <w:szCs w:val="21"/>
                    </w:rPr>
                    <w:t>DBB</w:t>
                  </w:r>
                  <w:r>
                    <w:rPr>
                      <w:rFonts w:hint="default" w:ascii="Times New Roman" w:hAnsi="Times New Roman" w:eastAsia="Times New Roman" w:cs="Times New Roman"/>
                      <w:color w:val="auto"/>
                      <w:spacing w:val="5"/>
                      <w:sz w:val="21"/>
                      <w:szCs w:val="21"/>
                    </w:rPr>
                    <w:t xml:space="preserve"> </w:t>
                  </w:r>
                  <w:r>
                    <w:rPr>
                      <w:rFonts w:hint="default" w:ascii="Times New Roman" w:hAnsi="Times New Roman" w:cs="Times New Roman"/>
                      <w:color w:val="auto"/>
                      <w:sz w:val="21"/>
                      <w:szCs w:val="21"/>
                    </w:rPr>
                    <w:t>旋塞阀</w:t>
                  </w:r>
                </w:p>
              </w:tc>
              <w:tc>
                <w:tcPr>
                  <w:tcW w:w="1758" w:type="pct"/>
                </w:tcPr>
                <w:p w14:paraId="16BAB9D6">
                  <w:pPr>
                    <w:pStyle w:val="81"/>
                    <w:tabs>
                      <w:tab w:val="left" w:pos="953"/>
                    </w:tabs>
                    <w:spacing w:before="17"/>
                    <w:ind w:left="7"/>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DN150</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PN16</w:t>
                  </w:r>
                </w:p>
              </w:tc>
              <w:tc>
                <w:tcPr>
                  <w:tcW w:w="382" w:type="pct"/>
                </w:tcPr>
                <w:p w14:paraId="3C6E8BBC">
                  <w:pPr>
                    <w:pStyle w:val="81"/>
                    <w:spacing w:before="1" w:line="300" w:lineRule="exact"/>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个</w:t>
                  </w:r>
                </w:p>
              </w:tc>
              <w:tc>
                <w:tcPr>
                  <w:tcW w:w="533" w:type="pct"/>
                </w:tcPr>
                <w:p w14:paraId="4577C381">
                  <w:pPr>
                    <w:pStyle w:val="81"/>
                    <w:spacing w:before="17"/>
                    <w:ind w:left="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700" w:type="pct"/>
                </w:tcPr>
                <w:p w14:paraId="4536010B">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left"/>
                    <w:textAlignment w:val="auto"/>
                    <w:rPr>
                      <w:rFonts w:ascii="Times New Roman"/>
                      <w:color w:val="auto"/>
                      <w:sz w:val="21"/>
                      <w:szCs w:val="21"/>
                    </w:rPr>
                  </w:pPr>
                </w:p>
              </w:tc>
            </w:tr>
            <w:tr w14:paraId="4A2675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445" w:type="pct"/>
                  <w:vMerge w:val="restart"/>
                  <w:vAlign w:val="center"/>
                </w:tcPr>
                <w:p w14:paraId="3901638E">
                  <w:pPr>
                    <w:pStyle w:val="81"/>
                    <w:spacing w:before="17" w:line="275" w:lineRule="exact"/>
                    <w:ind w:left="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179" w:type="pct"/>
                  <w:vMerge w:val="restart"/>
                  <w:vAlign w:val="center"/>
                </w:tcPr>
                <w:p w14:paraId="460E10C1">
                  <w:pPr>
                    <w:pStyle w:val="81"/>
                    <w:spacing w:before="1" w:line="291" w:lineRule="exact"/>
                    <w:ind w:left="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轻型平板闸阀</w:t>
                  </w:r>
                </w:p>
              </w:tc>
              <w:tc>
                <w:tcPr>
                  <w:tcW w:w="1758" w:type="pct"/>
                </w:tcPr>
                <w:p w14:paraId="1BA33096">
                  <w:pPr>
                    <w:pStyle w:val="81"/>
                    <w:tabs>
                      <w:tab w:val="left" w:pos="953"/>
                    </w:tabs>
                    <w:spacing w:before="17" w:line="275" w:lineRule="exact"/>
                    <w:ind w:left="7"/>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DN200</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PN16</w:t>
                  </w:r>
                </w:p>
              </w:tc>
              <w:tc>
                <w:tcPr>
                  <w:tcW w:w="382" w:type="pct"/>
                </w:tcPr>
                <w:p w14:paraId="6E3725EB">
                  <w:pPr>
                    <w:pStyle w:val="81"/>
                    <w:spacing w:before="1" w:line="291" w:lineRule="exact"/>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个</w:t>
                  </w:r>
                </w:p>
              </w:tc>
              <w:tc>
                <w:tcPr>
                  <w:tcW w:w="533" w:type="pct"/>
                </w:tcPr>
                <w:p w14:paraId="59B94E34">
                  <w:pPr>
                    <w:pStyle w:val="81"/>
                    <w:spacing w:before="17" w:line="275" w:lineRule="exact"/>
                    <w:ind w:left="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700" w:type="pct"/>
                </w:tcPr>
                <w:p w14:paraId="0B21082A">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left"/>
                    <w:textAlignment w:val="auto"/>
                    <w:rPr>
                      <w:rFonts w:ascii="Times New Roman"/>
                      <w:color w:val="auto"/>
                      <w:sz w:val="21"/>
                      <w:szCs w:val="21"/>
                    </w:rPr>
                  </w:pPr>
                </w:p>
              </w:tc>
            </w:tr>
            <w:tr w14:paraId="5FC2FF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45" w:type="pct"/>
                  <w:vMerge w:val="continue"/>
                  <w:vAlign w:val="center"/>
                </w:tcPr>
                <w:p w14:paraId="33D409A1">
                  <w:pPr>
                    <w:pStyle w:val="81"/>
                    <w:jc w:val="center"/>
                    <w:rPr>
                      <w:rFonts w:hint="default" w:ascii="Times New Roman" w:hAnsi="Times New Roman" w:cs="Times New Roman"/>
                      <w:color w:val="auto"/>
                      <w:sz w:val="21"/>
                      <w:szCs w:val="21"/>
                    </w:rPr>
                  </w:pPr>
                </w:p>
              </w:tc>
              <w:tc>
                <w:tcPr>
                  <w:tcW w:w="1179" w:type="pct"/>
                  <w:vMerge w:val="continue"/>
                  <w:vAlign w:val="center"/>
                </w:tcPr>
                <w:p w14:paraId="6673C080">
                  <w:pPr>
                    <w:pStyle w:val="81"/>
                    <w:jc w:val="center"/>
                    <w:rPr>
                      <w:rFonts w:hint="default" w:ascii="Times New Roman" w:hAnsi="Times New Roman" w:cs="Times New Roman"/>
                      <w:color w:val="auto"/>
                      <w:sz w:val="21"/>
                      <w:szCs w:val="21"/>
                    </w:rPr>
                  </w:pPr>
                </w:p>
              </w:tc>
              <w:tc>
                <w:tcPr>
                  <w:tcW w:w="1758" w:type="pct"/>
                </w:tcPr>
                <w:p w14:paraId="31469069">
                  <w:pPr>
                    <w:pStyle w:val="81"/>
                    <w:tabs>
                      <w:tab w:val="left" w:pos="953"/>
                    </w:tabs>
                    <w:spacing w:before="16" w:line="274" w:lineRule="exact"/>
                    <w:ind w:left="7"/>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DN150</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PN16</w:t>
                  </w:r>
                </w:p>
              </w:tc>
              <w:tc>
                <w:tcPr>
                  <w:tcW w:w="382" w:type="pct"/>
                </w:tcPr>
                <w:p w14:paraId="1402B192">
                  <w:pPr>
                    <w:pStyle w:val="81"/>
                    <w:spacing w:line="290" w:lineRule="exact"/>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个</w:t>
                  </w:r>
                </w:p>
              </w:tc>
              <w:tc>
                <w:tcPr>
                  <w:tcW w:w="533" w:type="pct"/>
                </w:tcPr>
                <w:p w14:paraId="07A12BDF">
                  <w:pPr>
                    <w:pStyle w:val="81"/>
                    <w:spacing w:before="16" w:line="274" w:lineRule="exact"/>
                    <w:ind w:left="212" w:right="20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w:t>
                  </w:r>
                </w:p>
              </w:tc>
              <w:tc>
                <w:tcPr>
                  <w:tcW w:w="700" w:type="pct"/>
                </w:tcPr>
                <w:p w14:paraId="61679DA0">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left"/>
                    <w:textAlignment w:val="auto"/>
                    <w:rPr>
                      <w:rFonts w:ascii="Times New Roman"/>
                      <w:color w:val="auto"/>
                      <w:sz w:val="21"/>
                      <w:szCs w:val="21"/>
                    </w:rPr>
                  </w:pPr>
                </w:p>
              </w:tc>
            </w:tr>
            <w:tr w14:paraId="2FB6F6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45" w:type="pct"/>
                  <w:vMerge w:val="restart"/>
                  <w:vAlign w:val="center"/>
                </w:tcPr>
                <w:p w14:paraId="7410F4FF">
                  <w:pPr>
                    <w:pStyle w:val="81"/>
                    <w:spacing w:before="15"/>
                    <w:ind w:left="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179" w:type="pct"/>
                  <w:vMerge w:val="restart"/>
                  <w:vAlign w:val="center"/>
                </w:tcPr>
                <w:p w14:paraId="465C460C">
                  <w:pPr>
                    <w:pStyle w:val="81"/>
                    <w:spacing w:before="1" w:line="290" w:lineRule="exact"/>
                    <w:ind w:left="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不锈钢平板闸阀</w:t>
                  </w:r>
                </w:p>
              </w:tc>
              <w:tc>
                <w:tcPr>
                  <w:tcW w:w="1758" w:type="pct"/>
                </w:tcPr>
                <w:p w14:paraId="59865C3B">
                  <w:pPr>
                    <w:pStyle w:val="81"/>
                    <w:tabs>
                      <w:tab w:val="left" w:pos="953"/>
                    </w:tabs>
                    <w:spacing w:before="15"/>
                    <w:ind w:left="7"/>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DN100</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PN16</w:t>
                  </w:r>
                </w:p>
              </w:tc>
              <w:tc>
                <w:tcPr>
                  <w:tcW w:w="382" w:type="pct"/>
                </w:tcPr>
                <w:p w14:paraId="39E11B71">
                  <w:pPr>
                    <w:pStyle w:val="81"/>
                    <w:spacing w:before="1" w:line="290" w:lineRule="exact"/>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个</w:t>
                  </w:r>
                </w:p>
              </w:tc>
              <w:tc>
                <w:tcPr>
                  <w:tcW w:w="533" w:type="pct"/>
                </w:tcPr>
                <w:p w14:paraId="02D3D156">
                  <w:pPr>
                    <w:pStyle w:val="81"/>
                    <w:spacing w:before="15"/>
                    <w:ind w:left="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700" w:type="pct"/>
                </w:tcPr>
                <w:p w14:paraId="332AC1C4">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left"/>
                    <w:textAlignment w:val="auto"/>
                    <w:rPr>
                      <w:rFonts w:ascii="Times New Roman"/>
                      <w:color w:val="auto"/>
                      <w:sz w:val="21"/>
                      <w:szCs w:val="21"/>
                    </w:rPr>
                  </w:pPr>
                </w:p>
              </w:tc>
            </w:tr>
            <w:tr w14:paraId="3C9D7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45" w:type="pct"/>
                  <w:vMerge w:val="continue"/>
                </w:tcPr>
                <w:p w14:paraId="6A5341AC">
                  <w:pPr>
                    <w:pStyle w:val="81"/>
                    <w:jc w:val="center"/>
                    <w:rPr>
                      <w:rFonts w:hint="default" w:ascii="Times New Roman" w:hAnsi="Times New Roman" w:cs="Times New Roman"/>
                      <w:color w:val="auto"/>
                      <w:sz w:val="21"/>
                      <w:szCs w:val="21"/>
                    </w:rPr>
                  </w:pPr>
                </w:p>
              </w:tc>
              <w:tc>
                <w:tcPr>
                  <w:tcW w:w="1179" w:type="pct"/>
                  <w:vMerge w:val="continue"/>
                </w:tcPr>
                <w:p w14:paraId="14AF87C1">
                  <w:pPr>
                    <w:pStyle w:val="81"/>
                    <w:jc w:val="center"/>
                    <w:rPr>
                      <w:rFonts w:hint="default" w:ascii="Times New Roman" w:hAnsi="Times New Roman" w:cs="Times New Roman"/>
                      <w:color w:val="auto"/>
                      <w:sz w:val="21"/>
                      <w:szCs w:val="21"/>
                    </w:rPr>
                  </w:pPr>
                </w:p>
              </w:tc>
              <w:tc>
                <w:tcPr>
                  <w:tcW w:w="1758" w:type="pct"/>
                </w:tcPr>
                <w:p w14:paraId="42912D54">
                  <w:pPr>
                    <w:pStyle w:val="81"/>
                    <w:tabs>
                      <w:tab w:val="left" w:pos="833"/>
                    </w:tabs>
                    <w:spacing w:before="18" w:line="273" w:lineRule="exact"/>
                    <w:ind w:left="7"/>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DN80</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PN16</w:t>
                  </w:r>
                </w:p>
              </w:tc>
              <w:tc>
                <w:tcPr>
                  <w:tcW w:w="382" w:type="pct"/>
                </w:tcPr>
                <w:p w14:paraId="54111213">
                  <w:pPr>
                    <w:pStyle w:val="81"/>
                    <w:spacing w:before="2" w:line="289" w:lineRule="exact"/>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个</w:t>
                  </w:r>
                </w:p>
              </w:tc>
              <w:tc>
                <w:tcPr>
                  <w:tcW w:w="533" w:type="pct"/>
                </w:tcPr>
                <w:p w14:paraId="0B31C9EE">
                  <w:pPr>
                    <w:pStyle w:val="81"/>
                    <w:spacing w:before="18" w:line="273" w:lineRule="exact"/>
                    <w:ind w:left="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700" w:type="pct"/>
                </w:tcPr>
                <w:p w14:paraId="19CAED6D">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left"/>
                    <w:textAlignment w:val="auto"/>
                    <w:rPr>
                      <w:rFonts w:ascii="Times New Roman"/>
                      <w:color w:val="auto"/>
                      <w:sz w:val="21"/>
                      <w:szCs w:val="21"/>
                    </w:rPr>
                  </w:pPr>
                </w:p>
              </w:tc>
            </w:tr>
            <w:tr w14:paraId="1B2E77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45" w:type="pct"/>
                  <w:vMerge w:val="continue"/>
                </w:tcPr>
                <w:p w14:paraId="3ECF02C4">
                  <w:pPr>
                    <w:pStyle w:val="81"/>
                    <w:jc w:val="center"/>
                    <w:rPr>
                      <w:rFonts w:hint="default" w:ascii="Times New Roman" w:hAnsi="Times New Roman" w:cs="Times New Roman"/>
                      <w:color w:val="auto"/>
                      <w:sz w:val="21"/>
                      <w:szCs w:val="21"/>
                    </w:rPr>
                  </w:pPr>
                </w:p>
              </w:tc>
              <w:tc>
                <w:tcPr>
                  <w:tcW w:w="1179" w:type="pct"/>
                  <w:vMerge w:val="continue"/>
                </w:tcPr>
                <w:p w14:paraId="3302954A">
                  <w:pPr>
                    <w:pStyle w:val="81"/>
                    <w:jc w:val="center"/>
                    <w:rPr>
                      <w:rFonts w:hint="default" w:ascii="Times New Roman" w:hAnsi="Times New Roman" w:cs="Times New Roman"/>
                      <w:color w:val="auto"/>
                      <w:sz w:val="21"/>
                      <w:szCs w:val="21"/>
                    </w:rPr>
                  </w:pPr>
                </w:p>
              </w:tc>
              <w:tc>
                <w:tcPr>
                  <w:tcW w:w="1758" w:type="pct"/>
                </w:tcPr>
                <w:p w14:paraId="1C4720E2">
                  <w:pPr>
                    <w:pStyle w:val="81"/>
                    <w:tabs>
                      <w:tab w:val="left" w:pos="1615"/>
                    </w:tabs>
                    <w:spacing w:before="2" w:line="289" w:lineRule="exact"/>
                    <w:ind w:left="1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DN50</w:t>
                  </w:r>
                  <w:r>
                    <w:rPr>
                      <w:rFonts w:hint="default" w:ascii="Times New Roman" w:hAnsi="Times New Roman" w:eastAsia="Times New Roman" w:cs="Times New Roman"/>
                      <w:color w:val="auto"/>
                      <w:spacing w:val="-1"/>
                      <w:sz w:val="21"/>
                      <w:szCs w:val="21"/>
                    </w:rPr>
                    <w:t xml:space="preserve"> </w:t>
                  </w:r>
                  <w:r>
                    <w:rPr>
                      <w:rFonts w:hint="default" w:ascii="Times New Roman" w:hAnsi="Times New Roman" w:cs="Times New Roman"/>
                      <w:color w:val="auto"/>
                      <w:sz w:val="21"/>
                      <w:szCs w:val="21"/>
                    </w:rPr>
                    <w:t>及以下</w:t>
                  </w:r>
                  <w:r>
                    <w:rPr>
                      <w:rFonts w:hint="eastAsia" w:ascii="Times New Roman" w:hAnsi="Times New Roman" w:cs="Times New Roman"/>
                      <w:color w:val="auto"/>
                      <w:sz w:val="21"/>
                      <w:szCs w:val="21"/>
                      <w:lang w:eastAsia="zh-CN"/>
                    </w:rPr>
                    <w:t>，</w:t>
                  </w:r>
                  <w:r>
                    <w:rPr>
                      <w:rFonts w:hint="default" w:ascii="Times New Roman" w:hAnsi="Times New Roman" w:eastAsia="Times New Roman" w:cs="Times New Roman"/>
                      <w:color w:val="auto"/>
                      <w:sz w:val="21"/>
                      <w:szCs w:val="21"/>
                    </w:rPr>
                    <w:t>PN16</w:t>
                  </w:r>
                </w:p>
              </w:tc>
              <w:tc>
                <w:tcPr>
                  <w:tcW w:w="382" w:type="pct"/>
                </w:tcPr>
                <w:p w14:paraId="667413A9">
                  <w:pPr>
                    <w:pStyle w:val="81"/>
                    <w:spacing w:before="2" w:line="289" w:lineRule="exact"/>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个</w:t>
                  </w:r>
                </w:p>
              </w:tc>
              <w:tc>
                <w:tcPr>
                  <w:tcW w:w="533" w:type="pct"/>
                </w:tcPr>
                <w:p w14:paraId="0EEE3344">
                  <w:pPr>
                    <w:pStyle w:val="81"/>
                    <w:spacing w:before="16"/>
                    <w:ind w:left="212" w:right="20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700" w:type="pct"/>
                </w:tcPr>
                <w:p w14:paraId="308B3D6C">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left"/>
                    <w:textAlignment w:val="auto"/>
                    <w:rPr>
                      <w:rFonts w:ascii="Times New Roman"/>
                      <w:color w:val="auto"/>
                      <w:sz w:val="21"/>
                      <w:szCs w:val="21"/>
                    </w:rPr>
                  </w:pPr>
                </w:p>
              </w:tc>
            </w:tr>
            <w:tr w14:paraId="171FB6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45" w:type="pct"/>
                  <w:vMerge w:val="restart"/>
                  <w:vAlign w:val="center"/>
                </w:tcPr>
                <w:p w14:paraId="3CDC9EFD">
                  <w:pPr>
                    <w:pStyle w:val="81"/>
                    <w:spacing w:before="15" w:line="275" w:lineRule="exact"/>
                    <w:ind w:left="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1179" w:type="pct"/>
                  <w:vMerge w:val="restart"/>
                  <w:vAlign w:val="center"/>
                </w:tcPr>
                <w:p w14:paraId="7CEBC4B4">
                  <w:pPr>
                    <w:pStyle w:val="81"/>
                    <w:spacing w:before="2" w:line="289" w:lineRule="exact"/>
                    <w:ind w:left="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不锈钢球阀</w:t>
                  </w:r>
                </w:p>
              </w:tc>
              <w:tc>
                <w:tcPr>
                  <w:tcW w:w="1758" w:type="pct"/>
                  <w:vAlign w:val="center"/>
                </w:tcPr>
                <w:p w14:paraId="4E36E1CF">
                  <w:pPr>
                    <w:pStyle w:val="81"/>
                    <w:tabs>
                      <w:tab w:val="left" w:pos="953"/>
                    </w:tabs>
                    <w:spacing w:before="15" w:line="275" w:lineRule="exact"/>
                    <w:ind w:left="7"/>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DN100</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PN16</w:t>
                  </w:r>
                </w:p>
              </w:tc>
              <w:tc>
                <w:tcPr>
                  <w:tcW w:w="382" w:type="pct"/>
                  <w:vAlign w:val="center"/>
                </w:tcPr>
                <w:p w14:paraId="1B0B0DDF">
                  <w:pPr>
                    <w:pStyle w:val="81"/>
                    <w:spacing w:before="2" w:line="289" w:lineRule="exact"/>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个</w:t>
                  </w:r>
                </w:p>
              </w:tc>
              <w:tc>
                <w:tcPr>
                  <w:tcW w:w="533" w:type="pct"/>
                  <w:vAlign w:val="center"/>
                </w:tcPr>
                <w:p w14:paraId="75AA7EE4">
                  <w:pPr>
                    <w:pStyle w:val="81"/>
                    <w:spacing w:before="15" w:line="275" w:lineRule="exact"/>
                    <w:ind w:left="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700" w:type="pct"/>
                </w:tcPr>
                <w:p w14:paraId="6F2F89CC">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left"/>
                    <w:textAlignment w:val="auto"/>
                    <w:rPr>
                      <w:rFonts w:ascii="Times New Roman"/>
                      <w:color w:val="auto"/>
                      <w:sz w:val="21"/>
                      <w:szCs w:val="21"/>
                    </w:rPr>
                  </w:pPr>
                </w:p>
              </w:tc>
            </w:tr>
            <w:tr w14:paraId="150D1F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45" w:type="pct"/>
                  <w:vMerge w:val="continue"/>
                  <w:vAlign w:val="center"/>
                </w:tcPr>
                <w:p w14:paraId="73619B76">
                  <w:pPr>
                    <w:pStyle w:val="81"/>
                    <w:jc w:val="center"/>
                    <w:rPr>
                      <w:rFonts w:hint="default" w:ascii="Times New Roman" w:hAnsi="Times New Roman" w:cs="Times New Roman"/>
                      <w:color w:val="auto"/>
                      <w:sz w:val="21"/>
                      <w:szCs w:val="21"/>
                    </w:rPr>
                  </w:pPr>
                </w:p>
              </w:tc>
              <w:tc>
                <w:tcPr>
                  <w:tcW w:w="1179" w:type="pct"/>
                  <w:vMerge w:val="continue"/>
                  <w:vAlign w:val="center"/>
                </w:tcPr>
                <w:p w14:paraId="2644FAA8">
                  <w:pPr>
                    <w:pStyle w:val="81"/>
                    <w:jc w:val="center"/>
                    <w:rPr>
                      <w:rFonts w:hint="default" w:ascii="Times New Roman" w:hAnsi="Times New Roman" w:cs="Times New Roman"/>
                      <w:color w:val="auto"/>
                      <w:sz w:val="21"/>
                      <w:szCs w:val="21"/>
                    </w:rPr>
                  </w:pPr>
                </w:p>
              </w:tc>
              <w:tc>
                <w:tcPr>
                  <w:tcW w:w="1758" w:type="pct"/>
                  <w:vAlign w:val="center"/>
                </w:tcPr>
                <w:p w14:paraId="08414FF9">
                  <w:pPr>
                    <w:pStyle w:val="81"/>
                    <w:tabs>
                      <w:tab w:val="left" w:pos="833"/>
                    </w:tabs>
                    <w:spacing w:before="16" w:line="275" w:lineRule="exact"/>
                    <w:ind w:left="7"/>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DN65</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PN16</w:t>
                  </w:r>
                </w:p>
              </w:tc>
              <w:tc>
                <w:tcPr>
                  <w:tcW w:w="382" w:type="pct"/>
                  <w:vAlign w:val="center"/>
                </w:tcPr>
                <w:p w14:paraId="08605B47">
                  <w:pPr>
                    <w:pStyle w:val="81"/>
                    <w:spacing w:line="291" w:lineRule="exact"/>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个</w:t>
                  </w:r>
                </w:p>
              </w:tc>
              <w:tc>
                <w:tcPr>
                  <w:tcW w:w="533" w:type="pct"/>
                  <w:vAlign w:val="center"/>
                </w:tcPr>
                <w:p w14:paraId="0E3EC47D">
                  <w:pPr>
                    <w:pStyle w:val="81"/>
                    <w:spacing w:before="16" w:line="275" w:lineRule="exact"/>
                    <w:ind w:left="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700" w:type="pct"/>
                </w:tcPr>
                <w:p w14:paraId="355FF123">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left"/>
                    <w:textAlignment w:val="auto"/>
                    <w:rPr>
                      <w:rFonts w:ascii="Times New Roman"/>
                      <w:color w:val="auto"/>
                      <w:sz w:val="21"/>
                      <w:szCs w:val="21"/>
                    </w:rPr>
                  </w:pPr>
                </w:p>
              </w:tc>
            </w:tr>
            <w:tr w14:paraId="798C05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445" w:type="pct"/>
                  <w:vMerge w:val="continue"/>
                  <w:vAlign w:val="center"/>
                </w:tcPr>
                <w:p w14:paraId="39393FC9">
                  <w:pPr>
                    <w:pStyle w:val="81"/>
                    <w:jc w:val="center"/>
                    <w:rPr>
                      <w:rFonts w:hint="default" w:ascii="Times New Roman" w:hAnsi="Times New Roman" w:cs="Times New Roman"/>
                      <w:color w:val="auto"/>
                      <w:sz w:val="21"/>
                      <w:szCs w:val="21"/>
                    </w:rPr>
                  </w:pPr>
                </w:p>
              </w:tc>
              <w:tc>
                <w:tcPr>
                  <w:tcW w:w="1179" w:type="pct"/>
                  <w:vMerge w:val="continue"/>
                  <w:vAlign w:val="center"/>
                </w:tcPr>
                <w:p w14:paraId="71FA9E4A">
                  <w:pPr>
                    <w:pStyle w:val="81"/>
                    <w:jc w:val="center"/>
                    <w:rPr>
                      <w:rFonts w:hint="default" w:ascii="Times New Roman" w:hAnsi="Times New Roman" w:cs="Times New Roman"/>
                      <w:color w:val="auto"/>
                      <w:sz w:val="21"/>
                      <w:szCs w:val="21"/>
                    </w:rPr>
                  </w:pPr>
                </w:p>
              </w:tc>
              <w:tc>
                <w:tcPr>
                  <w:tcW w:w="1758" w:type="pct"/>
                  <w:vAlign w:val="center"/>
                </w:tcPr>
                <w:p w14:paraId="78C40A63">
                  <w:pPr>
                    <w:pStyle w:val="81"/>
                    <w:spacing w:before="7"/>
                    <w:jc w:val="center"/>
                    <w:rPr>
                      <w:rFonts w:hint="default" w:ascii="Times New Roman" w:hAnsi="Times New Roman" w:cs="Times New Roman"/>
                      <w:b/>
                      <w:color w:val="auto"/>
                      <w:sz w:val="21"/>
                      <w:szCs w:val="21"/>
                    </w:rPr>
                  </w:pPr>
                </w:p>
                <w:p w14:paraId="5F036C6E">
                  <w:pPr>
                    <w:pStyle w:val="81"/>
                    <w:tabs>
                      <w:tab w:val="left" w:pos="1615"/>
                    </w:tabs>
                    <w:ind w:left="1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DN50</w:t>
                  </w:r>
                  <w:r>
                    <w:rPr>
                      <w:rFonts w:hint="default" w:ascii="Times New Roman" w:hAnsi="Times New Roman" w:cs="Times New Roman"/>
                      <w:color w:val="auto"/>
                      <w:sz w:val="21"/>
                      <w:szCs w:val="21"/>
                    </w:rPr>
                    <w:t>及以下</w:t>
                  </w:r>
                  <w:r>
                    <w:rPr>
                      <w:rFonts w:hint="eastAsia" w:ascii="Times New Roman" w:hAnsi="Times New Roman" w:cs="Times New Roman"/>
                      <w:color w:val="auto"/>
                      <w:sz w:val="21"/>
                      <w:szCs w:val="21"/>
                      <w:lang w:eastAsia="zh-CN"/>
                    </w:rPr>
                    <w:t>，</w:t>
                  </w:r>
                  <w:r>
                    <w:rPr>
                      <w:rFonts w:hint="default" w:ascii="Times New Roman" w:hAnsi="Times New Roman" w:eastAsia="Times New Roman" w:cs="Times New Roman"/>
                      <w:color w:val="auto"/>
                      <w:sz w:val="21"/>
                      <w:szCs w:val="21"/>
                    </w:rPr>
                    <w:t>PN16</w:t>
                  </w:r>
                </w:p>
              </w:tc>
              <w:tc>
                <w:tcPr>
                  <w:tcW w:w="382" w:type="pct"/>
                  <w:vAlign w:val="center"/>
                </w:tcPr>
                <w:p w14:paraId="1DB3B1D2">
                  <w:pPr>
                    <w:pStyle w:val="81"/>
                    <w:jc w:val="center"/>
                    <w:rPr>
                      <w:rFonts w:hint="default" w:ascii="Times New Roman" w:hAnsi="Times New Roman" w:cs="Times New Roman"/>
                      <w:b/>
                      <w:color w:val="auto"/>
                      <w:sz w:val="21"/>
                      <w:szCs w:val="21"/>
                    </w:rPr>
                  </w:pPr>
                </w:p>
                <w:p w14:paraId="4DC01739">
                  <w:pPr>
                    <w:pStyle w:val="81"/>
                    <w:spacing w:before="161"/>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个</w:t>
                  </w:r>
                </w:p>
              </w:tc>
              <w:tc>
                <w:tcPr>
                  <w:tcW w:w="533" w:type="pct"/>
                  <w:vAlign w:val="center"/>
                </w:tcPr>
                <w:p w14:paraId="3EA15F61">
                  <w:pPr>
                    <w:pStyle w:val="81"/>
                    <w:spacing w:before="10"/>
                    <w:jc w:val="center"/>
                    <w:rPr>
                      <w:rFonts w:hint="default" w:ascii="Times New Roman" w:hAnsi="Times New Roman" w:cs="Times New Roman"/>
                      <w:b/>
                      <w:color w:val="auto"/>
                      <w:sz w:val="21"/>
                      <w:szCs w:val="21"/>
                    </w:rPr>
                  </w:pPr>
                </w:p>
                <w:p w14:paraId="0B2346D5">
                  <w:pPr>
                    <w:pStyle w:val="81"/>
                    <w:spacing w:before="1"/>
                    <w:ind w:left="212" w:right="20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44</w:t>
                  </w:r>
                </w:p>
              </w:tc>
              <w:tc>
                <w:tcPr>
                  <w:tcW w:w="700" w:type="pct"/>
                </w:tcPr>
                <w:p w14:paraId="3BB7E0DC">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left"/>
                    <w:textAlignment w:val="auto"/>
                    <w:rPr>
                      <w:color w:val="auto"/>
                      <w:sz w:val="21"/>
                      <w:szCs w:val="21"/>
                    </w:rPr>
                  </w:pPr>
                  <w:r>
                    <w:rPr>
                      <w:color w:val="auto"/>
                      <w:spacing w:val="-2"/>
                      <w:sz w:val="21"/>
                      <w:szCs w:val="21"/>
                    </w:rPr>
                    <w:t>含液位</w:t>
                  </w:r>
                  <w:r>
                    <w:rPr>
                      <w:color w:val="auto"/>
                      <w:spacing w:val="-6"/>
                      <w:sz w:val="21"/>
                      <w:szCs w:val="21"/>
                    </w:rPr>
                    <w:t>开关及</w:t>
                  </w:r>
                  <w:r>
                    <w:rPr>
                      <w:color w:val="auto"/>
                      <w:spacing w:val="-2"/>
                      <w:sz w:val="21"/>
                      <w:szCs w:val="21"/>
                    </w:rPr>
                    <w:t>压力表</w:t>
                  </w:r>
                  <w:r>
                    <w:rPr>
                      <w:color w:val="auto"/>
                      <w:spacing w:val="-6"/>
                      <w:sz w:val="21"/>
                      <w:szCs w:val="21"/>
                    </w:rPr>
                    <w:t>用球阀</w:t>
                  </w:r>
                </w:p>
              </w:tc>
            </w:tr>
            <w:tr w14:paraId="678641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45" w:type="pct"/>
                  <w:vMerge w:val="restart"/>
                  <w:vAlign w:val="center"/>
                </w:tcPr>
                <w:p w14:paraId="497410F2">
                  <w:pPr>
                    <w:pStyle w:val="81"/>
                    <w:spacing w:before="16" w:line="274" w:lineRule="exact"/>
                    <w:ind w:left="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1179" w:type="pct"/>
                  <w:vMerge w:val="restart"/>
                  <w:vAlign w:val="center"/>
                </w:tcPr>
                <w:p w14:paraId="184611C5">
                  <w:pPr>
                    <w:pStyle w:val="81"/>
                    <w:spacing w:line="290" w:lineRule="exact"/>
                    <w:ind w:left="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不锈钢弹簧复位</w:t>
                  </w:r>
                </w:p>
              </w:tc>
              <w:tc>
                <w:tcPr>
                  <w:tcW w:w="1758" w:type="pct"/>
                </w:tcPr>
                <w:p w14:paraId="0F37B1C2">
                  <w:pPr>
                    <w:pStyle w:val="81"/>
                    <w:spacing w:before="16" w:line="274" w:lineRule="exact"/>
                    <w:ind w:left="1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DN50</w:t>
                  </w:r>
                  <w:r>
                    <w:rPr>
                      <w:rFonts w:hint="default" w:ascii="Times New Roman" w:hAnsi="Times New Roman" w:cs="Times New Roman"/>
                      <w:color w:val="auto"/>
                      <w:spacing w:val="-1"/>
                      <w:sz w:val="21"/>
                      <w:szCs w:val="21"/>
                    </w:rPr>
                    <w:t xml:space="preserve"> </w:t>
                  </w:r>
                  <w:r>
                    <w:rPr>
                      <w:rFonts w:hint="default" w:ascii="Times New Roman" w:hAnsi="Times New Roman" w:cs="Times New Roman"/>
                      <w:color w:val="auto"/>
                      <w:sz w:val="21"/>
                      <w:szCs w:val="21"/>
                    </w:rPr>
                    <w:t>PN16</w:t>
                  </w:r>
                </w:p>
              </w:tc>
              <w:tc>
                <w:tcPr>
                  <w:tcW w:w="382" w:type="pct"/>
                </w:tcPr>
                <w:p w14:paraId="0CF0629E">
                  <w:pPr>
                    <w:pStyle w:val="81"/>
                    <w:spacing w:line="290" w:lineRule="exact"/>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个</w:t>
                  </w:r>
                </w:p>
              </w:tc>
              <w:tc>
                <w:tcPr>
                  <w:tcW w:w="533" w:type="pct"/>
                </w:tcPr>
                <w:p w14:paraId="6B7CECF5">
                  <w:pPr>
                    <w:pStyle w:val="81"/>
                    <w:spacing w:before="16" w:line="274" w:lineRule="exact"/>
                    <w:ind w:left="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700" w:type="pct"/>
                </w:tcPr>
                <w:p w14:paraId="703F2518">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left"/>
                    <w:textAlignment w:val="auto"/>
                    <w:rPr>
                      <w:rFonts w:ascii="Times New Roman"/>
                      <w:color w:val="auto"/>
                      <w:sz w:val="21"/>
                      <w:szCs w:val="21"/>
                    </w:rPr>
                  </w:pPr>
                </w:p>
              </w:tc>
            </w:tr>
            <w:tr w14:paraId="6FD499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45" w:type="pct"/>
                  <w:vMerge w:val="continue"/>
                </w:tcPr>
                <w:p w14:paraId="1C5F4F87">
                  <w:pPr>
                    <w:pStyle w:val="81"/>
                    <w:jc w:val="center"/>
                    <w:rPr>
                      <w:rFonts w:hint="default" w:ascii="Times New Roman" w:hAnsi="Times New Roman" w:cs="Times New Roman"/>
                      <w:color w:val="auto"/>
                      <w:sz w:val="21"/>
                      <w:szCs w:val="21"/>
                    </w:rPr>
                  </w:pPr>
                </w:p>
              </w:tc>
              <w:tc>
                <w:tcPr>
                  <w:tcW w:w="1179" w:type="pct"/>
                  <w:vMerge w:val="continue"/>
                </w:tcPr>
                <w:p w14:paraId="081608C9">
                  <w:pPr>
                    <w:pStyle w:val="81"/>
                    <w:jc w:val="center"/>
                    <w:rPr>
                      <w:rFonts w:hint="default" w:ascii="Times New Roman" w:hAnsi="Times New Roman" w:cs="Times New Roman"/>
                      <w:color w:val="auto"/>
                      <w:sz w:val="21"/>
                      <w:szCs w:val="21"/>
                    </w:rPr>
                  </w:pPr>
                </w:p>
              </w:tc>
              <w:tc>
                <w:tcPr>
                  <w:tcW w:w="1758" w:type="pct"/>
                </w:tcPr>
                <w:p w14:paraId="5C8E29E3">
                  <w:pPr>
                    <w:pStyle w:val="81"/>
                    <w:spacing w:before="17" w:line="274" w:lineRule="exact"/>
                    <w:ind w:left="1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DN20</w:t>
                  </w:r>
                  <w:r>
                    <w:rPr>
                      <w:rFonts w:hint="default" w:ascii="Times New Roman" w:hAnsi="Times New Roman" w:cs="Times New Roman"/>
                      <w:color w:val="auto"/>
                      <w:spacing w:val="-1"/>
                      <w:sz w:val="21"/>
                      <w:szCs w:val="21"/>
                    </w:rPr>
                    <w:t xml:space="preserve"> </w:t>
                  </w:r>
                  <w:r>
                    <w:rPr>
                      <w:rFonts w:hint="default" w:ascii="Times New Roman" w:hAnsi="Times New Roman" w:cs="Times New Roman"/>
                      <w:color w:val="auto"/>
                      <w:sz w:val="21"/>
                      <w:szCs w:val="21"/>
                    </w:rPr>
                    <w:t>PN16</w:t>
                  </w:r>
                </w:p>
              </w:tc>
              <w:tc>
                <w:tcPr>
                  <w:tcW w:w="382" w:type="pct"/>
                </w:tcPr>
                <w:p w14:paraId="04C1E191">
                  <w:pPr>
                    <w:pStyle w:val="81"/>
                    <w:spacing w:before="1" w:line="290" w:lineRule="exact"/>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个</w:t>
                  </w:r>
                </w:p>
              </w:tc>
              <w:tc>
                <w:tcPr>
                  <w:tcW w:w="533" w:type="pct"/>
                </w:tcPr>
                <w:p w14:paraId="2B9D82D0">
                  <w:pPr>
                    <w:pStyle w:val="81"/>
                    <w:spacing w:before="17" w:line="274" w:lineRule="exact"/>
                    <w:ind w:left="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700" w:type="pct"/>
                </w:tcPr>
                <w:p w14:paraId="4B32FE09">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left"/>
                    <w:textAlignment w:val="auto"/>
                    <w:rPr>
                      <w:rFonts w:ascii="Times New Roman"/>
                      <w:color w:val="auto"/>
                      <w:sz w:val="21"/>
                      <w:szCs w:val="21"/>
                    </w:rPr>
                  </w:pPr>
                </w:p>
              </w:tc>
            </w:tr>
            <w:tr w14:paraId="66C919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45" w:type="pct"/>
                  <w:vMerge w:val="continue"/>
                </w:tcPr>
                <w:p w14:paraId="75142FE1">
                  <w:pPr>
                    <w:pStyle w:val="81"/>
                    <w:jc w:val="center"/>
                    <w:rPr>
                      <w:rFonts w:hint="default" w:ascii="Times New Roman" w:hAnsi="Times New Roman" w:cs="Times New Roman"/>
                      <w:color w:val="auto"/>
                      <w:sz w:val="21"/>
                      <w:szCs w:val="21"/>
                    </w:rPr>
                  </w:pPr>
                </w:p>
              </w:tc>
              <w:tc>
                <w:tcPr>
                  <w:tcW w:w="1179" w:type="pct"/>
                  <w:vMerge w:val="continue"/>
                </w:tcPr>
                <w:p w14:paraId="16EEEC72">
                  <w:pPr>
                    <w:pStyle w:val="81"/>
                    <w:jc w:val="center"/>
                    <w:rPr>
                      <w:rFonts w:hint="default" w:ascii="Times New Roman" w:hAnsi="Times New Roman" w:cs="Times New Roman"/>
                      <w:color w:val="auto"/>
                      <w:sz w:val="21"/>
                      <w:szCs w:val="21"/>
                    </w:rPr>
                  </w:pPr>
                </w:p>
              </w:tc>
              <w:tc>
                <w:tcPr>
                  <w:tcW w:w="1758" w:type="pct"/>
                </w:tcPr>
                <w:p w14:paraId="4AE3ED0E">
                  <w:pPr>
                    <w:pStyle w:val="81"/>
                    <w:spacing w:before="18" w:line="274" w:lineRule="exact"/>
                    <w:ind w:left="1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DN15</w:t>
                  </w:r>
                  <w:r>
                    <w:rPr>
                      <w:rFonts w:hint="default" w:ascii="Times New Roman" w:hAnsi="Times New Roman" w:cs="Times New Roman"/>
                      <w:color w:val="auto"/>
                      <w:spacing w:val="-1"/>
                      <w:sz w:val="21"/>
                      <w:szCs w:val="21"/>
                    </w:rPr>
                    <w:t xml:space="preserve"> </w:t>
                  </w:r>
                  <w:r>
                    <w:rPr>
                      <w:rFonts w:hint="default" w:ascii="Times New Roman" w:hAnsi="Times New Roman" w:cs="Times New Roman"/>
                      <w:color w:val="auto"/>
                      <w:sz w:val="21"/>
                      <w:szCs w:val="21"/>
                    </w:rPr>
                    <w:t>PN16</w:t>
                  </w:r>
                </w:p>
              </w:tc>
              <w:tc>
                <w:tcPr>
                  <w:tcW w:w="382" w:type="pct"/>
                </w:tcPr>
                <w:p w14:paraId="112A3B00">
                  <w:pPr>
                    <w:pStyle w:val="81"/>
                    <w:spacing w:before="2" w:line="290" w:lineRule="exact"/>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个</w:t>
                  </w:r>
                </w:p>
              </w:tc>
              <w:tc>
                <w:tcPr>
                  <w:tcW w:w="533" w:type="pct"/>
                </w:tcPr>
                <w:p w14:paraId="6D97C109">
                  <w:pPr>
                    <w:pStyle w:val="81"/>
                    <w:spacing w:before="18" w:line="274" w:lineRule="exact"/>
                    <w:ind w:left="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700" w:type="pct"/>
                </w:tcPr>
                <w:p w14:paraId="5F263631">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left"/>
                    <w:textAlignment w:val="auto"/>
                    <w:rPr>
                      <w:rFonts w:ascii="Times New Roman"/>
                      <w:color w:val="auto"/>
                      <w:sz w:val="21"/>
                      <w:szCs w:val="21"/>
                    </w:rPr>
                  </w:pPr>
                </w:p>
              </w:tc>
            </w:tr>
            <w:tr w14:paraId="47427B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45" w:type="pct"/>
                </w:tcPr>
                <w:p w14:paraId="33E12FA7">
                  <w:pPr>
                    <w:pStyle w:val="81"/>
                    <w:spacing w:before="15"/>
                    <w:ind w:left="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1179" w:type="pct"/>
                </w:tcPr>
                <w:p w14:paraId="173CE73A">
                  <w:pPr>
                    <w:pStyle w:val="81"/>
                    <w:spacing w:before="1" w:line="289" w:lineRule="exact"/>
                    <w:ind w:left="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轴流式止回阀</w:t>
                  </w:r>
                </w:p>
              </w:tc>
              <w:tc>
                <w:tcPr>
                  <w:tcW w:w="1758" w:type="pct"/>
                </w:tcPr>
                <w:p w14:paraId="2FD02B02">
                  <w:pPr>
                    <w:pStyle w:val="81"/>
                    <w:tabs>
                      <w:tab w:val="left" w:pos="953"/>
                    </w:tabs>
                    <w:spacing w:before="15"/>
                    <w:ind w:left="7"/>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DN150</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PN16</w:t>
                  </w:r>
                </w:p>
              </w:tc>
              <w:tc>
                <w:tcPr>
                  <w:tcW w:w="382" w:type="pct"/>
                </w:tcPr>
                <w:p w14:paraId="083A77D0">
                  <w:pPr>
                    <w:pStyle w:val="81"/>
                    <w:spacing w:before="1" w:line="289" w:lineRule="exact"/>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个</w:t>
                  </w:r>
                </w:p>
              </w:tc>
              <w:tc>
                <w:tcPr>
                  <w:tcW w:w="533" w:type="pct"/>
                </w:tcPr>
                <w:p w14:paraId="25CB7721">
                  <w:pPr>
                    <w:pStyle w:val="81"/>
                    <w:spacing w:before="15"/>
                    <w:ind w:left="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700" w:type="pct"/>
                </w:tcPr>
                <w:p w14:paraId="16A07AAF">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left"/>
                    <w:textAlignment w:val="auto"/>
                    <w:rPr>
                      <w:rFonts w:ascii="Times New Roman"/>
                      <w:color w:val="auto"/>
                      <w:sz w:val="21"/>
                      <w:szCs w:val="21"/>
                    </w:rPr>
                  </w:pPr>
                </w:p>
              </w:tc>
            </w:tr>
            <w:tr w14:paraId="4025B5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445" w:type="pct"/>
                  <w:vMerge w:val="restart"/>
                  <w:vAlign w:val="center"/>
                </w:tcPr>
                <w:p w14:paraId="6BE6DE40">
                  <w:pPr>
                    <w:pStyle w:val="81"/>
                    <w:spacing w:before="171"/>
                    <w:ind w:left="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1179" w:type="pct"/>
                  <w:vMerge w:val="restart"/>
                  <w:vAlign w:val="center"/>
                </w:tcPr>
                <w:p w14:paraId="75C79449">
                  <w:pPr>
                    <w:pStyle w:val="81"/>
                    <w:spacing w:line="310" w:lineRule="atLeast"/>
                    <w:ind w:left="815" w:right="203" w:hanging="600"/>
                    <w:jc w:val="center"/>
                    <w:rPr>
                      <w:rFonts w:hint="default" w:ascii="Times New Roman" w:hAnsi="Times New Roman" w:cs="Times New Roman"/>
                      <w:color w:val="auto"/>
                      <w:sz w:val="21"/>
                      <w:szCs w:val="21"/>
                    </w:rPr>
                  </w:pPr>
                  <w:r>
                    <w:rPr>
                      <w:rFonts w:hint="default" w:ascii="Times New Roman" w:hAnsi="Times New Roman" w:cs="Times New Roman"/>
                      <w:color w:val="auto"/>
                      <w:spacing w:val="-1"/>
                      <w:sz w:val="21"/>
                      <w:szCs w:val="21"/>
                    </w:rPr>
                    <w:t>不锈钢轴流式止</w:t>
                  </w:r>
                  <w:r>
                    <w:rPr>
                      <w:rFonts w:hint="default" w:ascii="Times New Roman" w:hAnsi="Times New Roman" w:cs="Times New Roman"/>
                      <w:color w:val="auto"/>
                      <w:sz w:val="21"/>
                      <w:szCs w:val="21"/>
                    </w:rPr>
                    <w:t>回阀</w:t>
                  </w:r>
                </w:p>
              </w:tc>
              <w:tc>
                <w:tcPr>
                  <w:tcW w:w="1758" w:type="pct"/>
                </w:tcPr>
                <w:p w14:paraId="754EED8A">
                  <w:pPr>
                    <w:pStyle w:val="81"/>
                    <w:tabs>
                      <w:tab w:val="left" w:pos="953"/>
                    </w:tabs>
                    <w:spacing w:before="171"/>
                    <w:ind w:left="7"/>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DN100</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PN16</w:t>
                  </w:r>
                </w:p>
              </w:tc>
              <w:tc>
                <w:tcPr>
                  <w:tcW w:w="382" w:type="pct"/>
                </w:tcPr>
                <w:p w14:paraId="7A3C88DC">
                  <w:pPr>
                    <w:pStyle w:val="81"/>
                    <w:spacing w:before="156"/>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个</w:t>
                  </w:r>
                </w:p>
              </w:tc>
              <w:tc>
                <w:tcPr>
                  <w:tcW w:w="533" w:type="pct"/>
                </w:tcPr>
                <w:p w14:paraId="32B19CEC">
                  <w:pPr>
                    <w:pStyle w:val="81"/>
                    <w:spacing w:before="171"/>
                    <w:ind w:left="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700" w:type="pct"/>
                </w:tcPr>
                <w:p w14:paraId="0C0946DA">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left"/>
                    <w:textAlignment w:val="auto"/>
                    <w:rPr>
                      <w:rFonts w:ascii="Times New Roman"/>
                      <w:color w:val="auto"/>
                      <w:sz w:val="21"/>
                      <w:szCs w:val="21"/>
                    </w:rPr>
                  </w:pPr>
                </w:p>
              </w:tc>
            </w:tr>
            <w:tr w14:paraId="30634F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45" w:type="pct"/>
                  <w:vMerge w:val="continue"/>
                </w:tcPr>
                <w:p w14:paraId="53277995">
                  <w:pPr>
                    <w:pStyle w:val="81"/>
                    <w:jc w:val="center"/>
                    <w:rPr>
                      <w:rFonts w:hint="default" w:ascii="Times New Roman" w:hAnsi="Times New Roman" w:cs="Times New Roman"/>
                      <w:color w:val="auto"/>
                      <w:sz w:val="21"/>
                      <w:szCs w:val="21"/>
                    </w:rPr>
                  </w:pPr>
                </w:p>
              </w:tc>
              <w:tc>
                <w:tcPr>
                  <w:tcW w:w="1179" w:type="pct"/>
                  <w:vMerge w:val="continue"/>
                </w:tcPr>
                <w:p w14:paraId="4EA7A43D">
                  <w:pPr>
                    <w:pStyle w:val="81"/>
                    <w:jc w:val="center"/>
                    <w:rPr>
                      <w:rFonts w:hint="default" w:ascii="Times New Roman" w:hAnsi="Times New Roman" w:cs="Times New Roman"/>
                      <w:color w:val="auto"/>
                      <w:sz w:val="21"/>
                      <w:szCs w:val="21"/>
                    </w:rPr>
                  </w:pPr>
                </w:p>
              </w:tc>
              <w:tc>
                <w:tcPr>
                  <w:tcW w:w="1758" w:type="pct"/>
                </w:tcPr>
                <w:p w14:paraId="1424B62C">
                  <w:pPr>
                    <w:pStyle w:val="81"/>
                    <w:tabs>
                      <w:tab w:val="left" w:pos="833"/>
                    </w:tabs>
                    <w:spacing w:before="17" w:line="275" w:lineRule="exact"/>
                    <w:ind w:left="7"/>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DN50</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PN16</w:t>
                  </w:r>
                </w:p>
              </w:tc>
              <w:tc>
                <w:tcPr>
                  <w:tcW w:w="382" w:type="pct"/>
                </w:tcPr>
                <w:p w14:paraId="04A6768D">
                  <w:pPr>
                    <w:pStyle w:val="81"/>
                    <w:spacing w:before="1" w:line="291" w:lineRule="exact"/>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个</w:t>
                  </w:r>
                </w:p>
              </w:tc>
              <w:tc>
                <w:tcPr>
                  <w:tcW w:w="533" w:type="pct"/>
                </w:tcPr>
                <w:p w14:paraId="1CA3E73A">
                  <w:pPr>
                    <w:pStyle w:val="81"/>
                    <w:spacing w:before="17" w:line="275" w:lineRule="exact"/>
                    <w:ind w:left="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700" w:type="pct"/>
                </w:tcPr>
                <w:p w14:paraId="6AC1EBDD">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left"/>
                    <w:textAlignment w:val="auto"/>
                    <w:rPr>
                      <w:rFonts w:ascii="Times New Roman"/>
                      <w:color w:val="auto"/>
                      <w:sz w:val="21"/>
                      <w:szCs w:val="21"/>
                    </w:rPr>
                  </w:pPr>
                </w:p>
              </w:tc>
            </w:tr>
            <w:tr w14:paraId="54A982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45" w:type="pct"/>
                </w:tcPr>
                <w:p w14:paraId="0BD9A52A">
                  <w:pPr>
                    <w:pStyle w:val="81"/>
                    <w:spacing w:before="17" w:line="274" w:lineRule="exact"/>
                    <w:ind w:left="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1179" w:type="pct"/>
                </w:tcPr>
                <w:p w14:paraId="05DADEB9">
                  <w:pPr>
                    <w:pStyle w:val="81"/>
                    <w:spacing w:before="1" w:line="290" w:lineRule="exact"/>
                    <w:ind w:left="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安全阀</w:t>
                  </w:r>
                </w:p>
              </w:tc>
              <w:tc>
                <w:tcPr>
                  <w:tcW w:w="1758" w:type="pct"/>
                </w:tcPr>
                <w:p w14:paraId="7D0F1AFA">
                  <w:pPr>
                    <w:pStyle w:val="81"/>
                    <w:tabs>
                      <w:tab w:val="left" w:pos="833"/>
                    </w:tabs>
                    <w:spacing w:before="17" w:line="274" w:lineRule="exact"/>
                    <w:ind w:left="7"/>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DN25</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PN16</w:t>
                  </w:r>
                </w:p>
              </w:tc>
              <w:tc>
                <w:tcPr>
                  <w:tcW w:w="382" w:type="pct"/>
                </w:tcPr>
                <w:p w14:paraId="419A24BF">
                  <w:pPr>
                    <w:pStyle w:val="81"/>
                    <w:spacing w:before="1" w:line="290" w:lineRule="exact"/>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个</w:t>
                  </w:r>
                </w:p>
              </w:tc>
              <w:tc>
                <w:tcPr>
                  <w:tcW w:w="533" w:type="pct"/>
                </w:tcPr>
                <w:p w14:paraId="3532108C">
                  <w:pPr>
                    <w:pStyle w:val="81"/>
                    <w:spacing w:before="17" w:line="274" w:lineRule="exact"/>
                    <w:ind w:left="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700" w:type="pct"/>
                </w:tcPr>
                <w:p w14:paraId="7A4F3357">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left"/>
                    <w:textAlignment w:val="auto"/>
                    <w:rPr>
                      <w:rFonts w:ascii="Times New Roman"/>
                      <w:color w:val="auto"/>
                      <w:sz w:val="21"/>
                      <w:szCs w:val="21"/>
                    </w:rPr>
                  </w:pPr>
                </w:p>
              </w:tc>
            </w:tr>
            <w:tr w14:paraId="74C359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45" w:type="pct"/>
                </w:tcPr>
                <w:p w14:paraId="2C219552">
                  <w:pPr>
                    <w:pStyle w:val="81"/>
                    <w:spacing w:before="15"/>
                    <w:ind w:left="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p>
              </w:tc>
              <w:tc>
                <w:tcPr>
                  <w:tcW w:w="1179" w:type="pct"/>
                </w:tcPr>
                <w:p w14:paraId="319BF1D6">
                  <w:pPr>
                    <w:pStyle w:val="81"/>
                    <w:spacing w:before="1" w:line="289" w:lineRule="exact"/>
                    <w:ind w:left="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梭式泄压阀</w:t>
                  </w:r>
                </w:p>
              </w:tc>
              <w:tc>
                <w:tcPr>
                  <w:tcW w:w="1758" w:type="pct"/>
                </w:tcPr>
                <w:p w14:paraId="456772F6">
                  <w:pPr>
                    <w:pStyle w:val="81"/>
                    <w:tabs>
                      <w:tab w:val="left" w:pos="833"/>
                    </w:tabs>
                    <w:spacing w:before="15"/>
                    <w:ind w:left="7"/>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DN25</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PN16</w:t>
                  </w:r>
                </w:p>
              </w:tc>
              <w:tc>
                <w:tcPr>
                  <w:tcW w:w="382" w:type="pct"/>
                </w:tcPr>
                <w:p w14:paraId="09B1E736">
                  <w:pPr>
                    <w:pStyle w:val="81"/>
                    <w:spacing w:before="1" w:line="289" w:lineRule="exact"/>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个</w:t>
                  </w:r>
                </w:p>
              </w:tc>
              <w:tc>
                <w:tcPr>
                  <w:tcW w:w="533" w:type="pct"/>
                </w:tcPr>
                <w:p w14:paraId="416ADFF0">
                  <w:pPr>
                    <w:pStyle w:val="81"/>
                    <w:spacing w:before="15"/>
                    <w:ind w:left="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700" w:type="pct"/>
                </w:tcPr>
                <w:p w14:paraId="15597ABA">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left"/>
                    <w:textAlignment w:val="auto"/>
                    <w:rPr>
                      <w:rFonts w:ascii="Times New Roman"/>
                      <w:color w:val="auto"/>
                      <w:sz w:val="21"/>
                      <w:szCs w:val="21"/>
                    </w:rPr>
                  </w:pPr>
                </w:p>
              </w:tc>
            </w:tr>
            <w:tr w14:paraId="47DE7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45" w:type="pct"/>
                </w:tcPr>
                <w:p w14:paraId="750B694F">
                  <w:pPr>
                    <w:pStyle w:val="81"/>
                    <w:spacing w:before="2" w:line="289" w:lineRule="exact"/>
                    <w:ind w:left="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六</w:t>
                  </w:r>
                </w:p>
              </w:tc>
              <w:tc>
                <w:tcPr>
                  <w:tcW w:w="1179" w:type="pct"/>
                </w:tcPr>
                <w:p w14:paraId="72F96A51">
                  <w:pPr>
                    <w:pStyle w:val="81"/>
                    <w:spacing w:before="2" w:line="289" w:lineRule="exact"/>
                    <w:ind w:left="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钢管</w:t>
                  </w:r>
                </w:p>
              </w:tc>
              <w:tc>
                <w:tcPr>
                  <w:tcW w:w="1758" w:type="pct"/>
                </w:tcPr>
                <w:p w14:paraId="31739FC7">
                  <w:pPr>
                    <w:pStyle w:val="81"/>
                    <w:jc w:val="center"/>
                    <w:rPr>
                      <w:rFonts w:hint="default" w:ascii="Times New Roman" w:hAnsi="Times New Roman" w:cs="Times New Roman"/>
                      <w:color w:val="auto"/>
                      <w:sz w:val="21"/>
                      <w:szCs w:val="21"/>
                    </w:rPr>
                  </w:pPr>
                </w:p>
              </w:tc>
              <w:tc>
                <w:tcPr>
                  <w:tcW w:w="382" w:type="pct"/>
                </w:tcPr>
                <w:p w14:paraId="3E1DD7B5">
                  <w:pPr>
                    <w:pStyle w:val="81"/>
                    <w:jc w:val="center"/>
                    <w:rPr>
                      <w:rFonts w:hint="default" w:ascii="Times New Roman" w:hAnsi="Times New Roman" w:cs="Times New Roman"/>
                      <w:color w:val="auto"/>
                      <w:sz w:val="21"/>
                      <w:szCs w:val="21"/>
                    </w:rPr>
                  </w:pPr>
                </w:p>
              </w:tc>
              <w:tc>
                <w:tcPr>
                  <w:tcW w:w="533" w:type="pct"/>
                </w:tcPr>
                <w:p w14:paraId="7C679C55">
                  <w:pPr>
                    <w:pStyle w:val="81"/>
                    <w:jc w:val="center"/>
                    <w:rPr>
                      <w:rFonts w:hint="default" w:ascii="Times New Roman" w:hAnsi="Times New Roman" w:cs="Times New Roman"/>
                      <w:color w:val="auto"/>
                      <w:sz w:val="21"/>
                      <w:szCs w:val="21"/>
                    </w:rPr>
                  </w:pPr>
                </w:p>
              </w:tc>
              <w:tc>
                <w:tcPr>
                  <w:tcW w:w="700" w:type="pct"/>
                </w:tcPr>
                <w:p w14:paraId="27C6ABFA">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left"/>
                    <w:textAlignment w:val="auto"/>
                    <w:rPr>
                      <w:rFonts w:ascii="Times New Roman"/>
                      <w:color w:val="auto"/>
                      <w:sz w:val="21"/>
                      <w:szCs w:val="21"/>
                    </w:rPr>
                  </w:pPr>
                </w:p>
              </w:tc>
            </w:tr>
            <w:tr w14:paraId="093713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45" w:type="pct"/>
                </w:tcPr>
                <w:p w14:paraId="64F13E8E">
                  <w:pPr>
                    <w:pStyle w:val="81"/>
                    <w:spacing w:before="172"/>
                    <w:ind w:left="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179" w:type="pct"/>
                </w:tcPr>
                <w:p w14:paraId="44AF7D2E">
                  <w:pPr>
                    <w:pStyle w:val="81"/>
                    <w:spacing w:line="310" w:lineRule="atLeast"/>
                    <w:ind w:left="815" w:right="203" w:hanging="600"/>
                    <w:jc w:val="center"/>
                    <w:rPr>
                      <w:rFonts w:hint="default" w:ascii="Times New Roman" w:hAnsi="Times New Roman" w:cs="Times New Roman"/>
                      <w:color w:val="auto"/>
                      <w:sz w:val="21"/>
                      <w:szCs w:val="21"/>
                    </w:rPr>
                  </w:pPr>
                  <w:r>
                    <w:rPr>
                      <w:rFonts w:hint="default" w:ascii="Times New Roman" w:hAnsi="Times New Roman" w:cs="Times New Roman"/>
                      <w:color w:val="auto"/>
                      <w:spacing w:val="-1"/>
                      <w:sz w:val="21"/>
                      <w:szCs w:val="21"/>
                    </w:rPr>
                    <w:t>输送流体用无缝</w:t>
                  </w:r>
                  <w:r>
                    <w:rPr>
                      <w:rFonts w:hint="default" w:ascii="Times New Roman" w:hAnsi="Times New Roman" w:cs="Times New Roman"/>
                      <w:color w:val="auto"/>
                      <w:sz w:val="21"/>
                      <w:szCs w:val="21"/>
                    </w:rPr>
                    <w:t>钢管</w:t>
                  </w:r>
                </w:p>
              </w:tc>
              <w:tc>
                <w:tcPr>
                  <w:tcW w:w="1758" w:type="pct"/>
                </w:tcPr>
                <w:p w14:paraId="47427CBA">
                  <w:pPr>
                    <w:pStyle w:val="81"/>
                    <w:tabs>
                      <w:tab w:val="left" w:pos="1107"/>
                    </w:tabs>
                    <w:spacing w:before="172"/>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φ168x6</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20#</w:t>
                  </w:r>
                </w:p>
              </w:tc>
              <w:tc>
                <w:tcPr>
                  <w:tcW w:w="382" w:type="pct"/>
                </w:tcPr>
                <w:p w14:paraId="187EF3FD">
                  <w:pPr>
                    <w:pStyle w:val="81"/>
                    <w:spacing w:before="172"/>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w:t>
                  </w:r>
                </w:p>
              </w:tc>
              <w:tc>
                <w:tcPr>
                  <w:tcW w:w="533" w:type="pct"/>
                </w:tcPr>
                <w:p w14:paraId="34803FDB">
                  <w:pPr>
                    <w:pStyle w:val="81"/>
                    <w:spacing w:before="172"/>
                    <w:ind w:left="212" w:right="20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150</w:t>
                  </w:r>
                </w:p>
              </w:tc>
              <w:tc>
                <w:tcPr>
                  <w:tcW w:w="700" w:type="pct"/>
                </w:tcPr>
                <w:p w14:paraId="5D45FF47">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left"/>
                    <w:textAlignment w:val="auto"/>
                    <w:rPr>
                      <w:rFonts w:ascii="Times New Roman"/>
                      <w:color w:val="auto"/>
                      <w:sz w:val="21"/>
                      <w:szCs w:val="21"/>
                    </w:rPr>
                  </w:pPr>
                </w:p>
              </w:tc>
            </w:tr>
            <w:tr w14:paraId="06FC76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445" w:type="pct"/>
                </w:tcPr>
                <w:p w14:paraId="6C51E0E6">
                  <w:pPr>
                    <w:pStyle w:val="81"/>
                    <w:jc w:val="center"/>
                    <w:rPr>
                      <w:rFonts w:hint="default" w:ascii="Times New Roman" w:hAnsi="Times New Roman" w:cs="Times New Roman"/>
                      <w:color w:val="auto"/>
                      <w:sz w:val="21"/>
                      <w:szCs w:val="21"/>
                    </w:rPr>
                  </w:pPr>
                </w:p>
              </w:tc>
              <w:tc>
                <w:tcPr>
                  <w:tcW w:w="1179" w:type="pct"/>
                </w:tcPr>
                <w:p w14:paraId="0ECFA141">
                  <w:pPr>
                    <w:pStyle w:val="81"/>
                    <w:spacing w:line="254" w:lineRule="exact"/>
                    <w:ind w:left="7"/>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GB/T8163-2018</w:t>
                  </w:r>
                </w:p>
              </w:tc>
              <w:tc>
                <w:tcPr>
                  <w:tcW w:w="1758" w:type="pct"/>
                </w:tcPr>
                <w:p w14:paraId="76FB1E45">
                  <w:pPr>
                    <w:pStyle w:val="81"/>
                    <w:spacing w:line="254" w:lineRule="exact"/>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φ273x6.5 20#</w:t>
                  </w:r>
                </w:p>
              </w:tc>
              <w:tc>
                <w:tcPr>
                  <w:tcW w:w="382" w:type="pct"/>
                </w:tcPr>
                <w:p w14:paraId="25704F39">
                  <w:pPr>
                    <w:pStyle w:val="81"/>
                    <w:spacing w:line="254" w:lineRule="exact"/>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w:t>
                  </w:r>
                </w:p>
              </w:tc>
              <w:tc>
                <w:tcPr>
                  <w:tcW w:w="533" w:type="pct"/>
                </w:tcPr>
                <w:p w14:paraId="0E25C693">
                  <w:pPr>
                    <w:pStyle w:val="81"/>
                    <w:spacing w:line="254" w:lineRule="exact"/>
                    <w:ind w:left="212" w:right="20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w:t>
                  </w:r>
                </w:p>
              </w:tc>
              <w:tc>
                <w:tcPr>
                  <w:tcW w:w="700" w:type="pct"/>
                </w:tcPr>
                <w:p w14:paraId="0150585D">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left"/>
                    <w:textAlignment w:val="auto"/>
                    <w:rPr>
                      <w:rFonts w:ascii="Times New Roman"/>
                      <w:color w:val="auto"/>
                      <w:sz w:val="21"/>
                      <w:szCs w:val="21"/>
                    </w:rPr>
                  </w:pPr>
                </w:p>
              </w:tc>
            </w:tr>
            <w:tr w14:paraId="70099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445" w:type="pct"/>
                </w:tcPr>
                <w:p w14:paraId="2D5161E4">
                  <w:pPr>
                    <w:pStyle w:val="81"/>
                    <w:jc w:val="center"/>
                    <w:rPr>
                      <w:rFonts w:hint="default" w:ascii="Times New Roman" w:hAnsi="Times New Roman" w:cs="Times New Roman"/>
                      <w:color w:val="auto"/>
                      <w:sz w:val="21"/>
                      <w:szCs w:val="21"/>
                    </w:rPr>
                  </w:pPr>
                </w:p>
              </w:tc>
              <w:tc>
                <w:tcPr>
                  <w:tcW w:w="1179" w:type="pct"/>
                </w:tcPr>
                <w:p w14:paraId="5BCC4A7A">
                  <w:pPr>
                    <w:pStyle w:val="81"/>
                    <w:jc w:val="center"/>
                    <w:rPr>
                      <w:rFonts w:hint="default" w:ascii="Times New Roman" w:hAnsi="Times New Roman" w:cs="Times New Roman"/>
                      <w:color w:val="auto"/>
                      <w:sz w:val="21"/>
                      <w:szCs w:val="21"/>
                    </w:rPr>
                  </w:pPr>
                </w:p>
              </w:tc>
              <w:tc>
                <w:tcPr>
                  <w:tcW w:w="1758" w:type="pct"/>
                </w:tcPr>
                <w:p w14:paraId="7E58838F">
                  <w:pPr>
                    <w:pStyle w:val="81"/>
                    <w:spacing w:line="256" w:lineRule="exact"/>
                    <w:ind w:left="1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Φ219.1x6</w:t>
                  </w:r>
                  <w:r>
                    <w:rPr>
                      <w:rFonts w:hint="default" w:ascii="Times New Roman" w:hAnsi="Times New Roman" w:cs="Times New Roman"/>
                      <w:color w:val="auto"/>
                      <w:spacing w:val="-1"/>
                      <w:sz w:val="21"/>
                      <w:szCs w:val="21"/>
                    </w:rPr>
                    <w:t xml:space="preserve"> </w:t>
                  </w:r>
                  <w:r>
                    <w:rPr>
                      <w:rFonts w:hint="default" w:ascii="Times New Roman" w:hAnsi="Times New Roman" w:cs="Times New Roman"/>
                      <w:color w:val="auto"/>
                      <w:sz w:val="21"/>
                      <w:szCs w:val="21"/>
                    </w:rPr>
                    <w:t>20#</w:t>
                  </w:r>
                </w:p>
              </w:tc>
              <w:tc>
                <w:tcPr>
                  <w:tcW w:w="382" w:type="pct"/>
                </w:tcPr>
                <w:p w14:paraId="4D96E6B2">
                  <w:pPr>
                    <w:pStyle w:val="81"/>
                    <w:spacing w:line="256" w:lineRule="exact"/>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w:t>
                  </w:r>
                </w:p>
              </w:tc>
              <w:tc>
                <w:tcPr>
                  <w:tcW w:w="533" w:type="pct"/>
                </w:tcPr>
                <w:p w14:paraId="72375706">
                  <w:pPr>
                    <w:pStyle w:val="81"/>
                    <w:spacing w:line="256" w:lineRule="exact"/>
                    <w:ind w:left="212" w:right="20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250</w:t>
                  </w:r>
                </w:p>
              </w:tc>
              <w:tc>
                <w:tcPr>
                  <w:tcW w:w="700" w:type="pct"/>
                </w:tcPr>
                <w:p w14:paraId="281C7917">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left"/>
                    <w:textAlignment w:val="auto"/>
                    <w:rPr>
                      <w:rFonts w:ascii="Times New Roman"/>
                      <w:color w:val="auto"/>
                      <w:sz w:val="21"/>
                      <w:szCs w:val="21"/>
                    </w:rPr>
                  </w:pPr>
                </w:p>
              </w:tc>
            </w:tr>
            <w:tr w14:paraId="7115D0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45" w:type="pct"/>
                </w:tcPr>
                <w:p w14:paraId="6A56F2D5">
                  <w:pPr>
                    <w:pStyle w:val="81"/>
                    <w:spacing w:before="16" w:line="275" w:lineRule="exact"/>
                    <w:ind w:left="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179" w:type="pct"/>
                </w:tcPr>
                <w:p w14:paraId="57C910A1">
                  <w:pPr>
                    <w:pStyle w:val="81"/>
                    <w:spacing w:before="3" w:line="289" w:lineRule="exact"/>
                    <w:ind w:left="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不锈钢无缝钢管</w:t>
                  </w:r>
                </w:p>
              </w:tc>
              <w:tc>
                <w:tcPr>
                  <w:tcW w:w="1758" w:type="pct"/>
                </w:tcPr>
                <w:p w14:paraId="695C358D">
                  <w:pPr>
                    <w:pStyle w:val="81"/>
                    <w:spacing w:before="16" w:line="275" w:lineRule="exact"/>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φ114x5</w:t>
                  </w:r>
                </w:p>
              </w:tc>
              <w:tc>
                <w:tcPr>
                  <w:tcW w:w="382" w:type="pct"/>
                </w:tcPr>
                <w:p w14:paraId="15F2F3AA">
                  <w:pPr>
                    <w:pStyle w:val="81"/>
                    <w:spacing w:before="16" w:line="275" w:lineRule="exact"/>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w:t>
                  </w:r>
                </w:p>
              </w:tc>
              <w:tc>
                <w:tcPr>
                  <w:tcW w:w="533" w:type="pct"/>
                </w:tcPr>
                <w:p w14:paraId="19F294AC">
                  <w:pPr>
                    <w:pStyle w:val="81"/>
                    <w:spacing w:before="16" w:line="275" w:lineRule="exact"/>
                    <w:ind w:left="212" w:right="20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w:t>
                  </w:r>
                </w:p>
              </w:tc>
              <w:tc>
                <w:tcPr>
                  <w:tcW w:w="700" w:type="pct"/>
                </w:tcPr>
                <w:p w14:paraId="285E4F3F">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left"/>
                    <w:textAlignment w:val="auto"/>
                    <w:rPr>
                      <w:rFonts w:ascii="Times New Roman"/>
                      <w:color w:val="auto"/>
                      <w:sz w:val="21"/>
                      <w:szCs w:val="21"/>
                    </w:rPr>
                  </w:pPr>
                </w:p>
              </w:tc>
            </w:tr>
            <w:tr w14:paraId="5541A7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445" w:type="pct"/>
                </w:tcPr>
                <w:p w14:paraId="0306ABD8">
                  <w:pPr>
                    <w:pStyle w:val="81"/>
                    <w:jc w:val="center"/>
                    <w:rPr>
                      <w:rFonts w:hint="default" w:ascii="Times New Roman" w:hAnsi="Times New Roman" w:cs="Times New Roman"/>
                      <w:color w:val="auto"/>
                      <w:sz w:val="21"/>
                      <w:szCs w:val="21"/>
                    </w:rPr>
                  </w:pPr>
                </w:p>
              </w:tc>
              <w:tc>
                <w:tcPr>
                  <w:tcW w:w="1179" w:type="pct"/>
                </w:tcPr>
                <w:p w14:paraId="1306A11D">
                  <w:pPr>
                    <w:pStyle w:val="81"/>
                    <w:spacing w:line="256" w:lineRule="exact"/>
                    <w:ind w:left="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GB/T14976-2012</w:t>
                  </w:r>
                </w:p>
              </w:tc>
              <w:tc>
                <w:tcPr>
                  <w:tcW w:w="1758" w:type="pct"/>
                </w:tcPr>
                <w:p w14:paraId="7238C039">
                  <w:pPr>
                    <w:pStyle w:val="81"/>
                    <w:spacing w:line="256" w:lineRule="exact"/>
                    <w:ind w:left="1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Φ88.9x4.5</w:t>
                  </w:r>
                </w:p>
              </w:tc>
              <w:tc>
                <w:tcPr>
                  <w:tcW w:w="382" w:type="pct"/>
                </w:tcPr>
                <w:p w14:paraId="106F1E32">
                  <w:pPr>
                    <w:pStyle w:val="81"/>
                    <w:spacing w:line="256" w:lineRule="exact"/>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w:t>
                  </w:r>
                </w:p>
              </w:tc>
              <w:tc>
                <w:tcPr>
                  <w:tcW w:w="533" w:type="pct"/>
                </w:tcPr>
                <w:p w14:paraId="32549AA2">
                  <w:pPr>
                    <w:pStyle w:val="81"/>
                    <w:spacing w:line="256" w:lineRule="exact"/>
                    <w:ind w:left="212" w:right="20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c>
                <w:tcPr>
                  <w:tcW w:w="700" w:type="pct"/>
                </w:tcPr>
                <w:p w14:paraId="31143C59">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left"/>
                    <w:textAlignment w:val="auto"/>
                    <w:rPr>
                      <w:rFonts w:ascii="Times New Roman"/>
                      <w:color w:val="auto"/>
                      <w:sz w:val="21"/>
                      <w:szCs w:val="21"/>
                    </w:rPr>
                  </w:pPr>
                </w:p>
              </w:tc>
            </w:tr>
            <w:tr w14:paraId="2C5D8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445" w:type="pct"/>
                </w:tcPr>
                <w:p w14:paraId="22142697">
                  <w:pPr>
                    <w:pStyle w:val="81"/>
                    <w:jc w:val="center"/>
                    <w:rPr>
                      <w:rFonts w:hint="default" w:ascii="Times New Roman" w:hAnsi="Times New Roman" w:cs="Times New Roman"/>
                      <w:color w:val="auto"/>
                      <w:sz w:val="21"/>
                      <w:szCs w:val="21"/>
                    </w:rPr>
                  </w:pPr>
                </w:p>
              </w:tc>
              <w:tc>
                <w:tcPr>
                  <w:tcW w:w="1179" w:type="pct"/>
                </w:tcPr>
                <w:p w14:paraId="0CF4ECEA">
                  <w:pPr>
                    <w:pStyle w:val="81"/>
                    <w:spacing w:line="256" w:lineRule="exact"/>
                    <w:ind w:left="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06Cr19Ni10</w:t>
                  </w:r>
                </w:p>
              </w:tc>
              <w:tc>
                <w:tcPr>
                  <w:tcW w:w="1758" w:type="pct"/>
                </w:tcPr>
                <w:p w14:paraId="1373FDD2">
                  <w:pPr>
                    <w:pStyle w:val="81"/>
                    <w:spacing w:line="256" w:lineRule="exact"/>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Φ76.1x4</w:t>
                  </w:r>
                </w:p>
              </w:tc>
              <w:tc>
                <w:tcPr>
                  <w:tcW w:w="382" w:type="pct"/>
                </w:tcPr>
                <w:p w14:paraId="33C3CBF4">
                  <w:pPr>
                    <w:pStyle w:val="81"/>
                    <w:spacing w:line="256" w:lineRule="exact"/>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w:t>
                  </w:r>
                </w:p>
              </w:tc>
              <w:tc>
                <w:tcPr>
                  <w:tcW w:w="533" w:type="pct"/>
                </w:tcPr>
                <w:p w14:paraId="18A30AFF">
                  <w:pPr>
                    <w:pStyle w:val="81"/>
                    <w:spacing w:line="256" w:lineRule="exact"/>
                    <w:ind w:left="212" w:right="20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700" w:type="pct"/>
                </w:tcPr>
                <w:p w14:paraId="1CDB2430">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left"/>
                    <w:textAlignment w:val="auto"/>
                    <w:rPr>
                      <w:rFonts w:ascii="Times New Roman"/>
                      <w:color w:val="auto"/>
                      <w:sz w:val="21"/>
                      <w:szCs w:val="21"/>
                    </w:rPr>
                  </w:pPr>
                </w:p>
              </w:tc>
            </w:tr>
            <w:tr w14:paraId="23D5A0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445" w:type="pct"/>
                </w:tcPr>
                <w:p w14:paraId="3A662F68">
                  <w:pPr>
                    <w:pStyle w:val="81"/>
                    <w:jc w:val="center"/>
                    <w:rPr>
                      <w:rFonts w:hint="default" w:ascii="Times New Roman" w:hAnsi="Times New Roman" w:cs="Times New Roman"/>
                      <w:color w:val="auto"/>
                      <w:sz w:val="21"/>
                      <w:szCs w:val="21"/>
                    </w:rPr>
                  </w:pPr>
                </w:p>
              </w:tc>
              <w:tc>
                <w:tcPr>
                  <w:tcW w:w="1179" w:type="pct"/>
                </w:tcPr>
                <w:p w14:paraId="54C885EA">
                  <w:pPr>
                    <w:pStyle w:val="81"/>
                    <w:jc w:val="center"/>
                    <w:rPr>
                      <w:rFonts w:hint="default" w:ascii="Times New Roman" w:hAnsi="Times New Roman" w:cs="Times New Roman"/>
                      <w:color w:val="auto"/>
                      <w:sz w:val="21"/>
                      <w:szCs w:val="21"/>
                    </w:rPr>
                  </w:pPr>
                </w:p>
              </w:tc>
              <w:tc>
                <w:tcPr>
                  <w:tcW w:w="1758" w:type="pct"/>
                </w:tcPr>
                <w:p w14:paraId="036FF452">
                  <w:pPr>
                    <w:pStyle w:val="81"/>
                    <w:spacing w:before="1" w:line="259" w:lineRule="exact"/>
                    <w:ind w:left="1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Φ60.3x3.91</w:t>
                  </w:r>
                </w:p>
              </w:tc>
              <w:tc>
                <w:tcPr>
                  <w:tcW w:w="382" w:type="pct"/>
                </w:tcPr>
                <w:p w14:paraId="14A909B0">
                  <w:pPr>
                    <w:pStyle w:val="81"/>
                    <w:spacing w:before="1" w:line="259" w:lineRule="exact"/>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w:t>
                  </w:r>
                </w:p>
              </w:tc>
              <w:tc>
                <w:tcPr>
                  <w:tcW w:w="533" w:type="pct"/>
                </w:tcPr>
                <w:p w14:paraId="070E33A8">
                  <w:pPr>
                    <w:pStyle w:val="81"/>
                    <w:spacing w:before="1" w:line="259" w:lineRule="exact"/>
                    <w:ind w:left="212" w:right="20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220</w:t>
                  </w:r>
                </w:p>
              </w:tc>
              <w:tc>
                <w:tcPr>
                  <w:tcW w:w="700" w:type="pct"/>
                </w:tcPr>
                <w:p w14:paraId="05626739">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left"/>
                    <w:textAlignment w:val="auto"/>
                    <w:rPr>
                      <w:rFonts w:ascii="Times New Roman"/>
                      <w:color w:val="auto"/>
                      <w:sz w:val="21"/>
                      <w:szCs w:val="21"/>
                    </w:rPr>
                  </w:pPr>
                </w:p>
              </w:tc>
            </w:tr>
            <w:tr w14:paraId="5EDFB6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445" w:type="pct"/>
                </w:tcPr>
                <w:p w14:paraId="06FB99BD">
                  <w:pPr>
                    <w:pStyle w:val="81"/>
                    <w:jc w:val="center"/>
                    <w:rPr>
                      <w:rFonts w:hint="default" w:ascii="Times New Roman" w:hAnsi="Times New Roman" w:cs="Times New Roman"/>
                      <w:color w:val="auto"/>
                      <w:sz w:val="21"/>
                      <w:szCs w:val="21"/>
                    </w:rPr>
                  </w:pPr>
                </w:p>
              </w:tc>
              <w:tc>
                <w:tcPr>
                  <w:tcW w:w="1179" w:type="pct"/>
                </w:tcPr>
                <w:p w14:paraId="2FB82B6C">
                  <w:pPr>
                    <w:pStyle w:val="81"/>
                    <w:jc w:val="center"/>
                    <w:rPr>
                      <w:rFonts w:hint="default" w:ascii="Times New Roman" w:hAnsi="Times New Roman" w:cs="Times New Roman"/>
                      <w:color w:val="auto"/>
                      <w:sz w:val="21"/>
                      <w:szCs w:val="21"/>
                    </w:rPr>
                  </w:pPr>
                </w:p>
              </w:tc>
              <w:tc>
                <w:tcPr>
                  <w:tcW w:w="1758" w:type="pct"/>
                </w:tcPr>
                <w:p w14:paraId="040B9F04">
                  <w:pPr>
                    <w:pStyle w:val="81"/>
                    <w:spacing w:line="256" w:lineRule="exact"/>
                    <w:ind w:left="1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Φ33.7x3.38</w:t>
                  </w:r>
                </w:p>
              </w:tc>
              <w:tc>
                <w:tcPr>
                  <w:tcW w:w="382" w:type="pct"/>
                </w:tcPr>
                <w:p w14:paraId="7E9E0578">
                  <w:pPr>
                    <w:pStyle w:val="81"/>
                    <w:spacing w:line="256" w:lineRule="exact"/>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w:t>
                  </w:r>
                </w:p>
              </w:tc>
              <w:tc>
                <w:tcPr>
                  <w:tcW w:w="533" w:type="pct"/>
                </w:tcPr>
                <w:p w14:paraId="37E7FDC6">
                  <w:pPr>
                    <w:pStyle w:val="81"/>
                    <w:spacing w:line="256" w:lineRule="exact"/>
                    <w:ind w:left="212" w:right="20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w:t>
                  </w:r>
                </w:p>
              </w:tc>
              <w:tc>
                <w:tcPr>
                  <w:tcW w:w="700" w:type="pct"/>
                </w:tcPr>
                <w:p w14:paraId="078ECEB1">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left"/>
                    <w:textAlignment w:val="auto"/>
                    <w:rPr>
                      <w:rFonts w:ascii="Times New Roman"/>
                      <w:color w:val="auto"/>
                      <w:sz w:val="21"/>
                      <w:szCs w:val="21"/>
                    </w:rPr>
                  </w:pPr>
                </w:p>
              </w:tc>
            </w:tr>
            <w:tr w14:paraId="280EFD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445" w:type="pct"/>
                </w:tcPr>
                <w:p w14:paraId="399348DF">
                  <w:pPr>
                    <w:pStyle w:val="81"/>
                    <w:jc w:val="center"/>
                    <w:rPr>
                      <w:rFonts w:hint="default" w:ascii="Times New Roman" w:hAnsi="Times New Roman" w:cs="Times New Roman"/>
                      <w:color w:val="auto"/>
                      <w:sz w:val="21"/>
                      <w:szCs w:val="21"/>
                    </w:rPr>
                  </w:pPr>
                </w:p>
              </w:tc>
              <w:tc>
                <w:tcPr>
                  <w:tcW w:w="1179" w:type="pct"/>
                </w:tcPr>
                <w:p w14:paraId="06D677B6">
                  <w:pPr>
                    <w:pStyle w:val="81"/>
                    <w:jc w:val="center"/>
                    <w:rPr>
                      <w:rFonts w:hint="default" w:ascii="Times New Roman" w:hAnsi="Times New Roman" w:cs="Times New Roman"/>
                      <w:color w:val="auto"/>
                      <w:sz w:val="21"/>
                      <w:szCs w:val="21"/>
                    </w:rPr>
                  </w:pPr>
                </w:p>
              </w:tc>
              <w:tc>
                <w:tcPr>
                  <w:tcW w:w="1758" w:type="pct"/>
                </w:tcPr>
                <w:p w14:paraId="5FBCB040">
                  <w:pPr>
                    <w:pStyle w:val="81"/>
                    <w:spacing w:line="256" w:lineRule="exact"/>
                    <w:ind w:left="1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Φ26.9x2.87</w:t>
                  </w:r>
                </w:p>
              </w:tc>
              <w:tc>
                <w:tcPr>
                  <w:tcW w:w="382" w:type="pct"/>
                </w:tcPr>
                <w:p w14:paraId="4D9A48E5">
                  <w:pPr>
                    <w:pStyle w:val="81"/>
                    <w:spacing w:line="256" w:lineRule="exact"/>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w:t>
                  </w:r>
                </w:p>
              </w:tc>
              <w:tc>
                <w:tcPr>
                  <w:tcW w:w="533" w:type="pct"/>
                </w:tcPr>
                <w:p w14:paraId="741ABD54">
                  <w:pPr>
                    <w:pStyle w:val="81"/>
                    <w:spacing w:line="256" w:lineRule="exact"/>
                    <w:ind w:left="212" w:right="20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700" w:type="pct"/>
                </w:tcPr>
                <w:p w14:paraId="65B75622">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left"/>
                    <w:textAlignment w:val="auto"/>
                    <w:rPr>
                      <w:rFonts w:ascii="Times New Roman"/>
                      <w:color w:val="auto"/>
                      <w:sz w:val="21"/>
                      <w:szCs w:val="21"/>
                    </w:rPr>
                  </w:pPr>
                </w:p>
              </w:tc>
            </w:tr>
            <w:tr w14:paraId="5224F8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445" w:type="pct"/>
                </w:tcPr>
                <w:p w14:paraId="11C2A7AF">
                  <w:pPr>
                    <w:pStyle w:val="81"/>
                    <w:jc w:val="center"/>
                    <w:rPr>
                      <w:rFonts w:hint="default" w:ascii="Times New Roman" w:hAnsi="Times New Roman" w:cs="Times New Roman"/>
                      <w:color w:val="auto"/>
                      <w:sz w:val="21"/>
                      <w:szCs w:val="21"/>
                    </w:rPr>
                  </w:pPr>
                </w:p>
              </w:tc>
              <w:tc>
                <w:tcPr>
                  <w:tcW w:w="1179" w:type="pct"/>
                </w:tcPr>
                <w:p w14:paraId="489CE4EA">
                  <w:pPr>
                    <w:pStyle w:val="81"/>
                    <w:jc w:val="center"/>
                    <w:rPr>
                      <w:rFonts w:hint="default" w:ascii="Times New Roman" w:hAnsi="Times New Roman" w:cs="Times New Roman"/>
                      <w:color w:val="auto"/>
                      <w:sz w:val="21"/>
                      <w:szCs w:val="21"/>
                    </w:rPr>
                  </w:pPr>
                </w:p>
              </w:tc>
              <w:tc>
                <w:tcPr>
                  <w:tcW w:w="1758" w:type="pct"/>
                </w:tcPr>
                <w:p w14:paraId="7FD7675A">
                  <w:pPr>
                    <w:pStyle w:val="81"/>
                    <w:spacing w:line="256" w:lineRule="exact"/>
                    <w:ind w:left="1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Φ21.3x2.77</w:t>
                  </w:r>
                </w:p>
              </w:tc>
              <w:tc>
                <w:tcPr>
                  <w:tcW w:w="382" w:type="pct"/>
                </w:tcPr>
                <w:p w14:paraId="2D28675B">
                  <w:pPr>
                    <w:pStyle w:val="81"/>
                    <w:spacing w:line="256" w:lineRule="exact"/>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w:t>
                  </w:r>
                </w:p>
              </w:tc>
              <w:tc>
                <w:tcPr>
                  <w:tcW w:w="533" w:type="pct"/>
                </w:tcPr>
                <w:p w14:paraId="4B11FC37">
                  <w:pPr>
                    <w:pStyle w:val="81"/>
                    <w:spacing w:line="256" w:lineRule="exact"/>
                    <w:ind w:left="212" w:right="20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c>
                <w:tcPr>
                  <w:tcW w:w="700" w:type="pct"/>
                </w:tcPr>
                <w:p w14:paraId="18EA3279">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left"/>
                    <w:textAlignment w:val="auto"/>
                    <w:rPr>
                      <w:rFonts w:ascii="Times New Roman"/>
                      <w:color w:val="auto"/>
                      <w:sz w:val="21"/>
                      <w:szCs w:val="21"/>
                    </w:rPr>
                  </w:pPr>
                </w:p>
              </w:tc>
            </w:tr>
            <w:tr w14:paraId="25EDC4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45" w:type="pct"/>
                </w:tcPr>
                <w:p w14:paraId="57AD1687">
                  <w:pPr>
                    <w:pStyle w:val="81"/>
                    <w:spacing w:before="17" w:line="274" w:lineRule="exact"/>
                    <w:ind w:left="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179" w:type="pct"/>
                </w:tcPr>
                <w:p w14:paraId="3A40671D">
                  <w:pPr>
                    <w:pStyle w:val="81"/>
                    <w:spacing w:before="14" w:line="277" w:lineRule="exact"/>
                    <w:ind w:left="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储罐抗震金属软管</w:t>
                  </w:r>
                </w:p>
              </w:tc>
              <w:tc>
                <w:tcPr>
                  <w:tcW w:w="1758" w:type="pct"/>
                </w:tcPr>
                <w:p w14:paraId="691E6BC8">
                  <w:pPr>
                    <w:pStyle w:val="81"/>
                    <w:tabs>
                      <w:tab w:val="left" w:pos="953"/>
                      <w:tab w:val="left" w:pos="2326"/>
                    </w:tabs>
                    <w:spacing w:before="17" w:line="274" w:lineRule="exact"/>
                    <w:ind w:left="5"/>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DN150</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L=1300mm</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PN16</w:t>
                  </w:r>
                </w:p>
              </w:tc>
              <w:tc>
                <w:tcPr>
                  <w:tcW w:w="382" w:type="pct"/>
                </w:tcPr>
                <w:p w14:paraId="5A58CF5C">
                  <w:pPr>
                    <w:pStyle w:val="81"/>
                    <w:spacing w:before="1" w:line="290" w:lineRule="exact"/>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根</w:t>
                  </w:r>
                </w:p>
              </w:tc>
              <w:tc>
                <w:tcPr>
                  <w:tcW w:w="533" w:type="pct"/>
                </w:tcPr>
                <w:p w14:paraId="1DB46056">
                  <w:pPr>
                    <w:pStyle w:val="81"/>
                    <w:spacing w:before="17" w:line="274" w:lineRule="exact"/>
                    <w:ind w:left="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700" w:type="pct"/>
                </w:tcPr>
                <w:p w14:paraId="1AE75979">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left"/>
                    <w:textAlignment w:val="auto"/>
                    <w:rPr>
                      <w:rFonts w:ascii="Times New Roman"/>
                      <w:color w:val="auto"/>
                      <w:sz w:val="21"/>
                      <w:szCs w:val="21"/>
                    </w:rPr>
                  </w:pPr>
                </w:p>
              </w:tc>
            </w:tr>
            <w:tr w14:paraId="258F26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45" w:type="pct"/>
                </w:tcPr>
                <w:p w14:paraId="044548CA">
                  <w:pPr>
                    <w:pStyle w:val="81"/>
                    <w:jc w:val="center"/>
                    <w:rPr>
                      <w:rFonts w:hint="default" w:ascii="Times New Roman" w:hAnsi="Times New Roman" w:cs="Times New Roman"/>
                      <w:color w:val="auto"/>
                      <w:sz w:val="21"/>
                      <w:szCs w:val="21"/>
                    </w:rPr>
                  </w:pPr>
                </w:p>
              </w:tc>
              <w:tc>
                <w:tcPr>
                  <w:tcW w:w="1179" w:type="pct"/>
                </w:tcPr>
                <w:p w14:paraId="67DB9C52">
                  <w:pPr>
                    <w:pStyle w:val="81"/>
                    <w:jc w:val="center"/>
                    <w:rPr>
                      <w:rFonts w:hint="default" w:ascii="Times New Roman" w:hAnsi="Times New Roman" w:cs="Times New Roman"/>
                      <w:color w:val="auto"/>
                      <w:sz w:val="21"/>
                      <w:szCs w:val="21"/>
                    </w:rPr>
                  </w:pPr>
                </w:p>
              </w:tc>
              <w:tc>
                <w:tcPr>
                  <w:tcW w:w="1758" w:type="pct"/>
                </w:tcPr>
                <w:p w14:paraId="6B3644E2">
                  <w:pPr>
                    <w:pStyle w:val="81"/>
                    <w:tabs>
                      <w:tab w:val="left" w:pos="953"/>
                      <w:tab w:val="left" w:pos="2326"/>
                    </w:tabs>
                    <w:spacing w:before="15"/>
                    <w:ind w:left="5"/>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DN100</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L=1200mm</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PN16</w:t>
                  </w:r>
                </w:p>
              </w:tc>
              <w:tc>
                <w:tcPr>
                  <w:tcW w:w="382" w:type="pct"/>
                </w:tcPr>
                <w:p w14:paraId="0CF271FC">
                  <w:pPr>
                    <w:pStyle w:val="81"/>
                    <w:spacing w:before="1" w:line="289" w:lineRule="exact"/>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根</w:t>
                  </w:r>
                </w:p>
              </w:tc>
              <w:tc>
                <w:tcPr>
                  <w:tcW w:w="533" w:type="pct"/>
                </w:tcPr>
                <w:p w14:paraId="709F4A5E">
                  <w:pPr>
                    <w:pStyle w:val="81"/>
                    <w:spacing w:before="15"/>
                    <w:ind w:left="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700" w:type="pct"/>
                </w:tcPr>
                <w:p w14:paraId="1DDB6762">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left"/>
                    <w:textAlignment w:val="auto"/>
                    <w:rPr>
                      <w:rFonts w:ascii="Times New Roman"/>
                      <w:color w:val="auto"/>
                      <w:sz w:val="21"/>
                      <w:szCs w:val="21"/>
                    </w:rPr>
                  </w:pPr>
                </w:p>
              </w:tc>
            </w:tr>
            <w:tr w14:paraId="145969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45" w:type="pct"/>
                </w:tcPr>
                <w:p w14:paraId="21F8C342">
                  <w:pPr>
                    <w:pStyle w:val="81"/>
                    <w:spacing w:before="2" w:line="289" w:lineRule="exact"/>
                    <w:ind w:left="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七</w:t>
                  </w:r>
                </w:p>
              </w:tc>
              <w:tc>
                <w:tcPr>
                  <w:tcW w:w="1179" w:type="pct"/>
                </w:tcPr>
                <w:p w14:paraId="4DF723E1">
                  <w:pPr>
                    <w:pStyle w:val="81"/>
                    <w:spacing w:before="2" w:line="289" w:lineRule="exact"/>
                    <w:ind w:left="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油罐</w:t>
                  </w:r>
                  <w:r>
                    <w:rPr>
                      <w:rFonts w:hint="default" w:ascii="Times New Roman" w:hAnsi="Times New Roman" w:eastAsia="Times New Roman" w:cs="Times New Roman"/>
                      <w:color w:val="auto"/>
                      <w:sz w:val="21"/>
                      <w:szCs w:val="21"/>
                    </w:rPr>
                    <w:t>/</w:t>
                  </w:r>
                  <w:r>
                    <w:rPr>
                      <w:rFonts w:hint="default" w:ascii="Times New Roman" w:hAnsi="Times New Roman" w:cs="Times New Roman"/>
                      <w:color w:val="auto"/>
                      <w:sz w:val="21"/>
                      <w:szCs w:val="21"/>
                    </w:rPr>
                    <w:t>管防腐</w:t>
                  </w:r>
                </w:p>
              </w:tc>
              <w:tc>
                <w:tcPr>
                  <w:tcW w:w="1758" w:type="pct"/>
                </w:tcPr>
                <w:p w14:paraId="4F412954">
                  <w:pPr>
                    <w:pStyle w:val="81"/>
                    <w:jc w:val="center"/>
                    <w:rPr>
                      <w:rFonts w:hint="default" w:ascii="Times New Roman" w:hAnsi="Times New Roman" w:cs="Times New Roman"/>
                      <w:color w:val="auto"/>
                      <w:sz w:val="21"/>
                      <w:szCs w:val="21"/>
                    </w:rPr>
                  </w:pPr>
                </w:p>
              </w:tc>
              <w:tc>
                <w:tcPr>
                  <w:tcW w:w="382" w:type="pct"/>
                </w:tcPr>
                <w:p w14:paraId="6EEA6320">
                  <w:pPr>
                    <w:pStyle w:val="81"/>
                    <w:jc w:val="center"/>
                    <w:rPr>
                      <w:rFonts w:hint="default" w:ascii="Times New Roman" w:hAnsi="Times New Roman" w:cs="Times New Roman"/>
                      <w:color w:val="auto"/>
                      <w:sz w:val="21"/>
                      <w:szCs w:val="21"/>
                    </w:rPr>
                  </w:pPr>
                </w:p>
              </w:tc>
              <w:tc>
                <w:tcPr>
                  <w:tcW w:w="533" w:type="pct"/>
                </w:tcPr>
                <w:p w14:paraId="523CFF73">
                  <w:pPr>
                    <w:pStyle w:val="81"/>
                    <w:jc w:val="center"/>
                    <w:rPr>
                      <w:rFonts w:hint="default" w:ascii="Times New Roman" w:hAnsi="Times New Roman" w:cs="Times New Roman"/>
                      <w:color w:val="auto"/>
                      <w:sz w:val="21"/>
                      <w:szCs w:val="21"/>
                    </w:rPr>
                  </w:pPr>
                </w:p>
              </w:tc>
              <w:tc>
                <w:tcPr>
                  <w:tcW w:w="700" w:type="pct"/>
                </w:tcPr>
                <w:p w14:paraId="507E12D9">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left"/>
                    <w:textAlignment w:val="auto"/>
                    <w:rPr>
                      <w:rFonts w:ascii="Times New Roman"/>
                      <w:color w:val="auto"/>
                      <w:sz w:val="21"/>
                      <w:szCs w:val="21"/>
                    </w:rPr>
                  </w:pPr>
                </w:p>
              </w:tc>
            </w:tr>
            <w:tr w14:paraId="600CA2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45" w:type="pct"/>
                </w:tcPr>
                <w:p w14:paraId="2ED34E69">
                  <w:pPr>
                    <w:pStyle w:val="81"/>
                    <w:spacing w:line="276" w:lineRule="exact"/>
                    <w:ind w:left="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179" w:type="pct"/>
                </w:tcPr>
                <w:p w14:paraId="43008B2E">
                  <w:pPr>
                    <w:pStyle w:val="81"/>
                    <w:spacing w:before="2" w:line="289" w:lineRule="exact"/>
                    <w:ind w:left="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油罐防腐</w:t>
                  </w:r>
                </w:p>
              </w:tc>
              <w:tc>
                <w:tcPr>
                  <w:tcW w:w="1758" w:type="pct"/>
                </w:tcPr>
                <w:p w14:paraId="240CBD14">
                  <w:pPr>
                    <w:pStyle w:val="81"/>
                    <w:jc w:val="center"/>
                    <w:rPr>
                      <w:rFonts w:hint="default" w:ascii="Times New Roman" w:hAnsi="Times New Roman" w:cs="Times New Roman"/>
                      <w:color w:val="auto"/>
                      <w:sz w:val="21"/>
                      <w:szCs w:val="21"/>
                    </w:rPr>
                  </w:pPr>
                </w:p>
              </w:tc>
              <w:tc>
                <w:tcPr>
                  <w:tcW w:w="382" w:type="pct"/>
                </w:tcPr>
                <w:p w14:paraId="4801C8DD">
                  <w:pPr>
                    <w:pStyle w:val="81"/>
                    <w:jc w:val="center"/>
                    <w:rPr>
                      <w:rFonts w:hint="default" w:ascii="Times New Roman" w:hAnsi="Times New Roman" w:cs="Times New Roman"/>
                      <w:color w:val="auto"/>
                      <w:sz w:val="21"/>
                      <w:szCs w:val="21"/>
                    </w:rPr>
                  </w:pPr>
                </w:p>
              </w:tc>
              <w:tc>
                <w:tcPr>
                  <w:tcW w:w="533" w:type="pct"/>
                </w:tcPr>
                <w:p w14:paraId="0FA2B6D8">
                  <w:pPr>
                    <w:pStyle w:val="81"/>
                    <w:jc w:val="center"/>
                    <w:rPr>
                      <w:rFonts w:hint="default" w:ascii="Times New Roman" w:hAnsi="Times New Roman" w:cs="Times New Roman"/>
                      <w:color w:val="auto"/>
                      <w:sz w:val="21"/>
                      <w:szCs w:val="21"/>
                    </w:rPr>
                  </w:pPr>
                </w:p>
              </w:tc>
              <w:tc>
                <w:tcPr>
                  <w:tcW w:w="700" w:type="pct"/>
                </w:tcPr>
                <w:p w14:paraId="2CD2176B">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left"/>
                    <w:textAlignment w:val="auto"/>
                    <w:rPr>
                      <w:rFonts w:ascii="Times New Roman"/>
                      <w:color w:val="auto"/>
                      <w:sz w:val="21"/>
                      <w:szCs w:val="21"/>
                    </w:rPr>
                  </w:pPr>
                </w:p>
              </w:tc>
            </w:tr>
            <w:tr w14:paraId="467728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45" w:type="pct"/>
                </w:tcPr>
                <w:p w14:paraId="4FA42E05">
                  <w:pPr>
                    <w:pStyle w:val="81"/>
                    <w:jc w:val="center"/>
                    <w:rPr>
                      <w:rFonts w:hint="default" w:ascii="Times New Roman" w:hAnsi="Times New Roman" w:cs="Times New Roman"/>
                      <w:color w:val="auto"/>
                      <w:sz w:val="21"/>
                      <w:szCs w:val="21"/>
                    </w:rPr>
                  </w:pPr>
                </w:p>
              </w:tc>
              <w:tc>
                <w:tcPr>
                  <w:tcW w:w="1179" w:type="pct"/>
                </w:tcPr>
                <w:p w14:paraId="6E276235">
                  <w:pPr>
                    <w:pStyle w:val="81"/>
                    <w:spacing w:line="291" w:lineRule="exact"/>
                    <w:ind w:left="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油罐内壁防腐</w:t>
                  </w:r>
                </w:p>
              </w:tc>
              <w:tc>
                <w:tcPr>
                  <w:tcW w:w="1758" w:type="pct"/>
                </w:tcPr>
                <w:p w14:paraId="2598E303">
                  <w:pPr>
                    <w:pStyle w:val="81"/>
                    <w:spacing w:line="291" w:lineRule="exact"/>
                    <w:ind w:left="7"/>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白色环氧耐油防腐涂料</w:t>
                  </w:r>
                </w:p>
              </w:tc>
              <w:tc>
                <w:tcPr>
                  <w:tcW w:w="382" w:type="pct"/>
                  <w:vAlign w:val="center"/>
                </w:tcPr>
                <w:p w14:paraId="13BB4960">
                  <w:pPr>
                    <w:pStyle w:val="81"/>
                    <w:spacing w:before="1" w:line="290" w:lineRule="exact"/>
                    <w:ind w:left="8"/>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2</w:t>
                  </w:r>
                </w:p>
              </w:tc>
              <w:tc>
                <w:tcPr>
                  <w:tcW w:w="533" w:type="pct"/>
                </w:tcPr>
                <w:p w14:paraId="2A02D467">
                  <w:pPr>
                    <w:pStyle w:val="81"/>
                    <w:spacing w:before="16" w:line="275" w:lineRule="exact"/>
                    <w:ind w:left="212" w:right="20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1350</w:t>
                  </w:r>
                </w:p>
              </w:tc>
              <w:tc>
                <w:tcPr>
                  <w:tcW w:w="700" w:type="pct"/>
                </w:tcPr>
                <w:p w14:paraId="7C0084C7">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left"/>
                    <w:textAlignment w:val="auto"/>
                    <w:rPr>
                      <w:rFonts w:ascii="Times New Roman"/>
                      <w:color w:val="auto"/>
                      <w:sz w:val="21"/>
                      <w:szCs w:val="21"/>
                    </w:rPr>
                  </w:pPr>
                </w:p>
              </w:tc>
            </w:tr>
            <w:tr w14:paraId="0A94D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445" w:type="pct"/>
                </w:tcPr>
                <w:p w14:paraId="754F09E0">
                  <w:pPr>
                    <w:pStyle w:val="81"/>
                    <w:jc w:val="center"/>
                    <w:rPr>
                      <w:rFonts w:hint="default" w:ascii="Times New Roman" w:hAnsi="Times New Roman" w:cs="Times New Roman"/>
                      <w:color w:val="auto"/>
                      <w:sz w:val="21"/>
                      <w:szCs w:val="21"/>
                    </w:rPr>
                  </w:pPr>
                </w:p>
              </w:tc>
              <w:tc>
                <w:tcPr>
                  <w:tcW w:w="1179" w:type="pct"/>
                  <w:vAlign w:val="center"/>
                </w:tcPr>
                <w:p w14:paraId="1C8F645C">
                  <w:pPr>
                    <w:pStyle w:val="81"/>
                    <w:ind w:left="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油罐外壁防腐</w:t>
                  </w:r>
                </w:p>
              </w:tc>
              <w:tc>
                <w:tcPr>
                  <w:tcW w:w="1758" w:type="pct"/>
                </w:tcPr>
                <w:p w14:paraId="1F60FE0F">
                  <w:pPr>
                    <w:pStyle w:val="81"/>
                    <w:ind w:left="7"/>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环氧富锌底漆、环氧云铁中间</w:t>
                  </w:r>
                </w:p>
                <w:p w14:paraId="021909C7">
                  <w:pPr>
                    <w:pStyle w:val="81"/>
                    <w:spacing w:before="5" w:line="289" w:lineRule="exact"/>
                    <w:ind w:left="7"/>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漆、丙烯酸聚氨酯面漆</w:t>
                  </w:r>
                </w:p>
              </w:tc>
              <w:tc>
                <w:tcPr>
                  <w:tcW w:w="382" w:type="pct"/>
                </w:tcPr>
                <w:p w14:paraId="51168370">
                  <w:pPr>
                    <w:spacing w:before="171"/>
                    <w:ind w:left="95" w:right="85"/>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2</w:t>
                  </w:r>
                </w:p>
              </w:tc>
              <w:tc>
                <w:tcPr>
                  <w:tcW w:w="533" w:type="pct"/>
                </w:tcPr>
                <w:p w14:paraId="2F49C9C2">
                  <w:pPr>
                    <w:pStyle w:val="81"/>
                    <w:spacing w:before="172"/>
                    <w:ind w:left="213" w:right="204"/>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1150</w:t>
                  </w:r>
                </w:p>
              </w:tc>
              <w:tc>
                <w:tcPr>
                  <w:tcW w:w="700" w:type="pct"/>
                </w:tcPr>
                <w:p w14:paraId="16B34040">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left"/>
                    <w:textAlignment w:val="auto"/>
                    <w:rPr>
                      <w:rFonts w:ascii="Times New Roman"/>
                      <w:color w:val="auto"/>
                      <w:sz w:val="21"/>
                      <w:szCs w:val="21"/>
                    </w:rPr>
                  </w:pPr>
                </w:p>
              </w:tc>
            </w:tr>
            <w:tr w14:paraId="2FA60F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445" w:type="pct"/>
                </w:tcPr>
                <w:p w14:paraId="452AA566">
                  <w:pPr>
                    <w:pStyle w:val="81"/>
                    <w:jc w:val="center"/>
                    <w:rPr>
                      <w:rFonts w:hint="default" w:ascii="Times New Roman" w:hAnsi="Times New Roman" w:cs="Times New Roman"/>
                      <w:color w:val="auto"/>
                      <w:sz w:val="21"/>
                      <w:szCs w:val="21"/>
                    </w:rPr>
                  </w:pPr>
                </w:p>
              </w:tc>
              <w:tc>
                <w:tcPr>
                  <w:tcW w:w="1179" w:type="pct"/>
                  <w:vAlign w:val="center"/>
                </w:tcPr>
                <w:p w14:paraId="6CB8CF5C">
                  <w:pPr>
                    <w:pStyle w:val="81"/>
                    <w:spacing w:line="291" w:lineRule="exact"/>
                    <w:ind w:left="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油罐罐底外壁防</w:t>
                  </w:r>
                </w:p>
                <w:p w14:paraId="0E0F0FED">
                  <w:pPr>
                    <w:pStyle w:val="81"/>
                    <w:spacing w:line="291" w:lineRule="exact"/>
                    <w:ind w:left="9"/>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腐</w:t>
                  </w:r>
                </w:p>
              </w:tc>
              <w:tc>
                <w:tcPr>
                  <w:tcW w:w="1758" w:type="pct"/>
                </w:tcPr>
                <w:p w14:paraId="412890A8">
                  <w:pPr>
                    <w:pStyle w:val="81"/>
                    <w:spacing w:before="158"/>
                    <w:ind w:left="7"/>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无机富锌底漆</w:t>
                  </w:r>
                </w:p>
              </w:tc>
              <w:tc>
                <w:tcPr>
                  <w:tcW w:w="382" w:type="pct"/>
                </w:tcPr>
                <w:p w14:paraId="0422EF35">
                  <w:pPr>
                    <w:spacing w:before="172"/>
                    <w:ind w:left="95" w:right="85"/>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2</w:t>
                  </w:r>
                </w:p>
              </w:tc>
              <w:tc>
                <w:tcPr>
                  <w:tcW w:w="533" w:type="pct"/>
                </w:tcPr>
                <w:p w14:paraId="1F51C695">
                  <w:pPr>
                    <w:pStyle w:val="81"/>
                    <w:spacing w:before="174"/>
                    <w:ind w:left="212" w:right="20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220</w:t>
                  </w:r>
                </w:p>
              </w:tc>
              <w:tc>
                <w:tcPr>
                  <w:tcW w:w="700" w:type="pct"/>
                </w:tcPr>
                <w:p w14:paraId="012F8783">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left"/>
                    <w:textAlignment w:val="auto"/>
                    <w:rPr>
                      <w:rFonts w:ascii="Times New Roman"/>
                      <w:color w:val="auto"/>
                      <w:sz w:val="21"/>
                      <w:szCs w:val="21"/>
                    </w:rPr>
                  </w:pPr>
                </w:p>
              </w:tc>
            </w:tr>
            <w:tr w14:paraId="515CBA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45" w:type="pct"/>
                </w:tcPr>
                <w:p w14:paraId="5FA38063">
                  <w:pPr>
                    <w:pStyle w:val="81"/>
                    <w:jc w:val="center"/>
                    <w:rPr>
                      <w:rFonts w:hint="default" w:ascii="Times New Roman" w:hAnsi="Times New Roman" w:cs="Times New Roman"/>
                      <w:color w:val="auto"/>
                      <w:sz w:val="21"/>
                      <w:szCs w:val="21"/>
                    </w:rPr>
                  </w:pPr>
                </w:p>
              </w:tc>
              <w:tc>
                <w:tcPr>
                  <w:tcW w:w="1179" w:type="pct"/>
                </w:tcPr>
                <w:p w14:paraId="59E1DF29">
                  <w:pPr>
                    <w:pStyle w:val="81"/>
                    <w:jc w:val="center"/>
                    <w:rPr>
                      <w:rFonts w:hint="default" w:ascii="Times New Roman" w:hAnsi="Times New Roman" w:cs="Times New Roman"/>
                      <w:color w:val="auto"/>
                      <w:sz w:val="21"/>
                      <w:szCs w:val="21"/>
                    </w:rPr>
                  </w:pPr>
                </w:p>
              </w:tc>
              <w:tc>
                <w:tcPr>
                  <w:tcW w:w="1758" w:type="pct"/>
                </w:tcPr>
                <w:p w14:paraId="10C1DF79">
                  <w:pPr>
                    <w:pStyle w:val="81"/>
                    <w:spacing w:line="291" w:lineRule="exact"/>
                    <w:ind w:left="7"/>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环氧煤沥青</w:t>
                  </w:r>
                </w:p>
              </w:tc>
              <w:tc>
                <w:tcPr>
                  <w:tcW w:w="382" w:type="pct"/>
                </w:tcPr>
                <w:p w14:paraId="75900827">
                  <w:pPr>
                    <w:spacing w:before="17" w:line="274" w:lineRule="exact"/>
                    <w:ind w:left="95" w:right="85"/>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2</w:t>
                  </w:r>
                </w:p>
              </w:tc>
              <w:tc>
                <w:tcPr>
                  <w:tcW w:w="533" w:type="pct"/>
                </w:tcPr>
                <w:p w14:paraId="0D746CF4">
                  <w:pPr>
                    <w:pStyle w:val="81"/>
                    <w:spacing w:before="16" w:line="275" w:lineRule="exact"/>
                    <w:ind w:left="212" w:right="20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220</w:t>
                  </w:r>
                </w:p>
              </w:tc>
              <w:tc>
                <w:tcPr>
                  <w:tcW w:w="700" w:type="pct"/>
                </w:tcPr>
                <w:p w14:paraId="7AD17DD9">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left"/>
                    <w:textAlignment w:val="auto"/>
                    <w:rPr>
                      <w:rFonts w:ascii="Times New Roman"/>
                      <w:color w:val="auto"/>
                      <w:sz w:val="21"/>
                      <w:szCs w:val="21"/>
                    </w:rPr>
                  </w:pPr>
                </w:p>
              </w:tc>
            </w:tr>
            <w:tr w14:paraId="3F1A57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45" w:type="pct"/>
                </w:tcPr>
                <w:p w14:paraId="5D5047BB">
                  <w:pPr>
                    <w:pStyle w:val="81"/>
                    <w:ind w:left="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179" w:type="pct"/>
                </w:tcPr>
                <w:p w14:paraId="4CDE043A">
                  <w:pPr>
                    <w:pStyle w:val="81"/>
                    <w:spacing w:before="1" w:line="290" w:lineRule="exact"/>
                    <w:ind w:left="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油管防腐</w:t>
                  </w:r>
                </w:p>
              </w:tc>
              <w:tc>
                <w:tcPr>
                  <w:tcW w:w="1758" w:type="pct"/>
                </w:tcPr>
                <w:p w14:paraId="313B622C">
                  <w:pPr>
                    <w:pStyle w:val="81"/>
                    <w:jc w:val="center"/>
                    <w:rPr>
                      <w:rFonts w:hint="default" w:ascii="Times New Roman" w:hAnsi="Times New Roman" w:cs="Times New Roman"/>
                      <w:color w:val="auto"/>
                      <w:sz w:val="21"/>
                      <w:szCs w:val="21"/>
                    </w:rPr>
                  </w:pPr>
                </w:p>
              </w:tc>
              <w:tc>
                <w:tcPr>
                  <w:tcW w:w="382" w:type="pct"/>
                </w:tcPr>
                <w:p w14:paraId="491F96CF">
                  <w:pPr>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2</w:t>
                  </w:r>
                </w:p>
              </w:tc>
              <w:tc>
                <w:tcPr>
                  <w:tcW w:w="533" w:type="pct"/>
                </w:tcPr>
                <w:p w14:paraId="74DFF5BA">
                  <w:pPr>
                    <w:pStyle w:val="81"/>
                    <w:jc w:val="center"/>
                    <w:rPr>
                      <w:rFonts w:hint="default" w:ascii="Times New Roman" w:hAnsi="Times New Roman" w:cs="Times New Roman"/>
                      <w:color w:val="auto"/>
                      <w:sz w:val="21"/>
                      <w:szCs w:val="21"/>
                    </w:rPr>
                  </w:pPr>
                </w:p>
              </w:tc>
              <w:tc>
                <w:tcPr>
                  <w:tcW w:w="700" w:type="pct"/>
                </w:tcPr>
                <w:p w14:paraId="737D7483">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left"/>
                    <w:textAlignment w:val="auto"/>
                    <w:rPr>
                      <w:rFonts w:ascii="Times New Roman"/>
                      <w:color w:val="auto"/>
                      <w:sz w:val="21"/>
                      <w:szCs w:val="21"/>
                    </w:rPr>
                  </w:pPr>
                </w:p>
              </w:tc>
            </w:tr>
            <w:tr w14:paraId="774F4A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45" w:type="pct"/>
                </w:tcPr>
                <w:p w14:paraId="69293523">
                  <w:pPr>
                    <w:pStyle w:val="81"/>
                    <w:jc w:val="center"/>
                    <w:rPr>
                      <w:rFonts w:hint="default" w:ascii="Times New Roman" w:hAnsi="Times New Roman" w:cs="Times New Roman"/>
                      <w:color w:val="auto"/>
                      <w:sz w:val="21"/>
                      <w:szCs w:val="21"/>
                    </w:rPr>
                  </w:pPr>
                </w:p>
              </w:tc>
              <w:tc>
                <w:tcPr>
                  <w:tcW w:w="1179" w:type="pct"/>
                </w:tcPr>
                <w:p w14:paraId="3E3573B6">
                  <w:pPr>
                    <w:pStyle w:val="81"/>
                    <w:spacing w:before="1" w:line="290" w:lineRule="exact"/>
                    <w:ind w:left="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油管内壁防腐</w:t>
                  </w:r>
                </w:p>
              </w:tc>
              <w:tc>
                <w:tcPr>
                  <w:tcW w:w="1758" w:type="pct"/>
                </w:tcPr>
                <w:p w14:paraId="486F6026">
                  <w:pPr>
                    <w:pStyle w:val="81"/>
                    <w:spacing w:before="1" w:line="290" w:lineRule="exact"/>
                    <w:ind w:left="7"/>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白色环氧耐油防腐涂料</w:t>
                  </w:r>
                </w:p>
              </w:tc>
              <w:tc>
                <w:tcPr>
                  <w:tcW w:w="382" w:type="pct"/>
                </w:tcPr>
                <w:p w14:paraId="590B8FF5">
                  <w:pPr>
                    <w:spacing w:before="16"/>
                    <w:ind w:left="95" w:right="85"/>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2</w:t>
                  </w:r>
                </w:p>
              </w:tc>
              <w:tc>
                <w:tcPr>
                  <w:tcW w:w="533" w:type="pct"/>
                </w:tcPr>
                <w:p w14:paraId="0DCF98B1">
                  <w:pPr>
                    <w:pStyle w:val="81"/>
                    <w:spacing w:before="17" w:line="274" w:lineRule="exact"/>
                    <w:ind w:left="212" w:right="20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220</w:t>
                  </w:r>
                </w:p>
              </w:tc>
              <w:tc>
                <w:tcPr>
                  <w:tcW w:w="700" w:type="pct"/>
                </w:tcPr>
                <w:p w14:paraId="6E35CC5E">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left"/>
                    <w:textAlignment w:val="auto"/>
                    <w:rPr>
                      <w:rFonts w:ascii="Times New Roman"/>
                      <w:color w:val="auto"/>
                      <w:sz w:val="21"/>
                      <w:szCs w:val="21"/>
                    </w:rPr>
                  </w:pPr>
                </w:p>
              </w:tc>
            </w:tr>
            <w:tr w14:paraId="52FCD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445" w:type="pct"/>
                </w:tcPr>
                <w:p w14:paraId="35D43EB8">
                  <w:pPr>
                    <w:pStyle w:val="81"/>
                    <w:jc w:val="center"/>
                    <w:rPr>
                      <w:rFonts w:hint="default" w:ascii="Times New Roman" w:hAnsi="Times New Roman" w:cs="Times New Roman"/>
                      <w:color w:val="auto"/>
                      <w:sz w:val="21"/>
                      <w:szCs w:val="21"/>
                    </w:rPr>
                  </w:pPr>
                </w:p>
              </w:tc>
              <w:tc>
                <w:tcPr>
                  <w:tcW w:w="1179" w:type="pct"/>
                </w:tcPr>
                <w:p w14:paraId="4E8B43DE">
                  <w:pPr>
                    <w:pStyle w:val="81"/>
                    <w:spacing w:before="1"/>
                    <w:ind w:left="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地上油管外壁防</w:t>
                  </w:r>
                </w:p>
                <w:p w14:paraId="37C92978">
                  <w:pPr>
                    <w:pStyle w:val="81"/>
                    <w:spacing w:before="4" w:line="289" w:lineRule="exact"/>
                    <w:ind w:left="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腐</w:t>
                  </w:r>
                </w:p>
              </w:tc>
              <w:tc>
                <w:tcPr>
                  <w:tcW w:w="1758" w:type="pct"/>
                </w:tcPr>
                <w:p w14:paraId="4BFBF06C">
                  <w:pPr>
                    <w:pStyle w:val="81"/>
                    <w:spacing w:before="1"/>
                    <w:ind w:left="7"/>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环氧富锌底漆、环氧云铁中间</w:t>
                  </w:r>
                </w:p>
                <w:p w14:paraId="6651AE04">
                  <w:pPr>
                    <w:pStyle w:val="81"/>
                    <w:spacing w:before="4" w:line="289" w:lineRule="exact"/>
                    <w:ind w:left="7"/>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漆、丙烯酸聚氨酯面漆</w:t>
                  </w:r>
                </w:p>
              </w:tc>
              <w:tc>
                <w:tcPr>
                  <w:tcW w:w="382" w:type="pct"/>
                </w:tcPr>
                <w:p w14:paraId="73B82A84">
                  <w:pPr>
                    <w:spacing w:before="171"/>
                    <w:ind w:left="95" w:right="85"/>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2</w:t>
                  </w:r>
                </w:p>
              </w:tc>
              <w:tc>
                <w:tcPr>
                  <w:tcW w:w="533" w:type="pct"/>
                </w:tcPr>
                <w:p w14:paraId="1EA6DA36">
                  <w:pPr>
                    <w:pStyle w:val="81"/>
                    <w:spacing w:before="173"/>
                    <w:ind w:left="212" w:right="20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230</w:t>
                  </w:r>
                </w:p>
              </w:tc>
              <w:tc>
                <w:tcPr>
                  <w:tcW w:w="700" w:type="pct"/>
                </w:tcPr>
                <w:p w14:paraId="561D031A">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left"/>
                    <w:textAlignment w:val="auto"/>
                    <w:rPr>
                      <w:rFonts w:ascii="Times New Roman"/>
                      <w:color w:val="auto"/>
                      <w:sz w:val="21"/>
                      <w:szCs w:val="21"/>
                    </w:rPr>
                  </w:pPr>
                </w:p>
              </w:tc>
            </w:tr>
            <w:tr w14:paraId="252267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45" w:type="pct"/>
                </w:tcPr>
                <w:p w14:paraId="6CE39418">
                  <w:pPr>
                    <w:pStyle w:val="81"/>
                    <w:jc w:val="center"/>
                    <w:rPr>
                      <w:rFonts w:hint="default" w:ascii="Times New Roman" w:hAnsi="Times New Roman" w:cs="Times New Roman"/>
                      <w:color w:val="auto"/>
                      <w:sz w:val="21"/>
                      <w:szCs w:val="21"/>
                    </w:rPr>
                  </w:pPr>
                </w:p>
              </w:tc>
              <w:tc>
                <w:tcPr>
                  <w:tcW w:w="1179" w:type="pct"/>
                </w:tcPr>
                <w:p w14:paraId="393AA6C6">
                  <w:pPr>
                    <w:pStyle w:val="81"/>
                    <w:spacing w:line="310" w:lineRule="atLeast"/>
                    <w:ind w:left="935" w:right="203" w:hanging="720"/>
                    <w:jc w:val="center"/>
                    <w:rPr>
                      <w:rFonts w:hint="default" w:ascii="Times New Roman" w:hAnsi="Times New Roman" w:cs="Times New Roman"/>
                      <w:color w:val="auto"/>
                      <w:sz w:val="21"/>
                      <w:szCs w:val="21"/>
                    </w:rPr>
                  </w:pPr>
                  <w:r>
                    <w:rPr>
                      <w:rFonts w:hint="default" w:ascii="Times New Roman" w:hAnsi="Times New Roman" w:cs="Times New Roman"/>
                      <w:color w:val="auto"/>
                      <w:spacing w:val="-1"/>
                      <w:sz w:val="21"/>
                      <w:szCs w:val="21"/>
                    </w:rPr>
                    <w:t>埋地油管外壁防</w:t>
                  </w:r>
                  <w:r>
                    <w:rPr>
                      <w:rFonts w:hint="default" w:ascii="Times New Roman" w:hAnsi="Times New Roman" w:cs="Times New Roman"/>
                      <w:color w:val="auto"/>
                      <w:sz w:val="21"/>
                      <w:szCs w:val="21"/>
                    </w:rPr>
                    <w:t>腐</w:t>
                  </w:r>
                </w:p>
              </w:tc>
              <w:tc>
                <w:tcPr>
                  <w:tcW w:w="1758" w:type="pct"/>
                </w:tcPr>
                <w:p w14:paraId="713F2988">
                  <w:pPr>
                    <w:pStyle w:val="81"/>
                    <w:spacing w:before="156"/>
                    <w:ind w:left="7"/>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环氧煤沥青</w:t>
                  </w:r>
                </w:p>
              </w:tc>
              <w:tc>
                <w:tcPr>
                  <w:tcW w:w="382" w:type="pct"/>
                </w:tcPr>
                <w:p w14:paraId="10D55646">
                  <w:pPr>
                    <w:spacing w:before="173"/>
                    <w:ind w:left="95" w:right="85"/>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2</w:t>
                  </w:r>
                </w:p>
              </w:tc>
              <w:tc>
                <w:tcPr>
                  <w:tcW w:w="533" w:type="pct"/>
                </w:tcPr>
                <w:p w14:paraId="23D1017B">
                  <w:pPr>
                    <w:pStyle w:val="81"/>
                    <w:spacing w:before="172"/>
                    <w:ind w:left="212" w:right="20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150</w:t>
                  </w:r>
                </w:p>
              </w:tc>
              <w:tc>
                <w:tcPr>
                  <w:tcW w:w="700" w:type="pct"/>
                </w:tcPr>
                <w:p w14:paraId="4BB82F43">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left"/>
                    <w:textAlignment w:val="auto"/>
                    <w:rPr>
                      <w:rFonts w:ascii="Times New Roman"/>
                      <w:color w:val="auto"/>
                      <w:sz w:val="21"/>
                      <w:szCs w:val="21"/>
                    </w:rPr>
                  </w:pPr>
                </w:p>
              </w:tc>
            </w:tr>
            <w:tr w14:paraId="3F85E6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45" w:type="pct"/>
                </w:tcPr>
                <w:p w14:paraId="228E6132">
                  <w:pPr>
                    <w:pStyle w:val="81"/>
                    <w:spacing w:before="1" w:line="290" w:lineRule="exact"/>
                    <w:ind w:left="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八</w:t>
                  </w:r>
                </w:p>
              </w:tc>
              <w:tc>
                <w:tcPr>
                  <w:tcW w:w="1179" w:type="pct"/>
                </w:tcPr>
                <w:p w14:paraId="3C2A0D2E">
                  <w:pPr>
                    <w:pStyle w:val="81"/>
                    <w:spacing w:before="1" w:line="290" w:lineRule="exact"/>
                    <w:ind w:left="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其他</w:t>
                  </w:r>
                </w:p>
              </w:tc>
              <w:tc>
                <w:tcPr>
                  <w:tcW w:w="1758" w:type="pct"/>
                </w:tcPr>
                <w:p w14:paraId="2047E9F0">
                  <w:pPr>
                    <w:pStyle w:val="81"/>
                    <w:jc w:val="center"/>
                    <w:rPr>
                      <w:rFonts w:hint="default" w:ascii="Times New Roman" w:hAnsi="Times New Roman" w:cs="Times New Roman"/>
                      <w:color w:val="auto"/>
                      <w:sz w:val="21"/>
                      <w:szCs w:val="21"/>
                    </w:rPr>
                  </w:pPr>
                </w:p>
              </w:tc>
              <w:tc>
                <w:tcPr>
                  <w:tcW w:w="382" w:type="pct"/>
                </w:tcPr>
                <w:p w14:paraId="72B62FAB">
                  <w:pPr>
                    <w:pStyle w:val="81"/>
                    <w:jc w:val="center"/>
                    <w:rPr>
                      <w:rFonts w:hint="default" w:ascii="Times New Roman" w:hAnsi="Times New Roman" w:cs="Times New Roman"/>
                      <w:color w:val="auto"/>
                      <w:sz w:val="21"/>
                      <w:szCs w:val="21"/>
                    </w:rPr>
                  </w:pPr>
                </w:p>
              </w:tc>
              <w:tc>
                <w:tcPr>
                  <w:tcW w:w="533" w:type="pct"/>
                </w:tcPr>
                <w:p w14:paraId="3FC81BDE">
                  <w:pPr>
                    <w:pStyle w:val="81"/>
                    <w:jc w:val="center"/>
                    <w:rPr>
                      <w:rFonts w:hint="default" w:ascii="Times New Roman" w:hAnsi="Times New Roman" w:cs="Times New Roman"/>
                      <w:color w:val="auto"/>
                      <w:sz w:val="21"/>
                      <w:szCs w:val="21"/>
                    </w:rPr>
                  </w:pPr>
                </w:p>
              </w:tc>
              <w:tc>
                <w:tcPr>
                  <w:tcW w:w="700" w:type="pct"/>
                </w:tcPr>
                <w:p w14:paraId="7BB42ED3">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jc w:val="left"/>
                    <w:textAlignment w:val="auto"/>
                    <w:rPr>
                      <w:rFonts w:ascii="Times New Roman"/>
                      <w:color w:val="auto"/>
                      <w:sz w:val="21"/>
                      <w:szCs w:val="21"/>
                    </w:rPr>
                  </w:pPr>
                </w:p>
              </w:tc>
            </w:tr>
            <w:tr w14:paraId="250F0C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trPr>
              <w:tc>
                <w:tcPr>
                  <w:tcW w:w="445" w:type="pct"/>
                  <w:vMerge w:val="restart"/>
                </w:tcPr>
                <w:p w14:paraId="32F1E8A4">
                  <w:pPr>
                    <w:pStyle w:val="81"/>
                    <w:spacing w:before="9"/>
                    <w:jc w:val="center"/>
                    <w:rPr>
                      <w:rFonts w:hint="default" w:ascii="Times New Roman" w:hAnsi="Times New Roman" w:cs="Times New Roman"/>
                      <w:b/>
                      <w:color w:val="auto"/>
                      <w:sz w:val="21"/>
                      <w:szCs w:val="21"/>
                    </w:rPr>
                  </w:pPr>
                </w:p>
                <w:p w14:paraId="14D5A144">
                  <w:pPr>
                    <w:pStyle w:val="81"/>
                    <w:ind w:left="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179" w:type="pct"/>
                </w:tcPr>
                <w:p w14:paraId="135568B4">
                  <w:pPr>
                    <w:pStyle w:val="81"/>
                    <w:jc w:val="center"/>
                    <w:rPr>
                      <w:rFonts w:hint="default" w:ascii="Times New Roman" w:hAnsi="Times New Roman" w:cs="Times New Roman"/>
                      <w:b/>
                      <w:color w:val="auto"/>
                      <w:sz w:val="21"/>
                      <w:szCs w:val="21"/>
                    </w:rPr>
                  </w:pPr>
                </w:p>
                <w:p w14:paraId="2CAAC787">
                  <w:pPr>
                    <w:pStyle w:val="81"/>
                    <w:spacing w:before="159"/>
                    <w:ind w:left="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装车鹤管</w:t>
                  </w:r>
                </w:p>
              </w:tc>
              <w:tc>
                <w:tcPr>
                  <w:tcW w:w="1758" w:type="pct"/>
                </w:tcPr>
                <w:p w14:paraId="355A20F1">
                  <w:pPr>
                    <w:pStyle w:val="81"/>
                    <w:spacing w:before="9"/>
                    <w:jc w:val="center"/>
                    <w:rPr>
                      <w:rFonts w:hint="default" w:ascii="Times New Roman" w:hAnsi="Times New Roman" w:cs="Times New Roman"/>
                      <w:b/>
                      <w:color w:val="auto"/>
                      <w:sz w:val="21"/>
                      <w:szCs w:val="21"/>
                    </w:rPr>
                  </w:pPr>
                </w:p>
                <w:p w14:paraId="031E00A0">
                  <w:pPr>
                    <w:pStyle w:val="81"/>
                    <w:tabs>
                      <w:tab w:val="left" w:pos="795"/>
                    </w:tabs>
                    <w:ind w:left="7"/>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PN16</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DN100</w:t>
                  </w:r>
                </w:p>
              </w:tc>
              <w:tc>
                <w:tcPr>
                  <w:tcW w:w="382" w:type="pct"/>
                </w:tcPr>
                <w:p w14:paraId="562A7803">
                  <w:pPr>
                    <w:pStyle w:val="81"/>
                    <w:jc w:val="center"/>
                    <w:rPr>
                      <w:rFonts w:hint="default" w:ascii="Times New Roman" w:hAnsi="Times New Roman" w:cs="Times New Roman"/>
                      <w:b/>
                      <w:color w:val="auto"/>
                      <w:sz w:val="21"/>
                      <w:szCs w:val="21"/>
                    </w:rPr>
                  </w:pPr>
                </w:p>
                <w:p w14:paraId="61520EEB">
                  <w:pPr>
                    <w:pStyle w:val="81"/>
                    <w:spacing w:before="159"/>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根</w:t>
                  </w:r>
                </w:p>
              </w:tc>
              <w:tc>
                <w:tcPr>
                  <w:tcW w:w="533" w:type="pct"/>
                </w:tcPr>
                <w:p w14:paraId="1D840719">
                  <w:pPr>
                    <w:pStyle w:val="81"/>
                    <w:spacing w:before="9"/>
                    <w:jc w:val="center"/>
                    <w:rPr>
                      <w:rFonts w:hint="default" w:ascii="Times New Roman" w:hAnsi="Times New Roman" w:cs="Times New Roman"/>
                      <w:b/>
                      <w:color w:val="auto"/>
                      <w:sz w:val="21"/>
                      <w:szCs w:val="21"/>
                    </w:rPr>
                  </w:pPr>
                </w:p>
                <w:p w14:paraId="25D64479">
                  <w:pPr>
                    <w:pStyle w:val="81"/>
                    <w:ind w:left="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700" w:type="pct"/>
                </w:tcPr>
                <w:p w14:paraId="10666037">
                  <w:pPr>
                    <w:pStyle w:val="81"/>
                    <w:keepNext w:val="0"/>
                    <w:keepLines w:val="0"/>
                    <w:pageBreakBefore w:val="0"/>
                    <w:widowControl w:val="0"/>
                    <w:kinsoku/>
                    <w:wordWrap/>
                    <w:overflowPunct/>
                    <w:topLinePunct w:val="0"/>
                    <w:autoSpaceDE/>
                    <w:autoSpaceDN/>
                    <w:bidi w:val="0"/>
                    <w:adjustRightInd/>
                    <w:snapToGrid/>
                    <w:spacing w:line="280" w:lineRule="exact"/>
                    <w:ind w:left="0" w:right="0" w:firstLine="0"/>
                    <w:textAlignment w:val="auto"/>
                    <w:rPr>
                      <w:color w:val="auto"/>
                      <w:sz w:val="21"/>
                      <w:szCs w:val="21"/>
                    </w:rPr>
                  </w:pPr>
                  <w:r>
                    <w:rPr>
                      <w:color w:val="auto"/>
                      <w:sz w:val="21"/>
                      <w:szCs w:val="21"/>
                    </w:rPr>
                    <w:t>带拉断阀，</w:t>
                  </w:r>
                  <w:r>
                    <w:rPr>
                      <w:color w:val="auto"/>
                      <w:spacing w:val="1"/>
                      <w:sz w:val="21"/>
                      <w:szCs w:val="21"/>
                    </w:rPr>
                    <w:t xml:space="preserve"> </w:t>
                  </w:r>
                  <w:r>
                    <w:rPr>
                      <w:rFonts w:ascii="Times New Roman" w:eastAsia="Times New Roman"/>
                      <w:color w:val="auto"/>
                      <w:spacing w:val="-1"/>
                      <w:sz w:val="21"/>
                      <w:szCs w:val="21"/>
                    </w:rPr>
                    <w:t>DN65</w:t>
                  </w:r>
                  <w:r>
                    <w:rPr>
                      <w:color w:val="auto"/>
                      <w:sz w:val="21"/>
                      <w:szCs w:val="21"/>
                    </w:rPr>
                    <w:t>压力接嘴</w:t>
                  </w:r>
                </w:p>
              </w:tc>
            </w:tr>
            <w:tr w14:paraId="227E28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445" w:type="pct"/>
                  <w:vMerge w:val="continue"/>
                </w:tcPr>
                <w:p w14:paraId="630CF08B">
                  <w:pPr>
                    <w:pStyle w:val="81"/>
                    <w:jc w:val="center"/>
                    <w:rPr>
                      <w:rFonts w:hint="default" w:ascii="Times New Roman" w:hAnsi="Times New Roman" w:cs="Times New Roman"/>
                      <w:color w:val="auto"/>
                      <w:sz w:val="21"/>
                      <w:szCs w:val="21"/>
                    </w:rPr>
                  </w:pPr>
                </w:p>
              </w:tc>
              <w:tc>
                <w:tcPr>
                  <w:tcW w:w="1179" w:type="pct"/>
                </w:tcPr>
                <w:p w14:paraId="79F7F2CE">
                  <w:pPr>
                    <w:pStyle w:val="81"/>
                    <w:jc w:val="center"/>
                    <w:rPr>
                      <w:rFonts w:hint="default" w:ascii="Times New Roman" w:hAnsi="Times New Roman" w:cs="Times New Roman"/>
                      <w:b/>
                      <w:color w:val="auto"/>
                      <w:sz w:val="21"/>
                      <w:szCs w:val="21"/>
                    </w:rPr>
                  </w:pPr>
                </w:p>
                <w:p w14:paraId="01D4F627">
                  <w:pPr>
                    <w:pStyle w:val="81"/>
                    <w:ind w:left="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卸车鹤管</w:t>
                  </w:r>
                </w:p>
              </w:tc>
              <w:tc>
                <w:tcPr>
                  <w:tcW w:w="1758" w:type="pct"/>
                </w:tcPr>
                <w:p w14:paraId="491022AF">
                  <w:pPr>
                    <w:pStyle w:val="81"/>
                    <w:spacing w:before="3"/>
                    <w:jc w:val="center"/>
                    <w:rPr>
                      <w:rFonts w:hint="default" w:ascii="Times New Roman" w:hAnsi="Times New Roman" w:cs="Times New Roman"/>
                      <w:b/>
                      <w:color w:val="auto"/>
                      <w:sz w:val="21"/>
                      <w:szCs w:val="21"/>
                    </w:rPr>
                  </w:pPr>
                </w:p>
                <w:p w14:paraId="1594FDA6">
                  <w:pPr>
                    <w:pStyle w:val="81"/>
                    <w:spacing w:before="1"/>
                    <w:ind w:left="7"/>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PN16</w:t>
                  </w:r>
                  <w:r>
                    <w:rPr>
                      <w:rFonts w:hint="default" w:ascii="Times New Roman" w:hAnsi="Times New Roman" w:cs="Times New Roman"/>
                      <w:color w:val="auto"/>
                      <w:spacing w:val="-4"/>
                      <w:sz w:val="21"/>
                      <w:szCs w:val="21"/>
                    </w:rPr>
                    <w:t xml:space="preserve"> </w:t>
                  </w:r>
                  <w:r>
                    <w:rPr>
                      <w:rFonts w:hint="eastAsia" w:ascii="Times New Roman" w:hAnsi="Times New Roman" w:cs="Times New Roman"/>
                      <w:color w:val="auto"/>
                      <w:spacing w:val="-4"/>
                      <w:sz w:val="21"/>
                      <w:szCs w:val="21"/>
                      <w:lang w:eastAsia="zh-CN"/>
                    </w:rPr>
                    <w:t>，</w:t>
                  </w:r>
                  <w:r>
                    <w:rPr>
                      <w:rFonts w:hint="default" w:ascii="Times New Roman" w:hAnsi="Times New Roman" w:cs="Times New Roman"/>
                      <w:color w:val="auto"/>
                      <w:sz w:val="21"/>
                      <w:szCs w:val="21"/>
                    </w:rPr>
                    <w:t>DN100</w:t>
                  </w:r>
                </w:p>
              </w:tc>
              <w:tc>
                <w:tcPr>
                  <w:tcW w:w="382" w:type="pct"/>
                </w:tcPr>
                <w:p w14:paraId="6ADE779D">
                  <w:pPr>
                    <w:pStyle w:val="81"/>
                    <w:jc w:val="center"/>
                    <w:rPr>
                      <w:rFonts w:hint="default" w:ascii="Times New Roman" w:hAnsi="Times New Roman" w:cs="Times New Roman"/>
                      <w:b/>
                      <w:color w:val="auto"/>
                      <w:sz w:val="21"/>
                      <w:szCs w:val="21"/>
                    </w:rPr>
                  </w:pPr>
                </w:p>
                <w:p w14:paraId="5BEEA5E5">
                  <w:pPr>
                    <w:pStyle w:val="81"/>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根</w:t>
                  </w:r>
                </w:p>
              </w:tc>
              <w:tc>
                <w:tcPr>
                  <w:tcW w:w="533" w:type="pct"/>
                </w:tcPr>
                <w:p w14:paraId="11BF48A4">
                  <w:pPr>
                    <w:pStyle w:val="81"/>
                    <w:spacing w:before="3"/>
                    <w:jc w:val="center"/>
                    <w:rPr>
                      <w:rFonts w:hint="default" w:ascii="Times New Roman" w:hAnsi="Times New Roman" w:cs="Times New Roman"/>
                      <w:b/>
                      <w:color w:val="auto"/>
                      <w:sz w:val="21"/>
                      <w:szCs w:val="21"/>
                    </w:rPr>
                  </w:pPr>
                </w:p>
                <w:p w14:paraId="3E1C5484">
                  <w:pPr>
                    <w:pStyle w:val="81"/>
                    <w:spacing w:before="1"/>
                    <w:ind w:left="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700" w:type="pct"/>
                  <w:vMerge w:val="restart"/>
                </w:tcPr>
                <w:p w14:paraId="2102EEE3">
                  <w:pPr>
                    <w:pStyle w:val="81"/>
                    <w:jc w:val="left"/>
                    <w:rPr>
                      <w:b/>
                      <w:color w:val="auto"/>
                      <w:sz w:val="21"/>
                      <w:szCs w:val="21"/>
                    </w:rPr>
                  </w:pPr>
                </w:p>
                <w:p w14:paraId="6DDF75DE">
                  <w:pPr>
                    <w:pStyle w:val="81"/>
                    <w:spacing w:before="188" w:line="242" w:lineRule="auto"/>
                    <w:ind w:left="451" w:right="203" w:hanging="240"/>
                    <w:jc w:val="left"/>
                    <w:rPr>
                      <w:color w:val="auto"/>
                      <w:sz w:val="21"/>
                      <w:szCs w:val="21"/>
                    </w:rPr>
                  </w:pPr>
                  <w:r>
                    <w:rPr>
                      <w:color w:val="auto"/>
                      <w:spacing w:val="-2"/>
                      <w:sz w:val="21"/>
                      <w:szCs w:val="21"/>
                    </w:rPr>
                    <w:t>带拉断</w:t>
                  </w:r>
                  <w:r>
                    <w:rPr>
                      <w:color w:val="auto"/>
                      <w:sz w:val="21"/>
                      <w:szCs w:val="21"/>
                    </w:rPr>
                    <w:t>阀</w:t>
                  </w:r>
                </w:p>
              </w:tc>
            </w:tr>
            <w:tr w14:paraId="1BAB21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445" w:type="pct"/>
                  <w:vMerge w:val="continue"/>
                </w:tcPr>
                <w:p w14:paraId="20F441A7">
                  <w:pPr>
                    <w:pStyle w:val="81"/>
                    <w:jc w:val="center"/>
                    <w:rPr>
                      <w:rFonts w:hint="default" w:ascii="Times New Roman" w:hAnsi="Times New Roman" w:cs="Times New Roman"/>
                      <w:color w:val="auto"/>
                      <w:sz w:val="21"/>
                      <w:szCs w:val="21"/>
                    </w:rPr>
                  </w:pPr>
                </w:p>
              </w:tc>
              <w:tc>
                <w:tcPr>
                  <w:tcW w:w="1179" w:type="pct"/>
                </w:tcPr>
                <w:p w14:paraId="78DA2620">
                  <w:pPr>
                    <w:pStyle w:val="81"/>
                    <w:jc w:val="center"/>
                    <w:rPr>
                      <w:rFonts w:hint="default" w:ascii="Times New Roman" w:hAnsi="Times New Roman" w:cs="Times New Roman"/>
                      <w:b/>
                      <w:color w:val="auto"/>
                      <w:sz w:val="21"/>
                      <w:szCs w:val="21"/>
                    </w:rPr>
                  </w:pPr>
                </w:p>
                <w:p w14:paraId="1A7BF043">
                  <w:pPr>
                    <w:pStyle w:val="81"/>
                    <w:spacing w:before="1"/>
                    <w:ind w:left="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导静电耐油胶管</w:t>
                  </w:r>
                </w:p>
              </w:tc>
              <w:tc>
                <w:tcPr>
                  <w:tcW w:w="1758" w:type="pct"/>
                </w:tcPr>
                <w:p w14:paraId="3A19CC3F">
                  <w:pPr>
                    <w:pStyle w:val="81"/>
                    <w:spacing w:before="4"/>
                    <w:jc w:val="center"/>
                    <w:rPr>
                      <w:rFonts w:hint="default" w:ascii="Times New Roman" w:hAnsi="Times New Roman" w:cs="Times New Roman"/>
                      <w:b/>
                      <w:color w:val="auto"/>
                      <w:sz w:val="21"/>
                      <w:szCs w:val="21"/>
                    </w:rPr>
                  </w:pPr>
                </w:p>
                <w:p w14:paraId="4970229E">
                  <w:pPr>
                    <w:pStyle w:val="81"/>
                    <w:ind w:left="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PN16</w:t>
                  </w:r>
                  <w:r>
                    <w:rPr>
                      <w:rFonts w:hint="default" w:ascii="Times New Roman" w:hAnsi="Times New Roman" w:cs="Times New Roman"/>
                      <w:color w:val="auto"/>
                      <w:spacing w:val="-4"/>
                      <w:sz w:val="21"/>
                      <w:szCs w:val="21"/>
                    </w:rPr>
                    <w:t xml:space="preserve"> </w:t>
                  </w:r>
                  <w:r>
                    <w:rPr>
                      <w:rFonts w:hint="default" w:ascii="Times New Roman" w:hAnsi="Times New Roman" w:cs="Times New Roman"/>
                      <w:color w:val="auto"/>
                      <w:sz w:val="21"/>
                      <w:szCs w:val="21"/>
                    </w:rPr>
                    <w:t>DN50 L=8m</w:t>
                  </w:r>
                </w:p>
              </w:tc>
              <w:tc>
                <w:tcPr>
                  <w:tcW w:w="382" w:type="pct"/>
                </w:tcPr>
                <w:p w14:paraId="62B8C5DD">
                  <w:pPr>
                    <w:pStyle w:val="81"/>
                    <w:jc w:val="center"/>
                    <w:rPr>
                      <w:rFonts w:hint="default" w:ascii="Times New Roman" w:hAnsi="Times New Roman" w:cs="Times New Roman"/>
                      <w:b/>
                      <w:color w:val="auto"/>
                      <w:sz w:val="21"/>
                      <w:szCs w:val="21"/>
                    </w:rPr>
                  </w:pPr>
                </w:p>
                <w:p w14:paraId="6B4FC632">
                  <w:pPr>
                    <w:pStyle w:val="81"/>
                    <w:spacing w:before="1"/>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根</w:t>
                  </w:r>
                </w:p>
              </w:tc>
              <w:tc>
                <w:tcPr>
                  <w:tcW w:w="533" w:type="pct"/>
                </w:tcPr>
                <w:p w14:paraId="1C3FF95A">
                  <w:pPr>
                    <w:pStyle w:val="81"/>
                    <w:spacing w:before="4"/>
                    <w:jc w:val="center"/>
                    <w:rPr>
                      <w:rFonts w:hint="default" w:ascii="Times New Roman" w:hAnsi="Times New Roman" w:cs="Times New Roman"/>
                      <w:b/>
                      <w:color w:val="auto"/>
                      <w:sz w:val="21"/>
                      <w:szCs w:val="21"/>
                    </w:rPr>
                  </w:pPr>
                </w:p>
                <w:p w14:paraId="3225A785">
                  <w:pPr>
                    <w:pStyle w:val="81"/>
                    <w:ind w:left="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700" w:type="pct"/>
                  <w:vMerge w:val="continue"/>
                  <w:tcBorders>
                    <w:top w:val="nil"/>
                  </w:tcBorders>
                </w:tcPr>
                <w:p w14:paraId="613ED414">
                  <w:pPr>
                    <w:rPr>
                      <w:color w:val="auto"/>
                      <w:sz w:val="21"/>
                      <w:szCs w:val="21"/>
                    </w:rPr>
                  </w:pPr>
                </w:p>
              </w:tc>
            </w:tr>
            <w:tr w14:paraId="57B119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45" w:type="pct"/>
                </w:tcPr>
                <w:p w14:paraId="660F6618">
                  <w:pPr>
                    <w:pStyle w:val="81"/>
                    <w:spacing w:before="20"/>
                    <w:ind w:left="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179" w:type="pct"/>
                </w:tcPr>
                <w:p w14:paraId="0D128205">
                  <w:pPr>
                    <w:pStyle w:val="81"/>
                    <w:spacing w:before="4" w:line="295" w:lineRule="exact"/>
                    <w:ind w:left="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密闭取样器</w:t>
                  </w:r>
                </w:p>
              </w:tc>
              <w:tc>
                <w:tcPr>
                  <w:tcW w:w="1758" w:type="pct"/>
                </w:tcPr>
                <w:p w14:paraId="4499C907">
                  <w:pPr>
                    <w:pStyle w:val="81"/>
                    <w:spacing w:before="4" w:line="295" w:lineRule="exact"/>
                    <w:ind w:left="7"/>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BQY-D</w:t>
                  </w:r>
                  <w:r>
                    <w:rPr>
                      <w:rFonts w:hint="default" w:ascii="Times New Roman" w:hAnsi="Times New Roman" w:eastAsia="Times New Roman" w:cs="Times New Roman"/>
                      <w:color w:val="auto"/>
                      <w:spacing w:val="-9"/>
                      <w:sz w:val="21"/>
                      <w:szCs w:val="21"/>
                    </w:rPr>
                    <w:t xml:space="preserve"> </w:t>
                  </w:r>
                  <w:r>
                    <w:rPr>
                      <w:rFonts w:hint="default" w:ascii="Times New Roman" w:hAnsi="Times New Roman" w:cs="Times New Roman"/>
                      <w:color w:val="auto"/>
                      <w:sz w:val="21"/>
                      <w:szCs w:val="21"/>
                    </w:rPr>
                    <w:t>型</w:t>
                  </w:r>
                </w:p>
              </w:tc>
              <w:tc>
                <w:tcPr>
                  <w:tcW w:w="382" w:type="pct"/>
                </w:tcPr>
                <w:p w14:paraId="788C2E58">
                  <w:pPr>
                    <w:pStyle w:val="81"/>
                    <w:spacing w:before="4" w:line="295" w:lineRule="exact"/>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个</w:t>
                  </w:r>
                </w:p>
              </w:tc>
              <w:tc>
                <w:tcPr>
                  <w:tcW w:w="533" w:type="pct"/>
                </w:tcPr>
                <w:p w14:paraId="4344D030">
                  <w:pPr>
                    <w:pStyle w:val="81"/>
                    <w:spacing w:before="20"/>
                    <w:ind w:left="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700" w:type="pct"/>
                </w:tcPr>
                <w:p w14:paraId="5FFB88B9">
                  <w:pPr>
                    <w:pStyle w:val="81"/>
                    <w:jc w:val="left"/>
                    <w:rPr>
                      <w:rFonts w:ascii="Times New Roman"/>
                      <w:color w:val="auto"/>
                      <w:sz w:val="21"/>
                      <w:szCs w:val="21"/>
                    </w:rPr>
                  </w:pPr>
                </w:p>
              </w:tc>
            </w:tr>
            <w:tr w14:paraId="6B826E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45" w:type="pct"/>
                </w:tcPr>
                <w:p w14:paraId="259E136A">
                  <w:pPr>
                    <w:pStyle w:val="81"/>
                    <w:spacing w:before="17" w:line="274" w:lineRule="exact"/>
                    <w:ind w:left="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179" w:type="pct"/>
                </w:tcPr>
                <w:p w14:paraId="32FDFC07">
                  <w:pPr>
                    <w:pStyle w:val="81"/>
                    <w:spacing w:before="1" w:line="290" w:lineRule="exact"/>
                    <w:ind w:left="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窥视器</w:t>
                  </w:r>
                </w:p>
              </w:tc>
              <w:tc>
                <w:tcPr>
                  <w:tcW w:w="1758" w:type="pct"/>
                </w:tcPr>
                <w:p w14:paraId="1CF90959">
                  <w:pPr>
                    <w:pStyle w:val="81"/>
                    <w:spacing w:before="17" w:line="274" w:lineRule="exact"/>
                    <w:ind w:left="1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DN15</w:t>
                  </w:r>
                  <w:r>
                    <w:rPr>
                      <w:rFonts w:hint="default" w:ascii="Times New Roman" w:hAnsi="Times New Roman" w:cs="Times New Roman"/>
                      <w:color w:val="auto"/>
                      <w:spacing w:val="-1"/>
                      <w:sz w:val="21"/>
                      <w:szCs w:val="21"/>
                    </w:rPr>
                    <w:t xml:space="preserve"> </w:t>
                  </w:r>
                  <w:r>
                    <w:rPr>
                      <w:rFonts w:hint="default" w:ascii="Times New Roman" w:hAnsi="Times New Roman" w:cs="Times New Roman"/>
                      <w:color w:val="auto"/>
                      <w:sz w:val="21"/>
                      <w:szCs w:val="21"/>
                    </w:rPr>
                    <w:t>PN6</w:t>
                  </w:r>
                </w:p>
              </w:tc>
              <w:tc>
                <w:tcPr>
                  <w:tcW w:w="382" w:type="pct"/>
                </w:tcPr>
                <w:p w14:paraId="6BE825DB">
                  <w:pPr>
                    <w:pStyle w:val="81"/>
                    <w:spacing w:before="1" w:line="290" w:lineRule="exact"/>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个</w:t>
                  </w:r>
                </w:p>
              </w:tc>
              <w:tc>
                <w:tcPr>
                  <w:tcW w:w="533" w:type="pct"/>
                </w:tcPr>
                <w:p w14:paraId="55586C10">
                  <w:pPr>
                    <w:pStyle w:val="81"/>
                    <w:spacing w:before="17" w:line="274" w:lineRule="exact"/>
                    <w:ind w:left="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700" w:type="pct"/>
                </w:tcPr>
                <w:p w14:paraId="5F312256">
                  <w:pPr>
                    <w:pStyle w:val="81"/>
                    <w:jc w:val="left"/>
                    <w:rPr>
                      <w:rFonts w:ascii="Times New Roman"/>
                      <w:color w:val="auto"/>
                      <w:sz w:val="21"/>
                      <w:szCs w:val="21"/>
                    </w:rPr>
                  </w:pPr>
                </w:p>
              </w:tc>
            </w:tr>
            <w:tr w14:paraId="7364C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445" w:type="pct"/>
                </w:tcPr>
                <w:p w14:paraId="2A228AFF">
                  <w:pPr>
                    <w:pStyle w:val="81"/>
                    <w:jc w:val="center"/>
                    <w:rPr>
                      <w:rFonts w:hint="default" w:ascii="Times New Roman" w:hAnsi="Times New Roman" w:cs="Times New Roman"/>
                      <w:color w:val="auto"/>
                      <w:sz w:val="21"/>
                      <w:szCs w:val="21"/>
                    </w:rPr>
                  </w:pPr>
                </w:p>
              </w:tc>
              <w:tc>
                <w:tcPr>
                  <w:tcW w:w="1179" w:type="pct"/>
                </w:tcPr>
                <w:p w14:paraId="31F29786">
                  <w:pPr>
                    <w:pStyle w:val="81"/>
                    <w:jc w:val="center"/>
                    <w:rPr>
                      <w:rFonts w:hint="default" w:ascii="Times New Roman" w:hAnsi="Times New Roman" w:cs="Times New Roman"/>
                      <w:color w:val="auto"/>
                      <w:sz w:val="21"/>
                      <w:szCs w:val="21"/>
                    </w:rPr>
                  </w:pPr>
                </w:p>
              </w:tc>
              <w:tc>
                <w:tcPr>
                  <w:tcW w:w="1758" w:type="pct"/>
                </w:tcPr>
                <w:p w14:paraId="700E168A">
                  <w:pPr>
                    <w:pStyle w:val="81"/>
                    <w:jc w:val="center"/>
                    <w:rPr>
                      <w:rFonts w:hint="default" w:ascii="Times New Roman" w:hAnsi="Times New Roman" w:cs="Times New Roman"/>
                      <w:color w:val="auto"/>
                      <w:sz w:val="21"/>
                      <w:szCs w:val="21"/>
                    </w:rPr>
                  </w:pPr>
                </w:p>
              </w:tc>
              <w:tc>
                <w:tcPr>
                  <w:tcW w:w="382" w:type="pct"/>
                </w:tcPr>
                <w:p w14:paraId="319F9DD3">
                  <w:pPr>
                    <w:pStyle w:val="81"/>
                    <w:jc w:val="center"/>
                    <w:rPr>
                      <w:rFonts w:hint="default" w:ascii="Times New Roman" w:hAnsi="Times New Roman" w:cs="Times New Roman"/>
                      <w:color w:val="auto"/>
                      <w:sz w:val="21"/>
                      <w:szCs w:val="21"/>
                    </w:rPr>
                  </w:pPr>
                </w:p>
              </w:tc>
              <w:tc>
                <w:tcPr>
                  <w:tcW w:w="533" w:type="pct"/>
                </w:tcPr>
                <w:p w14:paraId="1D75A4B7">
                  <w:pPr>
                    <w:pStyle w:val="81"/>
                    <w:jc w:val="center"/>
                    <w:rPr>
                      <w:rFonts w:hint="default" w:ascii="Times New Roman" w:hAnsi="Times New Roman" w:cs="Times New Roman"/>
                      <w:color w:val="auto"/>
                      <w:sz w:val="21"/>
                      <w:szCs w:val="21"/>
                    </w:rPr>
                  </w:pPr>
                </w:p>
              </w:tc>
              <w:tc>
                <w:tcPr>
                  <w:tcW w:w="700" w:type="pct"/>
                </w:tcPr>
                <w:p w14:paraId="759DE662">
                  <w:pPr>
                    <w:pStyle w:val="81"/>
                    <w:jc w:val="left"/>
                    <w:rPr>
                      <w:rFonts w:ascii="Times New Roman"/>
                      <w:color w:val="auto"/>
                      <w:sz w:val="21"/>
                      <w:szCs w:val="21"/>
                    </w:rPr>
                  </w:pPr>
                </w:p>
              </w:tc>
            </w:tr>
            <w:tr w14:paraId="72AFCA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45" w:type="pct"/>
                  <w:tcBorders>
                    <w:bottom w:val="single" w:color="000000" w:sz="4" w:space="0"/>
                  </w:tcBorders>
                  <w:vAlign w:val="top"/>
                </w:tcPr>
                <w:p w14:paraId="1670F240">
                  <w:pPr>
                    <w:pStyle w:val="81"/>
                    <w:spacing w:before="17" w:line="274" w:lineRule="exact"/>
                    <w:ind w:left="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1179" w:type="pct"/>
                  <w:tcBorders>
                    <w:bottom w:val="single" w:color="000000" w:sz="4" w:space="0"/>
                  </w:tcBorders>
                  <w:vAlign w:val="top"/>
                </w:tcPr>
                <w:p w14:paraId="1814EFCE">
                  <w:pPr>
                    <w:pStyle w:val="81"/>
                    <w:spacing w:before="1" w:line="290" w:lineRule="exact"/>
                    <w:ind w:left="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阻火器</w:t>
                  </w:r>
                </w:p>
              </w:tc>
              <w:tc>
                <w:tcPr>
                  <w:tcW w:w="1758" w:type="pct"/>
                  <w:tcBorders>
                    <w:bottom w:val="single" w:color="000000" w:sz="4" w:space="0"/>
                  </w:tcBorders>
                  <w:vAlign w:val="top"/>
                </w:tcPr>
                <w:p w14:paraId="489AB3A9">
                  <w:pPr>
                    <w:pStyle w:val="81"/>
                    <w:spacing w:before="17" w:line="274" w:lineRule="exact"/>
                    <w:ind w:left="1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DN200</w:t>
                  </w:r>
                  <w:r>
                    <w:rPr>
                      <w:rFonts w:hint="eastAsia" w:ascii="Times New Roman" w:hAnsi="Times New Roman" w:cs="Times New Roman"/>
                      <w:color w:val="auto"/>
                      <w:spacing w:val="-1"/>
                      <w:sz w:val="21"/>
                      <w:szCs w:val="21"/>
                      <w:lang w:eastAsia="zh-CN"/>
                    </w:rPr>
                    <w:t>，</w:t>
                  </w:r>
                  <w:r>
                    <w:rPr>
                      <w:rFonts w:hint="default" w:ascii="Times New Roman" w:hAnsi="Times New Roman" w:cs="Times New Roman"/>
                      <w:color w:val="auto"/>
                      <w:sz w:val="21"/>
                      <w:szCs w:val="21"/>
                    </w:rPr>
                    <w:t>PN16</w:t>
                  </w:r>
                </w:p>
              </w:tc>
              <w:tc>
                <w:tcPr>
                  <w:tcW w:w="382" w:type="pct"/>
                  <w:tcBorders>
                    <w:bottom w:val="single" w:color="000000" w:sz="4" w:space="0"/>
                  </w:tcBorders>
                  <w:vAlign w:val="top"/>
                </w:tcPr>
                <w:p w14:paraId="3DEBD750">
                  <w:pPr>
                    <w:pStyle w:val="81"/>
                    <w:spacing w:before="1" w:line="290" w:lineRule="exact"/>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个</w:t>
                  </w:r>
                </w:p>
              </w:tc>
              <w:tc>
                <w:tcPr>
                  <w:tcW w:w="533" w:type="pct"/>
                  <w:tcBorders>
                    <w:bottom w:val="single" w:color="000000" w:sz="4" w:space="0"/>
                  </w:tcBorders>
                  <w:vAlign w:val="top"/>
                </w:tcPr>
                <w:p w14:paraId="487590BD">
                  <w:pPr>
                    <w:pStyle w:val="81"/>
                    <w:spacing w:before="17" w:line="274" w:lineRule="exact"/>
                    <w:ind w:left="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700" w:type="pct"/>
                  <w:vMerge w:val="restart"/>
                  <w:tcBorders>
                    <w:bottom w:val="single" w:color="000000" w:sz="4" w:space="0"/>
                  </w:tcBorders>
                  <w:vAlign w:val="top"/>
                </w:tcPr>
                <w:p w14:paraId="6B2585CC">
                  <w:pPr>
                    <w:pStyle w:val="81"/>
                    <w:spacing w:line="310" w:lineRule="atLeast"/>
                    <w:ind w:left="451" w:right="203" w:hanging="240"/>
                    <w:jc w:val="left"/>
                    <w:rPr>
                      <w:color w:val="auto"/>
                      <w:sz w:val="21"/>
                      <w:szCs w:val="21"/>
                    </w:rPr>
                  </w:pPr>
                  <w:r>
                    <w:rPr>
                      <w:color w:val="auto"/>
                      <w:spacing w:val="-2"/>
                      <w:sz w:val="21"/>
                      <w:szCs w:val="21"/>
                    </w:rPr>
                    <w:t>阻爆燃</w:t>
                  </w:r>
                  <w:r>
                    <w:rPr>
                      <w:color w:val="auto"/>
                      <w:sz w:val="21"/>
                      <w:szCs w:val="21"/>
                    </w:rPr>
                    <w:t>型</w:t>
                  </w:r>
                </w:p>
              </w:tc>
            </w:tr>
            <w:tr w14:paraId="49184E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45" w:type="pct"/>
                  <w:tcBorders>
                    <w:top w:val="single" w:color="000000" w:sz="4" w:space="0"/>
                    <w:bottom w:val="single" w:color="000000" w:sz="4" w:space="0"/>
                  </w:tcBorders>
                  <w:vAlign w:val="top"/>
                </w:tcPr>
                <w:p w14:paraId="4FE547BB">
                  <w:pPr>
                    <w:pStyle w:val="81"/>
                    <w:jc w:val="center"/>
                    <w:rPr>
                      <w:rFonts w:hint="default" w:ascii="Times New Roman" w:hAnsi="Times New Roman" w:cs="Times New Roman"/>
                      <w:color w:val="auto"/>
                      <w:sz w:val="21"/>
                      <w:szCs w:val="21"/>
                    </w:rPr>
                  </w:pPr>
                </w:p>
              </w:tc>
              <w:tc>
                <w:tcPr>
                  <w:tcW w:w="1179" w:type="pct"/>
                  <w:tcBorders>
                    <w:top w:val="single" w:color="000000" w:sz="4" w:space="0"/>
                    <w:bottom w:val="single" w:color="000000" w:sz="4" w:space="0"/>
                  </w:tcBorders>
                  <w:vAlign w:val="top"/>
                </w:tcPr>
                <w:p w14:paraId="6B199824">
                  <w:pPr>
                    <w:pStyle w:val="81"/>
                    <w:jc w:val="center"/>
                    <w:rPr>
                      <w:rFonts w:hint="default" w:ascii="Times New Roman" w:hAnsi="Times New Roman" w:cs="Times New Roman"/>
                      <w:color w:val="auto"/>
                      <w:sz w:val="21"/>
                      <w:szCs w:val="21"/>
                    </w:rPr>
                  </w:pPr>
                </w:p>
              </w:tc>
              <w:tc>
                <w:tcPr>
                  <w:tcW w:w="1758" w:type="pct"/>
                  <w:tcBorders>
                    <w:top w:val="single" w:color="000000" w:sz="4" w:space="0"/>
                    <w:bottom w:val="single" w:color="000000" w:sz="4" w:space="0"/>
                  </w:tcBorders>
                  <w:vAlign w:val="top"/>
                </w:tcPr>
                <w:p w14:paraId="259D94BD">
                  <w:pPr>
                    <w:pStyle w:val="81"/>
                    <w:spacing w:before="17" w:line="273" w:lineRule="exact"/>
                    <w:ind w:left="1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DN80</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PN16</w:t>
                  </w:r>
                </w:p>
              </w:tc>
              <w:tc>
                <w:tcPr>
                  <w:tcW w:w="382" w:type="pct"/>
                  <w:tcBorders>
                    <w:top w:val="single" w:color="000000" w:sz="4" w:space="0"/>
                    <w:bottom w:val="single" w:color="000000" w:sz="4" w:space="0"/>
                  </w:tcBorders>
                  <w:vAlign w:val="top"/>
                </w:tcPr>
                <w:p w14:paraId="2823A7D8">
                  <w:pPr>
                    <w:pStyle w:val="81"/>
                    <w:spacing w:before="1" w:line="289" w:lineRule="exact"/>
                    <w:ind w:lef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个</w:t>
                  </w:r>
                </w:p>
              </w:tc>
              <w:tc>
                <w:tcPr>
                  <w:tcW w:w="533" w:type="pct"/>
                  <w:tcBorders>
                    <w:top w:val="single" w:color="000000" w:sz="4" w:space="0"/>
                    <w:bottom w:val="single" w:color="000000" w:sz="4" w:space="0"/>
                  </w:tcBorders>
                  <w:vAlign w:val="top"/>
                </w:tcPr>
                <w:p w14:paraId="72EEFA59">
                  <w:pPr>
                    <w:pStyle w:val="81"/>
                    <w:spacing w:before="17" w:line="273" w:lineRule="exact"/>
                    <w:ind w:left="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700" w:type="pct"/>
                  <w:vMerge w:val="continue"/>
                  <w:tcBorders>
                    <w:top w:val="single" w:color="000000" w:sz="4" w:space="0"/>
                    <w:bottom w:val="single" w:color="000000" w:sz="4" w:space="0"/>
                  </w:tcBorders>
                  <w:vAlign w:val="top"/>
                </w:tcPr>
                <w:p w14:paraId="462BE7FE">
                  <w:pPr>
                    <w:rPr>
                      <w:color w:val="auto"/>
                      <w:sz w:val="21"/>
                      <w:szCs w:val="21"/>
                    </w:rPr>
                  </w:pPr>
                </w:p>
              </w:tc>
            </w:tr>
          </w:tbl>
          <w:p w14:paraId="62EA8E41">
            <w:pPr>
              <w:keepNext w:val="0"/>
              <w:keepLines w:val="0"/>
              <w:pageBreakBefore w:val="0"/>
              <w:widowControl w:val="0"/>
              <w:numPr>
                <w:ilvl w:val="0"/>
                <w:numId w:val="0"/>
              </w:numPr>
              <w:tabs>
                <w:tab w:val="left" w:pos="397"/>
              </w:tabs>
              <w:kinsoku/>
              <w:wordWrap/>
              <w:overflowPunct/>
              <w:topLinePunct w:val="0"/>
              <w:autoSpaceDE/>
              <w:autoSpaceDN/>
              <w:bidi w:val="0"/>
              <w:adjustRightInd w:val="0"/>
              <w:snapToGrid w:val="0"/>
              <w:spacing w:line="360" w:lineRule="auto"/>
              <w:ind w:firstLine="482" w:firstLineChars="200"/>
              <w:jc w:val="left"/>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4、产品规模</w:t>
            </w:r>
          </w:p>
          <w:p w14:paraId="4F82606B">
            <w:pPr>
              <w:numPr>
                <w:ilvl w:val="0"/>
                <w:numId w:val="0"/>
              </w:numPr>
              <w:spacing w:line="360" w:lineRule="auto"/>
              <w:ind w:firstLine="480" w:firstLineChars="200"/>
              <w:rPr>
                <w:rFonts w:hint="eastAsia" w:cs="Times New Roman" w:eastAsiaTheme="minorEastAsia"/>
                <w:color w:val="auto"/>
                <w:kern w:val="0"/>
                <w:sz w:val="24"/>
                <w:szCs w:val="24"/>
                <w:lang w:val="en-US" w:eastAsia="zh-CN"/>
              </w:rPr>
            </w:pPr>
            <w:r>
              <w:rPr>
                <w:rFonts w:hint="eastAsia" w:cs="Times New Roman" w:eastAsiaTheme="minorEastAsia"/>
                <w:color w:val="auto"/>
                <w:kern w:val="0"/>
                <w:sz w:val="24"/>
                <w:szCs w:val="24"/>
                <w:lang w:val="en-US" w:eastAsia="zh-CN"/>
              </w:rPr>
              <w:t>本期新建3座500m</w:t>
            </w:r>
            <w:r>
              <w:rPr>
                <w:rFonts w:hint="eastAsia" w:cs="Times New Roman" w:eastAsiaTheme="minorEastAsia"/>
                <w:color w:val="auto"/>
                <w:kern w:val="0"/>
                <w:sz w:val="24"/>
                <w:szCs w:val="24"/>
                <w:vertAlign w:val="superscript"/>
                <w:lang w:val="en-US" w:eastAsia="zh-CN"/>
              </w:rPr>
              <w:t>3</w:t>
            </w:r>
            <w:r>
              <w:rPr>
                <w:rFonts w:hint="eastAsia" w:cs="Times New Roman" w:eastAsiaTheme="minorEastAsia"/>
                <w:color w:val="auto"/>
                <w:kern w:val="0"/>
                <w:sz w:val="24"/>
                <w:szCs w:val="24"/>
                <w:lang w:val="en-US" w:eastAsia="zh-CN"/>
              </w:rPr>
              <w:t>立式内浮顶油罐，建成后库容为1500m</w:t>
            </w:r>
            <w:r>
              <w:rPr>
                <w:rFonts w:hint="eastAsia" w:cs="Times New Roman" w:eastAsiaTheme="minorEastAsia"/>
                <w:color w:val="auto"/>
                <w:kern w:val="0"/>
                <w:sz w:val="24"/>
                <w:szCs w:val="24"/>
                <w:vertAlign w:val="superscript"/>
                <w:lang w:val="en-US" w:eastAsia="zh-CN"/>
              </w:rPr>
              <w:t>3</w:t>
            </w:r>
            <w:r>
              <w:rPr>
                <w:rFonts w:hint="eastAsia" w:cs="Times New Roman" w:eastAsiaTheme="minorEastAsia"/>
                <w:color w:val="auto"/>
                <w:kern w:val="0"/>
                <w:sz w:val="24"/>
                <w:szCs w:val="24"/>
                <w:lang w:val="en-US" w:eastAsia="zh-CN"/>
              </w:rPr>
              <w:t>，属于四级石油库。</w:t>
            </w:r>
          </w:p>
          <w:p w14:paraId="11818D7E">
            <w:pPr>
              <w:keepNext w:val="0"/>
              <w:keepLines w:val="0"/>
              <w:pageBreakBefore w:val="0"/>
              <w:widowControl w:val="0"/>
              <w:numPr>
                <w:ilvl w:val="0"/>
                <w:numId w:val="0"/>
              </w:numPr>
              <w:tabs>
                <w:tab w:val="left" w:pos="397"/>
              </w:tabs>
              <w:kinsoku/>
              <w:wordWrap/>
              <w:overflowPunct/>
              <w:topLinePunct w:val="0"/>
              <w:autoSpaceDE/>
              <w:autoSpaceDN/>
              <w:bidi w:val="0"/>
              <w:adjustRightInd w:val="0"/>
              <w:snapToGrid w:val="0"/>
              <w:spacing w:line="360" w:lineRule="auto"/>
              <w:ind w:firstLine="482" w:firstLineChars="200"/>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5、油源</w:t>
            </w:r>
          </w:p>
          <w:p w14:paraId="67652610">
            <w:pPr>
              <w:tabs>
                <w:tab w:val="left" w:pos="8080"/>
              </w:tabs>
              <w:spacing w:line="360" w:lineRule="auto"/>
              <w:ind w:firstLine="480"/>
              <w:rPr>
                <w:rFonts w:hint="eastAsia"/>
                <w:color w:val="auto"/>
                <w:sz w:val="24"/>
                <w:szCs w:val="24"/>
              </w:rPr>
            </w:pPr>
            <w:r>
              <w:rPr>
                <w:rFonts w:hint="eastAsia"/>
                <w:color w:val="auto"/>
                <w:sz w:val="24"/>
                <w:szCs w:val="24"/>
                <w:lang w:val="en-US" w:eastAsia="zh-CN"/>
              </w:rPr>
              <w:t xml:space="preserve">宝鸡机场航煤为公路来油。油源考虑自延长石油、中石油长庆石化或者庆阳 </w:t>
            </w:r>
          </w:p>
          <w:p w14:paraId="46E84C2F">
            <w:pPr>
              <w:tabs>
                <w:tab w:val="left" w:pos="8080"/>
              </w:tabs>
              <w:spacing w:line="360" w:lineRule="auto"/>
              <w:rPr>
                <w:rFonts w:hint="eastAsia"/>
                <w:color w:val="auto"/>
                <w:sz w:val="24"/>
                <w:szCs w:val="24"/>
              </w:rPr>
            </w:pPr>
            <w:r>
              <w:rPr>
                <w:rFonts w:hint="eastAsia"/>
                <w:color w:val="auto"/>
                <w:sz w:val="24"/>
                <w:szCs w:val="24"/>
                <w:lang w:val="en-US" w:eastAsia="zh-CN"/>
              </w:rPr>
              <w:t>石化公路运输至宝鸡机场油库，采用罐式加油车为飞机加油。考虑以延长石油为主要油源，中石油长庆石化和庆阳石化作为备用油源。</w:t>
            </w:r>
          </w:p>
          <w:p w14:paraId="61542E38">
            <w:pPr>
              <w:tabs>
                <w:tab w:val="left" w:pos="8080"/>
              </w:tabs>
              <w:spacing w:line="360" w:lineRule="auto"/>
              <w:ind w:firstLine="480"/>
              <w:rPr>
                <w:rFonts w:hint="eastAsia"/>
                <w:color w:val="auto"/>
                <w:sz w:val="24"/>
                <w:szCs w:val="24"/>
              </w:rPr>
            </w:pPr>
            <w:r>
              <w:rPr>
                <w:rFonts w:hint="eastAsia"/>
                <w:color w:val="auto"/>
                <w:sz w:val="24"/>
                <w:szCs w:val="24"/>
                <w:lang w:val="en-US" w:eastAsia="zh-CN"/>
              </w:rPr>
              <w:t>近期2030年的加油量预测值为2.1万t，远期2050年加油量预测值为7.0万t。本期库容1500</w:t>
            </w:r>
            <w:r>
              <w:rPr>
                <w:rFonts w:hint="eastAsia" w:cs="Times New Roman" w:eastAsiaTheme="minorEastAsia"/>
                <w:color w:val="auto"/>
                <w:kern w:val="0"/>
                <w:sz w:val="24"/>
                <w:szCs w:val="24"/>
                <w:lang w:val="en-US" w:eastAsia="zh-CN"/>
              </w:rPr>
              <w:t>m</w:t>
            </w:r>
            <w:r>
              <w:rPr>
                <w:rFonts w:hint="eastAsia" w:cs="Times New Roman" w:eastAsiaTheme="minorEastAsia"/>
                <w:color w:val="auto"/>
                <w:kern w:val="0"/>
                <w:sz w:val="24"/>
                <w:szCs w:val="24"/>
                <w:vertAlign w:val="superscript"/>
                <w:lang w:val="en-US" w:eastAsia="zh-CN"/>
              </w:rPr>
              <w:t>3</w:t>
            </w:r>
            <w:r>
              <w:rPr>
                <w:rFonts w:hint="eastAsia"/>
                <w:color w:val="auto"/>
                <w:sz w:val="24"/>
                <w:szCs w:val="24"/>
                <w:lang w:val="en-US" w:eastAsia="zh-CN"/>
              </w:rPr>
              <w:t>，属于四级石油库。</w:t>
            </w:r>
          </w:p>
          <w:p w14:paraId="40A0229F">
            <w:pPr>
              <w:keepNext w:val="0"/>
              <w:keepLines w:val="0"/>
              <w:pageBreakBefore w:val="0"/>
              <w:widowControl w:val="0"/>
              <w:numPr>
                <w:ilvl w:val="0"/>
                <w:numId w:val="0"/>
              </w:numPr>
              <w:tabs>
                <w:tab w:val="left" w:pos="397"/>
              </w:tabs>
              <w:kinsoku/>
              <w:wordWrap/>
              <w:overflowPunct/>
              <w:topLinePunct w:val="0"/>
              <w:autoSpaceDE/>
              <w:autoSpaceDN/>
              <w:bidi w:val="0"/>
              <w:adjustRightInd w:val="0"/>
              <w:snapToGrid w:val="0"/>
              <w:spacing w:line="360" w:lineRule="auto"/>
              <w:ind w:firstLine="482" w:firstLineChars="200"/>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6、主要原辅料</w:t>
            </w:r>
          </w:p>
          <w:p w14:paraId="64C09154">
            <w:pPr>
              <w:numPr>
                <w:ilvl w:val="0"/>
                <w:numId w:val="0"/>
              </w:numPr>
              <w:spacing w:line="360" w:lineRule="auto"/>
              <w:ind w:firstLine="480" w:firstLineChars="200"/>
              <w:rPr>
                <w:rFonts w:hint="eastAsia" w:cs="Times New Roman" w:eastAsiaTheme="minorEastAsia"/>
                <w:color w:val="auto"/>
                <w:kern w:val="0"/>
                <w:sz w:val="24"/>
                <w:szCs w:val="24"/>
                <w:lang w:val="en-US" w:eastAsia="zh-CN"/>
              </w:rPr>
            </w:pPr>
            <w:r>
              <w:rPr>
                <w:rFonts w:hint="eastAsia" w:cs="Times New Roman" w:eastAsiaTheme="minorEastAsia"/>
                <w:color w:val="auto"/>
                <w:kern w:val="0"/>
                <w:sz w:val="24"/>
                <w:szCs w:val="24"/>
                <w:lang w:val="en-US" w:eastAsia="zh-CN"/>
              </w:rPr>
              <w:t>本项目为航空煤油仓储，收发、存储的油品为航空煤油（3 号喷气燃料），本次考虑军方供油需求，最大发油流量200m</w:t>
            </w:r>
            <w:r>
              <w:rPr>
                <w:rFonts w:hint="eastAsia" w:cs="Times New Roman" w:eastAsiaTheme="minorEastAsia"/>
                <w:color w:val="auto"/>
                <w:kern w:val="0"/>
                <w:sz w:val="24"/>
                <w:szCs w:val="24"/>
                <w:vertAlign w:val="superscript"/>
                <w:lang w:val="en-US" w:eastAsia="zh-CN"/>
              </w:rPr>
              <w:t>3</w:t>
            </w:r>
            <w:r>
              <w:rPr>
                <w:rFonts w:hint="eastAsia" w:cs="Times New Roman" w:eastAsiaTheme="minorEastAsia"/>
                <w:color w:val="auto"/>
                <w:kern w:val="0"/>
                <w:sz w:val="24"/>
                <w:szCs w:val="24"/>
                <w:lang w:val="en-US" w:eastAsia="zh-CN"/>
              </w:rPr>
              <w:t>/h，设置4套收发设施（预留2个接口），可提供最大供油量约800吨。</w:t>
            </w:r>
          </w:p>
          <w:p w14:paraId="487C249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auto"/>
              <w:rPr>
                <w:b/>
                <w:bCs/>
                <w:color w:val="auto"/>
                <w:sz w:val="24"/>
                <w:szCs w:val="24"/>
              </w:rPr>
            </w:pPr>
            <w:r>
              <w:rPr>
                <w:rFonts w:hint="eastAsia"/>
                <w:b/>
                <w:bCs/>
                <w:color w:val="auto"/>
                <w:sz w:val="24"/>
                <w:szCs w:val="24"/>
                <w:lang w:val="en-US" w:eastAsia="zh-CN"/>
              </w:rPr>
              <w:t>7</w:t>
            </w:r>
            <w:r>
              <w:rPr>
                <w:rFonts w:hint="eastAsia"/>
                <w:b/>
                <w:bCs/>
                <w:color w:val="auto"/>
                <w:sz w:val="24"/>
                <w:szCs w:val="24"/>
              </w:rPr>
              <w:t>、</w:t>
            </w:r>
            <w:bookmarkStart w:id="8" w:name="_Toc200961391"/>
            <w:bookmarkStart w:id="9" w:name="_Toc177024812"/>
            <w:bookmarkStart w:id="10" w:name="_Toc200961231"/>
            <w:bookmarkStart w:id="11" w:name="_Toc177024663"/>
            <w:r>
              <w:rPr>
                <w:rFonts w:hint="eastAsia"/>
                <w:b/>
                <w:bCs/>
                <w:color w:val="auto"/>
                <w:sz w:val="24"/>
                <w:szCs w:val="24"/>
              </w:rPr>
              <w:t>公用工程</w:t>
            </w:r>
          </w:p>
          <w:bookmarkEnd w:id="8"/>
          <w:bookmarkEnd w:id="9"/>
          <w:bookmarkEnd w:id="10"/>
          <w:bookmarkEnd w:id="11"/>
          <w:p w14:paraId="168F0F7D">
            <w:pPr>
              <w:adjustRightInd w:val="0"/>
              <w:snapToGrid w:val="0"/>
              <w:spacing w:line="360" w:lineRule="auto"/>
              <w:ind w:firstLine="482" w:firstLineChars="200"/>
              <w:rPr>
                <w:b/>
                <w:bCs/>
                <w:color w:val="auto"/>
                <w:sz w:val="24"/>
              </w:rPr>
            </w:pPr>
            <w:r>
              <w:rPr>
                <w:rFonts w:hint="eastAsia"/>
                <w:b/>
                <w:bCs/>
                <w:color w:val="auto"/>
                <w:sz w:val="24"/>
              </w:rPr>
              <w:t>（</w:t>
            </w:r>
            <w:r>
              <w:rPr>
                <w:b/>
                <w:bCs/>
                <w:color w:val="auto"/>
                <w:sz w:val="24"/>
              </w:rPr>
              <w:t>1</w:t>
            </w:r>
            <w:r>
              <w:rPr>
                <w:rFonts w:hint="eastAsia"/>
                <w:b/>
                <w:bCs/>
                <w:color w:val="auto"/>
                <w:sz w:val="24"/>
              </w:rPr>
              <w:t>）给水</w:t>
            </w:r>
          </w:p>
          <w:p w14:paraId="3B8C0A30">
            <w:pPr>
              <w:adjustRightInd w:val="0"/>
              <w:snapToGrid w:val="0"/>
              <w:spacing w:line="360" w:lineRule="auto"/>
              <w:ind w:firstLine="480" w:firstLineChars="200"/>
              <w:rPr>
                <w:rFonts w:hint="eastAsia" w:hAnsi="宋体"/>
                <w:color w:val="auto"/>
                <w:sz w:val="24"/>
                <w:lang w:val="en-US" w:eastAsia="zh-CN"/>
              </w:rPr>
            </w:pPr>
            <w:r>
              <w:rPr>
                <w:rFonts w:hint="default" w:ascii="Times New Roman" w:hAnsi="Times New Roman" w:cs="Times New Roman"/>
                <w:color w:val="auto"/>
                <w:sz w:val="24"/>
                <w:szCs w:val="24"/>
              </w:rPr>
              <w:t>项目主要用水包括</w:t>
            </w:r>
            <w:r>
              <w:rPr>
                <w:rFonts w:hint="eastAsia" w:ascii="Times New Roman" w:hAnsi="Times New Roman" w:cs="Times New Roman"/>
                <w:color w:val="auto"/>
                <w:sz w:val="24"/>
                <w:szCs w:val="24"/>
                <w:lang w:eastAsia="zh-CN"/>
              </w:rPr>
              <w:t>职工生活用水（包括办公生活用水、洗浴用水、食堂用水）、绿化用水、实验室用水</w:t>
            </w:r>
            <w:r>
              <w:rPr>
                <w:rFonts w:hint="default" w:ascii="Times New Roman" w:hAnsi="Times New Roman" w:cs="Times New Roman"/>
                <w:color w:val="auto"/>
                <w:sz w:val="24"/>
                <w:szCs w:val="24"/>
              </w:rPr>
              <w:t>等，</w:t>
            </w:r>
            <w:r>
              <w:rPr>
                <w:rFonts w:hint="eastAsia" w:hAnsi="宋体"/>
                <w:color w:val="auto"/>
                <w:sz w:val="24"/>
                <w:szCs w:val="24"/>
                <w:lang w:val="en-US" w:eastAsia="zh-CN"/>
              </w:rPr>
              <w:t>水源为机</w:t>
            </w:r>
            <w:r>
              <w:rPr>
                <w:rFonts w:hint="eastAsia" w:hAnsi="宋体"/>
                <w:color w:val="auto"/>
                <w:sz w:val="24"/>
                <w:lang w:val="en-US" w:eastAsia="zh-CN"/>
              </w:rPr>
              <w:t>场给水管网，供水压力不小于0.30MPa，根据《石油库设计规范》（GB50074-2014）的规定。</w:t>
            </w:r>
          </w:p>
          <w:p w14:paraId="4B9A9763">
            <w:pPr>
              <w:pStyle w:val="98"/>
              <w:spacing w:line="336" w:lineRule="auto"/>
              <w:ind w:firstLine="480"/>
              <w:rPr>
                <w:rFonts w:hint="default" w:ascii="Times New Roman" w:hAnsi="Times New Roman" w:cs="Times New Roman"/>
                <w:color w:val="auto"/>
              </w:rPr>
            </w:pPr>
            <w:r>
              <w:rPr>
                <w:rFonts w:hint="default" w:ascii="Times New Roman" w:hAnsi="Times New Roman" w:cs="Times New Roman"/>
                <w:color w:val="auto"/>
              </w:rPr>
              <w:t>①</w:t>
            </w:r>
            <w:r>
              <w:rPr>
                <w:rFonts w:hint="eastAsia" w:ascii="Times New Roman" w:hAnsi="Times New Roman" w:cs="Times New Roman"/>
                <w:color w:val="auto"/>
                <w:lang w:eastAsia="zh-CN"/>
              </w:rPr>
              <w:t>办公生活用水</w:t>
            </w:r>
          </w:p>
          <w:p w14:paraId="6269A757">
            <w:pPr>
              <w:pStyle w:val="98"/>
              <w:spacing w:line="336" w:lineRule="auto"/>
              <w:ind w:firstLine="480"/>
              <w:rPr>
                <w:rFonts w:hint="default" w:ascii="Times New Roman" w:hAnsi="Times New Roman" w:cs="Times New Roman"/>
                <w:color w:val="auto"/>
                <w:lang w:val="en-US" w:eastAsia="zh-CN"/>
              </w:rPr>
            </w:pPr>
            <w:r>
              <w:rPr>
                <w:rFonts w:hint="default" w:ascii="Times New Roman" w:hAnsi="Times New Roman" w:cs="Times New Roman"/>
                <w:color w:val="auto"/>
              </w:rPr>
              <w:t>根据《行业用水定额》（DB61/T943-2020）中的相应用水定额，办公生活用水根据表B.1</w:t>
            </w:r>
            <w:r>
              <w:rPr>
                <w:rFonts w:hint="eastAsia" w:ascii="Times New Roman" w:hAnsi="Times New Roman" w:cs="Times New Roman"/>
                <w:color w:val="auto"/>
                <w:lang w:val="en-US" w:eastAsia="zh-CN"/>
              </w:rPr>
              <w:t>7行政办公及科研院所</w:t>
            </w:r>
            <w:r>
              <w:rPr>
                <w:rFonts w:hint="default" w:ascii="Times New Roman" w:hAnsi="Times New Roman" w:cs="Times New Roman"/>
                <w:color w:val="auto"/>
              </w:rPr>
              <w:t>通用值</w:t>
            </w:r>
            <w:r>
              <w:rPr>
                <w:rFonts w:hint="eastAsia" w:ascii="Times New Roman" w:hAnsi="Times New Roman" w:cs="Times New Roman"/>
                <w:color w:val="auto"/>
                <w:lang w:val="en-US" w:eastAsia="zh-CN"/>
              </w:rPr>
              <w:t>25</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 xml:space="preserve"> </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人•a</w:t>
            </w:r>
            <w:r>
              <w:rPr>
                <w:rFonts w:hint="eastAsia" w:ascii="Times New Roman" w:hAnsi="Times New Roman" w:cs="Times New Roman"/>
                <w:color w:val="auto"/>
                <w:lang w:val="en-US" w:eastAsia="zh-CN"/>
              </w:rPr>
              <w:t>）</w:t>
            </w:r>
            <w:r>
              <w:rPr>
                <w:rFonts w:hint="default" w:ascii="Times New Roman" w:hAnsi="Times New Roman" w:cs="Times New Roman"/>
                <w:color w:val="auto"/>
              </w:rPr>
              <w:t>核算：</w:t>
            </w:r>
            <w:r>
              <w:rPr>
                <w:rFonts w:hint="eastAsia" w:ascii="Times New Roman" w:hAnsi="Times New Roman" w:cs="Times New Roman"/>
                <w:color w:val="auto"/>
                <w:lang w:val="en-US" w:eastAsia="zh-CN"/>
              </w:rPr>
              <w:t>按照每天8人办公计算，0.55m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/d，年用水量200m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/d。</w:t>
            </w:r>
          </w:p>
          <w:p w14:paraId="6C939915">
            <w:pPr>
              <w:pStyle w:val="98"/>
              <w:spacing w:line="336" w:lineRule="auto"/>
              <w:ind w:firstLine="480"/>
              <w:rPr>
                <w:rFonts w:hint="default" w:ascii="Times New Roman" w:hAnsi="Times New Roman" w:cs="Times New Roman"/>
                <w:color w:val="auto"/>
              </w:rPr>
            </w:pPr>
            <w:r>
              <w:rPr>
                <w:rFonts w:hint="eastAsia" w:ascii="Times New Roman" w:hAnsi="Times New Roman" w:cs="Times New Roman"/>
                <w:color w:val="auto"/>
                <w:lang w:eastAsia="zh-CN"/>
              </w:rPr>
              <w:t>②洗浴</w:t>
            </w:r>
            <w:r>
              <w:rPr>
                <w:rFonts w:hint="default" w:ascii="Times New Roman" w:hAnsi="Times New Roman" w:cs="Times New Roman"/>
                <w:color w:val="auto"/>
              </w:rPr>
              <w:t>用水</w:t>
            </w:r>
          </w:p>
          <w:p w14:paraId="012FE533">
            <w:pPr>
              <w:pStyle w:val="98"/>
              <w:spacing w:line="336" w:lineRule="auto"/>
              <w:ind w:firstLine="480"/>
              <w:rPr>
                <w:rFonts w:hint="default" w:ascii="Times New Roman" w:hAnsi="Times New Roman" w:cs="Times New Roman"/>
                <w:color w:val="auto"/>
                <w:lang w:val="en-US" w:eastAsia="zh-CN"/>
              </w:rPr>
            </w:pPr>
            <w:r>
              <w:rPr>
                <w:rFonts w:hint="default" w:ascii="Times New Roman" w:hAnsi="Times New Roman" w:cs="Times New Roman"/>
                <w:color w:val="auto"/>
              </w:rPr>
              <w:t>根据《行业用水定额》（DB61/T943-2020）中的相应用水定额，并结合本项目具体用水环节情况进行计算，</w:t>
            </w:r>
            <w:r>
              <w:rPr>
                <w:rFonts w:hint="eastAsia" w:ascii="Times New Roman" w:hAnsi="Times New Roman" w:cs="Times New Roman"/>
                <w:color w:val="auto"/>
                <w:lang w:eastAsia="zh-CN"/>
              </w:rPr>
              <w:t>洗浴</w:t>
            </w:r>
            <w:r>
              <w:rPr>
                <w:rFonts w:hint="default" w:ascii="Times New Roman" w:hAnsi="Times New Roman" w:cs="Times New Roman"/>
                <w:color w:val="auto"/>
              </w:rPr>
              <w:t>用水</w:t>
            </w:r>
            <w:r>
              <w:rPr>
                <w:rFonts w:hint="eastAsia" w:ascii="Times New Roman" w:hAnsi="Times New Roman" w:cs="Times New Roman"/>
                <w:color w:val="auto"/>
                <w:lang w:eastAsia="zh-CN"/>
              </w:rPr>
              <w:t>根据</w:t>
            </w:r>
            <w:r>
              <w:rPr>
                <w:rFonts w:hint="eastAsia" w:ascii="Times New Roman" w:hAnsi="Times New Roman" w:cs="Times New Roman"/>
                <w:color w:val="auto"/>
                <w:lang w:val="en-US" w:eastAsia="zh-CN"/>
              </w:rPr>
              <w:t>B.9</w:t>
            </w:r>
            <w:r>
              <w:rPr>
                <w:rFonts w:hint="default" w:ascii="Times New Roman" w:hAnsi="Times New Roman" w:cs="Times New Roman"/>
                <w:color w:val="auto"/>
                <w:lang w:val="en-US" w:eastAsia="zh-CN"/>
              </w:rPr>
              <w:t>洗浴服务（O805）</w:t>
            </w:r>
            <w:r>
              <w:rPr>
                <w:rFonts w:hint="eastAsia" w:ascii="Times New Roman" w:hAnsi="Times New Roman" w:cs="Times New Roman"/>
                <w:color w:val="auto"/>
                <w:lang w:val="en-US" w:eastAsia="zh-CN"/>
              </w:rPr>
              <w:t>公共浴池100L/人·次核算：按照每天8人次洗澡，洗浴用水量为0.8m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/d，年用水量292m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/d。</w:t>
            </w:r>
          </w:p>
          <w:p w14:paraId="5775D311">
            <w:pPr>
              <w:pStyle w:val="98"/>
              <w:spacing w:line="336" w:lineRule="auto"/>
              <w:ind w:firstLine="480"/>
              <w:rPr>
                <w:rFonts w:hint="default" w:ascii="Times New Roman" w:hAnsi="Times New Roman" w:cs="Times New Roman"/>
                <w:color w:val="auto"/>
              </w:rPr>
            </w:pPr>
            <w:r>
              <w:rPr>
                <w:rFonts w:hint="default" w:ascii="Times New Roman" w:hAnsi="Times New Roman" w:cs="Times New Roman"/>
                <w:color w:val="auto"/>
              </w:rPr>
              <w:t>③</w:t>
            </w:r>
            <w:r>
              <w:rPr>
                <w:rFonts w:hint="eastAsia" w:ascii="Times New Roman" w:hAnsi="Times New Roman" w:cs="Times New Roman"/>
                <w:color w:val="auto"/>
                <w:lang w:eastAsia="zh-CN"/>
              </w:rPr>
              <w:t>食堂</w:t>
            </w:r>
            <w:r>
              <w:rPr>
                <w:rFonts w:hint="default" w:ascii="Times New Roman" w:hAnsi="Times New Roman" w:cs="Times New Roman"/>
                <w:color w:val="auto"/>
              </w:rPr>
              <w:t>用水</w:t>
            </w:r>
          </w:p>
          <w:p w14:paraId="546B63E8">
            <w:pPr>
              <w:pStyle w:val="98"/>
              <w:spacing w:line="336" w:lineRule="auto"/>
              <w:ind w:firstLine="480"/>
              <w:rPr>
                <w:rFonts w:hint="default" w:ascii="Times New Roman" w:hAnsi="Times New Roman" w:cs="Times New Roman"/>
                <w:color w:val="auto"/>
              </w:rPr>
            </w:pPr>
            <w:r>
              <w:rPr>
                <w:rFonts w:hint="eastAsia" w:ascii="Times New Roman" w:hAnsi="Times New Roman" w:cs="Times New Roman"/>
                <w:color w:val="auto"/>
                <w:lang w:eastAsia="zh-CN"/>
              </w:rPr>
              <w:t>食堂</w:t>
            </w:r>
            <w:r>
              <w:rPr>
                <w:rFonts w:hint="default" w:ascii="Times New Roman" w:hAnsi="Times New Roman" w:cs="Times New Roman"/>
                <w:color w:val="auto"/>
              </w:rPr>
              <w:t>用水根据表B.7餐饮业（H62）中的</w:t>
            </w:r>
            <w:r>
              <w:rPr>
                <w:rFonts w:hint="default" w:ascii="Times New Roman" w:hAnsi="Times New Roman" w:cs="Times New Roman"/>
                <w:color w:val="auto"/>
                <w:lang w:val="en-US" w:eastAsia="zh-CN"/>
              </w:rPr>
              <w:t>正餐服务（H621</w:t>
            </w:r>
            <w:r>
              <w:rPr>
                <w:rFonts w:hint="eastAsia" w:ascii="Times New Roman" w:hAnsi="Times New Roman" w:cs="Times New Roman"/>
                <w:color w:val="auto"/>
                <w:lang w:val="en-US" w:eastAsia="zh-CN"/>
              </w:rPr>
              <w:t>）</w:t>
            </w:r>
            <w:r>
              <w:rPr>
                <w:rFonts w:hint="eastAsia" w:ascii="Times New Roman" w:hAnsi="Times New Roman" w:cs="Times New Roman"/>
                <w:color w:val="auto"/>
                <w:lang w:eastAsia="zh-CN"/>
              </w:rPr>
              <w:t>中小型</w:t>
            </w:r>
            <w:r>
              <w:rPr>
                <w:rFonts w:hint="default" w:ascii="Times New Roman" w:hAnsi="Times New Roman" w:cs="Times New Roman"/>
                <w:color w:val="auto"/>
              </w:rPr>
              <w:t>通用值核算：用水根据通用值</w:t>
            </w:r>
            <w:r>
              <w:rPr>
                <w:rFonts w:hint="eastAsia" w:ascii="Times New Roman" w:hAnsi="Times New Roman" w:cs="Times New Roman"/>
                <w:color w:val="auto"/>
                <w:lang w:val="en-US" w:eastAsia="zh-CN"/>
              </w:rPr>
              <w:t>16</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rPr>
              <w:t>/a）</w:t>
            </w:r>
            <w:r>
              <w:rPr>
                <w:rFonts w:hint="eastAsia" w:ascii="Times New Roman" w:hAnsi="Times New Roman" w:cs="Times New Roman"/>
                <w:color w:val="auto"/>
                <w:lang w:eastAsia="zh-CN"/>
              </w:rPr>
              <w:t>，</w:t>
            </w:r>
            <w:r>
              <w:rPr>
                <w:rFonts w:hint="default" w:ascii="Times New Roman" w:hAnsi="Times New Roman" w:cs="Times New Roman"/>
                <w:color w:val="auto"/>
              </w:rPr>
              <w:t>厨房面积为10</w:t>
            </w:r>
            <w:r>
              <w:rPr>
                <w:rFonts w:hint="eastAsia" w:ascii="Times New Roman" w:hAnsi="Times New Roman" w:cs="Times New Roman"/>
                <w:color w:val="auto"/>
                <w:lang w:val="en-US" w:eastAsia="zh-CN"/>
              </w:rPr>
              <w:t>0</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rPr>
              <w:t>，年用水量</w:t>
            </w:r>
            <w:r>
              <w:rPr>
                <w:rFonts w:hint="eastAsia" w:ascii="Times New Roman" w:hAnsi="Times New Roman" w:cs="Times New Roman"/>
                <w:color w:val="auto"/>
                <w:lang w:val="en-US" w:eastAsia="zh-CN"/>
              </w:rPr>
              <w:t>1600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，则用水量为</w:t>
            </w:r>
            <w:r>
              <w:rPr>
                <w:rFonts w:hint="eastAsia" w:ascii="Times New Roman" w:hAnsi="Times New Roman" w:cs="Times New Roman"/>
                <w:color w:val="auto"/>
                <w:lang w:val="en-US" w:eastAsia="zh-CN"/>
              </w:rPr>
              <w:t>4.4</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/d。</w:t>
            </w:r>
          </w:p>
          <w:p w14:paraId="18360E29">
            <w:pPr>
              <w:pStyle w:val="98"/>
              <w:spacing w:line="336" w:lineRule="auto"/>
              <w:ind w:firstLine="480"/>
              <w:rPr>
                <w:rFonts w:hint="default" w:ascii="Times New Roman" w:hAnsi="Times New Roman" w:cs="Times New Roman"/>
                <w:color w:val="auto"/>
              </w:rPr>
            </w:pPr>
            <w:r>
              <w:rPr>
                <w:rFonts w:hint="eastAsia" w:ascii="Times New Roman" w:hAnsi="Times New Roman" w:cs="Times New Roman"/>
                <w:color w:val="auto"/>
                <w:lang w:eastAsia="zh-CN"/>
              </w:rPr>
              <w:t>④</w:t>
            </w:r>
            <w:r>
              <w:rPr>
                <w:rFonts w:hint="default" w:ascii="Times New Roman" w:hAnsi="Times New Roman" w:cs="Times New Roman"/>
                <w:color w:val="auto"/>
              </w:rPr>
              <w:t>绿化用水</w:t>
            </w:r>
          </w:p>
          <w:p w14:paraId="58D0249C">
            <w:pPr>
              <w:pStyle w:val="98"/>
              <w:spacing w:line="336" w:lineRule="auto"/>
              <w:ind w:firstLine="480"/>
              <w:rPr>
                <w:rFonts w:hint="eastAsia" w:ascii="Times New Roman" w:hAnsi="Times New Roman" w:cs="Times New Roman"/>
                <w:color w:val="auto"/>
                <w:lang w:eastAsia="zh-CN"/>
              </w:rPr>
            </w:pPr>
            <w:r>
              <w:rPr>
                <w:rFonts w:hint="default" w:ascii="Times New Roman" w:hAnsi="Times New Roman" w:cs="Times New Roman"/>
                <w:color w:val="auto"/>
              </w:rPr>
              <w:t>根据《行业用水定额》（DB61/T943-2020）中的相应用水定额，绿化用水根据表B.8公共设施管理业（N78）中的绿化管理（N784）通用值核算：绿化用水根据通用值2L/（m</w:t>
            </w:r>
            <w:r>
              <w:rPr>
                <w:rFonts w:hint="default" w:ascii="Times New Roman" w:hAnsi="Times New Roman" w:cs="Times New Roman"/>
                <w:color w:val="auto"/>
                <w:vertAlign w:val="superscript"/>
              </w:rPr>
              <w:t>2</w:t>
            </w:r>
            <w:r>
              <w:rPr>
                <w:rFonts w:hint="default" w:ascii="Times New Roman" w:hAnsi="Times New Roman" w:cs="Times New Roman"/>
                <w:color w:val="auto"/>
              </w:rPr>
              <w:t>·日），即（0.002m</w:t>
            </w:r>
            <w:r>
              <w:rPr>
                <w:rFonts w:hint="default" w:ascii="Times New Roman" w:hAnsi="Times New Roman" w:cs="Times New Roman"/>
                <w:color w:val="auto"/>
                <w:vertAlign w:val="superscript"/>
              </w:rPr>
              <w:t>3</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rPr>
              <w:t>·日），绿化面积100m</w:t>
            </w:r>
            <w:r>
              <w:rPr>
                <w:rFonts w:hint="default" w:ascii="Times New Roman" w:hAnsi="Times New Roman" w:cs="Times New Roman"/>
                <w:color w:val="auto"/>
                <w:vertAlign w:val="superscript"/>
              </w:rPr>
              <w:t>2</w:t>
            </w:r>
            <w:r>
              <w:rPr>
                <w:rFonts w:hint="default" w:ascii="Times New Roman" w:hAnsi="Times New Roman" w:cs="Times New Roman"/>
                <w:color w:val="auto"/>
              </w:rPr>
              <w:t>，</w:t>
            </w:r>
            <w:r>
              <w:rPr>
                <w:rFonts w:hint="eastAsia" w:ascii="Times New Roman" w:hAnsi="Times New Roman" w:cs="Times New Roman"/>
                <w:color w:val="auto"/>
                <w:lang w:eastAsia="zh-CN"/>
              </w:rPr>
              <w:t>绿化天数按照</w:t>
            </w:r>
            <w:r>
              <w:rPr>
                <w:rFonts w:hint="eastAsia" w:ascii="Times New Roman" w:hAnsi="Times New Roman" w:cs="Times New Roman"/>
                <w:color w:val="auto"/>
                <w:lang w:val="en-US" w:eastAsia="zh-CN"/>
              </w:rPr>
              <w:t>240d计算，</w:t>
            </w:r>
            <w:r>
              <w:rPr>
                <w:rFonts w:hint="default" w:ascii="Times New Roman" w:hAnsi="Times New Roman" w:cs="Times New Roman"/>
                <w:color w:val="auto"/>
              </w:rPr>
              <w:t>则用水量为0.2m</w:t>
            </w:r>
            <w:r>
              <w:rPr>
                <w:rFonts w:hint="default" w:ascii="Times New Roman" w:hAnsi="Times New Roman" w:cs="Times New Roman"/>
                <w:color w:val="auto"/>
                <w:vertAlign w:val="superscript"/>
              </w:rPr>
              <w:t>3</w:t>
            </w:r>
            <w:r>
              <w:rPr>
                <w:rFonts w:hint="default" w:ascii="Times New Roman" w:hAnsi="Times New Roman" w:cs="Times New Roman"/>
                <w:color w:val="auto"/>
              </w:rPr>
              <w:t>/d</w:t>
            </w:r>
            <w:r>
              <w:rPr>
                <w:rFonts w:hint="eastAsia" w:ascii="Times New Roman" w:hAnsi="Times New Roman" w:cs="Times New Roman"/>
                <w:color w:val="auto"/>
                <w:lang w:eastAsia="zh-CN"/>
              </w:rPr>
              <w:t>，年用水量</w:t>
            </w:r>
            <w:r>
              <w:rPr>
                <w:rFonts w:hint="eastAsia" w:ascii="Times New Roman" w:hAnsi="Times New Roman" w:cs="Times New Roman"/>
                <w:color w:val="auto"/>
                <w:lang w:val="en-US" w:eastAsia="zh-CN"/>
              </w:rPr>
              <w:t>48</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eastAsia" w:ascii="Times New Roman" w:hAnsi="Times New Roman" w:cs="Times New Roman"/>
                <w:color w:val="auto"/>
                <w:lang w:eastAsia="zh-CN"/>
              </w:rPr>
              <w:t>。</w:t>
            </w:r>
          </w:p>
          <w:p w14:paraId="07009E0D">
            <w:pPr>
              <w:pStyle w:val="98"/>
              <w:spacing w:line="336" w:lineRule="auto"/>
              <w:ind w:firstLine="480"/>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⑤生产用水</w:t>
            </w:r>
          </w:p>
          <w:p w14:paraId="0E76A821">
            <w:pPr>
              <w:adjustRightInd w:val="0"/>
              <w:snapToGrid w:val="0"/>
              <w:spacing w:line="360" w:lineRule="auto"/>
              <w:ind w:firstLine="480" w:firstLineChars="200"/>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根据初步设计资料，生产用水主要为</w:t>
            </w:r>
            <w:r>
              <w:rPr>
                <w:rFonts w:hint="eastAsia" w:ascii="Times New Roman" w:hAnsi="Times New Roman" w:cs="Times New Roman"/>
                <w:color w:val="auto"/>
                <w:sz w:val="24"/>
                <w:szCs w:val="24"/>
                <w:lang w:val="en-US" w:eastAsia="zh-CN"/>
              </w:rPr>
              <w:t>装卸油区域地面冲洗用水</w:t>
            </w:r>
            <w:r>
              <w:rPr>
                <w:rFonts w:hint="eastAsia" w:ascii="Times New Roman" w:hAnsi="Times New Roman" w:cs="Times New Roman"/>
                <w:color w:val="auto"/>
                <w:sz w:val="24"/>
                <w:szCs w:val="24"/>
                <w:lang w:eastAsia="zh-CN"/>
              </w:rPr>
              <w:t>和</w:t>
            </w:r>
            <w:r>
              <w:rPr>
                <w:rFonts w:hint="eastAsia" w:ascii="Times New Roman" w:hAnsi="Times New Roman"/>
                <w:color w:val="auto"/>
                <w:sz w:val="24"/>
                <w:szCs w:val="24"/>
              </w:rPr>
              <w:t>油罐清洗</w:t>
            </w:r>
            <w:r>
              <w:rPr>
                <w:rFonts w:hint="eastAsia" w:ascii="Times New Roman" w:hAnsi="Times New Roman"/>
                <w:color w:val="auto"/>
                <w:sz w:val="24"/>
                <w:szCs w:val="24"/>
                <w:lang w:eastAsia="zh-CN"/>
              </w:rPr>
              <w:t>用</w:t>
            </w:r>
            <w:r>
              <w:rPr>
                <w:rFonts w:hint="eastAsia" w:ascii="Times New Roman" w:hAnsi="Times New Roman"/>
                <w:color w:val="auto"/>
                <w:sz w:val="24"/>
                <w:szCs w:val="24"/>
              </w:rPr>
              <w:t>水</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装卸油区域地面冲洗</w:t>
            </w:r>
            <w:r>
              <w:rPr>
                <w:rFonts w:hint="eastAsia" w:ascii="Times New Roman" w:hAnsi="Times New Roman" w:cs="Times New Roman"/>
                <w:color w:val="auto"/>
                <w:sz w:val="24"/>
                <w:szCs w:val="24"/>
                <w:lang w:eastAsia="zh-CN"/>
              </w:rPr>
              <w:t>用水</w:t>
            </w:r>
            <w:r>
              <w:rPr>
                <w:rFonts w:hint="default" w:ascii="Times New Roman" w:hAnsi="Times New Roman" w:cs="Times New Roman"/>
                <w:color w:val="auto"/>
                <w:sz w:val="24"/>
                <w:szCs w:val="24"/>
              </w:rPr>
              <w:t>量为</w:t>
            </w: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eastAsia" w:ascii="Times New Roman" w:hAnsi="Times New Roman" w:cs="Times New Roman"/>
                <w:color w:val="auto"/>
                <w:sz w:val="24"/>
                <w:szCs w:val="24"/>
                <w:lang w:eastAsia="zh-CN"/>
              </w:rPr>
              <w:t>，按照</w:t>
            </w:r>
            <w:r>
              <w:rPr>
                <w:rFonts w:hint="eastAsia" w:ascii="Times New Roman" w:hAnsi="Times New Roman" w:cs="Times New Roman"/>
                <w:color w:val="auto"/>
                <w:sz w:val="24"/>
                <w:szCs w:val="24"/>
                <w:lang w:val="en-US" w:eastAsia="zh-CN"/>
              </w:rPr>
              <w:t>240d计算，</w:t>
            </w:r>
            <w:r>
              <w:rPr>
                <w:rFonts w:hint="eastAsia" w:ascii="Times New Roman" w:hAnsi="Times New Roman" w:cs="Times New Roman"/>
                <w:color w:val="auto"/>
                <w:sz w:val="24"/>
                <w:szCs w:val="24"/>
                <w:lang w:eastAsia="zh-CN"/>
              </w:rPr>
              <w:t>年用水量</w:t>
            </w:r>
            <w:r>
              <w:rPr>
                <w:rFonts w:hint="eastAsia" w:ascii="Times New Roman" w:hAnsi="Times New Roman" w:cs="Times New Roman"/>
                <w:color w:val="auto"/>
                <w:sz w:val="24"/>
                <w:szCs w:val="24"/>
                <w:lang w:val="en-US" w:eastAsia="zh-CN"/>
              </w:rPr>
              <w:t>240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eastAsia" w:ascii="Times New Roman" w:hAnsi="Times New Roman" w:cs="Times New Roman"/>
                <w:color w:val="auto"/>
                <w:sz w:val="24"/>
                <w:szCs w:val="24"/>
                <w:lang w:eastAsia="zh-CN"/>
              </w:rPr>
              <w:t>。</w:t>
            </w:r>
          </w:p>
          <w:p w14:paraId="1F239FCA">
            <w:pPr>
              <w:adjustRightInd w:val="0"/>
              <w:snapToGrid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eastAsia="zh-CN"/>
              </w:rPr>
              <w:t>油</w:t>
            </w:r>
            <w:r>
              <w:rPr>
                <w:rFonts w:hint="eastAsia" w:ascii="Times New Roman" w:hAnsi="Times New Roman"/>
                <w:color w:val="auto"/>
                <w:sz w:val="24"/>
                <w:szCs w:val="24"/>
              </w:rPr>
              <w:t>罐</w:t>
            </w:r>
            <w:r>
              <w:rPr>
                <w:rFonts w:hint="eastAsia" w:ascii="Times New Roman" w:hAnsi="Times New Roman" w:cs="Times New Roman"/>
                <w:color w:val="auto"/>
                <w:sz w:val="24"/>
                <w:szCs w:val="24"/>
                <w:lang w:eastAsia="zh-CN"/>
              </w:rPr>
              <w:t>每三年清洗一次，</w:t>
            </w:r>
            <w:r>
              <w:rPr>
                <w:rFonts w:hint="eastAsia" w:ascii="Times New Roman" w:hAnsi="Times New Roman"/>
                <w:color w:val="auto"/>
                <w:sz w:val="24"/>
                <w:szCs w:val="24"/>
              </w:rPr>
              <w:t>油罐清洗</w:t>
            </w:r>
            <w:r>
              <w:rPr>
                <w:rFonts w:hint="eastAsia" w:ascii="Times New Roman" w:hAnsi="Times New Roman"/>
                <w:color w:val="auto"/>
                <w:sz w:val="24"/>
                <w:szCs w:val="24"/>
                <w:lang w:eastAsia="zh-CN"/>
              </w:rPr>
              <w:t>用</w:t>
            </w:r>
            <w:r>
              <w:rPr>
                <w:rFonts w:hint="eastAsia" w:ascii="Times New Roman" w:hAnsi="Times New Roman"/>
                <w:color w:val="auto"/>
                <w:sz w:val="24"/>
                <w:szCs w:val="24"/>
              </w:rPr>
              <w:t>水</w:t>
            </w:r>
            <w:r>
              <w:rPr>
                <w:rFonts w:hint="eastAsia" w:ascii="Times New Roman" w:hAnsi="Times New Roman"/>
                <w:color w:val="auto"/>
                <w:sz w:val="24"/>
                <w:szCs w:val="24"/>
                <w:lang w:val="en-US" w:eastAsia="zh-CN"/>
              </w:rPr>
              <w:t>20m</w:t>
            </w:r>
            <w:r>
              <w:rPr>
                <w:rFonts w:hint="eastAsia" w:ascii="Times New Roman" w:hAnsi="Times New Roman"/>
                <w:color w:val="auto"/>
                <w:sz w:val="24"/>
                <w:szCs w:val="24"/>
                <w:vertAlign w:val="superscript"/>
                <w:lang w:val="en-US" w:eastAsia="zh-CN"/>
              </w:rPr>
              <w:t>3</w:t>
            </w:r>
            <w:r>
              <w:rPr>
                <w:rFonts w:hint="eastAsia" w:ascii="Times New Roman" w:hAnsi="Times New Roman"/>
                <w:color w:val="auto"/>
                <w:sz w:val="24"/>
                <w:szCs w:val="24"/>
                <w:lang w:val="en-US" w:eastAsia="zh-CN"/>
              </w:rPr>
              <w:t>。</w:t>
            </w:r>
            <w:r>
              <w:rPr>
                <w:rFonts w:hint="eastAsia" w:ascii="Times New Roman" w:hAnsi="Times New Roman" w:cs="Times New Roman"/>
                <w:color w:val="auto"/>
                <w:sz w:val="24"/>
                <w:szCs w:val="24"/>
                <w:highlight w:val="none"/>
                <w:lang w:val="en-US" w:eastAsia="zh-CN"/>
              </w:rPr>
              <w:t>油罐清洗废水由专用容器收集，暂存于危废贮存间，定期交有资质单位处置。</w:t>
            </w:r>
          </w:p>
          <w:p w14:paraId="2F2D9ABA">
            <w:pPr>
              <w:adjustRightInd w:val="0"/>
              <w:snapToGrid w:val="0"/>
              <w:spacing w:line="360" w:lineRule="auto"/>
              <w:ind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⑥实验室用水</w:t>
            </w:r>
          </w:p>
          <w:p w14:paraId="5297778A">
            <w:pPr>
              <w:adjustRightInd w:val="0"/>
              <w:snapToGrid w:val="0"/>
              <w:spacing w:line="360" w:lineRule="auto"/>
              <w:ind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根据初步设计资料，实验室用水为外购纯水，用水量为2L/d，0.6m³</w:t>
            </w:r>
            <w:r>
              <w:rPr>
                <w:rFonts w:hint="default" w:ascii="Times New Roman" w:hAnsi="Times New Roman" w:cs="Times New Roman"/>
                <w:color w:val="auto"/>
                <w:sz w:val="24"/>
                <w:szCs w:val="24"/>
                <w:highlight w:val="none"/>
                <w:lang w:val="en-US" w:eastAsia="zh-CN"/>
              </w:rPr>
              <w:t>/a</w:t>
            </w:r>
            <w:r>
              <w:rPr>
                <w:rFonts w:hint="eastAsia" w:ascii="Times New Roman" w:hAnsi="Times New Roman" w:cs="Times New Roman"/>
                <w:color w:val="auto"/>
                <w:sz w:val="24"/>
                <w:szCs w:val="24"/>
                <w:highlight w:val="none"/>
                <w:lang w:val="en-US" w:eastAsia="zh-CN"/>
              </w:rPr>
              <w:t>。</w:t>
            </w:r>
          </w:p>
          <w:p w14:paraId="7AE94AB8">
            <w:pPr>
              <w:adjustRightInd w:val="0"/>
              <w:snapToGrid w:val="0"/>
              <w:spacing w:line="360" w:lineRule="auto"/>
              <w:ind w:firstLine="482" w:firstLineChars="200"/>
              <w:rPr>
                <w:rFonts w:hint="eastAsia"/>
                <w:b/>
                <w:bCs/>
                <w:color w:val="auto"/>
                <w:sz w:val="24"/>
              </w:rPr>
            </w:pPr>
            <w:r>
              <w:rPr>
                <w:rFonts w:hint="eastAsia"/>
                <w:b/>
                <w:bCs/>
                <w:color w:val="auto"/>
                <w:sz w:val="24"/>
              </w:rPr>
              <w:t>（2）排水</w:t>
            </w:r>
          </w:p>
          <w:p w14:paraId="0637A119">
            <w:pPr>
              <w:adjustRightInd w:val="0"/>
              <w:snapToGrid w:val="0"/>
              <w:spacing w:line="360" w:lineRule="auto"/>
              <w:ind w:firstLine="480" w:firstLineChars="200"/>
              <w:rPr>
                <w:rFonts w:hint="eastAsia"/>
                <w:color w:val="auto"/>
                <w:sz w:val="24"/>
                <w:highlight w:val="none"/>
              </w:rPr>
            </w:pPr>
            <w:r>
              <w:rPr>
                <w:rFonts w:hint="eastAsia"/>
                <w:color w:val="auto"/>
                <w:sz w:val="24"/>
                <w:lang w:val="en-US" w:eastAsia="zh-CN"/>
              </w:rPr>
              <w:t>排水主要是生活污水、含油污水、实验室废水、</w:t>
            </w:r>
            <w:r>
              <w:rPr>
                <w:rFonts w:hint="eastAsia" w:ascii="Times New Roman" w:hAnsi="Times New Roman" w:cs="Times New Roman"/>
                <w:color w:val="auto"/>
                <w:sz w:val="24"/>
                <w:szCs w:val="24"/>
                <w:lang w:val="en-US" w:eastAsia="zh-CN"/>
              </w:rPr>
              <w:t>装卸油区域地面冲洗</w:t>
            </w:r>
            <w:r>
              <w:rPr>
                <w:rFonts w:hint="eastAsia" w:ascii="Times New Roman" w:hAnsi="Times New Roman" w:cs="Times New Roman"/>
                <w:color w:val="auto"/>
                <w:sz w:val="24"/>
                <w:szCs w:val="24"/>
                <w:highlight w:val="none"/>
                <w:lang w:val="en-US" w:eastAsia="zh-CN"/>
              </w:rPr>
              <w:t>废水、</w:t>
            </w:r>
            <w:r>
              <w:rPr>
                <w:rFonts w:hint="eastAsia"/>
                <w:color w:val="auto"/>
                <w:sz w:val="24"/>
                <w:lang w:val="en-US" w:eastAsia="zh-CN"/>
              </w:rPr>
              <w:t>油罐清洗废水和雨</w:t>
            </w:r>
            <w:r>
              <w:rPr>
                <w:rFonts w:hint="eastAsia"/>
                <w:color w:val="auto"/>
                <w:sz w:val="24"/>
                <w:highlight w:val="none"/>
                <w:lang w:val="en-US" w:eastAsia="zh-CN"/>
              </w:rPr>
              <w:t>水，雨水采用雨污分流制排放。</w:t>
            </w:r>
          </w:p>
          <w:p w14:paraId="354C83E7">
            <w:pPr>
              <w:adjustRightInd w:val="0"/>
              <w:snapToGrid w:val="0"/>
              <w:spacing w:line="360" w:lineRule="auto"/>
              <w:ind w:firstLine="480" w:firstLineChars="200"/>
              <w:rPr>
                <w:rFonts w:hint="eastAsia" w:hAnsi="宋体"/>
                <w:color w:val="auto"/>
                <w:sz w:val="24"/>
                <w:highlight w:val="none"/>
              </w:rPr>
            </w:pPr>
            <w:r>
              <w:rPr>
                <w:rFonts w:hint="eastAsia"/>
                <w:color w:val="auto"/>
                <w:sz w:val="24"/>
                <w:highlight w:val="none"/>
                <w:lang w:eastAsia="zh-CN"/>
              </w:rPr>
              <w:t>生活污水：</w:t>
            </w:r>
            <w:r>
              <w:rPr>
                <w:rFonts w:hint="default" w:ascii="Times New Roman" w:hAnsi="Times New Roman" w:cs="Times New Roman"/>
                <w:b w:val="0"/>
                <w:bCs w:val="0"/>
                <w:color w:val="auto"/>
                <w:sz w:val="24"/>
                <w:szCs w:val="24"/>
                <w:highlight w:val="none"/>
                <w:lang w:val="en-US" w:eastAsia="zh-CN"/>
              </w:rPr>
              <w:t>排水量按用水量的80%计算，</w:t>
            </w:r>
            <w:r>
              <w:rPr>
                <w:rFonts w:hint="eastAsia" w:hAnsi="宋体"/>
                <w:color w:val="auto"/>
                <w:sz w:val="24"/>
                <w:highlight w:val="none"/>
                <w:lang w:val="en-US" w:eastAsia="zh-CN"/>
              </w:rPr>
              <w:t>污水量为4.6m</w:t>
            </w:r>
            <w:r>
              <w:rPr>
                <w:rFonts w:hint="eastAsia" w:hAnsi="宋体"/>
                <w:color w:val="auto"/>
                <w:sz w:val="24"/>
                <w:highlight w:val="none"/>
                <w:vertAlign w:val="superscript"/>
                <w:lang w:val="en-US" w:eastAsia="zh-CN"/>
              </w:rPr>
              <w:t>3</w:t>
            </w:r>
            <w:r>
              <w:rPr>
                <w:rFonts w:hint="eastAsia" w:hAnsi="宋体"/>
                <w:color w:val="auto"/>
                <w:sz w:val="24"/>
                <w:highlight w:val="none"/>
                <w:lang w:val="en-US" w:eastAsia="zh-CN"/>
              </w:rPr>
              <w:t>/d（1679</w:t>
            </w:r>
            <w:r>
              <w:rPr>
                <w:rFonts w:hint="eastAsia" w:ascii="Times New Roman" w:hAnsi="Times New Roman" w:cs="Times New Roman"/>
                <w:color w:val="auto"/>
                <w:sz w:val="24"/>
                <w:szCs w:val="24"/>
                <w:highlight w:val="none"/>
                <w:lang w:val="en-US" w:eastAsia="zh-CN"/>
              </w:rPr>
              <w:t>m³</w:t>
            </w:r>
            <w:r>
              <w:rPr>
                <w:rFonts w:hint="default" w:ascii="Times New Roman" w:hAnsi="Times New Roman" w:cs="Times New Roman"/>
                <w:color w:val="auto"/>
                <w:sz w:val="24"/>
                <w:szCs w:val="24"/>
                <w:highlight w:val="none"/>
                <w:lang w:val="en-US" w:eastAsia="zh-CN"/>
              </w:rPr>
              <w:t>/a</w:t>
            </w:r>
            <w:r>
              <w:rPr>
                <w:rFonts w:hint="eastAsia" w:hAnsi="宋体"/>
                <w:color w:val="auto"/>
                <w:sz w:val="24"/>
                <w:highlight w:val="none"/>
                <w:lang w:val="en-US" w:eastAsia="zh-CN"/>
              </w:rPr>
              <w:t>），</w:t>
            </w:r>
            <w:r>
              <w:rPr>
                <w:rFonts w:hint="eastAsia"/>
                <w:color w:val="auto"/>
                <w:sz w:val="24"/>
                <w:highlight w:val="none"/>
                <w:lang w:eastAsia="zh-CN"/>
              </w:rPr>
              <w:t>通过管道收集进入化粪池初步处理后，排至库内生活污水管网，库内污水最终排入机场污水管网，</w:t>
            </w:r>
            <w:r>
              <w:rPr>
                <w:rFonts w:hint="eastAsia" w:hAnsi="宋体"/>
                <w:color w:val="auto"/>
                <w:sz w:val="24"/>
                <w:highlight w:val="none"/>
                <w:lang w:val="en-US" w:eastAsia="zh-CN"/>
              </w:rPr>
              <w:t>不外排</w:t>
            </w:r>
            <w:r>
              <w:rPr>
                <w:rFonts w:hint="eastAsia" w:hAnsi="宋体"/>
                <w:color w:val="auto"/>
                <w:sz w:val="24"/>
                <w:highlight w:val="none"/>
              </w:rPr>
              <w:t>。</w:t>
            </w:r>
          </w:p>
          <w:p w14:paraId="7715E3A5">
            <w:pPr>
              <w:adjustRightInd w:val="0"/>
              <w:snapToGrid w:val="0"/>
              <w:spacing w:line="360" w:lineRule="auto"/>
              <w:ind w:firstLine="480" w:firstLineChars="200"/>
              <w:rPr>
                <w:rFonts w:hint="eastAsia"/>
                <w:b/>
                <w:bCs/>
                <w:color w:val="auto"/>
                <w:sz w:val="24"/>
                <w:szCs w:val="24"/>
              </w:rPr>
            </w:pPr>
            <w:r>
              <w:rPr>
                <w:rFonts w:hint="eastAsia" w:ascii="Times New Roman" w:hAnsi="Times New Roman" w:cs="Times New Roman"/>
                <w:color w:val="auto"/>
                <w:sz w:val="24"/>
                <w:szCs w:val="24"/>
                <w:highlight w:val="none"/>
                <w:lang w:val="en-US" w:eastAsia="zh-CN"/>
              </w:rPr>
              <w:t>实验室废水：</w:t>
            </w:r>
            <w:r>
              <w:rPr>
                <w:rFonts w:hint="eastAsia" w:hAnsi="宋体"/>
                <w:color w:val="auto"/>
                <w:sz w:val="24"/>
                <w:highlight w:val="none"/>
                <w:lang w:eastAsia="zh-CN"/>
              </w:rPr>
              <w:t>化验室废水主要为实验试剂废液和实验器皿清洗排放的含油废水，</w:t>
            </w:r>
            <w:r>
              <w:rPr>
                <w:rFonts w:hint="eastAsia" w:ascii="Times New Roman" w:hAnsi="Times New Roman" w:cs="Times New Roman"/>
                <w:color w:val="auto"/>
                <w:sz w:val="24"/>
                <w:szCs w:val="24"/>
                <w:highlight w:val="none"/>
                <w:lang w:val="en-US" w:eastAsia="zh-CN"/>
              </w:rPr>
              <w:t>废水产生量按用水量的80%计</w:t>
            </w:r>
            <w:r>
              <w:rPr>
                <w:rFonts w:hint="eastAsia" w:cs="Times New Roman"/>
                <w:color w:val="auto"/>
                <w:sz w:val="24"/>
                <w:szCs w:val="24"/>
                <w:highlight w:val="none"/>
                <w:lang w:val="en-US" w:eastAsia="zh-CN"/>
              </w:rPr>
              <w:t>算</w:t>
            </w:r>
            <w:r>
              <w:rPr>
                <w:rFonts w:hint="eastAsia" w:ascii="Times New Roman" w:hAnsi="Times New Roman" w:cs="Times New Roman"/>
                <w:color w:val="auto"/>
                <w:sz w:val="24"/>
                <w:szCs w:val="24"/>
                <w:highlight w:val="none"/>
                <w:lang w:val="en-US" w:eastAsia="zh-CN"/>
              </w:rPr>
              <w:t>，实验室废水产生量为0.48m³</w:t>
            </w:r>
            <w:r>
              <w:rPr>
                <w:rFonts w:hint="default" w:ascii="Times New Roman" w:hAnsi="Times New Roman" w:cs="Times New Roman"/>
                <w:color w:val="auto"/>
                <w:sz w:val="24"/>
                <w:szCs w:val="24"/>
                <w:highlight w:val="none"/>
                <w:lang w:val="en-US" w:eastAsia="zh-CN"/>
              </w:rPr>
              <w:t>/a</w:t>
            </w:r>
            <w:r>
              <w:rPr>
                <w:rFonts w:hint="eastAsia" w:ascii="Times New Roman" w:hAnsi="Times New Roman" w:cs="Times New Roman"/>
                <w:color w:val="auto"/>
                <w:sz w:val="24"/>
                <w:szCs w:val="24"/>
                <w:highlight w:val="none"/>
                <w:lang w:val="en-US" w:eastAsia="zh-CN"/>
              </w:rPr>
              <w:t>。实验室废水由专用容器收集，暂存于危废贮存间，定期交有资质单位处置。</w:t>
            </w:r>
          </w:p>
          <w:p w14:paraId="11A8B935">
            <w:pPr>
              <w:adjustRightInd w:val="0"/>
              <w:snapToGrid w:val="0"/>
              <w:spacing w:line="360" w:lineRule="auto"/>
              <w:ind w:firstLine="480" w:firstLineChars="200"/>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val="en-US" w:eastAsia="zh-CN"/>
              </w:rPr>
              <w:t>装卸油区域地面冲洗</w:t>
            </w:r>
            <w:r>
              <w:rPr>
                <w:rFonts w:hint="eastAsia" w:ascii="Times New Roman" w:hAnsi="Times New Roman" w:cs="Times New Roman"/>
                <w:color w:val="auto"/>
                <w:sz w:val="24"/>
                <w:szCs w:val="24"/>
                <w:highlight w:val="none"/>
                <w:lang w:val="en-US" w:eastAsia="zh-CN"/>
              </w:rPr>
              <w:t>废水：</w:t>
            </w:r>
            <w:r>
              <w:rPr>
                <w:rFonts w:hint="eastAsia" w:ascii="Times New Roman" w:hAnsi="Times New Roman" w:cs="Times New Roman"/>
                <w:color w:val="auto"/>
                <w:sz w:val="24"/>
                <w:szCs w:val="24"/>
                <w:lang w:val="en-US" w:eastAsia="zh-CN"/>
              </w:rPr>
              <w:t>装卸油区域地面冲洗</w:t>
            </w:r>
            <w:r>
              <w:rPr>
                <w:rFonts w:hint="eastAsia" w:ascii="Times New Roman" w:hAnsi="Times New Roman" w:cs="Times New Roman"/>
                <w:color w:val="auto"/>
                <w:sz w:val="24"/>
                <w:szCs w:val="24"/>
                <w:highlight w:val="none"/>
                <w:lang w:val="en-US" w:eastAsia="zh-CN"/>
              </w:rPr>
              <w:t>废水产生量按用水量的80%计，</w:t>
            </w:r>
            <w:r>
              <w:rPr>
                <w:rFonts w:hint="eastAsia" w:ascii="Times New Roman" w:hAnsi="Times New Roman" w:cs="Times New Roman"/>
                <w:color w:val="auto"/>
                <w:sz w:val="24"/>
                <w:szCs w:val="24"/>
                <w:lang w:val="en-US" w:eastAsia="zh-CN"/>
              </w:rPr>
              <w:t>0.8</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eastAsia" w:ascii="Times New Roman" w:hAnsi="Times New Roman" w:cs="Times New Roman"/>
                <w:color w:val="auto"/>
                <w:sz w:val="24"/>
                <w:szCs w:val="24"/>
                <w:lang w:eastAsia="zh-CN"/>
              </w:rPr>
              <w:t>，经隔油池处理后，排入宝鸡机场污水处理站处理，不外排</w:t>
            </w:r>
            <w:r>
              <w:rPr>
                <w:rFonts w:hint="eastAsia" w:cs="Times New Roman"/>
                <w:color w:val="auto"/>
                <w:sz w:val="24"/>
                <w:szCs w:val="24"/>
                <w:lang w:eastAsia="zh-CN"/>
              </w:rPr>
              <w:t>。</w:t>
            </w:r>
          </w:p>
          <w:p w14:paraId="2DBB9BFE">
            <w:pPr>
              <w:adjustRightInd w:val="0"/>
              <w:snapToGrid w:val="0"/>
              <w:spacing w:line="360" w:lineRule="auto"/>
              <w:ind w:firstLine="480" w:firstLineChars="200"/>
              <w:rPr>
                <w:rFonts w:hint="default" w:ascii="Times New Roman" w:hAnsi="Times New Roman" w:cs="Times New Roman"/>
                <w:b/>
                <w:color w:val="auto"/>
                <w:sz w:val="24"/>
                <w:szCs w:val="24"/>
              </w:rPr>
            </w:pPr>
            <w:r>
              <w:rPr>
                <w:rFonts w:hint="eastAsia"/>
                <w:color w:val="auto"/>
                <w:sz w:val="24"/>
                <w:lang w:val="en-US" w:eastAsia="zh-CN"/>
              </w:rPr>
              <w:t>油罐清洗废水：</w:t>
            </w:r>
            <w:r>
              <w:rPr>
                <w:rFonts w:hint="eastAsia" w:ascii="Times New Roman" w:hAnsi="Times New Roman" w:cs="Times New Roman"/>
                <w:color w:val="auto"/>
                <w:sz w:val="24"/>
                <w:szCs w:val="24"/>
                <w:lang w:eastAsia="zh-CN"/>
              </w:rPr>
              <w:t>油</w:t>
            </w:r>
            <w:r>
              <w:rPr>
                <w:rFonts w:hint="eastAsia" w:ascii="Times New Roman" w:hAnsi="Times New Roman"/>
                <w:color w:val="auto"/>
                <w:sz w:val="24"/>
                <w:szCs w:val="24"/>
              </w:rPr>
              <w:t>罐</w:t>
            </w:r>
            <w:r>
              <w:rPr>
                <w:rFonts w:hint="eastAsia" w:ascii="Times New Roman" w:hAnsi="Times New Roman" w:cs="Times New Roman"/>
                <w:color w:val="auto"/>
                <w:sz w:val="24"/>
                <w:szCs w:val="24"/>
                <w:lang w:eastAsia="zh-CN"/>
              </w:rPr>
              <w:t>每</w:t>
            </w:r>
            <w:r>
              <w:rPr>
                <w:rFonts w:hint="eastAsia" w:cs="Times New Roman"/>
                <w:color w:val="auto"/>
                <w:sz w:val="24"/>
                <w:szCs w:val="24"/>
                <w:lang w:val="en-US" w:eastAsia="zh-CN"/>
              </w:rPr>
              <w:t>3</w:t>
            </w:r>
            <w:r>
              <w:rPr>
                <w:rFonts w:hint="eastAsia" w:ascii="Times New Roman" w:hAnsi="Times New Roman" w:cs="Times New Roman"/>
                <w:color w:val="auto"/>
                <w:sz w:val="24"/>
                <w:szCs w:val="24"/>
                <w:lang w:eastAsia="zh-CN"/>
              </w:rPr>
              <w:t>年清洗一次，</w:t>
            </w:r>
            <w:r>
              <w:rPr>
                <w:rFonts w:hint="eastAsia" w:ascii="Times New Roman" w:hAnsi="Times New Roman"/>
                <w:color w:val="auto"/>
                <w:sz w:val="24"/>
                <w:szCs w:val="24"/>
              </w:rPr>
              <w:t>油罐清洗</w:t>
            </w:r>
            <w:r>
              <w:rPr>
                <w:rFonts w:hint="eastAsia" w:ascii="Times New Roman" w:hAnsi="Times New Roman"/>
                <w:color w:val="auto"/>
                <w:sz w:val="24"/>
                <w:szCs w:val="24"/>
                <w:lang w:eastAsia="zh-CN"/>
              </w:rPr>
              <w:t>用</w:t>
            </w:r>
            <w:r>
              <w:rPr>
                <w:rFonts w:hint="eastAsia" w:ascii="Times New Roman" w:hAnsi="Times New Roman"/>
                <w:color w:val="auto"/>
                <w:sz w:val="24"/>
                <w:szCs w:val="24"/>
              </w:rPr>
              <w:t>水</w:t>
            </w:r>
            <w:r>
              <w:rPr>
                <w:rFonts w:hint="eastAsia" w:ascii="Times New Roman" w:hAnsi="Times New Roman"/>
                <w:color w:val="auto"/>
                <w:sz w:val="24"/>
                <w:szCs w:val="24"/>
                <w:lang w:val="en-US" w:eastAsia="zh-CN"/>
              </w:rPr>
              <w:t>20m</w:t>
            </w:r>
            <w:r>
              <w:rPr>
                <w:rFonts w:hint="eastAsia" w:ascii="Times New Roman" w:hAnsi="Times New Roman"/>
                <w:color w:val="auto"/>
                <w:sz w:val="24"/>
                <w:szCs w:val="24"/>
                <w:vertAlign w:val="superscript"/>
                <w:lang w:val="en-US" w:eastAsia="zh-CN"/>
              </w:rPr>
              <w:t>3</w:t>
            </w:r>
            <w:r>
              <w:rPr>
                <w:rFonts w:hint="eastAsia" w:ascii="Times New Roman" w:hAnsi="Times New Roman"/>
                <w:color w:val="auto"/>
                <w:sz w:val="24"/>
                <w:szCs w:val="24"/>
                <w:lang w:val="en-US" w:eastAsia="zh-CN"/>
              </w:rPr>
              <w:t>。经隔油池处理后，排入宝鸡机场污水处理站处理，不外排</w:t>
            </w:r>
            <w:r>
              <w:rPr>
                <w:rFonts w:hint="eastAsia" w:ascii="Times New Roman" w:hAnsi="Times New Roman" w:cs="Times New Roman"/>
                <w:color w:val="auto"/>
                <w:sz w:val="24"/>
                <w:szCs w:val="24"/>
                <w:highlight w:val="none"/>
                <w:lang w:val="en-US" w:eastAsia="zh-CN"/>
              </w:rPr>
              <w:t>。</w:t>
            </w:r>
          </w:p>
          <w:p w14:paraId="26676307">
            <w:pPr>
              <w:pStyle w:val="98"/>
              <w:spacing w:line="336" w:lineRule="auto"/>
              <w:ind w:firstLine="422"/>
              <w:jc w:val="both"/>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初期雨水</w:t>
            </w:r>
            <w:r>
              <w:rPr>
                <w:rFonts w:hint="eastAsia" w:ascii="Times New Roman" w:hAnsi="Times New Roman" w:cs="Times New Roman"/>
                <w:b w:val="0"/>
                <w:bCs w:val="0"/>
                <w:color w:val="auto"/>
                <w:sz w:val="24"/>
                <w:szCs w:val="24"/>
                <w:lang w:val="en-US" w:eastAsia="zh-CN"/>
              </w:rPr>
              <w:t>：</w:t>
            </w:r>
            <w:r>
              <w:rPr>
                <w:rFonts w:hint="default" w:ascii="Times New Roman" w:hAnsi="Times New Roman" w:cs="Times New Roman"/>
                <w:b w:val="0"/>
                <w:bCs w:val="0"/>
                <w:color w:val="auto"/>
                <w:sz w:val="24"/>
                <w:szCs w:val="24"/>
                <w:lang w:val="en-US" w:eastAsia="zh-CN"/>
              </w:rPr>
              <w:t>本项目厂区内设计雨水收集系统，</w:t>
            </w:r>
            <w:r>
              <w:rPr>
                <w:rFonts w:hint="eastAsia" w:ascii="Times New Roman" w:hAnsi="Times New Roman" w:cs="Times New Roman"/>
                <w:b w:val="0"/>
                <w:bCs w:val="0"/>
                <w:color w:val="auto"/>
                <w:sz w:val="24"/>
                <w:szCs w:val="24"/>
                <w:lang w:val="en-US" w:eastAsia="zh-CN"/>
              </w:rPr>
              <w:t>罐区初期雨水</w:t>
            </w:r>
            <w:r>
              <w:rPr>
                <w:rFonts w:hint="default" w:ascii="Times New Roman" w:hAnsi="Times New Roman" w:cs="Times New Roman"/>
                <w:b w:val="0"/>
                <w:bCs w:val="0"/>
                <w:color w:val="auto"/>
                <w:sz w:val="24"/>
                <w:szCs w:val="24"/>
                <w:lang w:val="en-US" w:eastAsia="zh-CN"/>
              </w:rPr>
              <w:t>含油花时排入含油污水管道，收集至调节隔油池，按含油污水统一处理，</w:t>
            </w:r>
            <w:r>
              <w:rPr>
                <w:rFonts w:hint="eastAsia" w:ascii="Times New Roman" w:hAnsi="Times New Roman" w:cs="Times New Roman"/>
                <w:b w:val="0"/>
                <w:bCs w:val="0"/>
                <w:color w:val="auto"/>
                <w:sz w:val="24"/>
                <w:szCs w:val="24"/>
                <w:lang w:val="en-US" w:eastAsia="zh-CN"/>
              </w:rPr>
              <w:t>排入机场污水处理站</w:t>
            </w:r>
            <w:r>
              <w:rPr>
                <w:rFonts w:hint="default" w:ascii="Times New Roman" w:hAnsi="Times New Roman" w:cs="Times New Roman"/>
                <w:b w:val="0"/>
                <w:bCs w:val="0"/>
                <w:color w:val="auto"/>
                <w:sz w:val="24"/>
                <w:szCs w:val="24"/>
                <w:lang w:val="en-US" w:eastAsia="zh-CN"/>
              </w:rPr>
              <w:t>，不外排。</w:t>
            </w:r>
          </w:p>
          <w:p w14:paraId="4FBFC926">
            <w:pPr>
              <w:pStyle w:val="98"/>
              <w:spacing w:line="336" w:lineRule="auto"/>
              <w:ind w:firstLine="422"/>
              <w:jc w:val="both"/>
              <w:rPr>
                <w:rFonts w:hint="default"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罐区防火堤外</w:t>
            </w:r>
            <w:r>
              <w:rPr>
                <w:rFonts w:hint="default" w:ascii="Times New Roman" w:hAnsi="Times New Roman" w:cs="Times New Roman"/>
                <w:b w:val="0"/>
                <w:bCs w:val="0"/>
                <w:color w:val="auto"/>
                <w:sz w:val="24"/>
                <w:szCs w:val="24"/>
                <w:lang w:val="en-US" w:eastAsia="zh-CN"/>
              </w:rPr>
              <w:t>初期雨水暗管和明沟收集后</w:t>
            </w:r>
            <w:r>
              <w:rPr>
                <w:rFonts w:hint="eastAsia" w:ascii="Times New Roman" w:hAnsi="Times New Roman" w:cs="Times New Roman"/>
                <w:b w:val="0"/>
                <w:bCs w:val="0"/>
                <w:color w:val="auto"/>
                <w:sz w:val="24"/>
                <w:szCs w:val="24"/>
                <w:lang w:val="en-US" w:eastAsia="zh-CN"/>
              </w:rPr>
              <w:t>，</w:t>
            </w:r>
            <w:r>
              <w:rPr>
                <w:rFonts w:hint="default" w:ascii="Times New Roman" w:hAnsi="Times New Roman" w:cs="Times New Roman"/>
                <w:b w:val="0"/>
                <w:bCs w:val="0"/>
                <w:color w:val="auto"/>
                <w:sz w:val="24"/>
                <w:szCs w:val="24"/>
                <w:lang w:val="en-US" w:eastAsia="zh-CN"/>
              </w:rPr>
              <w:t>在下游实体围墙内设置水封井及阀门井后接入机场雨水系统</w:t>
            </w:r>
            <w:r>
              <w:rPr>
                <w:rFonts w:hint="eastAsia" w:ascii="Times New Roman" w:hAnsi="Times New Roman" w:cs="Times New Roman"/>
                <w:b w:val="0"/>
                <w:bCs w:val="0"/>
                <w:color w:val="auto"/>
                <w:sz w:val="24"/>
                <w:szCs w:val="24"/>
                <w:lang w:val="en-US" w:eastAsia="zh-CN"/>
              </w:rPr>
              <w:t>。</w:t>
            </w:r>
          </w:p>
          <w:p w14:paraId="061C345E">
            <w:pPr>
              <w:pStyle w:val="98"/>
              <w:spacing w:line="336" w:lineRule="auto"/>
              <w:ind w:firstLine="422"/>
              <w:jc w:val="center"/>
              <w:rPr>
                <w:rFonts w:hint="default" w:ascii="Times New Roman" w:hAnsi="Times New Roman" w:cs="Times New Roman"/>
                <w:b/>
                <w:color w:val="auto"/>
                <w:sz w:val="24"/>
                <w:szCs w:val="24"/>
              </w:rPr>
            </w:pPr>
          </w:p>
          <w:p w14:paraId="5B487128">
            <w:pPr>
              <w:pStyle w:val="98"/>
              <w:spacing w:line="336" w:lineRule="auto"/>
              <w:ind w:firstLine="422"/>
              <w:jc w:val="center"/>
              <w:rPr>
                <w:rFonts w:hint="default" w:ascii="Times New Roman" w:hAnsi="Times New Roman" w:cs="Times New Roman"/>
                <w:b/>
                <w:color w:val="auto"/>
                <w:sz w:val="24"/>
                <w:szCs w:val="24"/>
              </w:rPr>
            </w:pPr>
          </w:p>
          <w:p w14:paraId="7BD2E5B6">
            <w:pPr>
              <w:pStyle w:val="98"/>
              <w:spacing w:line="336" w:lineRule="auto"/>
              <w:ind w:firstLine="422"/>
              <w:jc w:val="center"/>
              <w:rPr>
                <w:rFonts w:hint="default" w:ascii="Times New Roman" w:hAnsi="Times New Roman" w:cs="Times New Roman"/>
                <w:b/>
                <w:color w:val="auto"/>
                <w:sz w:val="24"/>
                <w:szCs w:val="24"/>
              </w:rPr>
            </w:pPr>
          </w:p>
          <w:p w14:paraId="6D2F660E">
            <w:pPr>
              <w:pStyle w:val="98"/>
              <w:spacing w:line="336" w:lineRule="auto"/>
              <w:ind w:firstLine="422"/>
              <w:jc w:val="center"/>
              <w:rPr>
                <w:rFonts w:hint="default" w:ascii="Times New Roman" w:hAnsi="Times New Roman" w:cs="Times New Roman"/>
                <w:b/>
                <w:color w:val="auto"/>
                <w:sz w:val="24"/>
                <w:szCs w:val="24"/>
              </w:rPr>
            </w:pPr>
          </w:p>
          <w:p w14:paraId="67BA750B">
            <w:pPr>
              <w:pStyle w:val="98"/>
              <w:spacing w:line="336" w:lineRule="auto"/>
              <w:ind w:firstLine="422"/>
              <w:jc w:val="center"/>
              <w:rPr>
                <w:rFonts w:hint="default" w:ascii="Times New Roman" w:hAnsi="Times New Roman" w:cs="Times New Roman"/>
                <w:b/>
                <w:color w:val="auto"/>
                <w:sz w:val="24"/>
                <w:szCs w:val="24"/>
              </w:rPr>
            </w:pPr>
          </w:p>
          <w:p w14:paraId="295F15AF">
            <w:pPr>
              <w:pStyle w:val="98"/>
              <w:spacing w:line="336" w:lineRule="auto"/>
              <w:ind w:firstLine="422"/>
              <w:jc w:val="center"/>
              <w:rPr>
                <w:rFonts w:hint="default" w:ascii="Times New Roman" w:hAnsi="Times New Roman" w:cs="Times New Roman"/>
                <w:b/>
                <w:color w:val="auto"/>
                <w:sz w:val="24"/>
                <w:szCs w:val="24"/>
              </w:rPr>
            </w:pPr>
          </w:p>
          <w:p w14:paraId="321BA529">
            <w:pPr>
              <w:pStyle w:val="98"/>
              <w:spacing w:line="336" w:lineRule="auto"/>
              <w:ind w:firstLine="422"/>
              <w:jc w:val="center"/>
              <w:rPr>
                <w:rFonts w:hint="default" w:ascii="Times New Roman" w:hAnsi="Times New Roman" w:cs="Times New Roman"/>
                <w:b/>
                <w:color w:val="auto"/>
                <w:sz w:val="24"/>
                <w:szCs w:val="24"/>
              </w:rPr>
            </w:pPr>
          </w:p>
          <w:p w14:paraId="04F861C2">
            <w:pPr>
              <w:pStyle w:val="98"/>
              <w:spacing w:line="336" w:lineRule="auto"/>
              <w:ind w:firstLine="422"/>
              <w:jc w:val="center"/>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表2-</w:t>
            </w:r>
            <w:r>
              <w:rPr>
                <w:rFonts w:hint="eastAsia" w:ascii="Times New Roman" w:hAnsi="Times New Roman" w:cs="Times New Roman"/>
                <w:b/>
                <w:color w:val="auto"/>
                <w:sz w:val="24"/>
                <w:szCs w:val="24"/>
                <w:lang w:val="en-US" w:eastAsia="zh-CN"/>
              </w:rPr>
              <w:t>3</w:t>
            </w:r>
            <w:r>
              <w:rPr>
                <w:rFonts w:hint="default" w:ascii="Times New Roman" w:hAnsi="Times New Roman" w:cs="Times New Roman"/>
                <w:b/>
                <w:color w:val="auto"/>
                <w:sz w:val="24"/>
                <w:szCs w:val="24"/>
              </w:rPr>
              <w:t xml:space="preserve"> 项目水平衡一览表</w:t>
            </w:r>
          </w:p>
          <w:tbl>
            <w:tblPr>
              <w:tblStyle w:val="32"/>
              <w:tblW w:w="4986"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523"/>
              <w:gridCol w:w="1073"/>
              <w:gridCol w:w="1166"/>
              <w:gridCol w:w="1357"/>
              <w:gridCol w:w="1192"/>
              <w:gridCol w:w="2072"/>
            </w:tblGrid>
            <w:tr w14:paraId="724E94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10" w:hRule="atLeast"/>
                <w:jc w:val="center"/>
              </w:trPr>
              <w:tc>
                <w:tcPr>
                  <w:tcW w:w="908" w:type="pct"/>
                  <w:noWrap w:val="0"/>
                  <w:vAlign w:val="center"/>
                </w:tcPr>
                <w:p w14:paraId="3CFADB60">
                  <w:pPr>
                    <w:pStyle w:val="81"/>
                    <w:ind w:left="73" w:right="55"/>
                    <w:jc w:val="center"/>
                    <w:rPr>
                      <w:rFonts w:hint="default" w:ascii="Times New Roman" w:hAnsi="Times New Roman" w:eastAsia="宋体" w:cs="Times New Roman"/>
                      <w:b/>
                      <w:bCs/>
                      <w:color w:val="auto"/>
                      <w:sz w:val="21"/>
                      <w:szCs w:val="21"/>
                      <w:lang w:eastAsia="zh-CN"/>
                    </w:rPr>
                  </w:pPr>
                  <w:bookmarkStart w:id="12" w:name="用水点名称"/>
                  <w:bookmarkEnd w:id="12"/>
                  <w:bookmarkStart w:id="13" w:name="_Hlk111120340"/>
                  <w:r>
                    <w:rPr>
                      <w:rFonts w:hint="default" w:ascii="Times New Roman" w:hAnsi="Times New Roman" w:eastAsia="宋体" w:cs="Times New Roman"/>
                      <w:b/>
                      <w:bCs/>
                      <w:color w:val="auto"/>
                      <w:sz w:val="21"/>
                      <w:szCs w:val="21"/>
                    </w:rPr>
                    <w:t>用水</w:t>
                  </w:r>
                  <w:r>
                    <w:rPr>
                      <w:rFonts w:hint="default" w:ascii="Times New Roman" w:hAnsi="Times New Roman" w:eastAsia="宋体" w:cs="Times New Roman"/>
                      <w:b/>
                      <w:bCs/>
                      <w:color w:val="auto"/>
                      <w:sz w:val="21"/>
                      <w:szCs w:val="21"/>
                      <w:lang w:eastAsia="zh-CN"/>
                    </w:rPr>
                    <w:t>项目</w:t>
                  </w:r>
                </w:p>
              </w:tc>
              <w:tc>
                <w:tcPr>
                  <w:tcW w:w="640" w:type="pct"/>
                  <w:noWrap w:val="0"/>
                  <w:vAlign w:val="center"/>
                </w:tcPr>
                <w:p w14:paraId="74F3E38B">
                  <w:pPr>
                    <w:pStyle w:val="81"/>
                    <w:ind w:left="73" w:right="55"/>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eastAsia="zh-CN"/>
                    </w:rPr>
                    <w:t>需</w:t>
                  </w:r>
                  <w:r>
                    <w:rPr>
                      <w:rFonts w:hint="default" w:ascii="Times New Roman" w:hAnsi="Times New Roman" w:eastAsia="宋体" w:cs="Times New Roman"/>
                      <w:b/>
                      <w:bCs/>
                      <w:color w:val="auto"/>
                      <w:sz w:val="21"/>
                      <w:szCs w:val="21"/>
                    </w:rPr>
                    <w:t>水量</w:t>
                  </w:r>
                </w:p>
                <w:p w14:paraId="67686C26">
                  <w:pPr>
                    <w:pStyle w:val="81"/>
                    <w:ind w:left="73" w:right="55"/>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（m</w:t>
                  </w:r>
                  <w:r>
                    <w:rPr>
                      <w:rFonts w:hint="default" w:ascii="Times New Roman" w:hAnsi="Times New Roman" w:eastAsia="宋体" w:cs="Times New Roman"/>
                      <w:b/>
                      <w:bCs/>
                      <w:color w:val="auto"/>
                      <w:sz w:val="21"/>
                      <w:szCs w:val="21"/>
                      <w:vertAlign w:val="superscript"/>
                      <w:lang w:val="en-US" w:eastAsia="zh-CN"/>
                    </w:rPr>
                    <w:t>3</w:t>
                  </w:r>
                  <w:r>
                    <w:rPr>
                      <w:rFonts w:hint="default" w:ascii="Times New Roman" w:hAnsi="Times New Roman" w:eastAsia="宋体" w:cs="Times New Roman"/>
                      <w:b/>
                      <w:bCs/>
                      <w:color w:val="auto"/>
                      <w:sz w:val="21"/>
                      <w:szCs w:val="21"/>
                    </w:rPr>
                    <w:t>/d）</w:t>
                  </w:r>
                </w:p>
              </w:tc>
              <w:tc>
                <w:tcPr>
                  <w:tcW w:w="695" w:type="pct"/>
                  <w:noWrap w:val="0"/>
                  <w:vAlign w:val="center"/>
                </w:tcPr>
                <w:p w14:paraId="71348FB6">
                  <w:pPr>
                    <w:pStyle w:val="81"/>
                    <w:ind w:left="73" w:right="55"/>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eastAsia="zh-CN"/>
                    </w:rPr>
                    <w:t>消耗</w:t>
                  </w:r>
                  <w:r>
                    <w:rPr>
                      <w:rFonts w:hint="default" w:ascii="Times New Roman" w:hAnsi="Times New Roman" w:eastAsia="宋体" w:cs="Times New Roman"/>
                      <w:b/>
                      <w:bCs/>
                      <w:color w:val="auto"/>
                      <w:sz w:val="21"/>
                      <w:szCs w:val="21"/>
                    </w:rPr>
                    <w:t>水量</w:t>
                  </w:r>
                </w:p>
                <w:p w14:paraId="1A8B59B9">
                  <w:pPr>
                    <w:pStyle w:val="81"/>
                    <w:ind w:left="73" w:right="55"/>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（m</w:t>
                  </w:r>
                  <w:r>
                    <w:rPr>
                      <w:rFonts w:hint="default" w:ascii="Times New Roman" w:hAnsi="Times New Roman" w:eastAsia="宋体" w:cs="Times New Roman"/>
                      <w:b/>
                      <w:bCs/>
                      <w:color w:val="auto"/>
                      <w:sz w:val="21"/>
                      <w:szCs w:val="21"/>
                      <w:vertAlign w:val="superscript"/>
                      <w:lang w:val="en-US" w:eastAsia="zh-CN"/>
                    </w:rPr>
                    <w:t>3</w:t>
                  </w:r>
                  <w:r>
                    <w:rPr>
                      <w:rFonts w:hint="default" w:ascii="Times New Roman" w:hAnsi="Times New Roman" w:eastAsia="宋体" w:cs="Times New Roman"/>
                      <w:b/>
                      <w:bCs/>
                      <w:color w:val="auto"/>
                      <w:sz w:val="21"/>
                      <w:szCs w:val="21"/>
                    </w:rPr>
                    <w:t>/d）</w:t>
                  </w:r>
                </w:p>
              </w:tc>
              <w:tc>
                <w:tcPr>
                  <w:tcW w:w="809" w:type="pct"/>
                  <w:noWrap w:val="0"/>
                  <w:vAlign w:val="center"/>
                </w:tcPr>
                <w:p w14:paraId="13B38B66">
                  <w:pPr>
                    <w:pStyle w:val="81"/>
                    <w:ind w:left="73" w:right="55"/>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污水产生量</w:t>
                  </w:r>
                  <w:r>
                    <w:rPr>
                      <w:rFonts w:hint="default" w:ascii="Times New Roman" w:hAnsi="Times New Roman" w:eastAsia="宋体" w:cs="Times New Roman"/>
                      <w:b/>
                      <w:bCs/>
                      <w:color w:val="auto"/>
                      <w:sz w:val="21"/>
                      <w:szCs w:val="21"/>
                    </w:rPr>
                    <w:t>（m</w:t>
                  </w:r>
                  <w:r>
                    <w:rPr>
                      <w:rFonts w:hint="default" w:ascii="Times New Roman" w:hAnsi="Times New Roman" w:eastAsia="宋体" w:cs="Times New Roman"/>
                      <w:b/>
                      <w:bCs/>
                      <w:color w:val="auto"/>
                      <w:sz w:val="21"/>
                      <w:szCs w:val="21"/>
                      <w:vertAlign w:val="superscript"/>
                      <w:lang w:val="en-US" w:eastAsia="zh-CN"/>
                    </w:rPr>
                    <w:t>3</w:t>
                  </w:r>
                  <w:r>
                    <w:rPr>
                      <w:rFonts w:hint="default" w:ascii="Times New Roman" w:hAnsi="Times New Roman" w:eastAsia="宋体" w:cs="Times New Roman"/>
                      <w:b/>
                      <w:bCs/>
                      <w:color w:val="auto"/>
                      <w:sz w:val="21"/>
                      <w:szCs w:val="21"/>
                    </w:rPr>
                    <w:t>/d）</w:t>
                  </w:r>
                </w:p>
              </w:tc>
              <w:tc>
                <w:tcPr>
                  <w:tcW w:w="711" w:type="pct"/>
                  <w:noWrap w:val="0"/>
                  <w:vAlign w:val="center"/>
                </w:tcPr>
                <w:p w14:paraId="17E11625">
                  <w:pPr>
                    <w:pStyle w:val="81"/>
                    <w:ind w:left="73" w:right="55"/>
                    <w:jc w:val="center"/>
                    <w:rPr>
                      <w:rFonts w:hint="default" w:ascii="Times New Roman" w:hAnsi="Times New Roman" w:eastAsia="宋体" w:cs="Times New Roman"/>
                      <w:b/>
                      <w:bCs/>
                      <w:color w:val="auto"/>
                      <w:sz w:val="21"/>
                      <w:szCs w:val="21"/>
                    </w:rPr>
                  </w:pPr>
                  <w:bookmarkStart w:id="14" w:name="日用水量（m3/d）"/>
                  <w:bookmarkEnd w:id="14"/>
                  <w:r>
                    <w:rPr>
                      <w:rFonts w:hint="eastAsia" w:ascii="Times New Roman" w:hAnsi="Times New Roman" w:eastAsia="宋体" w:cs="Times New Roman"/>
                      <w:b/>
                      <w:bCs/>
                      <w:color w:val="auto"/>
                      <w:sz w:val="21"/>
                      <w:szCs w:val="21"/>
                      <w:lang w:eastAsia="zh-CN"/>
                    </w:rPr>
                    <w:t>污水</w:t>
                  </w:r>
                  <w:r>
                    <w:rPr>
                      <w:rFonts w:hint="default" w:ascii="Times New Roman" w:hAnsi="Times New Roman" w:eastAsia="宋体" w:cs="Times New Roman"/>
                      <w:b/>
                      <w:bCs/>
                      <w:color w:val="auto"/>
                      <w:sz w:val="21"/>
                      <w:szCs w:val="21"/>
                    </w:rPr>
                    <w:t>排</w:t>
                  </w:r>
                  <w:r>
                    <w:rPr>
                      <w:rFonts w:hint="eastAsia" w:ascii="Times New Roman" w:hAnsi="Times New Roman" w:eastAsia="宋体" w:cs="Times New Roman"/>
                      <w:b/>
                      <w:bCs/>
                      <w:color w:val="auto"/>
                      <w:sz w:val="21"/>
                      <w:szCs w:val="21"/>
                      <w:lang w:eastAsia="zh-CN"/>
                    </w:rPr>
                    <w:t>放</w:t>
                  </w:r>
                  <w:r>
                    <w:rPr>
                      <w:rFonts w:hint="default" w:ascii="Times New Roman" w:hAnsi="Times New Roman" w:eastAsia="宋体" w:cs="Times New Roman"/>
                      <w:b/>
                      <w:bCs/>
                      <w:color w:val="auto"/>
                      <w:sz w:val="21"/>
                      <w:szCs w:val="21"/>
                    </w:rPr>
                    <w:t>量</w:t>
                  </w:r>
                </w:p>
                <w:p w14:paraId="7F634F5D">
                  <w:pPr>
                    <w:pStyle w:val="81"/>
                    <w:ind w:left="73" w:right="55"/>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（m</w:t>
                  </w:r>
                  <w:r>
                    <w:rPr>
                      <w:rFonts w:hint="default" w:ascii="Times New Roman" w:hAnsi="Times New Roman" w:eastAsia="宋体" w:cs="Times New Roman"/>
                      <w:b/>
                      <w:bCs/>
                      <w:color w:val="auto"/>
                      <w:sz w:val="21"/>
                      <w:szCs w:val="21"/>
                      <w:vertAlign w:val="superscript"/>
                      <w:lang w:val="en-US" w:eastAsia="zh-CN"/>
                    </w:rPr>
                    <w:t>3</w:t>
                  </w:r>
                  <w:r>
                    <w:rPr>
                      <w:rFonts w:hint="default" w:ascii="Times New Roman" w:hAnsi="Times New Roman" w:eastAsia="宋体" w:cs="Times New Roman"/>
                      <w:b/>
                      <w:bCs/>
                      <w:color w:val="auto"/>
                      <w:sz w:val="21"/>
                      <w:szCs w:val="21"/>
                    </w:rPr>
                    <w:t>/d）</w:t>
                  </w:r>
                </w:p>
              </w:tc>
              <w:tc>
                <w:tcPr>
                  <w:tcW w:w="1235" w:type="pct"/>
                  <w:noWrap w:val="0"/>
                  <w:vAlign w:val="center"/>
                </w:tcPr>
                <w:p w14:paraId="2CE53489">
                  <w:pPr>
                    <w:pStyle w:val="81"/>
                    <w:ind w:left="73" w:right="55"/>
                    <w:jc w:val="center"/>
                    <w:rPr>
                      <w:rFonts w:hint="eastAsia" w:ascii="Times New Roman" w:hAnsi="Times New Roman" w:eastAsia="宋体" w:cs="Times New Roman"/>
                      <w:b/>
                      <w:bCs/>
                      <w:color w:val="auto"/>
                      <w:sz w:val="21"/>
                      <w:szCs w:val="21"/>
                      <w:lang w:eastAsia="zh-CN"/>
                    </w:rPr>
                  </w:pPr>
                  <w:bookmarkStart w:id="15" w:name="年用水量（m3/a）"/>
                  <w:bookmarkEnd w:id="15"/>
                  <w:bookmarkStart w:id="16" w:name="日排水量（m3/d）"/>
                  <w:bookmarkEnd w:id="16"/>
                  <w:r>
                    <w:rPr>
                      <w:rFonts w:hint="eastAsia" w:ascii="Times New Roman" w:hAnsi="Times New Roman" w:eastAsia="宋体" w:cs="Times New Roman"/>
                      <w:b/>
                      <w:bCs/>
                      <w:color w:val="auto"/>
                      <w:sz w:val="21"/>
                      <w:szCs w:val="21"/>
                      <w:lang w:eastAsia="zh-CN"/>
                    </w:rPr>
                    <w:t>排水去向</w:t>
                  </w:r>
                </w:p>
              </w:tc>
            </w:tr>
            <w:tr w14:paraId="2A1AF5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08" w:type="pct"/>
                  <w:noWrap w:val="0"/>
                  <w:vAlign w:val="center"/>
                </w:tcPr>
                <w:p w14:paraId="6F6C87D5">
                  <w:pPr>
                    <w:pStyle w:val="81"/>
                    <w:spacing w:before="69"/>
                    <w:ind w:left="73" w:right="5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lang w:eastAsia="zh-CN"/>
                    </w:rPr>
                    <w:t>办公生活用水</w:t>
                  </w:r>
                </w:p>
              </w:tc>
              <w:tc>
                <w:tcPr>
                  <w:tcW w:w="640" w:type="pct"/>
                  <w:noWrap w:val="0"/>
                  <w:vAlign w:val="center"/>
                </w:tcPr>
                <w:p w14:paraId="52466018">
                  <w:pPr>
                    <w:pStyle w:val="81"/>
                    <w:ind w:left="142" w:right="119"/>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0.55</w:t>
                  </w:r>
                </w:p>
              </w:tc>
              <w:tc>
                <w:tcPr>
                  <w:tcW w:w="695" w:type="pct"/>
                  <w:shd w:val="clear" w:color="auto" w:fill="auto"/>
                  <w:noWrap w:val="0"/>
                  <w:vAlign w:val="center"/>
                </w:tcPr>
                <w:p w14:paraId="58A83C09">
                  <w:pPr>
                    <w:pStyle w:val="81"/>
                    <w:spacing w:before="1"/>
                    <w:jc w:val="center"/>
                    <w:rPr>
                      <w:rFonts w:hint="default"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sz w:val="21"/>
                      <w:szCs w:val="21"/>
                      <w:lang w:val="en-US" w:eastAsia="zh-CN"/>
                    </w:rPr>
                    <w:t>0.11</w:t>
                  </w:r>
                </w:p>
              </w:tc>
              <w:tc>
                <w:tcPr>
                  <w:tcW w:w="809" w:type="pct"/>
                  <w:noWrap w:val="0"/>
                  <w:vAlign w:val="center"/>
                </w:tcPr>
                <w:p w14:paraId="3C1C6848">
                  <w:pPr>
                    <w:pStyle w:val="81"/>
                    <w:ind w:left="66" w:leftChars="0" w:right="38"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0.44</w:t>
                  </w:r>
                </w:p>
              </w:tc>
              <w:tc>
                <w:tcPr>
                  <w:tcW w:w="711" w:type="pct"/>
                  <w:noWrap w:val="0"/>
                  <w:vAlign w:val="center"/>
                </w:tcPr>
                <w:p w14:paraId="5946BDE1">
                  <w:pPr>
                    <w:pStyle w:val="81"/>
                    <w:ind w:left="66" w:leftChars="0" w:right="38"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1235" w:type="pct"/>
                  <w:vMerge w:val="restart"/>
                  <w:shd w:val="clear" w:color="auto" w:fill="auto"/>
                  <w:noWrap w:val="0"/>
                  <w:vAlign w:val="center"/>
                </w:tcPr>
                <w:p w14:paraId="2F659C9B">
                  <w:pPr>
                    <w:pStyle w:val="81"/>
                    <w:spacing w:before="1"/>
                    <w:jc w:val="center"/>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eastAsia="宋体" w:cs="Times New Roman"/>
                      <w:color w:val="auto"/>
                      <w:kern w:val="2"/>
                      <w:sz w:val="21"/>
                      <w:szCs w:val="21"/>
                      <w:lang w:val="en-US" w:eastAsia="zh-CN" w:bidi="zh-CN"/>
                    </w:rPr>
                    <w:t>管道收集进入化粪池初步处理后，排至库内生活污水管网，库内污水最终排入机场污水管网</w:t>
                  </w:r>
                  <w:r>
                    <w:rPr>
                      <w:rFonts w:hint="eastAsia" w:ascii="Times New Roman" w:hAnsi="Times New Roman" w:cs="Times New Roman"/>
                      <w:color w:val="auto"/>
                      <w:kern w:val="2"/>
                      <w:sz w:val="21"/>
                      <w:szCs w:val="21"/>
                      <w:lang w:val="en-US" w:eastAsia="zh-CN" w:bidi="zh-CN"/>
                    </w:rPr>
                    <w:t>。</w:t>
                  </w:r>
                </w:p>
              </w:tc>
            </w:tr>
            <w:tr w14:paraId="10ECF6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08" w:type="pct"/>
                  <w:noWrap w:val="0"/>
                  <w:vAlign w:val="center"/>
                </w:tcPr>
                <w:p w14:paraId="6C87C739">
                  <w:pPr>
                    <w:pStyle w:val="81"/>
                    <w:spacing w:before="69"/>
                    <w:ind w:left="73" w:right="5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lang w:eastAsia="zh-CN"/>
                    </w:rPr>
                    <w:t>洗浴</w:t>
                  </w:r>
                  <w:r>
                    <w:rPr>
                      <w:rFonts w:hint="default" w:ascii="Times New Roman" w:hAnsi="Times New Roman" w:eastAsia="宋体" w:cs="Times New Roman"/>
                      <w:color w:val="auto"/>
                    </w:rPr>
                    <w:t>用水</w:t>
                  </w:r>
                </w:p>
              </w:tc>
              <w:tc>
                <w:tcPr>
                  <w:tcW w:w="640" w:type="pct"/>
                  <w:noWrap w:val="0"/>
                  <w:vAlign w:val="center"/>
                </w:tcPr>
                <w:p w14:paraId="07CB414F">
                  <w:pPr>
                    <w:pStyle w:val="81"/>
                    <w:ind w:left="142" w:right="119"/>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w:t>
                  </w:r>
                </w:p>
              </w:tc>
              <w:tc>
                <w:tcPr>
                  <w:tcW w:w="695" w:type="pct"/>
                  <w:shd w:val="clear" w:color="auto" w:fill="auto"/>
                  <w:noWrap w:val="0"/>
                  <w:vAlign w:val="center"/>
                </w:tcPr>
                <w:p w14:paraId="73092A12">
                  <w:pPr>
                    <w:pStyle w:val="81"/>
                    <w:spacing w:before="1"/>
                    <w:jc w:val="center"/>
                    <w:rPr>
                      <w:rFonts w:hint="default"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sz w:val="21"/>
                      <w:szCs w:val="21"/>
                      <w:lang w:val="en-US" w:eastAsia="zh-CN"/>
                    </w:rPr>
                    <w:t>0.16</w:t>
                  </w:r>
                </w:p>
              </w:tc>
              <w:tc>
                <w:tcPr>
                  <w:tcW w:w="809" w:type="pct"/>
                  <w:noWrap w:val="0"/>
                  <w:vAlign w:val="center"/>
                </w:tcPr>
                <w:p w14:paraId="25D354EC">
                  <w:pPr>
                    <w:pStyle w:val="81"/>
                    <w:ind w:left="66" w:leftChars="0" w:right="38" w:right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0.64</w:t>
                  </w:r>
                </w:p>
              </w:tc>
              <w:tc>
                <w:tcPr>
                  <w:tcW w:w="711" w:type="pct"/>
                  <w:noWrap w:val="0"/>
                  <w:vAlign w:val="center"/>
                </w:tcPr>
                <w:p w14:paraId="2D48E7C8">
                  <w:pPr>
                    <w:pStyle w:val="81"/>
                    <w:ind w:left="66" w:leftChars="0" w:right="38"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1235" w:type="pct"/>
                  <w:vMerge w:val="continue"/>
                  <w:shd w:val="clear" w:color="auto" w:fill="auto"/>
                  <w:noWrap w:val="0"/>
                  <w:vAlign w:val="center"/>
                </w:tcPr>
                <w:p w14:paraId="489AB72E">
                  <w:pPr>
                    <w:pStyle w:val="81"/>
                    <w:spacing w:before="1"/>
                    <w:jc w:val="center"/>
                    <w:rPr>
                      <w:rFonts w:hint="default" w:ascii="Times New Roman" w:hAnsi="Times New Roman" w:eastAsia="宋体" w:cs="Times New Roman"/>
                      <w:color w:val="auto"/>
                      <w:kern w:val="2"/>
                      <w:sz w:val="21"/>
                      <w:szCs w:val="21"/>
                      <w:lang w:val="en-US" w:eastAsia="zh-CN" w:bidi="zh-CN"/>
                    </w:rPr>
                  </w:pPr>
                </w:p>
              </w:tc>
            </w:tr>
            <w:tr w14:paraId="48FF7B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08" w:type="pct"/>
                  <w:noWrap w:val="0"/>
                  <w:vAlign w:val="center"/>
                </w:tcPr>
                <w:p w14:paraId="603920D9">
                  <w:pPr>
                    <w:pStyle w:val="81"/>
                    <w:spacing w:before="69"/>
                    <w:ind w:left="73" w:right="5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lang w:eastAsia="zh-CN"/>
                    </w:rPr>
                    <w:t>食堂</w:t>
                  </w:r>
                  <w:r>
                    <w:rPr>
                      <w:rFonts w:hint="default" w:ascii="Times New Roman" w:hAnsi="Times New Roman" w:eastAsia="宋体" w:cs="Times New Roman"/>
                      <w:color w:val="auto"/>
                    </w:rPr>
                    <w:t>用水</w:t>
                  </w:r>
                </w:p>
              </w:tc>
              <w:tc>
                <w:tcPr>
                  <w:tcW w:w="640" w:type="pct"/>
                  <w:noWrap w:val="0"/>
                  <w:vAlign w:val="center"/>
                </w:tcPr>
                <w:p w14:paraId="61F86E5E">
                  <w:pPr>
                    <w:pStyle w:val="81"/>
                    <w:ind w:left="142" w:right="119"/>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4.4</w:t>
                  </w:r>
                </w:p>
              </w:tc>
              <w:tc>
                <w:tcPr>
                  <w:tcW w:w="695" w:type="pct"/>
                  <w:noWrap w:val="0"/>
                  <w:vAlign w:val="center"/>
                </w:tcPr>
                <w:p w14:paraId="6EDCC022">
                  <w:pPr>
                    <w:pStyle w:val="81"/>
                    <w:ind w:left="66" w:right="38"/>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0.88</w:t>
                  </w:r>
                </w:p>
              </w:tc>
              <w:tc>
                <w:tcPr>
                  <w:tcW w:w="809" w:type="pct"/>
                  <w:noWrap w:val="0"/>
                  <w:vAlign w:val="center"/>
                </w:tcPr>
                <w:p w14:paraId="7F11CEB2">
                  <w:pPr>
                    <w:pStyle w:val="81"/>
                    <w:ind w:left="66" w:leftChars="0" w:right="38" w:right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3.52</w:t>
                  </w:r>
                </w:p>
              </w:tc>
              <w:tc>
                <w:tcPr>
                  <w:tcW w:w="711" w:type="pct"/>
                  <w:noWrap w:val="0"/>
                  <w:vAlign w:val="center"/>
                </w:tcPr>
                <w:p w14:paraId="62FC462C">
                  <w:pPr>
                    <w:pStyle w:val="81"/>
                    <w:ind w:left="66" w:leftChars="0" w:right="38" w:right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0</w:t>
                  </w:r>
                </w:p>
              </w:tc>
              <w:tc>
                <w:tcPr>
                  <w:tcW w:w="1235" w:type="pct"/>
                  <w:vMerge w:val="continue"/>
                  <w:noWrap w:val="0"/>
                  <w:vAlign w:val="center"/>
                </w:tcPr>
                <w:p w14:paraId="079C21C5">
                  <w:pPr>
                    <w:pStyle w:val="81"/>
                    <w:spacing w:before="1"/>
                    <w:ind w:left="178" w:right="146"/>
                    <w:jc w:val="center"/>
                    <w:rPr>
                      <w:rFonts w:hint="default" w:ascii="Times New Roman" w:hAnsi="Times New Roman" w:eastAsia="宋体" w:cs="Times New Roman"/>
                      <w:color w:val="auto"/>
                      <w:sz w:val="21"/>
                      <w:szCs w:val="21"/>
                    </w:rPr>
                  </w:pPr>
                </w:p>
              </w:tc>
            </w:tr>
            <w:tr w14:paraId="08EADA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08" w:type="pct"/>
                  <w:noWrap w:val="0"/>
                  <w:vAlign w:val="center"/>
                </w:tcPr>
                <w:p w14:paraId="4F61276D">
                  <w:pPr>
                    <w:pStyle w:val="81"/>
                    <w:spacing w:before="86"/>
                    <w:ind w:left="69" w:right="5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绿化用水</w:t>
                  </w:r>
                </w:p>
              </w:tc>
              <w:tc>
                <w:tcPr>
                  <w:tcW w:w="640" w:type="pct"/>
                  <w:noWrap w:val="0"/>
                  <w:vAlign w:val="center"/>
                </w:tcPr>
                <w:p w14:paraId="244C6FFC">
                  <w:pPr>
                    <w:pStyle w:val="8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w:t>
                  </w:r>
                </w:p>
              </w:tc>
              <w:tc>
                <w:tcPr>
                  <w:tcW w:w="695" w:type="pct"/>
                  <w:noWrap w:val="0"/>
                  <w:vAlign w:val="center"/>
                </w:tcPr>
                <w:p w14:paraId="0EA8B6F6">
                  <w:pPr>
                    <w:pStyle w:val="81"/>
                    <w:spacing w:before="86"/>
                    <w:ind w:left="38" w:right="-29"/>
                    <w:jc w:val="center"/>
                    <w:rPr>
                      <w:rFonts w:hint="default" w:ascii="Times New Roman" w:hAnsi="Times New Roman" w:eastAsia="宋体" w:cs="Times New Roman"/>
                      <w:color w:val="auto"/>
                      <w:sz w:val="21"/>
                      <w:szCs w:val="21"/>
                      <w:lang w:val="en-US" w:eastAsia="zh-CN"/>
                    </w:rPr>
                  </w:pPr>
                  <w:bookmarkStart w:id="17" w:name="0.002_m3/（m2.d）"/>
                  <w:bookmarkEnd w:id="17"/>
                  <w:r>
                    <w:rPr>
                      <w:rFonts w:hint="eastAsia" w:ascii="Times New Roman" w:hAnsi="Times New Roman" w:eastAsia="宋体" w:cs="Times New Roman"/>
                      <w:color w:val="auto"/>
                      <w:sz w:val="21"/>
                      <w:szCs w:val="21"/>
                      <w:lang w:val="en-US" w:eastAsia="zh-CN"/>
                    </w:rPr>
                    <w:t>0.2</w:t>
                  </w:r>
                </w:p>
              </w:tc>
              <w:tc>
                <w:tcPr>
                  <w:tcW w:w="809" w:type="pct"/>
                  <w:noWrap w:val="0"/>
                  <w:vAlign w:val="center"/>
                </w:tcPr>
                <w:p w14:paraId="440253A5">
                  <w:pPr>
                    <w:pStyle w:val="81"/>
                    <w:spacing w:before="100"/>
                    <w:ind w:left="51" w:right="22"/>
                    <w:jc w:val="center"/>
                    <w:rPr>
                      <w:rFonts w:hint="default" w:ascii="Times New Roman" w:hAnsi="Times New Roman" w:eastAsia="宋体" w:cs="Times New Roman"/>
                      <w:color w:val="auto"/>
                      <w:sz w:val="21"/>
                      <w:szCs w:val="21"/>
                      <w:lang w:val="en-US" w:eastAsia="zh-CN"/>
                    </w:rPr>
                  </w:pPr>
                  <w:bookmarkStart w:id="18" w:name="8616_m2"/>
                  <w:bookmarkEnd w:id="18"/>
                  <w:r>
                    <w:rPr>
                      <w:rFonts w:hint="eastAsia" w:ascii="Times New Roman" w:hAnsi="Times New Roman" w:eastAsia="宋体" w:cs="Times New Roman"/>
                      <w:color w:val="auto"/>
                      <w:sz w:val="21"/>
                      <w:szCs w:val="21"/>
                      <w:lang w:val="en-US" w:eastAsia="zh-CN"/>
                    </w:rPr>
                    <w:t>0</w:t>
                  </w:r>
                </w:p>
              </w:tc>
              <w:tc>
                <w:tcPr>
                  <w:tcW w:w="711" w:type="pct"/>
                  <w:noWrap w:val="0"/>
                  <w:vAlign w:val="center"/>
                </w:tcPr>
                <w:p w14:paraId="0F7A2774">
                  <w:pPr>
                    <w:pStyle w:val="81"/>
                    <w:spacing w:before="10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1235" w:type="pct"/>
                  <w:noWrap w:val="0"/>
                  <w:vAlign w:val="center"/>
                </w:tcPr>
                <w:p w14:paraId="620D3CBC">
                  <w:pPr>
                    <w:pStyle w:val="81"/>
                    <w:spacing w:before="100"/>
                    <w:jc w:val="center"/>
                    <w:rPr>
                      <w:rFonts w:hint="eastAsia" w:ascii="Times New Roman" w:hAnsi="Times New Roman" w:eastAsia="宋体" w:cs="Times New Roman"/>
                      <w:color w:val="auto"/>
                      <w:sz w:val="21"/>
                      <w:szCs w:val="21"/>
                      <w:lang w:eastAsia="zh-CN"/>
                    </w:rPr>
                  </w:pPr>
                  <w:bookmarkStart w:id="19" w:name="3446"/>
                  <w:bookmarkEnd w:id="19"/>
                  <w:bookmarkStart w:id="20" w:name="17.23"/>
                  <w:bookmarkEnd w:id="20"/>
                  <w:r>
                    <w:rPr>
                      <w:rFonts w:hint="eastAsia" w:ascii="Times New Roman" w:hAnsi="Times New Roman" w:eastAsia="宋体" w:cs="Times New Roman"/>
                      <w:color w:val="auto"/>
                      <w:sz w:val="21"/>
                      <w:szCs w:val="21"/>
                      <w:lang w:val="en-US" w:eastAsia="zh-CN"/>
                    </w:rPr>
                    <w:t>/</w:t>
                  </w:r>
                </w:p>
              </w:tc>
            </w:tr>
            <w:tr w14:paraId="012537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08" w:type="pct"/>
                  <w:shd w:val="clear" w:color="auto" w:fill="auto"/>
                  <w:noWrap w:val="0"/>
                  <w:vAlign w:val="center"/>
                </w:tcPr>
                <w:p w14:paraId="44CA2EFF">
                  <w:pPr>
                    <w:pStyle w:val="81"/>
                    <w:spacing w:before="86"/>
                    <w:ind w:left="69" w:leftChars="0" w:right="55" w:rightChars="0"/>
                    <w:jc w:val="center"/>
                    <w:rPr>
                      <w:rFonts w:hint="default"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sz w:val="21"/>
                      <w:szCs w:val="21"/>
                      <w:lang w:val="en-US" w:eastAsia="zh-CN"/>
                    </w:rPr>
                    <w:t>实验室用水</w:t>
                  </w:r>
                </w:p>
              </w:tc>
              <w:tc>
                <w:tcPr>
                  <w:tcW w:w="640" w:type="pct"/>
                  <w:shd w:val="clear" w:color="auto" w:fill="auto"/>
                  <w:noWrap w:val="0"/>
                  <w:vAlign w:val="center"/>
                </w:tcPr>
                <w:p w14:paraId="37E2191D">
                  <w:pPr>
                    <w:pStyle w:val="81"/>
                    <w:jc w:val="center"/>
                    <w:rPr>
                      <w:rFonts w:hint="default"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sz w:val="21"/>
                      <w:szCs w:val="21"/>
                      <w:lang w:val="en-US" w:eastAsia="zh-CN"/>
                    </w:rPr>
                    <w:t>0.6</w:t>
                  </w:r>
                </w:p>
              </w:tc>
              <w:tc>
                <w:tcPr>
                  <w:tcW w:w="695" w:type="pct"/>
                  <w:shd w:val="clear" w:color="auto" w:fill="auto"/>
                  <w:noWrap w:val="0"/>
                  <w:vAlign w:val="center"/>
                </w:tcPr>
                <w:p w14:paraId="20AB9923">
                  <w:pPr>
                    <w:pStyle w:val="81"/>
                    <w:spacing w:before="86"/>
                    <w:ind w:left="38" w:leftChars="0" w:right="-29" w:rightChars="0"/>
                    <w:jc w:val="center"/>
                    <w:rPr>
                      <w:rFonts w:hint="eastAsia"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sz w:val="21"/>
                      <w:szCs w:val="21"/>
                      <w:lang w:val="en-US" w:eastAsia="zh-CN"/>
                    </w:rPr>
                    <w:t>0.12</w:t>
                  </w:r>
                </w:p>
              </w:tc>
              <w:tc>
                <w:tcPr>
                  <w:tcW w:w="809" w:type="pct"/>
                  <w:shd w:val="clear" w:color="auto" w:fill="auto"/>
                  <w:noWrap w:val="0"/>
                  <w:vAlign w:val="center"/>
                </w:tcPr>
                <w:p w14:paraId="2127954A">
                  <w:pPr>
                    <w:pStyle w:val="81"/>
                    <w:spacing w:before="100"/>
                    <w:ind w:left="51" w:leftChars="0" w:right="22" w:rightChars="0"/>
                    <w:jc w:val="center"/>
                    <w:rPr>
                      <w:rFonts w:hint="eastAsia"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sz w:val="21"/>
                      <w:szCs w:val="21"/>
                      <w:lang w:val="en-US" w:eastAsia="zh-CN"/>
                    </w:rPr>
                    <w:t>0.48</w:t>
                  </w:r>
                </w:p>
              </w:tc>
              <w:tc>
                <w:tcPr>
                  <w:tcW w:w="711" w:type="pct"/>
                  <w:shd w:val="clear" w:color="auto" w:fill="auto"/>
                  <w:noWrap w:val="0"/>
                  <w:vAlign w:val="center"/>
                </w:tcPr>
                <w:p w14:paraId="1CD0CFFA">
                  <w:pPr>
                    <w:pStyle w:val="81"/>
                    <w:spacing w:before="100"/>
                    <w:jc w:val="center"/>
                    <w:rPr>
                      <w:rFonts w:hint="eastAsia"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sz w:val="21"/>
                      <w:szCs w:val="21"/>
                      <w:lang w:val="en-US" w:eastAsia="zh-CN"/>
                    </w:rPr>
                    <w:t>0</w:t>
                  </w:r>
                </w:p>
              </w:tc>
              <w:tc>
                <w:tcPr>
                  <w:tcW w:w="1235" w:type="pct"/>
                  <w:shd w:val="clear" w:color="auto" w:fill="auto"/>
                  <w:noWrap w:val="0"/>
                  <w:vAlign w:val="center"/>
                </w:tcPr>
                <w:p w14:paraId="10B4E6DA">
                  <w:pPr>
                    <w:pStyle w:val="81"/>
                    <w:spacing w:before="100"/>
                    <w:jc w:val="center"/>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eastAsia="宋体" w:cs="Times New Roman"/>
                      <w:color w:val="auto"/>
                      <w:sz w:val="21"/>
                      <w:szCs w:val="21"/>
                      <w:lang w:val="en-US" w:eastAsia="zh-CN"/>
                    </w:rPr>
                    <w:t>由专用容器收集，暂存于危废贮存间，定期交有资质单位处置</w:t>
                  </w:r>
                  <w:r>
                    <w:rPr>
                      <w:rFonts w:hint="eastAsia" w:ascii="Times New Roman" w:hAnsi="Times New Roman" w:cs="Times New Roman"/>
                      <w:color w:val="auto"/>
                      <w:sz w:val="21"/>
                      <w:szCs w:val="21"/>
                      <w:lang w:val="en-US" w:eastAsia="zh-CN"/>
                    </w:rPr>
                    <w:t>。</w:t>
                  </w:r>
                </w:p>
              </w:tc>
            </w:tr>
            <w:tr w14:paraId="556494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08" w:type="pct"/>
                  <w:noWrap w:val="0"/>
                  <w:vAlign w:val="center"/>
                </w:tcPr>
                <w:p w14:paraId="7B6B2F06">
                  <w:pPr>
                    <w:pStyle w:val="81"/>
                    <w:spacing w:before="86"/>
                    <w:ind w:left="69" w:right="55"/>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装卸油区域地面冲洗</w:t>
                  </w:r>
                </w:p>
              </w:tc>
              <w:tc>
                <w:tcPr>
                  <w:tcW w:w="640" w:type="pct"/>
                  <w:noWrap w:val="0"/>
                  <w:vAlign w:val="center"/>
                </w:tcPr>
                <w:p w14:paraId="1598BF4F">
                  <w:pPr>
                    <w:pStyle w:val="81"/>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695" w:type="pct"/>
                  <w:noWrap w:val="0"/>
                  <w:vAlign w:val="center"/>
                </w:tcPr>
                <w:p w14:paraId="0B3EE6E5">
                  <w:pPr>
                    <w:pStyle w:val="81"/>
                    <w:spacing w:before="86"/>
                    <w:ind w:left="38" w:right="-29"/>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w:t>
                  </w:r>
                </w:p>
              </w:tc>
              <w:tc>
                <w:tcPr>
                  <w:tcW w:w="809" w:type="pct"/>
                  <w:noWrap w:val="0"/>
                  <w:vAlign w:val="center"/>
                </w:tcPr>
                <w:p w14:paraId="62A0DBDE">
                  <w:pPr>
                    <w:pStyle w:val="81"/>
                    <w:spacing w:before="100"/>
                    <w:ind w:left="51" w:right="22"/>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0.8</w:t>
                  </w:r>
                </w:p>
              </w:tc>
              <w:tc>
                <w:tcPr>
                  <w:tcW w:w="711" w:type="pct"/>
                  <w:noWrap w:val="0"/>
                  <w:vAlign w:val="center"/>
                </w:tcPr>
                <w:p w14:paraId="4AE0E99B">
                  <w:pPr>
                    <w:pStyle w:val="81"/>
                    <w:spacing w:before="10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1235" w:type="pct"/>
                  <w:vMerge w:val="restart"/>
                  <w:noWrap w:val="0"/>
                  <w:vAlign w:val="center"/>
                </w:tcPr>
                <w:p w14:paraId="0C82E5F1">
                  <w:pPr>
                    <w:pStyle w:val="81"/>
                    <w:spacing w:before="1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经隔油池处理后，排入</w:t>
                  </w:r>
                  <w:r>
                    <w:rPr>
                      <w:rFonts w:hint="eastAsia" w:ascii="Times New Roman" w:hAnsi="Times New Roman" w:eastAsia="宋体" w:cs="Times New Roman"/>
                      <w:color w:val="auto"/>
                      <w:sz w:val="21"/>
                      <w:szCs w:val="21"/>
                      <w:lang w:eastAsia="zh-CN"/>
                    </w:rPr>
                    <w:t>宝鸡</w:t>
                  </w:r>
                  <w:r>
                    <w:rPr>
                      <w:rFonts w:hint="default" w:ascii="Times New Roman" w:hAnsi="Times New Roman" w:eastAsia="宋体" w:cs="Times New Roman"/>
                      <w:color w:val="auto"/>
                      <w:sz w:val="21"/>
                      <w:szCs w:val="21"/>
                    </w:rPr>
                    <w:t>机场污水处理站</w:t>
                  </w:r>
                  <w:r>
                    <w:rPr>
                      <w:rFonts w:hint="eastAsia" w:ascii="Times New Roman" w:hAnsi="Times New Roman" w:eastAsia="宋体" w:cs="Times New Roman"/>
                      <w:color w:val="auto"/>
                      <w:sz w:val="21"/>
                      <w:szCs w:val="21"/>
                      <w:lang w:eastAsia="zh-CN"/>
                    </w:rPr>
                    <w:t>处理，不外排</w:t>
                  </w:r>
                  <w:r>
                    <w:rPr>
                      <w:rFonts w:hint="eastAsia" w:ascii="Times New Roman" w:hAnsi="Times New Roman" w:cs="Times New Roman"/>
                      <w:color w:val="auto"/>
                      <w:sz w:val="21"/>
                      <w:szCs w:val="21"/>
                      <w:lang w:eastAsia="zh-CN"/>
                    </w:rPr>
                    <w:t>。</w:t>
                  </w:r>
                </w:p>
              </w:tc>
            </w:tr>
            <w:tr w14:paraId="04A55A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08" w:type="pct"/>
                  <w:noWrap w:val="0"/>
                  <w:vAlign w:val="center"/>
                </w:tcPr>
                <w:p w14:paraId="5F4053F1">
                  <w:pPr>
                    <w:pStyle w:val="81"/>
                    <w:spacing w:before="86"/>
                    <w:ind w:left="69" w:right="55"/>
                    <w:jc w:val="center"/>
                    <w:rPr>
                      <w:rFonts w:hint="eastAsia" w:ascii="Times New Roman" w:hAnsi="Times New Roman" w:cs="Times New Roman"/>
                      <w:color w:val="auto"/>
                      <w:lang w:eastAsia="zh-CN"/>
                    </w:rPr>
                  </w:pPr>
                  <w:r>
                    <w:rPr>
                      <w:rFonts w:hint="eastAsia" w:ascii="Times New Roman" w:hAnsi="Times New Roman"/>
                      <w:color w:val="auto"/>
                      <w:szCs w:val="21"/>
                    </w:rPr>
                    <w:t>油罐清洗</w:t>
                  </w:r>
                  <w:r>
                    <w:rPr>
                      <w:rFonts w:hint="eastAsia" w:ascii="Times New Roman" w:hAnsi="Times New Roman"/>
                      <w:color w:val="auto"/>
                      <w:szCs w:val="21"/>
                      <w:lang w:eastAsia="zh-CN"/>
                    </w:rPr>
                    <w:t>用</w:t>
                  </w:r>
                  <w:r>
                    <w:rPr>
                      <w:rFonts w:hint="eastAsia" w:ascii="Times New Roman" w:hAnsi="Times New Roman"/>
                      <w:color w:val="auto"/>
                      <w:szCs w:val="21"/>
                    </w:rPr>
                    <w:t>水</w:t>
                  </w:r>
                </w:p>
              </w:tc>
              <w:tc>
                <w:tcPr>
                  <w:tcW w:w="640" w:type="pct"/>
                  <w:noWrap w:val="0"/>
                  <w:vAlign w:val="center"/>
                </w:tcPr>
                <w:p w14:paraId="16D51AEC">
                  <w:pPr>
                    <w:pStyle w:val="81"/>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c>
                <w:tcPr>
                  <w:tcW w:w="695" w:type="pct"/>
                  <w:noWrap w:val="0"/>
                  <w:vAlign w:val="center"/>
                </w:tcPr>
                <w:p w14:paraId="1D6E6107">
                  <w:pPr>
                    <w:pStyle w:val="81"/>
                    <w:spacing w:before="86"/>
                    <w:ind w:left="38" w:right="-29"/>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809" w:type="pct"/>
                  <w:noWrap w:val="0"/>
                  <w:vAlign w:val="center"/>
                </w:tcPr>
                <w:p w14:paraId="329602AC">
                  <w:pPr>
                    <w:pStyle w:val="81"/>
                    <w:spacing w:before="100"/>
                    <w:ind w:left="51" w:right="22"/>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c>
                <w:tcPr>
                  <w:tcW w:w="711" w:type="pct"/>
                  <w:noWrap w:val="0"/>
                  <w:vAlign w:val="center"/>
                </w:tcPr>
                <w:p w14:paraId="2AA22D40">
                  <w:pPr>
                    <w:pStyle w:val="81"/>
                    <w:spacing w:before="10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1235" w:type="pct"/>
                  <w:vMerge w:val="continue"/>
                  <w:noWrap w:val="0"/>
                  <w:vAlign w:val="center"/>
                </w:tcPr>
                <w:p w14:paraId="620709CB">
                  <w:pPr>
                    <w:pStyle w:val="81"/>
                    <w:spacing w:before="100"/>
                    <w:jc w:val="center"/>
                    <w:rPr>
                      <w:rFonts w:hint="default" w:ascii="Times New Roman" w:hAnsi="Times New Roman" w:eastAsia="宋体" w:cs="Times New Roman"/>
                      <w:color w:val="auto"/>
                      <w:sz w:val="21"/>
                      <w:szCs w:val="21"/>
                    </w:rPr>
                  </w:pPr>
                </w:p>
              </w:tc>
            </w:tr>
            <w:tr w14:paraId="0BD4CA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08" w:type="pct"/>
                  <w:noWrap w:val="0"/>
                  <w:vAlign w:val="center"/>
                </w:tcPr>
                <w:p w14:paraId="6A0AD320">
                  <w:pPr>
                    <w:pStyle w:val="81"/>
                    <w:spacing w:before="69"/>
                    <w:ind w:left="61"/>
                    <w:jc w:val="center"/>
                    <w:rPr>
                      <w:rFonts w:hint="default" w:ascii="Times New Roman" w:hAnsi="Times New Roman" w:eastAsia="宋体" w:cs="Times New Roman"/>
                      <w:color w:val="auto"/>
                      <w:sz w:val="21"/>
                      <w:szCs w:val="21"/>
                      <w:lang w:val="en-US"/>
                    </w:rPr>
                  </w:pPr>
                  <w:bookmarkStart w:id="21" w:name="洗衣房用水"/>
                  <w:bookmarkEnd w:id="21"/>
                  <w:r>
                    <w:rPr>
                      <w:rFonts w:hint="default" w:ascii="Times New Roman" w:hAnsi="Times New Roman" w:eastAsia="宋体" w:cs="Times New Roman"/>
                      <w:color w:val="auto"/>
                      <w:sz w:val="21"/>
                      <w:szCs w:val="21"/>
                      <w:lang w:val="en-US"/>
                    </w:rPr>
                    <w:t>合计</w:t>
                  </w:r>
                </w:p>
              </w:tc>
              <w:tc>
                <w:tcPr>
                  <w:tcW w:w="1073" w:type="dxa"/>
                  <w:noWrap w:val="0"/>
                  <w:vAlign w:val="center"/>
                </w:tcPr>
                <w:p w14:paraId="49528EDA">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27.55</w:t>
                  </w:r>
                </w:p>
              </w:tc>
              <w:tc>
                <w:tcPr>
                  <w:tcW w:w="1166" w:type="dxa"/>
                  <w:noWrap w:val="0"/>
                  <w:vAlign w:val="center"/>
                </w:tcPr>
                <w:p w14:paraId="368FE88A">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1.67</w:t>
                  </w:r>
                </w:p>
              </w:tc>
              <w:tc>
                <w:tcPr>
                  <w:tcW w:w="1357" w:type="dxa"/>
                  <w:noWrap w:val="0"/>
                  <w:vAlign w:val="center"/>
                </w:tcPr>
                <w:p w14:paraId="7641664A">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25.88</w:t>
                  </w:r>
                </w:p>
              </w:tc>
              <w:tc>
                <w:tcPr>
                  <w:tcW w:w="711" w:type="pct"/>
                  <w:noWrap w:val="0"/>
                  <w:vAlign w:val="center"/>
                </w:tcPr>
                <w:p w14:paraId="5497D5E5">
                  <w:pPr>
                    <w:pStyle w:val="81"/>
                    <w:spacing w:before="69"/>
                    <w:ind w:left="61"/>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1235" w:type="pct"/>
                  <w:noWrap w:val="0"/>
                  <w:vAlign w:val="center"/>
                </w:tcPr>
                <w:p w14:paraId="79CA1049">
                  <w:pPr>
                    <w:pStyle w:val="81"/>
                    <w:spacing w:before="69"/>
                    <w:ind w:left="61"/>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bookmarkEnd w:id="13"/>
          </w:tbl>
          <w:p w14:paraId="43F01FE7">
            <w:pPr>
              <w:adjustRightInd w:val="0"/>
              <w:snapToGrid w:val="0"/>
              <w:spacing w:line="360" w:lineRule="auto"/>
              <w:ind w:firstLine="482" w:firstLineChars="200"/>
              <w:rPr>
                <w:rFonts w:hint="eastAsia"/>
                <w:b/>
                <w:bCs/>
                <w:color w:val="auto"/>
                <w:sz w:val="24"/>
              </w:rPr>
            </w:pPr>
          </w:p>
          <w:p w14:paraId="2C8DC515">
            <w:pPr>
              <w:pStyle w:val="81"/>
              <w:tabs>
                <w:tab w:val="left" w:pos="803"/>
              </w:tabs>
              <w:spacing w:before="1"/>
              <w:ind w:left="50"/>
              <w:jc w:val="center"/>
              <w:rPr>
                <w:rFonts w:hint="default" w:ascii="Times New Roman" w:hAnsi="Times New Roman" w:cs="Times New Roman"/>
                <w:b/>
                <w:color w:val="auto"/>
                <w:sz w:val="21"/>
                <w:highlight w:val="yellow"/>
              </w:rPr>
            </w:pPr>
            <w:r>
              <w:rPr>
                <w:rFonts w:hint="eastAsia" w:ascii="Times New Roman" w:hAnsi="Times New Roman" w:eastAsia="宋体" w:cs="Times New Roman"/>
                <w:b/>
                <w:color w:val="auto"/>
                <w:sz w:val="21"/>
                <w:highlight w:val="none"/>
                <w:lang w:eastAsia="zh-CN"/>
              </w:rPr>
              <w:drawing>
                <wp:inline distT="0" distB="0" distL="114300" distR="114300">
                  <wp:extent cx="5346700" cy="2616200"/>
                  <wp:effectExtent l="0" t="0" r="6350" b="12700"/>
                  <wp:docPr id="2" name="图片 2" descr="fd00ac6f1519745e7d7fa00ab0e1c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d00ac6f1519745e7d7fa00ab0e1cb0"/>
                          <pic:cNvPicPr>
                            <a:picLocks noChangeAspect="1"/>
                          </pic:cNvPicPr>
                        </pic:nvPicPr>
                        <pic:blipFill>
                          <a:blip r:embed="rId9"/>
                          <a:stretch>
                            <a:fillRect/>
                          </a:stretch>
                        </pic:blipFill>
                        <pic:spPr>
                          <a:xfrm>
                            <a:off x="0" y="0"/>
                            <a:ext cx="5346700" cy="2616200"/>
                          </a:xfrm>
                          <a:prstGeom prst="rect">
                            <a:avLst/>
                          </a:prstGeom>
                        </pic:spPr>
                      </pic:pic>
                    </a:graphicData>
                  </a:graphic>
                </wp:inline>
              </w:drawing>
            </w:r>
          </w:p>
          <w:p w14:paraId="364B18D1">
            <w:pPr>
              <w:pStyle w:val="81"/>
              <w:tabs>
                <w:tab w:val="left" w:pos="803"/>
              </w:tabs>
              <w:spacing w:before="1"/>
              <w:ind w:left="50"/>
              <w:jc w:val="center"/>
              <w:rPr>
                <w:rFonts w:hint="default" w:ascii="Times New Roman" w:hAnsi="Times New Roman" w:eastAsia="Times New Roman" w:cs="Times New Roman"/>
                <w:b/>
                <w:color w:val="auto"/>
                <w:sz w:val="21"/>
                <w:szCs w:val="21"/>
              </w:rPr>
            </w:pPr>
            <w:r>
              <w:rPr>
                <w:rFonts w:hint="default" w:ascii="Times New Roman" w:hAnsi="Times New Roman" w:cs="Times New Roman"/>
                <w:b/>
                <w:color w:val="auto"/>
                <w:sz w:val="24"/>
                <w:szCs w:val="24"/>
              </w:rPr>
              <w:t xml:space="preserve">图 </w:t>
            </w:r>
            <w:r>
              <w:rPr>
                <w:rFonts w:hint="default" w:ascii="Times New Roman" w:hAnsi="Times New Roman" w:cs="Times New Roman"/>
                <w:b/>
                <w:color w:val="auto"/>
                <w:spacing w:val="-52"/>
                <w:sz w:val="24"/>
                <w:szCs w:val="24"/>
              </w:rPr>
              <w:t xml:space="preserve"> </w:t>
            </w:r>
            <w:r>
              <w:rPr>
                <w:rFonts w:hint="default" w:ascii="Times New Roman" w:hAnsi="Times New Roman" w:eastAsia="Times New Roman" w:cs="Times New Roman"/>
                <w:b/>
                <w:color w:val="auto"/>
                <w:sz w:val="24"/>
                <w:szCs w:val="24"/>
              </w:rPr>
              <w:t>2-</w:t>
            </w:r>
            <w:r>
              <w:rPr>
                <w:rFonts w:hint="eastAsia" w:ascii="Times New Roman" w:hAnsi="Times New Roman" w:eastAsia="等线" w:cs="Times New Roman"/>
                <w:b/>
                <w:color w:val="auto"/>
                <w:sz w:val="24"/>
                <w:szCs w:val="24"/>
                <w:lang w:val="en-US" w:eastAsia="zh-CN"/>
              </w:rPr>
              <w:t>1</w:t>
            </w:r>
            <w:r>
              <w:rPr>
                <w:rFonts w:hint="default" w:ascii="Times New Roman" w:hAnsi="Times New Roman" w:eastAsia="Times New Roman" w:cs="Times New Roman"/>
                <w:b/>
                <w:color w:val="auto"/>
                <w:sz w:val="24"/>
                <w:szCs w:val="24"/>
              </w:rPr>
              <w:tab/>
            </w:r>
            <w:r>
              <w:rPr>
                <w:rFonts w:hint="eastAsia" w:ascii="Times New Roman" w:hAnsi="Times New Roman" w:eastAsia="宋体" w:cs="Times New Roman"/>
                <w:b/>
                <w:color w:val="auto"/>
                <w:sz w:val="24"/>
                <w:szCs w:val="24"/>
                <w:lang w:val="en-US" w:eastAsia="zh-CN"/>
              </w:rPr>
              <w:t xml:space="preserve"> </w:t>
            </w:r>
            <w:r>
              <w:rPr>
                <w:rFonts w:hint="default" w:ascii="Times New Roman" w:hAnsi="Times New Roman" w:cs="Times New Roman"/>
                <w:b/>
                <w:color w:val="auto"/>
                <w:sz w:val="24"/>
                <w:szCs w:val="24"/>
              </w:rPr>
              <w:t>项目水平衡图</w:t>
            </w:r>
            <w:r>
              <w:rPr>
                <w:rFonts w:hint="eastAsia" w:ascii="Times New Roman" w:hAnsi="Times New Roman" w:cs="Times New Roman"/>
                <w:b/>
                <w:color w:val="auto"/>
                <w:sz w:val="24"/>
                <w:szCs w:val="24"/>
                <w:lang w:val="en-US" w:eastAsia="zh-CN"/>
              </w:rPr>
              <w:t xml:space="preserve"> </w:t>
            </w:r>
            <w:r>
              <w:rPr>
                <w:rFonts w:hint="default" w:ascii="Times New Roman" w:hAnsi="Times New Roman" w:cs="Times New Roman"/>
                <w:b/>
                <w:color w:val="auto"/>
                <w:sz w:val="21"/>
                <w:szCs w:val="21"/>
              </w:rPr>
              <w:t>单位：</w:t>
            </w:r>
            <w:r>
              <w:rPr>
                <w:rFonts w:hint="default" w:ascii="Times New Roman" w:hAnsi="Times New Roman" w:eastAsia="Times New Roman" w:cs="Times New Roman"/>
                <w:b/>
                <w:color w:val="auto"/>
                <w:sz w:val="21"/>
                <w:szCs w:val="21"/>
              </w:rPr>
              <w:t>m</w:t>
            </w:r>
            <w:r>
              <w:rPr>
                <w:rFonts w:hint="eastAsia" w:ascii="Times New Roman" w:hAnsi="Times New Roman" w:eastAsia="宋体" w:cs="Times New Roman"/>
                <w:b/>
                <w:color w:val="auto"/>
                <w:sz w:val="21"/>
                <w:szCs w:val="21"/>
                <w:vertAlign w:val="superscript"/>
                <w:lang w:val="en-US" w:eastAsia="zh-CN"/>
              </w:rPr>
              <w:t>3</w:t>
            </w:r>
            <w:r>
              <w:rPr>
                <w:rFonts w:hint="default" w:ascii="Times New Roman" w:hAnsi="Times New Roman" w:eastAsia="Times New Roman" w:cs="Times New Roman"/>
                <w:b/>
                <w:color w:val="auto"/>
                <w:sz w:val="21"/>
                <w:szCs w:val="21"/>
              </w:rPr>
              <w:t>/d</w:t>
            </w:r>
          </w:p>
          <w:p w14:paraId="6B304FC1">
            <w:pPr>
              <w:adjustRightInd w:val="0"/>
              <w:snapToGrid w:val="0"/>
              <w:spacing w:line="360" w:lineRule="auto"/>
              <w:ind w:firstLine="482" w:firstLineChars="200"/>
              <w:rPr>
                <w:rFonts w:hint="eastAsia"/>
                <w:b/>
                <w:bCs/>
                <w:color w:val="auto"/>
                <w:sz w:val="24"/>
              </w:rPr>
            </w:pPr>
          </w:p>
          <w:p w14:paraId="5B5C17AA">
            <w:pPr>
              <w:adjustRightInd w:val="0"/>
              <w:snapToGrid w:val="0"/>
              <w:spacing w:line="360" w:lineRule="auto"/>
              <w:ind w:firstLine="482" w:firstLineChars="200"/>
              <w:rPr>
                <w:b/>
                <w:bCs/>
                <w:color w:val="auto"/>
                <w:sz w:val="24"/>
              </w:rPr>
            </w:pPr>
            <w:r>
              <w:rPr>
                <w:rFonts w:hint="eastAsia"/>
                <w:b/>
                <w:bCs/>
                <w:color w:val="auto"/>
                <w:sz w:val="24"/>
              </w:rPr>
              <w:t>（</w:t>
            </w:r>
            <w:r>
              <w:rPr>
                <w:b/>
                <w:bCs/>
                <w:color w:val="auto"/>
                <w:sz w:val="24"/>
              </w:rPr>
              <w:t>3</w:t>
            </w:r>
            <w:r>
              <w:rPr>
                <w:rFonts w:hint="eastAsia"/>
                <w:b/>
                <w:bCs/>
                <w:color w:val="auto"/>
                <w:sz w:val="24"/>
              </w:rPr>
              <w:t>）供电</w:t>
            </w:r>
          </w:p>
          <w:p w14:paraId="298491AA">
            <w:pPr>
              <w:adjustRightInd w:val="0"/>
              <w:snapToGrid w:val="0"/>
              <w:spacing w:line="360" w:lineRule="auto"/>
              <w:ind w:firstLine="480" w:firstLineChars="200"/>
              <w:rPr>
                <w:color w:val="auto"/>
                <w:sz w:val="24"/>
                <w:highlight w:val="none"/>
              </w:rPr>
            </w:pPr>
            <w:r>
              <w:rPr>
                <w:rFonts w:hint="eastAsia"/>
                <w:color w:val="auto"/>
                <w:sz w:val="24"/>
                <w:lang w:val="en-US" w:eastAsia="zh-CN"/>
              </w:rPr>
              <w:t>本期油库设一路380V低压电源供电，引自机场中心变电站</w:t>
            </w:r>
            <w:r>
              <w:rPr>
                <w:rFonts w:hint="eastAsia"/>
                <w:color w:val="auto"/>
                <w:sz w:val="24"/>
              </w:rPr>
              <w:t>，</w:t>
            </w:r>
            <w:r>
              <w:rPr>
                <w:rFonts w:hint="eastAsia"/>
                <w:color w:val="auto"/>
                <w:sz w:val="24"/>
                <w:highlight w:val="none"/>
              </w:rPr>
              <w:t>年用电量约</w:t>
            </w:r>
            <w:r>
              <w:rPr>
                <w:rFonts w:hint="eastAsia"/>
                <w:color w:val="auto"/>
                <w:sz w:val="24"/>
                <w:highlight w:val="none"/>
                <w:lang w:val="en-US" w:eastAsia="zh-CN"/>
              </w:rPr>
              <w:t>13446.56</w:t>
            </w:r>
            <w:r>
              <w:rPr>
                <w:rFonts w:hint="eastAsia"/>
                <w:color w:val="auto"/>
                <w:sz w:val="24"/>
                <w:highlight w:val="none"/>
              </w:rPr>
              <w:t>万kWh。</w:t>
            </w:r>
          </w:p>
          <w:p w14:paraId="4B7C6CB5">
            <w:pPr>
              <w:adjustRightInd w:val="0"/>
              <w:snapToGrid w:val="0"/>
              <w:spacing w:line="360" w:lineRule="auto"/>
              <w:ind w:firstLine="482" w:firstLineChars="200"/>
              <w:rPr>
                <w:b/>
                <w:bCs/>
                <w:color w:val="auto"/>
                <w:sz w:val="24"/>
              </w:rPr>
            </w:pPr>
            <w:r>
              <w:rPr>
                <w:rFonts w:hint="eastAsia"/>
                <w:b/>
                <w:bCs/>
                <w:color w:val="auto"/>
                <w:sz w:val="24"/>
              </w:rPr>
              <w:t>（4）供热及制冷</w:t>
            </w:r>
          </w:p>
          <w:p w14:paraId="6D692D3F">
            <w:pPr>
              <w:adjustRightInd w:val="0"/>
              <w:snapToGrid w:val="0"/>
              <w:spacing w:line="360" w:lineRule="auto"/>
              <w:ind w:firstLine="480" w:firstLineChars="200"/>
              <w:rPr>
                <w:rFonts w:hint="eastAsia"/>
                <w:b w:val="0"/>
                <w:bCs w:val="0"/>
                <w:color w:val="auto"/>
                <w:sz w:val="24"/>
                <w:szCs w:val="24"/>
                <w:lang w:val="en-US" w:eastAsia="zh-CN"/>
              </w:rPr>
            </w:pPr>
            <w:r>
              <w:rPr>
                <w:bCs/>
                <w:color w:val="auto"/>
                <w:sz w:val="24"/>
              </w:rPr>
              <w:t>本项目冬季供暖</w:t>
            </w:r>
            <w:r>
              <w:rPr>
                <w:rFonts w:hint="eastAsia"/>
                <w:bCs/>
                <w:color w:val="auto"/>
                <w:sz w:val="24"/>
              </w:rPr>
              <w:t>和夏季</w:t>
            </w:r>
            <w:r>
              <w:rPr>
                <w:bCs/>
                <w:color w:val="auto"/>
                <w:sz w:val="24"/>
              </w:rPr>
              <w:t>制冷</w:t>
            </w:r>
            <w:r>
              <w:rPr>
                <w:rFonts w:hint="eastAsia"/>
                <w:bCs/>
                <w:color w:val="auto"/>
                <w:sz w:val="24"/>
              </w:rPr>
              <w:t>均</w:t>
            </w:r>
            <w:r>
              <w:rPr>
                <w:bCs/>
                <w:color w:val="auto"/>
                <w:sz w:val="24"/>
              </w:rPr>
              <w:t>采用</w:t>
            </w:r>
            <w:r>
              <w:rPr>
                <w:rFonts w:hint="eastAsia"/>
                <w:bCs/>
                <w:color w:val="auto"/>
                <w:sz w:val="24"/>
              </w:rPr>
              <w:t>分体式空</w:t>
            </w:r>
            <w:r>
              <w:rPr>
                <w:bCs/>
                <w:color w:val="auto"/>
                <w:sz w:val="24"/>
              </w:rPr>
              <w:t>调。</w:t>
            </w:r>
          </w:p>
          <w:p w14:paraId="3041FEF3">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bCs/>
                <w:color w:val="auto"/>
                <w:sz w:val="24"/>
                <w:szCs w:val="24"/>
              </w:rPr>
            </w:pPr>
            <w:r>
              <w:rPr>
                <w:rFonts w:hint="eastAsia"/>
                <w:b/>
                <w:bCs/>
                <w:color w:val="auto"/>
                <w:sz w:val="24"/>
                <w:szCs w:val="24"/>
                <w:lang w:val="en-US" w:eastAsia="zh-CN"/>
              </w:rPr>
              <w:t>8</w:t>
            </w:r>
            <w:r>
              <w:rPr>
                <w:rFonts w:hint="eastAsia"/>
                <w:b/>
                <w:bCs/>
                <w:color w:val="auto"/>
                <w:sz w:val="24"/>
                <w:szCs w:val="24"/>
              </w:rPr>
              <w:t>、劳动定员及工作制度</w:t>
            </w:r>
          </w:p>
          <w:p w14:paraId="31ED70F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color w:val="auto"/>
                <w:sz w:val="24"/>
                <w:szCs w:val="24"/>
                <w:lang w:val="en-US" w:eastAsia="zh-CN"/>
              </w:rPr>
            </w:pPr>
            <w:r>
              <w:rPr>
                <w:rFonts w:hint="eastAsia"/>
                <w:color w:val="auto"/>
                <w:sz w:val="24"/>
                <w:szCs w:val="24"/>
              </w:rPr>
              <w:t>本项目劳动定员</w:t>
            </w:r>
            <w:r>
              <w:rPr>
                <w:rFonts w:hint="eastAsia"/>
                <w:color w:val="auto"/>
                <w:sz w:val="24"/>
                <w:szCs w:val="24"/>
                <w:lang w:val="en-US" w:eastAsia="zh-CN"/>
              </w:rPr>
              <w:t>8人，经理1名，操作人员7人</w:t>
            </w:r>
            <w:r>
              <w:rPr>
                <w:rFonts w:hint="eastAsia"/>
                <w:color w:val="auto"/>
                <w:sz w:val="24"/>
                <w:szCs w:val="24"/>
              </w:rPr>
              <w:t>，</w:t>
            </w:r>
            <w:r>
              <w:rPr>
                <w:rFonts w:hint="eastAsia"/>
                <w:color w:val="auto"/>
                <w:sz w:val="24"/>
                <w:szCs w:val="24"/>
                <w:lang w:val="en-US" w:eastAsia="zh-CN"/>
              </w:rPr>
              <w:t xml:space="preserve">3班倒，年运行时间8760小时。                     </w:t>
            </w:r>
          </w:p>
          <w:p w14:paraId="6228FAB0">
            <w:pPr>
              <w:keepNext w:val="0"/>
              <w:keepLines w:val="0"/>
              <w:pageBreakBefore w:val="0"/>
              <w:widowControl w:val="0"/>
              <w:kinsoku/>
              <w:wordWrap/>
              <w:overflowPunct/>
              <w:topLinePunct w:val="0"/>
              <w:autoSpaceDE/>
              <w:autoSpaceDN/>
              <w:bidi w:val="0"/>
              <w:adjustRightInd w:val="0"/>
              <w:snapToGrid w:val="0"/>
              <w:spacing w:line="360" w:lineRule="auto"/>
              <w:ind w:left="420" w:leftChars="200" w:firstLine="0" w:firstLineChars="0"/>
              <w:jc w:val="left"/>
              <w:textAlignment w:val="auto"/>
              <w:rPr>
                <w:rFonts w:hint="eastAsia"/>
                <w:b/>
                <w:bCs/>
                <w:color w:val="auto"/>
                <w:sz w:val="24"/>
                <w:szCs w:val="24"/>
                <w:lang w:val="en-US" w:eastAsia="zh-CN"/>
              </w:rPr>
            </w:pPr>
            <w:r>
              <w:rPr>
                <w:rFonts w:hint="eastAsia"/>
                <w:color w:val="auto"/>
                <w:sz w:val="24"/>
                <w:szCs w:val="24"/>
                <w:lang w:val="en-US" w:eastAsia="zh-CN"/>
              </w:rPr>
              <w:t xml:space="preserve"> </w:t>
            </w:r>
            <w:r>
              <w:rPr>
                <w:rFonts w:hint="eastAsia"/>
                <w:b/>
                <w:bCs/>
                <w:color w:val="auto"/>
                <w:sz w:val="24"/>
                <w:szCs w:val="24"/>
                <w:lang w:val="en-US" w:eastAsia="zh-CN"/>
              </w:rPr>
              <w:t>9、平面布置</w:t>
            </w:r>
          </w:p>
          <w:p w14:paraId="59A4E42E">
            <w:pPr>
              <w:adjustRightInd w:val="0"/>
              <w:snapToGrid w:val="0"/>
              <w:spacing w:line="360" w:lineRule="auto"/>
              <w:ind w:firstLine="480" w:firstLineChars="200"/>
              <w:rPr>
                <w:rFonts w:hint="eastAsia"/>
                <w:bCs/>
                <w:color w:val="auto"/>
                <w:sz w:val="24"/>
                <w:szCs w:val="24"/>
                <w:lang w:val="en-US" w:eastAsia="zh-CN"/>
              </w:rPr>
            </w:pPr>
            <w:r>
              <w:rPr>
                <w:rFonts w:hint="eastAsia"/>
                <w:bCs/>
                <w:color w:val="auto"/>
                <w:sz w:val="24"/>
                <w:szCs w:val="24"/>
                <w:lang w:val="en-US" w:eastAsia="zh-CN"/>
              </w:rPr>
              <w:t>机场油库本期建设的建筑物和构筑物包括：生产值班用房、门房、化验室、装卸油棚、 油车库、危废间、航煤储罐组、回收罐、污油罐、隔油及事故污水收集池及配套的小型构筑物。</w:t>
            </w:r>
          </w:p>
          <w:p w14:paraId="44A8B87E">
            <w:pPr>
              <w:adjustRightInd w:val="0"/>
              <w:snapToGrid w:val="0"/>
              <w:spacing w:line="360" w:lineRule="auto"/>
              <w:ind w:firstLine="480" w:firstLineChars="200"/>
              <w:rPr>
                <w:rFonts w:hint="eastAsia"/>
                <w:bCs/>
                <w:color w:val="auto"/>
                <w:sz w:val="24"/>
                <w:szCs w:val="24"/>
                <w:lang w:val="en-US" w:eastAsia="zh-CN"/>
              </w:rPr>
            </w:pPr>
            <w:r>
              <w:rPr>
                <w:rFonts w:hint="eastAsia"/>
                <w:bCs/>
                <w:color w:val="auto"/>
                <w:sz w:val="24"/>
                <w:szCs w:val="24"/>
                <w:lang w:val="en-US" w:eastAsia="zh-CN"/>
              </w:rPr>
              <w:t>总平面布置按工艺流程、火灾危险性分区布置，库区共分为行政管理区、辅助作业区、储罐区、公路装卸区四个区域。</w:t>
            </w:r>
          </w:p>
          <w:p w14:paraId="0D0BC2B0">
            <w:pPr>
              <w:adjustRightInd w:val="0"/>
              <w:snapToGrid w:val="0"/>
              <w:spacing w:line="360" w:lineRule="auto"/>
              <w:ind w:firstLine="480" w:firstLineChars="200"/>
              <w:rPr>
                <w:rFonts w:hint="eastAsia"/>
                <w:bCs/>
                <w:color w:val="auto"/>
                <w:sz w:val="24"/>
                <w:szCs w:val="24"/>
                <w:lang w:val="en-US" w:eastAsia="zh-CN"/>
              </w:rPr>
            </w:pPr>
            <w:r>
              <w:rPr>
                <w:rFonts w:hint="eastAsia"/>
                <w:bCs/>
                <w:color w:val="auto"/>
                <w:sz w:val="24"/>
                <w:szCs w:val="24"/>
                <w:lang w:val="en-US" w:eastAsia="zh-CN"/>
              </w:rPr>
              <w:t xml:space="preserve">行政管理区：包括生产值班用房、门房、化验室，布置在库区的西北角，生产值班用房内含有办公、会议、值班等功能，主要考虑与外界联系比较紧密，紧邻机场道路，并单独对外开口。 </w:t>
            </w:r>
          </w:p>
          <w:p w14:paraId="14FF525C">
            <w:pPr>
              <w:adjustRightInd w:val="0"/>
              <w:snapToGrid w:val="0"/>
              <w:spacing w:line="360" w:lineRule="auto"/>
              <w:ind w:firstLine="480" w:firstLineChars="200"/>
              <w:rPr>
                <w:rFonts w:hint="eastAsia"/>
                <w:bCs/>
                <w:color w:val="auto"/>
                <w:sz w:val="24"/>
                <w:szCs w:val="24"/>
                <w:lang w:val="en-US" w:eastAsia="zh-CN"/>
              </w:rPr>
            </w:pPr>
            <w:r>
              <w:rPr>
                <w:rFonts w:hint="eastAsia"/>
                <w:bCs/>
                <w:color w:val="auto"/>
                <w:sz w:val="24"/>
                <w:szCs w:val="24"/>
                <w:lang w:val="en-US" w:eastAsia="zh-CN"/>
              </w:rPr>
              <w:t xml:space="preserve">公路装卸区：包括装卸油棚、油车库、地磅及配套的小型构筑物，布置在库区的中间，紧邻储罐区，并设单独出入口，通往机场道路。方便工作人员的日常操作，及与储罐区之间的管线连接。 </w:t>
            </w:r>
          </w:p>
          <w:p w14:paraId="50C4BB60">
            <w:pPr>
              <w:adjustRightInd w:val="0"/>
              <w:snapToGrid w:val="0"/>
              <w:spacing w:line="360" w:lineRule="auto"/>
              <w:ind w:firstLine="480" w:firstLineChars="200"/>
              <w:rPr>
                <w:rFonts w:hint="eastAsia"/>
                <w:bCs/>
                <w:color w:val="auto"/>
                <w:sz w:val="24"/>
                <w:szCs w:val="24"/>
                <w:lang w:val="en-US" w:eastAsia="zh-CN"/>
              </w:rPr>
            </w:pPr>
            <w:r>
              <w:rPr>
                <w:rFonts w:hint="eastAsia"/>
                <w:bCs/>
                <w:color w:val="auto"/>
                <w:sz w:val="24"/>
                <w:szCs w:val="24"/>
                <w:lang w:val="en-US" w:eastAsia="zh-CN"/>
              </w:rPr>
              <w:t xml:space="preserve">储罐区：包括航煤储罐组，位于库区南侧。设环形消防道路，本期储罐组呈双排布置。 </w:t>
            </w:r>
          </w:p>
          <w:p w14:paraId="67D5E53D">
            <w:pPr>
              <w:adjustRightInd w:val="0"/>
              <w:snapToGrid w:val="0"/>
              <w:spacing w:line="360" w:lineRule="auto"/>
              <w:ind w:firstLine="480" w:firstLineChars="200"/>
              <w:rPr>
                <w:rFonts w:hint="eastAsia"/>
                <w:bCs/>
                <w:color w:val="auto"/>
                <w:sz w:val="24"/>
                <w:szCs w:val="24"/>
                <w:lang w:val="en-US" w:eastAsia="zh-CN"/>
              </w:rPr>
            </w:pPr>
            <w:r>
              <w:rPr>
                <w:rFonts w:hint="eastAsia"/>
                <w:bCs/>
                <w:color w:val="auto"/>
                <w:sz w:val="24"/>
                <w:szCs w:val="24"/>
                <w:lang w:val="en-US" w:eastAsia="zh-CN"/>
              </w:rPr>
              <w:t>辅助作业区：分两部分，一部分为预留消防泵房及变配电间、预留消防水罐， 布置在生产值班用房的东侧；另外一部分包括隔油及事故污水收集池、危废暂存库位于储罐组的西侧。</w:t>
            </w:r>
          </w:p>
          <w:p w14:paraId="1F1D51F3">
            <w:pPr>
              <w:adjustRightInd w:val="0"/>
              <w:snapToGrid w:val="0"/>
              <w:spacing w:line="360" w:lineRule="auto"/>
              <w:ind w:firstLine="480" w:firstLineChars="200"/>
              <w:rPr>
                <w:rFonts w:hint="eastAsia"/>
                <w:bCs/>
                <w:color w:val="auto"/>
                <w:sz w:val="24"/>
                <w:szCs w:val="24"/>
                <w:lang w:eastAsia="zh-CN"/>
              </w:rPr>
            </w:pPr>
            <w:r>
              <w:rPr>
                <w:rFonts w:hint="eastAsia"/>
                <w:bCs/>
                <w:color w:val="auto"/>
                <w:sz w:val="24"/>
                <w:szCs w:val="24"/>
                <w:lang w:val="en-US" w:eastAsia="zh-CN"/>
              </w:rPr>
              <w:t>功能布置</w:t>
            </w:r>
            <w:r>
              <w:rPr>
                <w:rFonts w:hint="eastAsia"/>
                <w:bCs/>
                <w:color w:val="auto"/>
                <w:sz w:val="24"/>
                <w:szCs w:val="24"/>
              </w:rPr>
              <w:t>见</w:t>
            </w:r>
            <w:r>
              <w:rPr>
                <w:rFonts w:hint="eastAsia"/>
                <w:bCs/>
                <w:color w:val="auto"/>
                <w:sz w:val="24"/>
                <w:szCs w:val="24"/>
                <w:lang w:eastAsia="zh-CN"/>
              </w:rPr>
              <w:t>图</w:t>
            </w:r>
            <w:r>
              <w:rPr>
                <w:rFonts w:hint="eastAsia"/>
                <w:bCs/>
                <w:color w:val="auto"/>
                <w:sz w:val="24"/>
                <w:szCs w:val="24"/>
                <w:lang w:val="en-US" w:eastAsia="zh-CN"/>
              </w:rPr>
              <w:t>2-2</w:t>
            </w:r>
            <w:r>
              <w:rPr>
                <w:rFonts w:hint="eastAsia"/>
                <w:bCs/>
                <w:color w:val="auto"/>
                <w:sz w:val="24"/>
                <w:szCs w:val="24"/>
                <w:lang w:eastAsia="zh-CN"/>
              </w:rPr>
              <w:t>，</w:t>
            </w:r>
            <w:r>
              <w:rPr>
                <w:rFonts w:hint="eastAsia"/>
                <w:bCs/>
                <w:color w:val="auto"/>
                <w:sz w:val="24"/>
                <w:szCs w:val="24"/>
              </w:rPr>
              <w:t>平面布置</w:t>
            </w:r>
            <w:r>
              <w:rPr>
                <w:rFonts w:hint="eastAsia"/>
                <w:bCs/>
                <w:color w:val="auto"/>
                <w:sz w:val="24"/>
                <w:szCs w:val="24"/>
                <w:lang w:eastAsia="zh-CN"/>
              </w:rPr>
              <w:t>见图</w:t>
            </w:r>
            <w:r>
              <w:rPr>
                <w:rFonts w:hint="eastAsia"/>
                <w:bCs/>
                <w:color w:val="auto"/>
                <w:sz w:val="24"/>
                <w:szCs w:val="24"/>
                <w:lang w:val="en-US" w:eastAsia="zh-CN"/>
              </w:rPr>
              <w:t>2-3</w:t>
            </w:r>
            <w:r>
              <w:rPr>
                <w:rFonts w:hint="eastAsia"/>
                <w:bCs/>
                <w:color w:val="auto"/>
                <w:sz w:val="24"/>
                <w:szCs w:val="24"/>
                <w:lang w:eastAsia="zh-CN"/>
              </w:rPr>
              <w:t>。</w:t>
            </w:r>
          </w:p>
          <w:p w14:paraId="3C009838">
            <w:pPr>
              <w:pStyle w:val="3"/>
              <w:rPr>
                <w:rFonts w:hint="eastAsia"/>
                <w:bCs/>
                <w:color w:val="auto"/>
                <w:sz w:val="24"/>
                <w:szCs w:val="24"/>
                <w:lang w:eastAsia="zh-CN"/>
              </w:rPr>
            </w:pPr>
          </w:p>
          <w:p w14:paraId="29C0C711">
            <w:pPr>
              <w:rPr>
                <w:rFonts w:hint="eastAsia"/>
                <w:bCs/>
                <w:color w:val="auto"/>
                <w:sz w:val="24"/>
                <w:szCs w:val="24"/>
                <w:lang w:eastAsia="zh-CN"/>
              </w:rPr>
            </w:pPr>
          </w:p>
          <w:p w14:paraId="3A7D17C9">
            <w:pPr>
              <w:pStyle w:val="3"/>
              <w:rPr>
                <w:rFonts w:hint="eastAsia"/>
                <w:bCs/>
                <w:color w:val="auto"/>
                <w:sz w:val="24"/>
                <w:szCs w:val="24"/>
                <w:lang w:eastAsia="zh-CN"/>
              </w:rPr>
            </w:pPr>
          </w:p>
          <w:p w14:paraId="33974DCD">
            <w:pPr>
              <w:rPr>
                <w:rFonts w:hint="eastAsia"/>
                <w:bCs/>
                <w:color w:val="auto"/>
                <w:sz w:val="24"/>
                <w:szCs w:val="24"/>
                <w:lang w:eastAsia="zh-CN"/>
              </w:rPr>
            </w:pPr>
          </w:p>
          <w:p w14:paraId="36996A7C">
            <w:pPr>
              <w:rPr>
                <w:rFonts w:hint="eastAsia"/>
                <w:bCs/>
                <w:color w:val="auto"/>
                <w:sz w:val="24"/>
                <w:szCs w:val="24"/>
                <w:lang w:eastAsia="zh-CN"/>
              </w:rPr>
            </w:pPr>
          </w:p>
          <w:p w14:paraId="74BCAE26">
            <w:pPr>
              <w:rPr>
                <w:rFonts w:hint="eastAsia"/>
                <w:bCs/>
                <w:color w:val="auto"/>
                <w:sz w:val="24"/>
                <w:szCs w:val="24"/>
                <w:lang w:eastAsia="zh-CN"/>
              </w:rPr>
            </w:pPr>
          </w:p>
          <w:p w14:paraId="4F5AE3B8">
            <w:pPr>
              <w:rPr>
                <w:rFonts w:hint="eastAsia"/>
                <w:bCs/>
                <w:color w:val="auto"/>
                <w:sz w:val="24"/>
                <w:szCs w:val="24"/>
                <w:lang w:eastAsia="zh-CN"/>
              </w:rPr>
            </w:pPr>
          </w:p>
          <w:p w14:paraId="361F3C28">
            <w:pPr>
              <w:rPr>
                <w:rFonts w:hint="eastAsia"/>
                <w:bCs/>
                <w:color w:val="auto"/>
                <w:sz w:val="24"/>
                <w:szCs w:val="24"/>
                <w:lang w:eastAsia="zh-CN"/>
              </w:rPr>
            </w:pPr>
          </w:p>
          <w:p w14:paraId="0A0C8071">
            <w:pPr>
              <w:rPr>
                <w:rFonts w:hint="eastAsia"/>
                <w:bCs/>
                <w:color w:val="auto"/>
                <w:sz w:val="24"/>
                <w:szCs w:val="24"/>
                <w:lang w:eastAsia="zh-CN"/>
              </w:rPr>
            </w:pPr>
          </w:p>
          <w:p w14:paraId="44318785">
            <w:pPr>
              <w:rPr>
                <w:rFonts w:hint="eastAsia"/>
                <w:bCs/>
                <w:color w:val="auto"/>
                <w:sz w:val="24"/>
                <w:szCs w:val="24"/>
                <w:lang w:eastAsia="zh-CN"/>
              </w:rPr>
            </w:pPr>
          </w:p>
          <w:p w14:paraId="26DD9BEE">
            <w:pPr>
              <w:rPr>
                <w:rFonts w:hint="eastAsia"/>
                <w:bCs/>
                <w:color w:val="auto"/>
                <w:sz w:val="24"/>
                <w:szCs w:val="24"/>
                <w:lang w:eastAsia="zh-CN"/>
              </w:rPr>
            </w:pPr>
          </w:p>
          <w:p w14:paraId="34F2A03B">
            <w:pPr>
              <w:rPr>
                <w:rFonts w:hint="eastAsia"/>
                <w:bCs/>
                <w:color w:val="auto"/>
                <w:sz w:val="24"/>
                <w:szCs w:val="24"/>
                <w:lang w:eastAsia="zh-CN"/>
              </w:rPr>
            </w:pPr>
          </w:p>
          <w:p w14:paraId="3CD02665">
            <w:pPr>
              <w:pStyle w:val="3"/>
              <w:rPr>
                <w:rFonts w:hint="eastAsia"/>
                <w:bCs/>
                <w:color w:val="auto"/>
                <w:sz w:val="24"/>
                <w:szCs w:val="24"/>
                <w:lang w:eastAsia="zh-CN"/>
              </w:rPr>
            </w:pPr>
          </w:p>
          <w:p w14:paraId="7FA54A36">
            <w:pPr>
              <w:rPr>
                <w:rFonts w:hint="eastAsia"/>
                <w:bCs/>
                <w:color w:val="auto"/>
                <w:sz w:val="24"/>
                <w:szCs w:val="24"/>
                <w:lang w:eastAsia="zh-CN"/>
              </w:rPr>
            </w:pPr>
            <w:r>
              <w:drawing>
                <wp:inline distT="0" distB="0" distL="114300" distR="114300">
                  <wp:extent cx="5377180" cy="5566410"/>
                  <wp:effectExtent l="0" t="0" r="13970" b="1524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0"/>
                          <a:stretch>
                            <a:fillRect/>
                          </a:stretch>
                        </pic:blipFill>
                        <pic:spPr>
                          <a:xfrm>
                            <a:off x="0" y="0"/>
                            <a:ext cx="5377180" cy="5566410"/>
                          </a:xfrm>
                          <a:prstGeom prst="rect">
                            <a:avLst/>
                          </a:prstGeom>
                          <a:noFill/>
                          <a:ln>
                            <a:noFill/>
                          </a:ln>
                        </pic:spPr>
                      </pic:pic>
                    </a:graphicData>
                  </a:graphic>
                </wp:inline>
              </w:drawing>
            </w:r>
          </w:p>
          <w:p w14:paraId="66DEE2AB">
            <w:pPr>
              <w:adjustRightInd w:val="0"/>
              <w:snapToGrid w:val="0"/>
              <w:spacing w:line="360" w:lineRule="auto"/>
              <w:ind w:firstLine="482" w:firstLineChars="200"/>
              <w:jc w:val="center"/>
              <w:rPr>
                <w:rFonts w:hint="eastAsia"/>
                <w:b/>
                <w:bCs w:val="0"/>
                <w:color w:val="auto"/>
                <w:sz w:val="24"/>
                <w:szCs w:val="24"/>
                <w:lang w:val="en-US" w:eastAsia="zh-CN"/>
              </w:rPr>
            </w:pPr>
            <w:r>
              <w:rPr>
                <w:rFonts w:hint="eastAsia"/>
                <w:b/>
                <w:bCs w:val="0"/>
                <w:color w:val="auto"/>
                <w:sz w:val="24"/>
                <w:szCs w:val="24"/>
                <w:lang w:eastAsia="zh-CN"/>
              </w:rPr>
              <w:t>图</w:t>
            </w:r>
            <w:r>
              <w:rPr>
                <w:rFonts w:hint="eastAsia"/>
                <w:b/>
                <w:bCs w:val="0"/>
                <w:color w:val="auto"/>
                <w:sz w:val="24"/>
                <w:szCs w:val="24"/>
                <w:lang w:val="en-US" w:eastAsia="zh-CN"/>
              </w:rPr>
              <w:t>2-2  功能布置图</w:t>
            </w:r>
          </w:p>
          <w:p w14:paraId="48C38548">
            <w:pPr>
              <w:adjustRightInd w:val="0"/>
              <w:snapToGrid w:val="0"/>
              <w:spacing w:line="360" w:lineRule="auto"/>
              <w:ind w:firstLine="482" w:firstLineChars="200"/>
              <w:jc w:val="center"/>
              <w:rPr>
                <w:rFonts w:hint="eastAsia"/>
                <w:b/>
                <w:bCs w:val="0"/>
                <w:color w:val="auto"/>
                <w:sz w:val="24"/>
                <w:szCs w:val="24"/>
                <w:lang w:val="en-US" w:eastAsia="zh-CN"/>
              </w:rPr>
            </w:pPr>
          </w:p>
          <w:p w14:paraId="5AABFAD0">
            <w:pPr>
              <w:pStyle w:val="3"/>
              <w:rPr>
                <w:rFonts w:hint="eastAsia"/>
                <w:b/>
                <w:bCs w:val="0"/>
                <w:color w:val="auto"/>
                <w:sz w:val="24"/>
                <w:szCs w:val="24"/>
                <w:lang w:val="en-US" w:eastAsia="zh-CN"/>
              </w:rPr>
            </w:pPr>
          </w:p>
          <w:p w14:paraId="4BF4B52F">
            <w:pPr>
              <w:rPr>
                <w:rFonts w:hint="eastAsia"/>
                <w:b/>
                <w:bCs w:val="0"/>
                <w:color w:val="auto"/>
                <w:sz w:val="24"/>
                <w:szCs w:val="24"/>
                <w:lang w:val="en-US" w:eastAsia="zh-CN"/>
              </w:rPr>
            </w:pPr>
          </w:p>
          <w:p w14:paraId="1CC1CC63">
            <w:pPr>
              <w:pStyle w:val="3"/>
              <w:rPr>
                <w:rFonts w:hint="eastAsia"/>
                <w:b/>
                <w:bCs w:val="0"/>
                <w:color w:val="auto"/>
                <w:sz w:val="24"/>
                <w:szCs w:val="24"/>
                <w:lang w:val="en-US" w:eastAsia="zh-CN"/>
              </w:rPr>
            </w:pPr>
          </w:p>
          <w:p w14:paraId="262FAAA4">
            <w:pPr>
              <w:rPr>
                <w:rFonts w:hint="eastAsia"/>
                <w:b/>
                <w:bCs w:val="0"/>
                <w:color w:val="auto"/>
                <w:sz w:val="24"/>
                <w:szCs w:val="24"/>
                <w:lang w:val="en-US" w:eastAsia="zh-CN"/>
              </w:rPr>
            </w:pPr>
          </w:p>
          <w:p w14:paraId="39F2F4F7">
            <w:pPr>
              <w:pStyle w:val="3"/>
              <w:rPr>
                <w:rFonts w:hint="eastAsia"/>
                <w:b/>
                <w:bCs w:val="0"/>
                <w:color w:val="auto"/>
                <w:sz w:val="24"/>
                <w:szCs w:val="24"/>
                <w:lang w:val="en-US" w:eastAsia="zh-CN"/>
              </w:rPr>
            </w:pPr>
          </w:p>
          <w:p w14:paraId="3A64BEE8">
            <w:pPr>
              <w:rPr>
                <w:rFonts w:hint="eastAsia"/>
                <w:b/>
                <w:bCs w:val="0"/>
                <w:color w:val="auto"/>
                <w:sz w:val="24"/>
                <w:szCs w:val="24"/>
                <w:lang w:val="en-US" w:eastAsia="zh-CN"/>
              </w:rPr>
            </w:pPr>
          </w:p>
          <w:p w14:paraId="5076A3C3">
            <w:pPr>
              <w:pStyle w:val="3"/>
              <w:rPr>
                <w:rFonts w:hint="eastAsia"/>
                <w:b/>
                <w:bCs w:val="0"/>
                <w:color w:val="auto"/>
                <w:sz w:val="24"/>
                <w:szCs w:val="24"/>
                <w:lang w:val="en-US" w:eastAsia="zh-CN"/>
              </w:rPr>
            </w:pPr>
          </w:p>
          <w:p w14:paraId="54D6E05F">
            <w:pPr>
              <w:rPr>
                <w:rFonts w:hint="eastAsia"/>
                <w:b/>
                <w:bCs w:val="0"/>
                <w:color w:val="auto"/>
                <w:sz w:val="24"/>
                <w:szCs w:val="24"/>
                <w:lang w:val="en-US" w:eastAsia="zh-CN"/>
              </w:rPr>
            </w:pPr>
          </w:p>
          <w:p w14:paraId="643DEEB6">
            <w:pPr>
              <w:pStyle w:val="3"/>
              <w:rPr>
                <w:rFonts w:hint="eastAsia"/>
                <w:b/>
                <w:bCs w:val="0"/>
                <w:color w:val="auto"/>
                <w:sz w:val="24"/>
                <w:szCs w:val="24"/>
                <w:lang w:val="en-US" w:eastAsia="zh-CN"/>
              </w:rPr>
            </w:pPr>
          </w:p>
          <w:p w14:paraId="434A8CA8">
            <w:pPr>
              <w:rPr>
                <w:rFonts w:hint="eastAsia"/>
                <w:b/>
                <w:bCs w:val="0"/>
                <w:color w:val="auto"/>
                <w:sz w:val="24"/>
                <w:szCs w:val="24"/>
                <w:lang w:val="en-US" w:eastAsia="zh-CN"/>
              </w:rPr>
            </w:pPr>
          </w:p>
          <w:p w14:paraId="67B6BE8B">
            <w:pPr>
              <w:pStyle w:val="27"/>
              <w:rPr>
                <w:rFonts w:hint="eastAsia"/>
                <w:b/>
                <w:bCs w:val="0"/>
                <w:color w:val="auto"/>
                <w:sz w:val="24"/>
                <w:szCs w:val="24"/>
                <w:lang w:val="en-US" w:eastAsia="zh-CN"/>
              </w:rPr>
            </w:pPr>
          </w:p>
          <w:p w14:paraId="114DCD8C">
            <w:pPr>
              <w:rPr>
                <w:rFonts w:hint="eastAsia"/>
                <w:b/>
                <w:bCs w:val="0"/>
                <w:color w:val="auto"/>
                <w:sz w:val="24"/>
                <w:szCs w:val="24"/>
                <w:lang w:val="en-US" w:eastAsia="zh-CN"/>
              </w:rPr>
            </w:pPr>
          </w:p>
          <w:p w14:paraId="37D40166">
            <w:pPr>
              <w:pStyle w:val="27"/>
              <w:rPr>
                <w:rFonts w:hint="eastAsia"/>
                <w:lang w:val="en-US" w:eastAsia="zh-CN"/>
              </w:rPr>
            </w:pPr>
          </w:p>
          <w:p w14:paraId="35A89ED5">
            <w:pPr>
              <w:rPr>
                <w:rFonts w:hint="eastAsia"/>
                <w:color w:val="auto"/>
                <w:lang w:val="en-US" w:eastAsia="zh-CN"/>
              </w:rPr>
            </w:pPr>
            <w:r>
              <w:drawing>
                <wp:inline distT="0" distB="0" distL="114300" distR="114300">
                  <wp:extent cx="5372735" cy="5928360"/>
                  <wp:effectExtent l="0" t="0" r="18415" b="1524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1"/>
                          <a:stretch>
                            <a:fillRect/>
                          </a:stretch>
                        </pic:blipFill>
                        <pic:spPr>
                          <a:xfrm>
                            <a:off x="0" y="0"/>
                            <a:ext cx="5372735" cy="5928360"/>
                          </a:xfrm>
                          <a:prstGeom prst="rect">
                            <a:avLst/>
                          </a:prstGeom>
                          <a:noFill/>
                          <a:ln>
                            <a:noFill/>
                          </a:ln>
                        </pic:spPr>
                      </pic:pic>
                    </a:graphicData>
                  </a:graphic>
                </wp:inline>
              </w:drawing>
            </w:r>
          </w:p>
          <w:p w14:paraId="2D0B74D8">
            <w:pPr>
              <w:keepNext w:val="0"/>
              <w:keepLines w:val="0"/>
              <w:pageBreakBefore w:val="0"/>
              <w:widowControl w:val="0"/>
              <w:kinsoku/>
              <w:wordWrap/>
              <w:overflowPunct/>
              <w:topLinePunct w:val="0"/>
              <w:autoSpaceDE/>
              <w:autoSpaceDN/>
              <w:bidi w:val="0"/>
              <w:adjustRightInd/>
              <w:snapToGrid/>
              <w:spacing w:line="360" w:lineRule="auto"/>
              <w:ind w:firstLine="3132" w:firstLineChars="1300"/>
              <w:jc w:val="both"/>
              <w:textAlignment w:val="auto"/>
              <w:rPr>
                <w:rFonts w:hint="default" w:ascii="宋体" w:hAnsi="宋体" w:eastAsia="宋体" w:cs="宋体"/>
                <w:bCs/>
                <w:color w:val="auto"/>
                <w:szCs w:val="21"/>
                <w:lang w:val="en-US" w:eastAsia="zh-CN"/>
              </w:rPr>
            </w:pPr>
            <w:r>
              <w:rPr>
                <w:rFonts w:hint="eastAsia"/>
                <w:b/>
                <w:bCs/>
                <w:color w:val="auto"/>
                <w:sz w:val="24"/>
                <w:szCs w:val="24"/>
                <w:lang w:val="en-US" w:eastAsia="zh-CN"/>
              </w:rPr>
              <w:t>图2-3 总平面布置图</w:t>
            </w:r>
          </w:p>
        </w:tc>
      </w:tr>
      <w:tr w14:paraId="689229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234" w:type="pct"/>
            <w:vAlign w:val="center"/>
          </w:tcPr>
          <w:p w14:paraId="3CC37883">
            <w:pPr>
              <w:pStyle w:val="29"/>
              <w:adjustRightInd w:val="0"/>
              <w:snapToGrid w:val="0"/>
              <w:spacing w:before="0" w:beforeAutospacing="0" w:after="0" w:afterAutospacing="0"/>
              <w:jc w:val="center"/>
              <w:rPr>
                <w:rFonts w:hint="eastAsia" w:cs="宋体"/>
                <w:color w:val="auto"/>
                <w:sz w:val="21"/>
                <w:szCs w:val="21"/>
              </w:rPr>
            </w:pPr>
            <w:r>
              <w:rPr>
                <w:rFonts w:hint="eastAsia" w:cs="宋体"/>
                <w:color w:val="auto"/>
                <w:sz w:val="21"/>
                <w:szCs w:val="21"/>
              </w:rPr>
              <w:t>工艺流程和产排污环节</w:t>
            </w:r>
          </w:p>
        </w:tc>
        <w:tc>
          <w:tcPr>
            <w:tcW w:w="4765" w:type="pct"/>
          </w:tcPr>
          <w:p w14:paraId="6991AAC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630" w:leftChars="0"/>
              <w:textAlignment w:val="auto"/>
              <w:rPr>
                <w:rFonts w:hint="default"/>
                <w:b/>
                <w:bCs/>
                <w:color w:val="auto"/>
                <w:sz w:val="24"/>
                <w:szCs w:val="24"/>
                <w:lang w:eastAsia="zh-CN"/>
              </w:rPr>
            </w:pPr>
            <w:r>
              <w:rPr>
                <w:rFonts w:hint="eastAsia"/>
                <w:b/>
                <w:bCs/>
                <w:color w:val="auto"/>
                <w:sz w:val="24"/>
                <w:szCs w:val="24"/>
                <w:lang w:eastAsia="zh-CN"/>
              </w:rPr>
              <w:t>一、</w:t>
            </w:r>
            <w:r>
              <w:rPr>
                <w:b/>
                <w:bCs/>
                <w:color w:val="auto"/>
                <w:sz w:val="24"/>
                <w:szCs w:val="24"/>
              </w:rPr>
              <w:t>施工期工艺流程</w:t>
            </w:r>
            <w:r>
              <w:rPr>
                <w:rFonts w:hint="default"/>
                <w:b/>
                <w:bCs/>
                <w:color w:val="auto"/>
                <w:sz w:val="24"/>
                <w:szCs w:val="24"/>
                <w:lang w:eastAsia="zh-CN"/>
              </w:rPr>
              <w:t>及产污环节</w:t>
            </w:r>
          </w:p>
          <w:p w14:paraId="5BC39252">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1、施工期工艺流程</w:t>
            </w:r>
          </w:p>
          <w:p w14:paraId="3578E259">
            <w:pPr>
              <w:spacing w:line="360" w:lineRule="auto"/>
              <w:ind w:firstLine="480" w:firstLineChars="200"/>
              <w:rPr>
                <w:rFonts w:hint="eastAsia"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本项目施工期建设内容包括租赁厂区原有建筑改造及空地场地平整、设备安装。主要工程为主体工程、设备安装，施工期工艺流程及产污环节见下图</w:t>
            </w:r>
            <w:r>
              <w:rPr>
                <w:rFonts w:hint="eastAsia" w:cs="Times New Roman"/>
                <w:color w:val="auto"/>
                <w:sz w:val="24"/>
                <w:szCs w:val="24"/>
                <w:highlight w:val="none"/>
                <w:lang w:val="en-US" w:eastAsia="zh-CN"/>
              </w:rPr>
              <w:t>。</w:t>
            </w:r>
          </w:p>
          <w:p w14:paraId="0FDFB985">
            <w:pPr>
              <w:spacing w:line="360" w:lineRule="auto"/>
              <w:ind w:firstLine="480" w:firstLineChars="200"/>
              <w:rPr>
                <w:rFonts w:hint="eastAsia" w:cs="Times New Roman"/>
                <w:color w:val="auto"/>
                <w:sz w:val="24"/>
                <w:szCs w:val="24"/>
                <w:highlight w:val="none"/>
                <w:lang w:val="en-US" w:eastAsia="zh-CN"/>
              </w:rPr>
            </w:pPr>
          </w:p>
          <w:p w14:paraId="065186D2">
            <w:pPr>
              <w:spacing w:line="360" w:lineRule="auto"/>
              <w:ind w:firstLine="480" w:firstLineChars="200"/>
              <w:rPr>
                <w:rFonts w:hint="eastAsia" w:cs="Times New Roman"/>
                <w:color w:val="auto"/>
                <w:sz w:val="24"/>
                <w:szCs w:val="24"/>
                <w:highlight w:val="none"/>
                <w:lang w:val="en-US" w:eastAsia="zh-CN"/>
              </w:rPr>
            </w:pPr>
          </w:p>
          <w:p w14:paraId="6E4FF343">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p>
          <w:p w14:paraId="056A3677">
            <w:pPr>
              <w:bidi w:val="0"/>
              <w:rPr>
                <w:rFonts w:hint="default"/>
              </w:rPr>
            </w:pPr>
            <w:r>
              <w:rPr>
                <w:rFonts w:hint="default"/>
              </w:rPr>
              <w:drawing>
                <wp:inline distT="0" distB="0" distL="114300" distR="114300">
                  <wp:extent cx="5441950" cy="2156460"/>
                  <wp:effectExtent l="0" t="0" r="6350" b="15240"/>
                  <wp:docPr id="38" name="图片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descr="333"/>
                          <pic:cNvPicPr>
                            <a:picLocks noChangeAspect="1"/>
                          </pic:cNvPicPr>
                        </pic:nvPicPr>
                        <pic:blipFill>
                          <a:blip r:embed="rId12"/>
                          <a:stretch>
                            <a:fillRect/>
                          </a:stretch>
                        </pic:blipFill>
                        <pic:spPr>
                          <a:xfrm>
                            <a:off x="0" y="0"/>
                            <a:ext cx="5441950" cy="2156460"/>
                          </a:xfrm>
                          <a:prstGeom prst="rect">
                            <a:avLst/>
                          </a:prstGeom>
                          <a:noFill/>
                          <a:ln>
                            <a:noFill/>
                          </a:ln>
                        </pic:spPr>
                      </pic:pic>
                    </a:graphicData>
                  </a:graphic>
                </wp:inline>
              </w:drawing>
            </w:r>
          </w:p>
          <w:p w14:paraId="22D2D50C">
            <w:pPr>
              <w:keepNext w:val="0"/>
              <w:keepLines w:val="0"/>
              <w:pageBreakBefore w:val="0"/>
              <w:widowControl w:val="0"/>
              <w:tabs>
                <w:tab w:val="center" w:pos="419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图2-</w:t>
            </w:r>
            <w:r>
              <w:rPr>
                <w:rFonts w:hint="eastAsia" w:cs="Times New Roman"/>
                <w:b/>
                <w:bCs/>
                <w:color w:val="auto"/>
                <w:sz w:val="24"/>
                <w:szCs w:val="24"/>
                <w:highlight w:val="none"/>
                <w:lang w:val="en-US" w:eastAsia="zh-CN"/>
              </w:rPr>
              <w:t xml:space="preserve">4  </w:t>
            </w:r>
            <w:r>
              <w:rPr>
                <w:rFonts w:hint="default" w:ascii="Times New Roman" w:hAnsi="Times New Roman" w:eastAsia="宋体" w:cs="Times New Roman"/>
                <w:b/>
                <w:bCs/>
                <w:color w:val="auto"/>
                <w:sz w:val="24"/>
                <w:szCs w:val="24"/>
                <w:highlight w:val="none"/>
                <w:lang w:val="en-US" w:eastAsia="zh-CN"/>
              </w:rPr>
              <w:t xml:space="preserve"> 施工期污染工序及产污流程图</w:t>
            </w:r>
          </w:p>
          <w:p w14:paraId="1DA8390E">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（1）施工扬尘</w:t>
            </w:r>
            <w:r>
              <w:rPr>
                <w:rFonts w:hint="eastAsia" w:ascii="Times New Roman" w:hAnsi="Times New Roman" w:eastAsia="宋体" w:cs="Times New Roman"/>
                <w:color w:val="auto"/>
                <w:sz w:val="24"/>
                <w:lang w:eastAsia="zh-CN"/>
              </w:rPr>
              <w:t>防治措施</w:t>
            </w:r>
          </w:p>
          <w:p w14:paraId="498585AC">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根据《陕西省大气污染防治条例》、《陕西省建筑施工扬尘治理行动方案》和《陕西省建筑施工扬尘治理措施16条》等文件要求，结合项目施工期特点，本评价提出施工扬尘污染防治措施如下：</w:t>
            </w:r>
          </w:p>
          <w:p w14:paraId="2B8A5202">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①建筑工地严格执行工地周围围挡、物料堆放覆盖、土石方湿法作业、路面硬化、出入车辆清洗、渣土车辆密闭运输“六个百分之百”。</w:t>
            </w:r>
          </w:p>
          <w:p w14:paraId="0B2C1D0D">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②在施工作业带范围内进行有效洒水抑尘作业，减轻施工扬尘的起尘量；</w:t>
            </w:r>
          </w:p>
          <w:p w14:paraId="071D67CE">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③对可洒水物料进行表面洒水增湿，不可洒水物料进行防尘网膜覆盖，平稳物料装卸操作；</w:t>
            </w:r>
          </w:p>
          <w:p w14:paraId="0B675321">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④施工中要作到分段施工，合理安排施工进度，提高工程施工效率，缩短施工时间，同时采取边铺设管道边分层覆土的措施，减少裸地的暴露时间。</w:t>
            </w:r>
          </w:p>
          <w:p w14:paraId="2541A2E7">
            <w:pPr>
              <w:adjustRightInd w:val="0"/>
              <w:snapToGrid w:val="0"/>
              <w:spacing w:line="360" w:lineRule="auto"/>
              <w:ind w:firstLine="480" w:firstLineChars="200"/>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val="en-US" w:eastAsia="zh-CN"/>
              </w:rPr>
              <w:t>经过采取以上措施，施工扬尘可控制在《施工场界扬尘排放限值》（DB61/1078-2017）表1中施工场界扬尘（总悬浮颗粒物）浓度限值之内。</w:t>
            </w:r>
          </w:p>
          <w:p w14:paraId="6E327B46">
            <w:pPr>
              <w:adjustRightInd w:val="0"/>
              <w:snapToGrid w:val="0"/>
              <w:spacing w:line="360" w:lineRule="auto"/>
              <w:ind w:firstLine="480" w:firstLineChars="200"/>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2</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rPr>
              <w:t>施工期废水环境影响和保护措施</w:t>
            </w:r>
          </w:p>
          <w:p w14:paraId="6E678549">
            <w:pPr>
              <w:adjustRightInd w:val="0"/>
              <w:snapToGrid w:val="0"/>
              <w:spacing w:line="360" w:lineRule="auto"/>
              <w:ind w:firstLine="480" w:firstLineChars="200"/>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rPr>
              <w:t>本项目施工期主要是施工人员的生活污水</w:t>
            </w:r>
            <w:r>
              <w:rPr>
                <w:rFonts w:hint="eastAsia" w:cs="Times New Roman"/>
                <w:color w:val="auto"/>
                <w:sz w:val="24"/>
                <w:lang w:eastAsia="zh-CN"/>
              </w:rPr>
              <w:t>，施工生活污水主要为职工盥洗水，水质简单，水量小，泼洒抑尘</w:t>
            </w:r>
            <w:r>
              <w:rPr>
                <w:rFonts w:hint="eastAsia" w:ascii="Times New Roman" w:hAnsi="Times New Roman" w:eastAsia="宋体" w:cs="Times New Roman"/>
                <w:color w:val="auto"/>
                <w:sz w:val="24"/>
              </w:rPr>
              <w:t>，对周边环境影响较小，</w:t>
            </w:r>
            <w:r>
              <w:rPr>
                <w:rFonts w:hint="eastAsia" w:cs="Times New Roman"/>
                <w:color w:val="auto"/>
                <w:sz w:val="24"/>
                <w:lang w:eastAsia="zh-CN"/>
              </w:rPr>
              <w:t>同时设置防渗</w:t>
            </w:r>
            <w:r>
              <w:rPr>
                <w:rFonts w:hint="eastAsia" w:ascii="Times New Roman" w:hAnsi="Times New Roman" w:eastAsia="宋体" w:cs="Times New Roman"/>
                <w:color w:val="auto"/>
                <w:sz w:val="24"/>
              </w:rPr>
              <w:t>旱厕</w:t>
            </w:r>
            <w:r>
              <w:rPr>
                <w:rFonts w:hint="eastAsia" w:cs="Times New Roman"/>
                <w:color w:val="auto"/>
                <w:sz w:val="24"/>
                <w:lang w:eastAsia="zh-CN"/>
              </w:rPr>
              <w:t>，及时</w:t>
            </w:r>
            <w:r>
              <w:rPr>
                <w:rFonts w:hint="eastAsia" w:ascii="Times New Roman" w:hAnsi="Times New Roman" w:eastAsia="宋体" w:cs="Times New Roman"/>
                <w:color w:val="auto"/>
                <w:sz w:val="24"/>
              </w:rPr>
              <w:t>清掏</w:t>
            </w:r>
            <w:r>
              <w:rPr>
                <w:rFonts w:hint="eastAsia" w:cs="Times New Roman"/>
                <w:color w:val="auto"/>
                <w:sz w:val="24"/>
                <w:lang w:eastAsia="zh-CN"/>
              </w:rPr>
              <w:t>用作农肥</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rPr>
              <w:t>且随施工期的结束而消失。</w:t>
            </w:r>
          </w:p>
          <w:p w14:paraId="60238106">
            <w:pPr>
              <w:adjustRightInd w:val="0"/>
              <w:snapToGrid w:val="0"/>
              <w:spacing w:line="360" w:lineRule="auto"/>
              <w:ind w:firstLine="480" w:firstLineChars="200"/>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3</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rPr>
              <w:t>施工期噪声环境影响和保护措施</w:t>
            </w:r>
          </w:p>
          <w:p w14:paraId="47E2D634">
            <w:pPr>
              <w:adjustRightInd w:val="0"/>
              <w:snapToGrid w:val="0"/>
              <w:spacing w:line="360" w:lineRule="auto"/>
              <w:ind w:firstLine="480" w:firstLineChars="200"/>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rPr>
              <w:t>本项目施工期主要</w:t>
            </w:r>
            <w:r>
              <w:rPr>
                <w:rFonts w:hint="eastAsia" w:cs="Times New Roman"/>
                <w:color w:val="auto"/>
                <w:sz w:val="24"/>
                <w:lang w:eastAsia="zh-CN"/>
              </w:rPr>
              <w:t>为主体工程和辅助工程等建设</w:t>
            </w:r>
            <w:r>
              <w:rPr>
                <w:rFonts w:hint="eastAsia" w:ascii="Times New Roman" w:hAnsi="Times New Roman" w:eastAsia="宋体" w:cs="Times New Roman"/>
                <w:color w:val="auto"/>
                <w:sz w:val="24"/>
              </w:rPr>
              <w:t>，为尽量减少施工噪声对周围环境的影响，评价要求夜间停止施工，选用低噪设备施工。在采取措施并经距离衰减后，施工噪声对周边环境影响较小，且随施工期的结束而消失。</w:t>
            </w:r>
          </w:p>
          <w:p w14:paraId="10147B14">
            <w:pPr>
              <w:adjustRightInd w:val="0"/>
              <w:snapToGrid w:val="0"/>
              <w:spacing w:line="360" w:lineRule="auto"/>
              <w:ind w:firstLine="480" w:firstLineChars="200"/>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4</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rPr>
              <w:t>施工期固体废物环境影响和保护措施</w:t>
            </w:r>
          </w:p>
          <w:p w14:paraId="0DBDFDC0">
            <w:pPr>
              <w:pStyle w:val="98"/>
              <w:ind w:firstLine="480"/>
              <w:rPr>
                <w:rFonts w:hint="eastAsia" w:ascii="Times New Roman" w:hAnsi="Times New Roman" w:cs="Times New Roman"/>
                <w:color w:val="auto"/>
                <w:sz w:val="24"/>
                <w:lang w:eastAsia="zh-CN"/>
              </w:rPr>
            </w:pPr>
            <w:r>
              <w:rPr>
                <w:rFonts w:hint="eastAsia" w:ascii="Times New Roman" w:hAnsi="Times New Roman" w:eastAsia="宋体" w:cs="Times New Roman"/>
                <w:color w:val="auto"/>
                <w:sz w:val="24"/>
              </w:rPr>
              <w:t>本项目施工期的固体废物主要包括设备的废弃包装物和施工人员的生活垃圾等。废弃包装物统一收集后外售给废品回收站；施工人员的生活垃圾利用袋装、垃圾桶等收集后统一由环卫部门处理。在采取以上措施后，施工期固体废物对周边环境影响较小，且随着施工期的结束而消失</w:t>
            </w:r>
            <w:r>
              <w:rPr>
                <w:rFonts w:hint="eastAsia" w:ascii="Times New Roman" w:hAnsi="Times New Roman" w:cs="Times New Roman"/>
                <w:color w:val="auto"/>
                <w:sz w:val="24"/>
                <w:lang w:eastAsia="zh-CN"/>
              </w:rPr>
              <w:t>。</w:t>
            </w:r>
          </w:p>
          <w:p w14:paraId="0D451625">
            <w:pPr>
              <w:kinsoku/>
              <w:spacing w:line="360" w:lineRule="auto"/>
              <w:ind w:left="525" w:leftChars="250" w:right="105" w:rightChars="50"/>
              <w:jc w:val="both"/>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2、施工期</w:t>
            </w:r>
            <w:r>
              <w:rPr>
                <w:rFonts w:hint="eastAsia" w:ascii="Times New Roman" w:hAnsi="Times New Roman" w:eastAsia="宋体" w:cs="Times New Roman"/>
                <w:color w:val="auto"/>
                <w:sz w:val="24"/>
                <w:szCs w:val="24"/>
              </w:rPr>
              <w:t>产排污环节</w:t>
            </w:r>
          </w:p>
          <w:p w14:paraId="21326683">
            <w:pPr>
              <w:kinsoku/>
              <w:spacing w:line="360" w:lineRule="auto"/>
              <w:ind w:left="105" w:leftChars="50" w:right="105" w:rightChars="50" w:firstLine="480" w:firstLineChars="200"/>
              <w:jc w:val="both"/>
              <w:rPr>
                <w:rFonts w:ascii="Times New Roman" w:hAnsi="Times New Roman" w:eastAsia="宋体" w:cs="Times New Roman"/>
                <w:color w:val="auto"/>
              </w:rPr>
            </w:pPr>
            <w:r>
              <w:rPr>
                <w:rFonts w:hint="eastAsia" w:ascii="Times New Roman" w:hAnsi="Times New Roman" w:eastAsia="宋体" w:cs="Times New Roman"/>
                <w:color w:val="auto"/>
                <w:sz w:val="24"/>
                <w:szCs w:val="24"/>
              </w:rPr>
              <w:t>本项目施工期无混凝土用料，不涉及混凝土养护等施工废水，施工期废水主要为生活污水。</w:t>
            </w:r>
            <w:r>
              <w:rPr>
                <w:rFonts w:ascii="Times New Roman" w:hAnsi="Times New Roman" w:eastAsia="宋体" w:cs="Times New Roman"/>
                <w:color w:val="auto"/>
                <w:sz w:val="24"/>
                <w:szCs w:val="24"/>
              </w:rPr>
              <w:t>本项目施工期污染物产生和排放情况见表</w:t>
            </w:r>
            <w:r>
              <w:rPr>
                <w:rFonts w:hint="eastAsia" w:ascii="Times New Roman" w:hAnsi="Times New Roman" w:eastAsia="宋体" w:cs="Times New Roman"/>
                <w:color w:val="auto"/>
                <w:sz w:val="24"/>
                <w:szCs w:val="24"/>
                <w:lang w:val="en-US" w:eastAsia="zh-CN"/>
              </w:rPr>
              <w:t>2-</w:t>
            </w:r>
            <w:r>
              <w:rPr>
                <w:rFonts w:hint="eastAsia" w:cs="Times New Roman"/>
                <w:color w:val="auto"/>
                <w:sz w:val="24"/>
                <w:szCs w:val="24"/>
                <w:lang w:val="en-US" w:eastAsia="zh-CN"/>
              </w:rPr>
              <w:t>4</w:t>
            </w:r>
            <w:r>
              <w:rPr>
                <w:rFonts w:ascii="Times New Roman" w:hAnsi="Times New Roman" w:eastAsia="宋体" w:cs="Times New Roman"/>
                <w:color w:val="auto"/>
                <w:sz w:val="24"/>
                <w:szCs w:val="24"/>
              </w:rPr>
              <w:t>。</w:t>
            </w:r>
          </w:p>
          <w:p w14:paraId="2D86150A">
            <w:pPr>
              <w:pStyle w:val="67"/>
              <w:jc w:val="center"/>
              <w:rPr>
                <w:rFonts w:ascii="Times New Roman" w:cs="Times New Roman"/>
                <w:b/>
                <w:bCs/>
                <w:color w:val="auto"/>
                <w:sz w:val="22"/>
                <w:szCs w:val="22"/>
              </w:rPr>
            </w:pPr>
            <w:r>
              <w:rPr>
                <w:rFonts w:ascii="Times New Roman" w:cs="Times New Roman"/>
                <w:b/>
                <w:bCs/>
                <w:color w:val="auto"/>
                <w:sz w:val="22"/>
                <w:szCs w:val="22"/>
              </w:rPr>
              <w:t>表2-</w:t>
            </w:r>
            <w:r>
              <w:rPr>
                <w:rFonts w:hint="eastAsia" w:ascii="Times New Roman" w:cs="Times New Roman"/>
                <w:b/>
                <w:bCs/>
                <w:color w:val="auto"/>
                <w:sz w:val="22"/>
                <w:szCs w:val="22"/>
                <w:lang w:val="en-US" w:eastAsia="zh-CN"/>
              </w:rPr>
              <w:t>4</w:t>
            </w:r>
            <w:r>
              <w:rPr>
                <w:rFonts w:ascii="Times New Roman" w:cs="Times New Roman"/>
                <w:b/>
                <w:bCs/>
                <w:color w:val="auto"/>
                <w:sz w:val="22"/>
                <w:szCs w:val="22"/>
              </w:rPr>
              <w:t xml:space="preserve">   项目施工期环境影响因素一览</w:t>
            </w:r>
          </w:p>
          <w:tbl>
            <w:tblPr>
              <w:tblStyle w:val="32"/>
              <w:tblW w:w="4896"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0" w:type="dxa"/>
                <w:bottom w:w="0" w:type="dxa"/>
                <w:right w:w="0" w:type="dxa"/>
              </w:tblCellMar>
            </w:tblPr>
            <w:tblGrid>
              <w:gridCol w:w="798"/>
              <w:gridCol w:w="1581"/>
              <w:gridCol w:w="1362"/>
              <w:gridCol w:w="1974"/>
              <w:gridCol w:w="2512"/>
            </w:tblGrid>
            <w:tr w14:paraId="6E1E51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96" w:hRule="atLeast"/>
                <w:jc w:val="center"/>
              </w:trPr>
              <w:tc>
                <w:tcPr>
                  <w:tcW w:w="485" w:type="pct"/>
                  <w:noWrap w:val="0"/>
                  <w:vAlign w:val="center"/>
                </w:tcPr>
                <w:p w14:paraId="1D9A1360">
                  <w:pPr>
                    <w:widowControl w:val="0"/>
                    <w:overflowPunct w:val="0"/>
                    <w:adjustRightInd/>
                    <w:snapToGrid/>
                    <w:jc w:val="center"/>
                    <w:textAlignment w:val="auto"/>
                    <w:rPr>
                      <w:rFonts w:ascii="Times New Roman" w:hAnsi="Times New Roman" w:cs="Times New Roman"/>
                      <w:b/>
                      <w:bCs/>
                      <w:color w:val="auto"/>
                    </w:rPr>
                  </w:pPr>
                  <w:r>
                    <w:rPr>
                      <w:rFonts w:ascii="Times New Roman" w:hAnsi="Times New Roman" w:cs="Times New Roman"/>
                      <w:b/>
                      <w:bCs/>
                      <w:color w:val="auto"/>
                    </w:rPr>
                    <w:t>类别</w:t>
                  </w:r>
                </w:p>
              </w:tc>
              <w:tc>
                <w:tcPr>
                  <w:tcW w:w="960" w:type="pct"/>
                  <w:noWrap w:val="0"/>
                  <w:vAlign w:val="center"/>
                </w:tcPr>
                <w:p w14:paraId="19E981E4">
                  <w:pPr>
                    <w:widowControl w:val="0"/>
                    <w:overflowPunct w:val="0"/>
                    <w:adjustRightInd/>
                    <w:snapToGrid/>
                    <w:jc w:val="center"/>
                    <w:textAlignment w:val="auto"/>
                    <w:rPr>
                      <w:rFonts w:ascii="Times New Roman" w:hAnsi="Times New Roman" w:cs="Times New Roman"/>
                      <w:b/>
                      <w:bCs/>
                      <w:color w:val="auto"/>
                    </w:rPr>
                  </w:pPr>
                  <w:r>
                    <w:rPr>
                      <w:rFonts w:ascii="Times New Roman" w:hAnsi="Times New Roman" w:cs="Times New Roman"/>
                      <w:b/>
                      <w:bCs/>
                      <w:color w:val="auto"/>
                      <w:lang w:eastAsia="en-US"/>
                    </w:rPr>
                    <w:t>产生</w:t>
                  </w:r>
                  <w:r>
                    <w:rPr>
                      <w:rFonts w:ascii="Times New Roman" w:hAnsi="Times New Roman" w:cs="Times New Roman"/>
                      <w:b/>
                      <w:bCs/>
                      <w:color w:val="auto"/>
                    </w:rPr>
                    <w:t>环节</w:t>
                  </w:r>
                </w:p>
              </w:tc>
              <w:tc>
                <w:tcPr>
                  <w:tcW w:w="827" w:type="pct"/>
                  <w:noWrap w:val="0"/>
                  <w:vAlign w:val="center"/>
                </w:tcPr>
                <w:p w14:paraId="79D37C39">
                  <w:pPr>
                    <w:widowControl w:val="0"/>
                    <w:overflowPunct w:val="0"/>
                    <w:adjustRightInd/>
                    <w:snapToGrid/>
                    <w:jc w:val="center"/>
                    <w:textAlignment w:val="auto"/>
                    <w:rPr>
                      <w:rFonts w:ascii="Times New Roman" w:hAnsi="Times New Roman" w:cs="Times New Roman"/>
                      <w:b/>
                      <w:bCs/>
                      <w:color w:val="auto"/>
                      <w:lang w:eastAsia="en-US"/>
                    </w:rPr>
                  </w:pPr>
                  <w:r>
                    <w:rPr>
                      <w:rFonts w:ascii="Times New Roman" w:hAnsi="Times New Roman" w:cs="Times New Roman"/>
                      <w:b/>
                      <w:bCs/>
                      <w:color w:val="auto"/>
                    </w:rPr>
                    <w:t>污染物</w:t>
                  </w:r>
                </w:p>
              </w:tc>
              <w:tc>
                <w:tcPr>
                  <w:tcW w:w="1199" w:type="pct"/>
                  <w:noWrap w:val="0"/>
                  <w:vAlign w:val="center"/>
                </w:tcPr>
                <w:p w14:paraId="17104582">
                  <w:pPr>
                    <w:widowControl w:val="0"/>
                    <w:overflowPunct w:val="0"/>
                    <w:adjustRightInd/>
                    <w:snapToGrid/>
                    <w:jc w:val="center"/>
                    <w:textAlignment w:val="auto"/>
                    <w:rPr>
                      <w:rFonts w:ascii="Times New Roman" w:hAnsi="Times New Roman" w:cs="Times New Roman"/>
                      <w:b/>
                      <w:bCs/>
                      <w:color w:val="auto"/>
                    </w:rPr>
                  </w:pPr>
                  <w:r>
                    <w:rPr>
                      <w:rFonts w:ascii="Times New Roman" w:hAnsi="Times New Roman" w:cs="Times New Roman"/>
                      <w:b/>
                      <w:bCs/>
                      <w:color w:val="auto"/>
                    </w:rPr>
                    <w:t>污染因子</w:t>
                  </w:r>
                </w:p>
              </w:tc>
              <w:tc>
                <w:tcPr>
                  <w:tcW w:w="1526" w:type="pct"/>
                  <w:noWrap w:val="0"/>
                  <w:vAlign w:val="center"/>
                </w:tcPr>
                <w:p w14:paraId="755B00C0">
                  <w:pPr>
                    <w:widowControl w:val="0"/>
                    <w:overflowPunct w:val="0"/>
                    <w:adjustRightInd/>
                    <w:snapToGrid/>
                    <w:jc w:val="center"/>
                    <w:textAlignment w:val="auto"/>
                    <w:rPr>
                      <w:rFonts w:ascii="Times New Roman" w:hAnsi="Times New Roman" w:cs="Times New Roman"/>
                      <w:b/>
                      <w:bCs/>
                      <w:color w:val="auto"/>
                    </w:rPr>
                  </w:pPr>
                  <w:r>
                    <w:rPr>
                      <w:rFonts w:ascii="Times New Roman" w:hAnsi="Times New Roman" w:cs="Times New Roman"/>
                      <w:b/>
                      <w:bCs/>
                      <w:color w:val="auto"/>
                    </w:rPr>
                    <w:t>环保措施</w:t>
                  </w:r>
                </w:p>
              </w:tc>
            </w:tr>
            <w:tr w14:paraId="4346331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54" w:hRule="atLeast"/>
                <w:jc w:val="center"/>
              </w:trPr>
              <w:tc>
                <w:tcPr>
                  <w:tcW w:w="485" w:type="pct"/>
                  <w:noWrap w:val="0"/>
                  <w:vAlign w:val="center"/>
                </w:tcPr>
                <w:p w14:paraId="1DC515F0">
                  <w:pPr>
                    <w:widowControl w:val="0"/>
                    <w:overflowPunct w:val="0"/>
                    <w:adjustRightInd/>
                    <w:snapToGrid/>
                    <w:jc w:val="center"/>
                    <w:textAlignment w:val="auto"/>
                    <w:rPr>
                      <w:rFonts w:ascii="Times New Roman" w:hAnsi="Times New Roman" w:eastAsia="宋体" w:cs="Times New Roman"/>
                      <w:color w:val="auto"/>
                    </w:rPr>
                  </w:pPr>
                  <w:r>
                    <w:rPr>
                      <w:rFonts w:hint="eastAsia" w:ascii="Times New Roman" w:hAnsi="Times New Roman" w:cs="Times New Roman"/>
                      <w:color w:val="auto"/>
                    </w:rPr>
                    <w:t>废水</w:t>
                  </w:r>
                </w:p>
              </w:tc>
              <w:tc>
                <w:tcPr>
                  <w:tcW w:w="960" w:type="pct"/>
                  <w:noWrap w:val="0"/>
                  <w:vAlign w:val="center"/>
                </w:tcPr>
                <w:p w14:paraId="004B0685">
                  <w:pPr>
                    <w:widowControl w:val="0"/>
                    <w:overflowPunct w:val="0"/>
                    <w:adjustRightInd/>
                    <w:snapToGrid/>
                    <w:jc w:val="center"/>
                    <w:textAlignment w:val="auto"/>
                    <w:rPr>
                      <w:rFonts w:ascii="Times New Roman" w:hAnsi="Times New Roman" w:cs="Times New Roman"/>
                      <w:color w:val="auto"/>
                    </w:rPr>
                  </w:pPr>
                  <w:r>
                    <w:rPr>
                      <w:rFonts w:ascii="Times New Roman" w:hAnsi="Times New Roman" w:cs="Times New Roman"/>
                      <w:color w:val="auto"/>
                    </w:rPr>
                    <w:t>员工生活</w:t>
                  </w:r>
                </w:p>
              </w:tc>
              <w:tc>
                <w:tcPr>
                  <w:tcW w:w="827" w:type="pct"/>
                  <w:noWrap w:val="0"/>
                  <w:vAlign w:val="center"/>
                </w:tcPr>
                <w:p w14:paraId="53479AA8">
                  <w:pPr>
                    <w:widowControl w:val="0"/>
                    <w:overflowPunct w:val="0"/>
                    <w:adjustRightInd/>
                    <w:snapToGrid/>
                    <w:jc w:val="center"/>
                    <w:textAlignment w:val="auto"/>
                    <w:rPr>
                      <w:rFonts w:ascii="Times New Roman" w:hAnsi="Times New Roman" w:cs="Times New Roman"/>
                      <w:color w:val="auto"/>
                    </w:rPr>
                  </w:pPr>
                  <w:r>
                    <w:rPr>
                      <w:rFonts w:ascii="Times New Roman" w:hAnsi="Times New Roman" w:cs="Times New Roman"/>
                      <w:color w:val="auto"/>
                    </w:rPr>
                    <w:t>生活污水</w:t>
                  </w:r>
                </w:p>
              </w:tc>
              <w:tc>
                <w:tcPr>
                  <w:tcW w:w="1199" w:type="pct"/>
                  <w:noWrap w:val="0"/>
                  <w:vAlign w:val="center"/>
                </w:tcPr>
                <w:p w14:paraId="171CF83A">
                  <w:pPr>
                    <w:widowControl w:val="0"/>
                    <w:kinsoku/>
                    <w:overflowPunct w:val="0"/>
                    <w:autoSpaceDE/>
                    <w:autoSpaceDN/>
                    <w:adjustRightInd/>
                    <w:snapToGrid/>
                    <w:jc w:val="center"/>
                    <w:textAlignment w:val="auto"/>
                    <w:rPr>
                      <w:rFonts w:ascii="Times New Roman" w:hAnsi="Times New Roman" w:eastAsia="宋体" w:cs="Times New Roman"/>
                      <w:color w:val="auto"/>
                    </w:rPr>
                  </w:pPr>
                  <w:r>
                    <w:rPr>
                      <w:rFonts w:ascii="Times New Roman" w:hAnsi="Times New Roman" w:cs="Times New Roman"/>
                      <w:bCs/>
                      <w:color w:val="auto"/>
                      <w:lang w:bidi="ar"/>
                    </w:rPr>
                    <w:t>COD、</w:t>
                  </w:r>
                  <w:r>
                    <w:rPr>
                      <w:rFonts w:ascii="Times New Roman" w:hAnsi="Times New Roman" w:cs="Times New Roman"/>
                      <w:bCs/>
                      <w:color w:val="auto"/>
                    </w:rPr>
                    <w:t>BOD</w:t>
                  </w:r>
                  <w:r>
                    <w:rPr>
                      <w:rFonts w:ascii="Times New Roman" w:hAnsi="Times New Roman" w:cs="Times New Roman"/>
                      <w:bCs/>
                      <w:color w:val="auto"/>
                      <w:vertAlign w:val="subscript"/>
                    </w:rPr>
                    <w:t>5</w:t>
                  </w:r>
                  <w:r>
                    <w:rPr>
                      <w:rFonts w:ascii="Times New Roman" w:hAnsi="Times New Roman" w:cs="Times New Roman"/>
                      <w:bCs/>
                      <w:color w:val="auto"/>
                    </w:rPr>
                    <w:t>、</w:t>
                  </w:r>
                  <w:r>
                    <w:rPr>
                      <w:rFonts w:ascii="Times New Roman" w:hAnsi="Times New Roman" w:cs="Times New Roman"/>
                      <w:color w:val="auto"/>
                    </w:rPr>
                    <w:t>SS</w:t>
                  </w:r>
                </w:p>
              </w:tc>
              <w:tc>
                <w:tcPr>
                  <w:tcW w:w="1526" w:type="pct"/>
                  <w:noWrap w:val="0"/>
                  <w:vAlign w:val="center"/>
                </w:tcPr>
                <w:p w14:paraId="744A4C48">
                  <w:pPr>
                    <w:widowControl w:val="0"/>
                    <w:overflowPunct w:val="0"/>
                    <w:adjustRightInd/>
                    <w:snapToGrid/>
                    <w:jc w:val="center"/>
                    <w:textAlignment w:val="auto"/>
                    <w:rPr>
                      <w:rFonts w:hint="eastAsia" w:ascii="Times New Roman" w:hAnsi="Times New Roman" w:eastAsia="宋体" w:cs="Times New Roman"/>
                      <w:color w:val="auto"/>
                      <w:lang w:eastAsia="zh-CN"/>
                    </w:rPr>
                  </w:pPr>
                  <w:r>
                    <w:rPr>
                      <w:rFonts w:hint="eastAsia" w:eastAsia="宋体"/>
                      <w:color w:val="auto"/>
                      <w:szCs w:val="18"/>
                    </w:rPr>
                    <w:t>旱厕收集后清掏施肥</w:t>
                  </w:r>
                  <w:r>
                    <w:rPr>
                      <w:rFonts w:hint="eastAsia" w:eastAsia="宋体"/>
                      <w:color w:val="auto"/>
                      <w:szCs w:val="18"/>
                      <w:lang w:eastAsia="zh-CN"/>
                    </w:rPr>
                    <w:t>，盥洗水抛洒抑尘</w:t>
                  </w:r>
                </w:p>
              </w:tc>
            </w:tr>
            <w:tr w14:paraId="0460D09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12" w:hRule="atLeast"/>
                <w:jc w:val="center"/>
              </w:trPr>
              <w:tc>
                <w:tcPr>
                  <w:tcW w:w="485" w:type="pct"/>
                  <w:vMerge w:val="restart"/>
                  <w:noWrap w:val="0"/>
                  <w:vAlign w:val="center"/>
                </w:tcPr>
                <w:p w14:paraId="656059DF">
                  <w:pPr>
                    <w:widowControl w:val="0"/>
                    <w:overflowPunct w:val="0"/>
                    <w:adjustRightInd/>
                    <w:snapToGrid/>
                    <w:jc w:val="center"/>
                    <w:textAlignment w:val="auto"/>
                    <w:rPr>
                      <w:rFonts w:ascii="Times New Roman" w:hAnsi="Times New Roman" w:cs="Times New Roman"/>
                      <w:color w:val="auto"/>
                    </w:rPr>
                  </w:pPr>
                  <w:r>
                    <w:rPr>
                      <w:rFonts w:ascii="Times New Roman" w:hAnsi="Times New Roman" w:cs="Times New Roman"/>
                      <w:color w:val="auto"/>
                    </w:rPr>
                    <w:t>废气</w:t>
                  </w:r>
                </w:p>
              </w:tc>
              <w:tc>
                <w:tcPr>
                  <w:tcW w:w="960" w:type="pct"/>
                  <w:noWrap w:val="0"/>
                  <w:vAlign w:val="center"/>
                </w:tcPr>
                <w:p w14:paraId="379D3832">
                  <w:pPr>
                    <w:widowControl w:val="0"/>
                    <w:overflowPunct w:val="0"/>
                    <w:adjustRightInd/>
                    <w:snapToGrid/>
                    <w:jc w:val="center"/>
                    <w:textAlignment w:val="auto"/>
                    <w:rPr>
                      <w:rFonts w:ascii="Times New Roman" w:hAnsi="Times New Roman" w:eastAsia="宋体" w:cs="Times New Roman"/>
                      <w:color w:val="auto"/>
                    </w:rPr>
                  </w:pPr>
                  <w:r>
                    <w:rPr>
                      <w:rFonts w:ascii="Times New Roman" w:hAnsi="Times New Roman" w:cs="Times New Roman"/>
                      <w:color w:val="auto"/>
                    </w:rPr>
                    <w:t>地基开挖</w:t>
                  </w:r>
                </w:p>
              </w:tc>
              <w:tc>
                <w:tcPr>
                  <w:tcW w:w="827" w:type="pct"/>
                  <w:noWrap w:val="0"/>
                  <w:vAlign w:val="center"/>
                </w:tcPr>
                <w:p w14:paraId="2E1B5D90">
                  <w:pPr>
                    <w:widowControl w:val="0"/>
                    <w:overflowPunct w:val="0"/>
                    <w:adjustRightInd/>
                    <w:snapToGrid/>
                    <w:jc w:val="center"/>
                    <w:textAlignment w:val="auto"/>
                    <w:rPr>
                      <w:rFonts w:ascii="Times New Roman" w:hAnsi="Times New Roman" w:eastAsia="宋体" w:cs="Times New Roman"/>
                      <w:color w:val="auto"/>
                    </w:rPr>
                  </w:pPr>
                  <w:r>
                    <w:rPr>
                      <w:rFonts w:ascii="Times New Roman" w:hAnsi="Times New Roman" w:cs="Times New Roman"/>
                      <w:color w:val="auto"/>
                    </w:rPr>
                    <w:t>扬尘</w:t>
                  </w:r>
                </w:p>
              </w:tc>
              <w:tc>
                <w:tcPr>
                  <w:tcW w:w="1199" w:type="pct"/>
                  <w:noWrap w:val="0"/>
                  <w:vAlign w:val="center"/>
                </w:tcPr>
                <w:p w14:paraId="3321F225">
                  <w:pPr>
                    <w:widowControl w:val="0"/>
                    <w:overflowPunct w:val="0"/>
                    <w:adjustRightInd/>
                    <w:snapToGrid/>
                    <w:jc w:val="center"/>
                    <w:textAlignment w:val="auto"/>
                    <w:rPr>
                      <w:rFonts w:ascii="Times New Roman" w:hAnsi="Times New Roman" w:eastAsia="宋体" w:cs="Times New Roman"/>
                      <w:color w:val="auto"/>
                    </w:rPr>
                  </w:pPr>
                  <w:r>
                    <w:rPr>
                      <w:rFonts w:ascii="Times New Roman" w:hAnsi="Times New Roman" w:cs="Times New Roman"/>
                      <w:color w:val="auto"/>
                    </w:rPr>
                    <w:t>颗粒物</w:t>
                  </w:r>
                </w:p>
              </w:tc>
              <w:tc>
                <w:tcPr>
                  <w:tcW w:w="1526" w:type="pct"/>
                  <w:noWrap w:val="0"/>
                  <w:vAlign w:val="center"/>
                </w:tcPr>
                <w:p w14:paraId="6A0CD707">
                  <w:pPr>
                    <w:widowControl w:val="0"/>
                    <w:overflowPunct w:val="0"/>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rPr>
                    <w:t>设置围挡、物料覆盖、洒水抑尘</w:t>
                  </w:r>
                  <w:r>
                    <w:rPr>
                      <w:rFonts w:hint="eastAsia" w:ascii="Times New Roman" w:hAnsi="Times New Roman" w:eastAsia="宋体" w:cs="Times New Roman"/>
                      <w:color w:val="auto"/>
                    </w:rPr>
                    <w:t>、</w:t>
                  </w:r>
                  <w:r>
                    <w:rPr>
                      <w:rFonts w:ascii="Times New Roman" w:hAnsi="Times New Roman" w:eastAsia="宋体" w:cs="Times New Roman"/>
                      <w:color w:val="auto"/>
                    </w:rPr>
                    <w:t>路面硬化</w:t>
                  </w:r>
                </w:p>
              </w:tc>
            </w:tr>
            <w:tr w14:paraId="74B42AD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485" w:type="pct"/>
                  <w:vMerge w:val="continue"/>
                  <w:noWrap w:val="0"/>
                  <w:vAlign w:val="center"/>
                </w:tcPr>
                <w:p w14:paraId="2E3CBDB3">
                  <w:pPr>
                    <w:widowControl w:val="0"/>
                    <w:overflowPunct w:val="0"/>
                    <w:adjustRightInd/>
                    <w:snapToGrid/>
                    <w:jc w:val="center"/>
                    <w:textAlignment w:val="auto"/>
                    <w:rPr>
                      <w:rFonts w:ascii="Times New Roman" w:hAnsi="Times New Roman" w:cs="Times New Roman"/>
                      <w:color w:val="auto"/>
                    </w:rPr>
                  </w:pPr>
                </w:p>
              </w:tc>
              <w:tc>
                <w:tcPr>
                  <w:tcW w:w="960" w:type="pct"/>
                  <w:noWrap w:val="0"/>
                  <w:vAlign w:val="center"/>
                </w:tcPr>
                <w:p w14:paraId="62DFE285">
                  <w:pPr>
                    <w:widowControl w:val="0"/>
                    <w:kinsoku/>
                    <w:adjustRightInd/>
                    <w:snapToGrid/>
                    <w:jc w:val="center"/>
                    <w:textAlignment w:val="auto"/>
                    <w:rPr>
                      <w:rFonts w:ascii="Times New Roman" w:hAnsi="Times New Roman" w:eastAsia="宋体" w:cs="Times New Roman"/>
                      <w:color w:val="auto"/>
                    </w:rPr>
                  </w:pPr>
                  <w:r>
                    <w:rPr>
                      <w:rFonts w:hint="eastAsia" w:ascii="Times New Roman" w:hAnsi="Times New Roman" w:cs="Times New Roman"/>
                      <w:color w:val="auto"/>
                    </w:rPr>
                    <w:t>厂房施工</w:t>
                  </w:r>
                  <w:r>
                    <w:rPr>
                      <w:rFonts w:hint="eastAsia" w:ascii="Times New Roman" w:hAnsi="Times New Roman" w:eastAsia="宋体" w:cs="Times New Roman"/>
                      <w:color w:val="auto"/>
                    </w:rPr>
                    <w:t>、装修、设施安装</w:t>
                  </w:r>
                </w:p>
              </w:tc>
              <w:tc>
                <w:tcPr>
                  <w:tcW w:w="827" w:type="pct"/>
                  <w:noWrap w:val="0"/>
                  <w:vAlign w:val="center"/>
                </w:tcPr>
                <w:p w14:paraId="5856DF64">
                  <w:pPr>
                    <w:widowControl w:val="0"/>
                    <w:overflowPunct w:val="0"/>
                    <w:adjustRightInd/>
                    <w:snapToGrid/>
                    <w:jc w:val="center"/>
                    <w:textAlignment w:val="auto"/>
                    <w:rPr>
                      <w:rFonts w:ascii="Times New Roman" w:hAnsi="Times New Roman" w:cs="Times New Roman"/>
                      <w:color w:val="auto"/>
                    </w:rPr>
                  </w:pPr>
                  <w:r>
                    <w:rPr>
                      <w:rFonts w:hint="eastAsia" w:ascii="Times New Roman" w:hAnsi="Times New Roman" w:cs="Times New Roman"/>
                      <w:color w:val="auto"/>
                    </w:rPr>
                    <w:t>烟尘</w:t>
                  </w:r>
                </w:p>
              </w:tc>
              <w:tc>
                <w:tcPr>
                  <w:tcW w:w="1199" w:type="pct"/>
                  <w:noWrap w:val="0"/>
                  <w:vAlign w:val="center"/>
                </w:tcPr>
                <w:p w14:paraId="6BA4DD79">
                  <w:pPr>
                    <w:widowControl w:val="0"/>
                    <w:overflowPunct w:val="0"/>
                    <w:adjustRightInd/>
                    <w:snapToGrid/>
                    <w:jc w:val="center"/>
                    <w:textAlignment w:val="auto"/>
                    <w:rPr>
                      <w:rFonts w:ascii="Times New Roman" w:hAnsi="Times New Roman" w:cs="Times New Roman"/>
                      <w:color w:val="auto"/>
                    </w:rPr>
                  </w:pPr>
                  <w:r>
                    <w:rPr>
                      <w:rFonts w:ascii="Times New Roman" w:hAnsi="Times New Roman" w:cs="Times New Roman"/>
                      <w:color w:val="auto"/>
                    </w:rPr>
                    <w:t>颗粒物</w:t>
                  </w:r>
                </w:p>
              </w:tc>
              <w:tc>
                <w:tcPr>
                  <w:tcW w:w="1526" w:type="pct"/>
                  <w:noWrap w:val="0"/>
                  <w:vAlign w:val="center"/>
                </w:tcPr>
                <w:p w14:paraId="163D045C">
                  <w:pPr>
                    <w:widowControl w:val="0"/>
                    <w:overflowPunct w:val="0"/>
                    <w:adjustRightInd/>
                    <w:snapToGrid/>
                    <w:jc w:val="center"/>
                    <w:textAlignment w:val="auto"/>
                    <w:rPr>
                      <w:rFonts w:ascii="Times New Roman" w:hAnsi="Times New Roman" w:eastAsia="宋体" w:cs="Times New Roman"/>
                      <w:color w:val="auto"/>
                    </w:rPr>
                  </w:pPr>
                  <w:r>
                    <w:rPr>
                      <w:rFonts w:hint="eastAsia" w:ascii="Times New Roman" w:hAnsi="Times New Roman" w:eastAsia="宋体" w:cs="Times New Roman"/>
                      <w:color w:val="auto"/>
                    </w:rPr>
                    <w:t>采用环保型焊接机械，室内焊接固定焊接、加强通风</w:t>
                  </w:r>
                </w:p>
              </w:tc>
            </w:tr>
            <w:tr w14:paraId="6449CEC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485" w:type="pct"/>
                  <w:vMerge w:val="continue"/>
                  <w:noWrap w:val="0"/>
                  <w:vAlign w:val="center"/>
                </w:tcPr>
                <w:p w14:paraId="2160CFA3">
                  <w:pPr>
                    <w:widowControl w:val="0"/>
                    <w:overflowPunct w:val="0"/>
                    <w:adjustRightInd/>
                    <w:snapToGrid/>
                    <w:jc w:val="center"/>
                    <w:textAlignment w:val="auto"/>
                    <w:rPr>
                      <w:rFonts w:ascii="Times New Roman" w:hAnsi="Times New Roman" w:cs="Times New Roman"/>
                      <w:color w:val="auto"/>
                    </w:rPr>
                  </w:pPr>
                </w:p>
              </w:tc>
              <w:tc>
                <w:tcPr>
                  <w:tcW w:w="960" w:type="pct"/>
                  <w:noWrap w:val="0"/>
                  <w:vAlign w:val="center"/>
                </w:tcPr>
                <w:p w14:paraId="65AC7F96">
                  <w:pPr>
                    <w:widowControl w:val="0"/>
                    <w:kinsoku/>
                    <w:adjustRightInd/>
                    <w:snapToGrid/>
                    <w:jc w:val="center"/>
                    <w:textAlignment w:val="auto"/>
                    <w:rPr>
                      <w:rFonts w:ascii="Times New Roman" w:hAnsi="Times New Roman" w:eastAsia="宋体" w:cs="Times New Roman"/>
                      <w:color w:val="auto"/>
                    </w:rPr>
                  </w:pPr>
                  <w:r>
                    <w:rPr>
                      <w:rFonts w:hint="eastAsia" w:ascii="Times New Roman" w:hAnsi="Times New Roman" w:eastAsia="宋体" w:cs="Times New Roman"/>
                      <w:color w:val="auto"/>
                    </w:rPr>
                    <w:t>进出车辆</w:t>
                  </w:r>
                </w:p>
              </w:tc>
              <w:tc>
                <w:tcPr>
                  <w:tcW w:w="827" w:type="pct"/>
                  <w:noWrap w:val="0"/>
                  <w:vAlign w:val="center"/>
                </w:tcPr>
                <w:p w14:paraId="54D7A229">
                  <w:pPr>
                    <w:widowControl w:val="0"/>
                    <w:overflowPunct w:val="0"/>
                    <w:adjustRightInd/>
                    <w:snapToGrid/>
                    <w:jc w:val="center"/>
                    <w:textAlignment w:val="auto"/>
                    <w:rPr>
                      <w:rFonts w:ascii="Times New Roman" w:hAnsi="Times New Roman" w:eastAsia="宋体" w:cs="Times New Roman"/>
                      <w:color w:val="auto"/>
                    </w:rPr>
                  </w:pPr>
                  <w:r>
                    <w:rPr>
                      <w:rFonts w:hint="eastAsia" w:ascii="Times New Roman" w:hAnsi="Times New Roman" w:eastAsia="宋体" w:cs="Times New Roman"/>
                      <w:color w:val="auto"/>
                    </w:rPr>
                    <w:t>尾气</w:t>
                  </w:r>
                </w:p>
              </w:tc>
              <w:tc>
                <w:tcPr>
                  <w:tcW w:w="1199" w:type="pct"/>
                  <w:noWrap w:val="0"/>
                  <w:vAlign w:val="center"/>
                </w:tcPr>
                <w:p w14:paraId="39054BE3">
                  <w:pPr>
                    <w:widowControl w:val="0"/>
                    <w:overflowPunct w:val="0"/>
                    <w:adjustRightInd/>
                    <w:snapToGrid/>
                    <w:jc w:val="center"/>
                    <w:textAlignment w:val="auto"/>
                    <w:rPr>
                      <w:rFonts w:ascii="Times New Roman" w:hAnsi="Times New Roman" w:cs="Times New Roman"/>
                      <w:color w:val="auto"/>
                    </w:rPr>
                  </w:pPr>
                  <w:r>
                    <w:rPr>
                      <w:rFonts w:ascii="Times New Roman" w:hAnsi="Times New Roman" w:eastAsia="宋体" w:cs="Times New Roman"/>
                      <w:color w:val="auto"/>
                      <w:szCs w:val="18"/>
                    </w:rPr>
                    <w:t>CO、NOx</w:t>
                  </w:r>
                  <w:r>
                    <w:rPr>
                      <w:rFonts w:hint="eastAsia" w:ascii="Times New Roman" w:hAnsi="Times New Roman" w:eastAsia="宋体" w:cs="Times New Roman"/>
                      <w:color w:val="auto"/>
                      <w:szCs w:val="18"/>
                    </w:rPr>
                    <w:t>、</w:t>
                  </w:r>
                  <w:r>
                    <w:rPr>
                      <w:rFonts w:ascii="Times New Roman" w:hAnsi="Times New Roman" w:eastAsia="宋体" w:cs="Times New Roman"/>
                      <w:color w:val="auto"/>
                      <w:szCs w:val="18"/>
                    </w:rPr>
                    <w:t>THC</w:t>
                  </w:r>
                </w:p>
              </w:tc>
              <w:tc>
                <w:tcPr>
                  <w:tcW w:w="1526" w:type="pct"/>
                  <w:noWrap w:val="0"/>
                  <w:vAlign w:val="center"/>
                </w:tcPr>
                <w:p w14:paraId="28B5783D">
                  <w:pPr>
                    <w:widowControl w:val="0"/>
                    <w:overflowPunct w:val="0"/>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szCs w:val="18"/>
                    </w:rPr>
                    <w:t>加强施工车辆运行管理与维护保养</w:t>
                  </w:r>
                  <w:r>
                    <w:rPr>
                      <w:rFonts w:hint="eastAsia" w:ascii="Times New Roman" w:hAnsi="Times New Roman" w:eastAsia="宋体" w:cs="Times New Roman"/>
                      <w:color w:val="auto"/>
                      <w:szCs w:val="18"/>
                    </w:rPr>
                    <w:t>、</w:t>
                  </w:r>
                  <w:r>
                    <w:rPr>
                      <w:rFonts w:ascii="Times New Roman" w:hAnsi="Times New Roman" w:eastAsia="宋体" w:cs="Times New Roman"/>
                      <w:color w:val="auto"/>
                      <w:szCs w:val="18"/>
                    </w:rPr>
                    <w:t>间断运行</w:t>
                  </w:r>
                </w:p>
              </w:tc>
            </w:tr>
            <w:tr w14:paraId="45FAB9E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85" w:type="pct"/>
                  <w:noWrap w:val="0"/>
                  <w:vAlign w:val="center"/>
                </w:tcPr>
                <w:p w14:paraId="571AA72E">
                  <w:pPr>
                    <w:widowControl w:val="0"/>
                    <w:overflowPunct w:val="0"/>
                    <w:adjustRightInd/>
                    <w:snapToGrid/>
                    <w:jc w:val="center"/>
                    <w:textAlignment w:val="auto"/>
                    <w:rPr>
                      <w:rFonts w:ascii="Times New Roman" w:hAnsi="Times New Roman" w:cs="Times New Roman"/>
                      <w:color w:val="auto"/>
                      <w:lang w:eastAsia="en-US"/>
                    </w:rPr>
                  </w:pPr>
                  <w:r>
                    <w:rPr>
                      <w:rFonts w:ascii="Times New Roman" w:hAnsi="Times New Roman" w:cs="Times New Roman"/>
                      <w:color w:val="auto"/>
                      <w:lang w:eastAsia="en-US"/>
                    </w:rPr>
                    <w:t>噪声</w:t>
                  </w:r>
                </w:p>
              </w:tc>
              <w:tc>
                <w:tcPr>
                  <w:tcW w:w="960" w:type="pct"/>
                  <w:noWrap w:val="0"/>
                  <w:vAlign w:val="center"/>
                </w:tcPr>
                <w:p w14:paraId="2CBD0904">
                  <w:pPr>
                    <w:widowControl w:val="0"/>
                    <w:overflowPunct w:val="0"/>
                    <w:adjustRightInd/>
                    <w:snapToGrid/>
                    <w:jc w:val="center"/>
                    <w:textAlignment w:val="auto"/>
                    <w:rPr>
                      <w:rFonts w:ascii="Times New Roman" w:hAnsi="Times New Roman" w:cs="Times New Roman"/>
                      <w:color w:val="auto"/>
                    </w:rPr>
                  </w:pPr>
                  <w:r>
                    <w:rPr>
                      <w:rFonts w:ascii="Times New Roman" w:hAnsi="Times New Roman" w:cs="Times New Roman"/>
                      <w:color w:val="auto"/>
                    </w:rPr>
                    <w:t>设备运行</w:t>
                  </w:r>
                </w:p>
              </w:tc>
              <w:tc>
                <w:tcPr>
                  <w:tcW w:w="827" w:type="pct"/>
                  <w:noWrap w:val="0"/>
                  <w:vAlign w:val="center"/>
                </w:tcPr>
                <w:p w14:paraId="16ECA3B1">
                  <w:pPr>
                    <w:widowControl w:val="0"/>
                    <w:overflowPunct w:val="0"/>
                    <w:adjustRightInd/>
                    <w:snapToGrid/>
                    <w:jc w:val="center"/>
                    <w:textAlignment w:val="auto"/>
                    <w:rPr>
                      <w:rFonts w:ascii="Times New Roman" w:hAnsi="Times New Roman" w:cs="Times New Roman"/>
                      <w:color w:val="auto"/>
                    </w:rPr>
                  </w:pPr>
                  <w:r>
                    <w:rPr>
                      <w:rFonts w:ascii="Times New Roman" w:hAnsi="Times New Roman" w:cs="Times New Roman"/>
                      <w:color w:val="auto"/>
                      <w:lang w:eastAsia="en-US"/>
                    </w:rPr>
                    <w:t>噪声</w:t>
                  </w:r>
                </w:p>
              </w:tc>
              <w:tc>
                <w:tcPr>
                  <w:tcW w:w="1199" w:type="pct"/>
                  <w:noWrap w:val="0"/>
                  <w:vAlign w:val="center"/>
                </w:tcPr>
                <w:p w14:paraId="3AC77C5E">
                  <w:pPr>
                    <w:widowControl w:val="0"/>
                    <w:overflowPunct w:val="0"/>
                    <w:adjustRightInd/>
                    <w:snapToGrid/>
                    <w:jc w:val="center"/>
                    <w:textAlignment w:val="auto"/>
                    <w:rPr>
                      <w:rFonts w:ascii="Times New Roman" w:hAnsi="Times New Roman" w:cs="Times New Roman"/>
                      <w:color w:val="auto"/>
                    </w:rPr>
                  </w:pPr>
                  <w:r>
                    <w:rPr>
                      <w:rFonts w:ascii="Times New Roman" w:hAnsi="Times New Roman" w:cs="Times New Roman"/>
                      <w:color w:val="auto"/>
                      <w:lang w:eastAsia="en-US"/>
                    </w:rPr>
                    <w:t>噪声</w:t>
                  </w:r>
                </w:p>
              </w:tc>
              <w:tc>
                <w:tcPr>
                  <w:tcW w:w="1526" w:type="pct"/>
                  <w:noWrap w:val="0"/>
                  <w:vAlign w:val="center"/>
                </w:tcPr>
                <w:p w14:paraId="73ABBD24">
                  <w:pPr>
                    <w:widowControl w:val="0"/>
                    <w:overflowPunct w:val="0"/>
                    <w:adjustRightInd/>
                    <w:snapToGrid/>
                    <w:jc w:val="center"/>
                    <w:textAlignment w:val="auto"/>
                    <w:rPr>
                      <w:rFonts w:ascii="Times New Roman" w:hAnsi="Times New Roman" w:cs="Times New Roman"/>
                      <w:color w:val="auto"/>
                    </w:rPr>
                  </w:pPr>
                  <w:r>
                    <w:rPr>
                      <w:rFonts w:ascii="Times New Roman" w:hAnsi="Times New Roman" w:cs="Times New Roman"/>
                      <w:color w:val="auto"/>
                    </w:rPr>
                    <w:t>基础减振、消声</w:t>
                  </w:r>
                  <w:r>
                    <w:rPr>
                      <w:rFonts w:hint="eastAsia" w:cs="Times New Roman"/>
                      <w:color w:val="auto"/>
                      <w:lang w:eastAsia="zh-CN"/>
                    </w:rPr>
                    <w:t>、</w:t>
                  </w:r>
                  <w:r>
                    <w:rPr>
                      <w:rFonts w:ascii="Times New Roman" w:hAnsi="Times New Roman" w:cs="Times New Roman"/>
                      <w:color w:val="auto"/>
                    </w:rPr>
                    <w:t>隔声、距离衰减等</w:t>
                  </w:r>
                </w:p>
              </w:tc>
            </w:tr>
            <w:tr w14:paraId="7ED05D0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46" w:hRule="atLeast"/>
                <w:jc w:val="center"/>
              </w:trPr>
              <w:tc>
                <w:tcPr>
                  <w:tcW w:w="485" w:type="pct"/>
                  <w:vMerge w:val="restart"/>
                  <w:noWrap w:val="0"/>
                  <w:vAlign w:val="center"/>
                </w:tcPr>
                <w:p w14:paraId="1B741145">
                  <w:pPr>
                    <w:widowControl w:val="0"/>
                    <w:overflowPunct w:val="0"/>
                    <w:adjustRightInd/>
                    <w:snapToGrid/>
                    <w:jc w:val="center"/>
                    <w:textAlignment w:val="auto"/>
                    <w:rPr>
                      <w:rFonts w:ascii="Times New Roman" w:hAnsi="Times New Roman" w:cs="Times New Roman"/>
                      <w:color w:val="auto"/>
                    </w:rPr>
                  </w:pPr>
                  <w:r>
                    <w:rPr>
                      <w:rFonts w:ascii="Times New Roman" w:hAnsi="Times New Roman" w:cs="Times New Roman"/>
                      <w:color w:val="auto"/>
                      <w:lang w:eastAsia="en-US"/>
                    </w:rPr>
                    <w:t>固废</w:t>
                  </w:r>
                </w:p>
              </w:tc>
              <w:tc>
                <w:tcPr>
                  <w:tcW w:w="960" w:type="pct"/>
                  <w:noWrap w:val="0"/>
                  <w:vAlign w:val="center"/>
                </w:tcPr>
                <w:p w14:paraId="093B887A">
                  <w:pPr>
                    <w:widowControl w:val="0"/>
                    <w:adjustRightInd/>
                    <w:snapToGrid/>
                    <w:jc w:val="center"/>
                    <w:textAlignment w:val="auto"/>
                    <w:rPr>
                      <w:rFonts w:ascii="Times New Roman" w:hAnsi="Times New Roman" w:cs="Times New Roman"/>
                      <w:color w:val="auto"/>
                    </w:rPr>
                  </w:pPr>
                  <w:r>
                    <w:rPr>
                      <w:rFonts w:ascii="Times New Roman" w:hAnsi="Times New Roman" w:cs="Times New Roman"/>
                      <w:color w:val="auto"/>
                    </w:rPr>
                    <w:t>员工生活</w:t>
                  </w:r>
                </w:p>
              </w:tc>
              <w:tc>
                <w:tcPr>
                  <w:tcW w:w="827" w:type="pct"/>
                  <w:noWrap w:val="0"/>
                  <w:vAlign w:val="center"/>
                </w:tcPr>
                <w:p w14:paraId="7790E81C">
                  <w:pPr>
                    <w:widowControl w:val="0"/>
                    <w:overflowPunct w:val="0"/>
                    <w:adjustRightInd/>
                    <w:snapToGrid/>
                    <w:jc w:val="center"/>
                    <w:textAlignment w:val="auto"/>
                    <w:rPr>
                      <w:rFonts w:ascii="Times New Roman" w:hAnsi="Times New Roman" w:cs="Times New Roman"/>
                      <w:color w:val="auto"/>
                    </w:rPr>
                  </w:pPr>
                  <w:r>
                    <w:rPr>
                      <w:rFonts w:ascii="Times New Roman" w:hAnsi="Times New Roman" w:cs="Times New Roman"/>
                      <w:color w:val="auto"/>
                    </w:rPr>
                    <w:t>生活垃圾</w:t>
                  </w:r>
                </w:p>
              </w:tc>
              <w:tc>
                <w:tcPr>
                  <w:tcW w:w="1199" w:type="pct"/>
                  <w:noWrap w:val="0"/>
                  <w:vAlign w:val="center"/>
                </w:tcPr>
                <w:p w14:paraId="5B032312">
                  <w:pPr>
                    <w:widowControl w:val="0"/>
                    <w:overflowPunct w:val="0"/>
                    <w:adjustRightInd/>
                    <w:snapToGrid/>
                    <w:jc w:val="center"/>
                    <w:textAlignment w:val="auto"/>
                    <w:rPr>
                      <w:rFonts w:ascii="Times New Roman" w:hAnsi="Times New Roman" w:cs="Times New Roman"/>
                      <w:color w:val="auto"/>
                    </w:rPr>
                  </w:pPr>
                  <w:r>
                    <w:rPr>
                      <w:rFonts w:ascii="Times New Roman" w:hAnsi="Times New Roman" w:cs="Times New Roman"/>
                      <w:color w:val="auto"/>
                    </w:rPr>
                    <w:t>生活垃圾</w:t>
                  </w:r>
                </w:p>
              </w:tc>
              <w:tc>
                <w:tcPr>
                  <w:tcW w:w="1526" w:type="pct"/>
                  <w:noWrap w:val="0"/>
                  <w:vAlign w:val="center"/>
                </w:tcPr>
                <w:p w14:paraId="01D64D90">
                  <w:pPr>
                    <w:widowControl w:val="0"/>
                    <w:overflowPunct w:val="0"/>
                    <w:adjustRightInd/>
                    <w:snapToGrid/>
                    <w:jc w:val="center"/>
                    <w:textAlignment w:val="auto"/>
                    <w:rPr>
                      <w:rFonts w:ascii="Times New Roman" w:hAnsi="Times New Roman" w:cs="Times New Roman"/>
                      <w:color w:val="auto"/>
                    </w:rPr>
                  </w:pPr>
                  <w:r>
                    <w:rPr>
                      <w:rFonts w:ascii="Times New Roman" w:hAnsi="Times New Roman" w:cs="Times New Roman"/>
                      <w:color w:val="auto"/>
                    </w:rPr>
                    <w:t>垃圾桶收集，环卫部门定期清运</w:t>
                  </w:r>
                </w:p>
              </w:tc>
            </w:tr>
            <w:tr w14:paraId="37E578F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11" w:hRule="atLeast"/>
                <w:jc w:val="center"/>
              </w:trPr>
              <w:tc>
                <w:tcPr>
                  <w:tcW w:w="485" w:type="pct"/>
                  <w:vMerge w:val="continue"/>
                  <w:noWrap w:val="0"/>
                  <w:vAlign w:val="center"/>
                </w:tcPr>
                <w:p w14:paraId="5532859F">
                  <w:pPr>
                    <w:widowControl w:val="0"/>
                    <w:overflowPunct w:val="0"/>
                    <w:adjustRightInd/>
                    <w:snapToGrid/>
                    <w:jc w:val="center"/>
                    <w:textAlignment w:val="auto"/>
                    <w:rPr>
                      <w:rFonts w:ascii="Times New Roman" w:hAnsi="Times New Roman" w:cs="Times New Roman"/>
                      <w:color w:val="auto"/>
                    </w:rPr>
                  </w:pPr>
                </w:p>
              </w:tc>
              <w:tc>
                <w:tcPr>
                  <w:tcW w:w="960" w:type="pct"/>
                  <w:noWrap w:val="0"/>
                  <w:vAlign w:val="center"/>
                </w:tcPr>
                <w:p w14:paraId="1499BBFC">
                  <w:pPr>
                    <w:widowControl w:val="0"/>
                    <w:kinsoku/>
                    <w:adjustRightInd/>
                    <w:snapToGrid/>
                    <w:jc w:val="center"/>
                    <w:textAlignment w:val="auto"/>
                    <w:rPr>
                      <w:rFonts w:ascii="Times New Roman" w:hAnsi="Times New Roman" w:eastAsia="宋体" w:cs="Times New Roman"/>
                      <w:color w:val="auto"/>
                    </w:rPr>
                  </w:pPr>
                  <w:r>
                    <w:rPr>
                      <w:rFonts w:hint="eastAsia" w:ascii="Times New Roman" w:hAnsi="Times New Roman" w:eastAsia="宋体" w:cs="Times New Roman"/>
                      <w:color w:val="auto"/>
                    </w:rPr>
                    <w:t>厂房施工、装修、设施安装</w:t>
                  </w:r>
                </w:p>
              </w:tc>
              <w:tc>
                <w:tcPr>
                  <w:tcW w:w="827" w:type="pct"/>
                  <w:noWrap w:val="0"/>
                  <w:vAlign w:val="center"/>
                </w:tcPr>
                <w:p w14:paraId="421D982D">
                  <w:pPr>
                    <w:widowControl w:val="0"/>
                    <w:overflowPunct w:val="0"/>
                    <w:adjustRightInd/>
                    <w:snapToGrid/>
                    <w:jc w:val="center"/>
                    <w:textAlignment w:val="auto"/>
                    <w:rPr>
                      <w:rFonts w:ascii="Times New Roman" w:hAnsi="Times New Roman" w:cs="Times New Roman"/>
                      <w:color w:val="auto"/>
                    </w:rPr>
                  </w:pPr>
                  <w:r>
                    <w:rPr>
                      <w:rFonts w:ascii="Times New Roman" w:hAnsi="Times New Roman" w:cs="Times New Roman"/>
                      <w:color w:val="auto"/>
                    </w:rPr>
                    <w:t>一般工业固废</w:t>
                  </w:r>
                </w:p>
              </w:tc>
              <w:tc>
                <w:tcPr>
                  <w:tcW w:w="1199" w:type="pct"/>
                  <w:noWrap w:val="0"/>
                  <w:vAlign w:val="center"/>
                </w:tcPr>
                <w:p w14:paraId="3326C0B3">
                  <w:pPr>
                    <w:widowControl w:val="0"/>
                    <w:overflowPunct w:val="0"/>
                    <w:adjustRightInd/>
                    <w:snapToGrid/>
                    <w:jc w:val="center"/>
                    <w:textAlignment w:val="auto"/>
                    <w:rPr>
                      <w:rFonts w:ascii="Times New Roman" w:hAnsi="Times New Roman" w:eastAsia="宋体" w:cs="Times New Roman"/>
                      <w:color w:val="auto"/>
                    </w:rPr>
                  </w:pPr>
                  <w:r>
                    <w:rPr>
                      <w:rFonts w:hint="eastAsia" w:ascii="Times New Roman" w:hAnsi="Times New Roman" w:eastAsia="宋体" w:cs="Times New Roman"/>
                      <w:color w:val="auto"/>
                    </w:rPr>
                    <w:t>废钢、废包装</w:t>
                  </w:r>
                </w:p>
              </w:tc>
              <w:tc>
                <w:tcPr>
                  <w:tcW w:w="1526" w:type="pct"/>
                  <w:noWrap w:val="0"/>
                  <w:vAlign w:val="center"/>
                </w:tcPr>
                <w:p w14:paraId="62E27D72">
                  <w:pPr>
                    <w:widowControl w:val="0"/>
                    <w:overflowPunct w:val="0"/>
                    <w:adjustRightInd/>
                    <w:snapToGrid/>
                    <w:jc w:val="center"/>
                    <w:textAlignment w:val="auto"/>
                    <w:rPr>
                      <w:rFonts w:ascii="Times New Roman" w:hAnsi="Times New Roman" w:eastAsia="宋体" w:cs="Times New Roman"/>
                      <w:color w:val="auto"/>
                    </w:rPr>
                  </w:pPr>
                  <w:r>
                    <w:rPr>
                      <w:rFonts w:hint="eastAsia" w:ascii="Times New Roman" w:hAnsi="Times New Roman" w:eastAsia="宋体" w:cs="Times New Roman"/>
                      <w:color w:val="auto"/>
                    </w:rPr>
                    <w:t>废品回收站资源回收</w:t>
                  </w:r>
                </w:p>
              </w:tc>
            </w:tr>
          </w:tbl>
          <w:p w14:paraId="3EE3CCE9">
            <w:pPr>
              <w:numPr>
                <w:ilvl w:val="0"/>
                <w:numId w:val="0"/>
              </w:numPr>
              <w:spacing w:line="360" w:lineRule="auto"/>
              <w:ind w:left="630" w:leftChars="0"/>
              <w:rPr>
                <w:b/>
                <w:bCs/>
                <w:color w:val="auto"/>
                <w:sz w:val="24"/>
                <w:szCs w:val="24"/>
              </w:rPr>
            </w:pPr>
            <w:r>
              <w:rPr>
                <w:rFonts w:hint="eastAsia"/>
                <w:b/>
                <w:bCs/>
                <w:color w:val="auto"/>
                <w:sz w:val="24"/>
                <w:szCs w:val="24"/>
                <w:lang w:eastAsia="zh-CN"/>
              </w:rPr>
              <w:t>二、运营</w:t>
            </w:r>
            <w:r>
              <w:rPr>
                <w:b/>
                <w:bCs/>
                <w:color w:val="auto"/>
                <w:sz w:val="24"/>
                <w:szCs w:val="24"/>
              </w:rPr>
              <w:t>期工艺流程</w:t>
            </w:r>
            <w:r>
              <w:rPr>
                <w:rFonts w:hint="default"/>
                <w:b/>
                <w:bCs/>
                <w:color w:val="auto"/>
                <w:sz w:val="24"/>
                <w:szCs w:val="24"/>
                <w:lang w:eastAsia="zh-CN"/>
              </w:rPr>
              <w:t>及产污环节</w:t>
            </w:r>
          </w:p>
          <w:p w14:paraId="1A53A88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lang w:val="en-US" w:eastAsia="zh-CN"/>
              </w:rPr>
              <w:t xml:space="preserve">本项目工艺流程主要满足航煤的卸油、储存、发油、倒罐、底油倒罐及合格油品回收等功能。主要工艺流程包括： </w:t>
            </w:r>
          </w:p>
          <w:p w14:paraId="3B8BBF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lang w:val="en-US" w:eastAsia="zh-CN"/>
              </w:rPr>
              <w:t xml:space="preserve">1、公路卸油流程 </w:t>
            </w:r>
          </w:p>
          <w:p w14:paraId="102BC02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 xml:space="preserve">汽车运油车→卸车鹤管→粗过滤器→收/发油泵→止回阀→过滤分离器→容积式流量计→储油罐。 </w:t>
            </w:r>
          </w:p>
          <w:p w14:paraId="3070B60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2" w:firstLineChars="200"/>
              <w:jc w:val="left"/>
              <w:textAlignment w:val="auto"/>
              <w:rPr>
                <w:rFonts w:hint="default" w:ascii="Times New Roman" w:hAnsi="Times New Roman" w:cs="Times New Roman"/>
                <w:b/>
                <w:bCs w:val="0"/>
                <w:color w:val="auto"/>
                <w:sz w:val="24"/>
                <w:szCs w:val="24"/>
                <w:lang w:val="en-US" w:eastAsia="zh-CN"/>
              </w:rPr>
            </w:pPr>
            <w:r>
              <w:rPr>
                <w:rFonts w:hint="default" w:ascii="Times New Roman" w:hAnsi="Times New Roman" w:cs="Times New Roman"/>
                <w:b/>
                <w:bCs w:val="0"/>
                <w:color w:val="auto"/>
                <w:sz w:val="24"/>
                <w:szCs w:val="24"/>
                <w:lang w:val="en-US" w:eastAsia="zh-CN"/>
              </w:rPr>
              <w:t>卸油过程产生设备噪声</w:t>
            </w:r>
            <w:r>
              <w:rPr>
                <w:rFonts w:hint="eastAsia" w:cs="Times New Roman"/>
                <w:b/>
                <w:bCs w:val="0"/>
                <w:color w:val="auto"/>
                <w:sz w:val="24"/>
                <w:szCs w:val="24"/>
                <w:lang w:val="en-US" w:eastAsia="zh-CN"/>
              </w:rPr>
              <w:t>、</w:t>
            </w:r>
            <w:r>
              <w:rPr>
                <w:rFonts w:hint="default" w:ascii="Times New Roman" w:hAnsi="Times New Roman" w:cs="Times New Roman"/>
                <w:b/>
                <w:bCs w:val="0"/>
                <w:color w:val="auto"/>
                <w:sz w:val="24"/>
                <w:szCs w:val="24"/>
                <w:lang w:val="en-US" w:eastAsia="zh-CN"/>
              </w:rPr>
              <w:t>少量的非甲烷总烃气体</w:t>
            </w:r>
            <w:r>
              <w:rPr>
                <w:rFonts w:hint="eastAsia" w:cs="Times New Roman"/>
                <w:b/>
                <w:bCs w:val="0"/>
                <w:color w:val="auto"/>
                <w:sz w:val="24"/>
                <w:szCs w:val="24"/>
                <w:lang w:val="en-US" w:eastAsia="zh-CN"/>
              </w:rPr>
              <w:t>和过滤分离器废滤芯</w:t>
            </w:r>
            <w:r>
              <w:rPr>
                <w:rFonts w:hint="default" w:ascii="Times New Roman" w:hAnsi="Times New Roman" w:cs="Times New Roman"/>
                <w:b/>
                <w:bCs w:val="0"/>
                <w:color w:val="auto"/>
                <w:sz w:val="24"/>
                <w:szCs w:val="24"/>
                <w:lang w:val="en-US" w:eastAsia="zh-CN"/>
              </w:rPr>
              <w:t>。</w:t>
            </w:r>
          </w:p>
          <w:p w14:paraId="6E88860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lang w:val="en-US" w:eastAsia="zh-CN"/>
              </w:rPr>
              <w:t xml:space="preserve">2、发油作业流程 </w:t>
            </w:r>
          </w:p>
          <w:p w14:paraId="11FC510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储油罐浮动出油装置→粗过滤器→收/发油泵→止回阀→过滤分离器→容积式流量计→装车鹤管→罐式加油车</w:t>
            </w:r>
            <w:r>
              <w:rPr>
                <w:rFonts w:hint="eastAsia" w:cs="Times New Roman"/>
                <w:b w:val="0"/>
                <w:bCs/>
                <w:color w:val="auto"/>
                <w:sz w:val="24"/>
                <w:szCs w:val="24"/>
                <w:lang w:val="en-US" w:eastAsia="zh-CN"/>
              </w:rPr>
              <w:t>。</w:t>
            </w:r>
          </w:p>
          <w:p w14:paraId="18A117A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2" w:firstLineChars="200"/>
              <w:jc w:val="left"/>
              <w:textAlignment w:val="auto"/>
              <w:rPr>
                <w:rFonts w:hint="default" w:ascii="Times New Roman" w:hAnsi="Times New Roman" w:cs="Times New Roman"/>
                <w:b/>
                <w:bCs w:val="0"/>
                <w:color w:val="auto"/>
                <w:sz w:val="24"/>
                <w:szCs w:val="24"/>
                <w:lang w:val="en-US" w:eastAsia="zh-CN"/>
              </w:rPr>
            </w:pPr>
            <w:r>
              <w:rPr>
                <w:rFonts w:hint="eastAsia" w:ascii="Times New Roman" w:hAnsi="Times New Roman" w:cs="Times New Roman"/>
                <w:b/>
                <w:bCs w:val="0"/>
                <w:color w:val="auto"/>
                <w:sz w:val="24"/>
                <w:szCs w:val="24"/>
                <w:lang w:val="en-US" w:eastAsia="zh-CN"/>
              </w:rPr>
              <w:t>发</w:t>
            </w:r>
            <w:r>
              <w:rPr>
                <w:rFonts w:hint="default" w:ascii="Times New Roman" w:hAnsi="Times New Roman" w:cs="Times New Roman"/>
                <w:b/>
                <w:bCs w:val="0"/>
                <w:color w:val="auto"/>
                <w:sz w:val="24"/>
                <w:szCs w:val="24"/>
                <w:lang w:val="en-US" w:eastAsia="zh-CN"/>
              </w:rPr>
              <w:t>油过程产生设备噪声</w:t>
            </w:r>
            <w:r>
              <w:rPr>
                <w:rFonts w:hint="eastAsia" w:cs="Times New Roman"/>
                <w:b/>
                <w:bCs w:val="0"/>
                <w:color w:val="auto"/>
                <w:sz w:val="24"/>
                <w:szCs w:val="24"/>
                <w:lang w:val="en-US" w:eastAsia="zh-CN"/>
              </w:rPr>
              <w:t>、</w:t>
            </w:r>
            <w:r>
              <w:rPr>
                <w:rFonts w:hint="default" w:ascii="Times New Roman" w:hAnsi="Times New Roman" w:cs="Times New Roman"/>
                <w:b/>
                <w:bCs w:val="0"/>
                <w:color w:val="auto"/>
                <w:sz w:val="24"/>
                <w:szCs w:val="24"/>
                <w:lang w:val="en-US" w:eastAsia="zh-CN"/>
              </w:rPr>
              <w:t>少量的非甲烷总烃气体</w:t>
            </w:r>
            <w:r>
              <w:rPr>
                <w:rFonts w:hint="eastAsia" w:cs="Times New Roman"/>
                <w:b/>
                <w:bCs w:val="0"/>
                <w:color w:val="auto"/>
                <w:sz w:val="24"/>
                <w:szCs w:val="24"/>
                <w:lang w:val="en-US" w:eastAsia="zh-CN"/>
              </w:rPr>
              <w:t>和过滤分离器废滤芯</w:t>
            </w:r>
            <w:r>
              <w:rPr>
                <w:rFonts w:hint="default" w:ascii="Times New Roman" w:hAnsi="Times New Roman" w:cs="Times New Roman"/>
                <w:b/>
                <w:bCs w:val="0"/>
                <w:color w:val="auto"/>
                <w:sz w:val="24"/>
                <w:szCs w:val="24"/>
                <w:lang w:val="en-US" w:eastAsia="zh-CN"/>
              </w:rPr>
              <w:t>。</w:t>
            </w:r>
          </w:p>
          <w:p w14:paraId="46077A7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lang w:val="en-US" w:eastAsia="zh-CN"/>
              </w:rPr>
              <w:t xml:space="preserve">3、倒罐作业流程 </w:t>
            </w:r>
          </w:p>
          <w:p w14:paraId="6F109DD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lang w:val="en-US" w:eastAsia="zh-CN"/>
              </w:rPr>
              <w:t xml:space="preserve">甲储油罐→粗过滤器→倒罐泵→止回阀→过滤分离器→容积式流量计→储油罐。 </w:t>
            </w:r>
          </w:p>
          <w:p w14:paraId="766A82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2" w:firstLineChars="200"/>
              <w:jc w:val="left"/>
              <w:textAlignment w:val="auto"/>
              <w:rPr>
                <w:rFonts w:hint="default" w:ascii="Times New Roman" w:hAnsi="Times New Roman" w:cs="Times New Roman"/>
                <w:b/>
                <w:bCs w:val="0"/>
                <w:color w:val="auto"/>
                <w:sz w:val="24"/>
                <w:szCs w:val="24"/>
                <w:lang w:val="en-US" w:eastAsia="zh-CN"/>
              </w:rPr>
            </w:pPr>
            <w:r>
              <w:rPr>
                <w:rFonts w:hint="default" w:ascii="Times New Roman" w:hAnsi="Times New Roman" w:cs="Times New Roman"/>
                <w:b/>
                <w:bCs w:val="0"/>
                <w:color w:val="auto"/>
                <w:sz w:val="24"/>
                <w:szCs w:val="24"/>
                <w:lang w:val="en-US" w:eastAsia="zh-CN"/>
              </w:rPr>
              <w:t>倒罐过程产生设备噪声</w:t>
            </w:r>
            <w:r>
              <w:rPr>
                <w:rFonts w:hint="eastAsia" w:ascii="Times New Roman" w:hAnsi="Times New Roman" w:cs="Times New Roman"/>
                <w:b/>
                <w:bCs w:val="0"/>
                <w:color w:val="auto"/>
                <w:sz w:val="24"/>
                <w:szCs w:val="24"/>
                <w:lang w:val="en-US" w:eastAsia="zh-CN"/>
              </w:rPr>
              <w:t>、</w:t>
            </w:r>
            <w:r>
              <w:rPr>
                <w:rFonts w:hint="eastAsia" w:cs="Times New Roman"/>
                <w:b/>
                <w:bCs w:val="0"/>
                <w:color w:val="auto"/>
                <w:sz w:val="24"/>
                <w:szCs w:val="24"/>
                <w:lang w:val="en-US" w:eastAsia="zh-CN"/>
              </w:rPr>
              <w:t>过滤分离器废滤芯</w:t>
            </w:r>
            <w:r>
              <w:rPr>
                <w:rFonts w:hint="eastAsia" w:ascii="Times New Roman" w:hAnsi="Times New Roman" w:cs="Times New Roman"/>
                <w:b/>
                <w:bCs w:val="0"/>
                <w:color w:val="auto"/>
                <w:sz w:val="24"/>
                <w:szCs w:val="24"/>
                <w:lang w:val="en-US" w:eastAsia="zh-CN"/>
              </w:rPr>
              <w:t>。</w:t>
            </w:r>
          </w:p>
          <w:p w14:paraId="3A1DFE4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2" w:firstLineChars="200"/>
              <w:jc w:val="left"/>
              <w:textAlignment w:val="auto"/>
              <w:rPr>
                <w:rFonts w:hint="default" w:ascii="Times New Roman" w:hAnsi="Times New Roman" w:cs="Times New Roman"/>
                <w:b/>
                <w:bCs w:val="0"/>
                <w:color w:val="auto"/>
                <w:sz w:val="24"/>
                <w:szCs w:val="24"/>
              </w:rPr>
            </w:pPr>
            <w:r>
              <w:rPr>
                <w:rFonts w:hint="default" w:ascii="Times New Roman" w:hAnsi="Times New Roman" w:cs="Times New Roman"/>
                <w:b/>
                <w:bCs w:val="0"/>
                <w:color w:val="auto"/>
                <w:sz w:val="24"/>
                <w:szCs w:val="24"/>
                <w:lang w:val="en-US" w:eastAsia="zh-CN"/>
              </w:rPr>
              <w:t xml:space="preserve">4、底油倒罐流程 </w:t>
            </w:r>
          </w:p>
          <w:p w14:paraId="12362F4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lang w:val="en-US" w:eastAsia="zh-CN"/>
              </w:rPr>
              <w:t xml:space="preserve">储油罐底油→粗过滤器→底油倒罐泵→止回阀→储油罐。 </w:t>
            </w:r>
          </w:p>
          <w:p w14:paraId="52E0E91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2" w:firstLineChars="200"/>
              <w:jc w:val="left"/>
              <w:textAlignment w:val="auto"/>
              <w:rPr>
                <w:rFonts w:hint="default" w:ascii="Times New Roman" w:hAnsi="Times New Roman" w:cs="Times New Roman"/>
                <w:b/>
                <w:bCs w:val="0"/>
                <w:color w:val="auto"/>
                <w:sz w:val="24"/>
                <w:szCs w:val="24"/>
                <w:lang w:val="en-US" w:eastAsia="zh-CN"/>
              </w:rPr>
            </w:pPr>
            <w:r>
              <w:rPr>
                <w:rFonts w:hint="default" w:ascii="Times New Roman" w:hAnsi="Times New Roman" w:cs="Times New Roman"/>
                <w:b/>
                <w:bCs w:val="0"/>
                <w:color w:val="auto"/>
                <w:sz w:val="24"/>
                <w:szCs w:val="24"/>
                <w:lang w:val="en-US" w:eastAsia="zh-CN"/>
              </w:rPr>
              <w:t>底油倒罐过程产生设备噪声</w:t>
            </w:r>
            <w:r>
              <w:rPr>
                <w:rFonts w:hint="eastAsia" w:ascii="Times New Roman" w:hAnsi="Times New Roman" w:cs="Times New Roman"/>
                <w:b/>
                <w:bCs w:val="0"/>
                <w:color w:val="auto"/>
                <w:sz w:val="24"/>
                <w:szCs w:val="24"/>
                <w:lang w:val="en-US" w:eastAsia="zh-CN"/>
              </w:rPr>
              <w:t>、</w:t>
            </w:r>
            <w:r>
              <w:rPr>
                <w:rFonts w:hint="eastAsia" w:cs="Times New Roman"/>
                <w:b/>
                <w:bCs w:val="0"/>
                <w:color w:val="auto"/>
                <w:sz w:val="24"/>
                <w:szCs w:val="24"/>
                <w:lang w:val="en-US" w:eastAsia="zh-CN"/>
              </w:rPr>
              <w:t>过滤分离器废滤芯</w:t>
            </w:r>
            <w:r>
              <w:rPr>
                <w:rFonts w:hint="eastAsia" w:ascii="Times New Roman" w:hAnsi="Times New Roman" w:cs="Times New Roman"/>
                <w:b/>
                <w:bCs w:val="0"/>
                <w:color w:val="auto"/>
                <w:sz w:val="24"/>
                <w:szCs w:val="24"/>
                <w:lang w:val="en-US" w:eastAsia="zh-CN"/>
              </w:rPr>
              <w:t>。</w:t>
            </w:r>
          </w:p>
          <w:p w14:paraId="7C46C4E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2" w:firstLineChars="200"/>
              <w:jc w:val="left"/>
              <w:textAlignment w:val="auto"/>
              <w:rPr>
                <w:rFonts w:hint="default" w:ascii="Times New Roman" w:hAnsi="Times New Roman" w:cs="Times New Roman"/>
                <w:b/>
                <w:bCs w:val="0"/>
                <w:color w:val="auto"/>
                <w:sz w:val="24"/>
                <w:szCs w:val="24"/>
              </w:rPr>
            </w:pPr>
            <w:r>
              <w:rPr>
                <w:rFonts w:hint="default" w:ascii="Times New Roman" w:hAnsi="Times New Roman" w:cs="Times New Roman"/>
                <w:b/>
                <w:bCs w:val="0"/>
                <w:color w:val="auto"/>
                <w:sz w:val="24"/>
                <w:szCs w:val="24"/>
                <w:lang w:val="en-US" w:eastAsia="zh-CN"/>
              </w:rPr>
              <w:t xml:space="preserve">5、底污油作业流程 </w:t>
            </w:r>
          </w:p>
          <w:p w14:paraId="49D628B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储油罐底油→闭路取样器→质量检查桶→合格油品→罐前底油回收泵→原储油罐；</w:t>
            </w:r>
          </w:p>
          <w:p w14:paraId="16FCA60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lang w:val="en-US" w:eastAsia="zh-CN"/>
              </w:rPr>
              <w:t xml:space="preserve">储油罐底油→闭路取样器→质量检查桶→不合格油品→罐前底油回收泵→回收罐； </w:t>
            </w:r>
          </w:p>
          <w:p w14:paraId="0726968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 xml:space="preserve">过滤分离器底油→闭路取样器→质量检查桶→底油回收泵→回收罐； </w:t>
            </w:r>
          </w:p>
          <w:p w14:paraId="0AB4E6B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lang w:val="en-US" w:eastAsia="zh-CN"/>
              </w:rPr>
              <w:t>回收罐质量合格油品→粗过滤器→底油倒罐泵→止回阀→储油罐；</w:t>
            </w:r>
          </w:p>
          <w:p w14:paraId="16D7EB3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2" w:firstLineChars="200"/>
              <w:jc w:val="left"/>
              <w:textAlignment w:val="auto"/>
              <w:rPr>
                <w:rFonts w:hint="default" w:ascii="Times New Roman" w:hAnsi="Times New Roman" w:cs="Times New Roman"/>
                <w:b/>
                <w:bCs w:val="0"/>
                <w:color w:val="auto"/>
                <w:sz w:val="24"/>
                <w:szCs w:val="24"/>
                <w:lang w:val="en-US" w:eastAsia="zh-CN"/>
              </w:rPr>
            </w:pPr>
            <w:r>
              <w:rPr>
                <w:rFonts w:hint="default" w:ascii="Times New Roman" w:hAnsi="Times New Roman" w:cs="Times New Roman"/>
                <w:b/>
                <w:bCs w:val="0"/>
                <w:color w:val="auto"/>
                <w:sz w:val="24"/>
                <w:szCs w:val="24"/>
                <w:lang w:val="en-US" w:eastAsia="zh-CN"/>
              </w:rPr>
              <w:t>底污油</w:t>
            </w:r>
            <w:r>
              <w:rPr>
                <w:rFonts w:hint="eastAsia" w:ascii="Times New Roman" w:hAnsi="Times New Roman" w:cs="Times New Roman"/>
                <w:b/>
                <w:bCs w:val="0"/>
                <w:color w:val="auto"/>
                <w:sz w:val="24"/>
                <w:szCs w:val="24"/>
                <w:lang w:val="en-US" w:eastAsia="zh-CN"/>
              </w:rPr>
              <w:t>作业</w:t>
            </w:r>
            <w:r>
              <w:rPr>
                <w:rFonts w:hint="default" w:ascii="Times New Roman" w:hAnsi="Times New Roman" w:cs="Times New Roman"/>
                <w:b/>
                <w:bCs w:val="0"/>
                <w:color w:val="auto"/>
                <w:sz w:val="24"/>
                <w:szCs w:val="24"/>
                <w:lang w:val="en-US" w:eastAsia="zh-CN"/>
              </w:rPr>
              <w:t>产生设备噪声</w:t>
            </w:r>
            <w:r>
              <w:rPr>
                <w:rFonts w:hint="eastAsia" w:ascii="Times New Roman" w:hAnsi="Times New Roman" w:cs="Times New Roman"/>
                <w:b/>
                <w:bCs w:val="0"/>
                <w:color w:val="auto"/>
                <w:sz w:val="24"/>
                <w:szCs w:val="24"/>
                <w:lang w:val="en-US" w:eastAsia="zh-CN"/>
              </w:rPr>
              <w:t>、</w:t>
            </w:r>
            <w:r>
              <w:rPr>
                <w:rFonts w:hint="default" w:ascii="Times New Roman" w:hAnsi="Times New Roman" w:cs="Times New Roman"/>
                <w:b/>
                <w:bCs w:val="0"/>
                <w:color w:val="auto"/>
                <w:sz w:val="24"/>
                <w:szCs w:val="24"/>
                <w:lang w:val="en-US" w:eastAsia="zh-CN"/>
              </w:rPr>
              <w:t>少量的非甲烷总烃气体</w:t>
            </w:r>
            <w:r>
              <w:rPr>
                <w:rFonts w:hint="eastAsia" w:ascii="Times New Roman" w:hAnsi="Times New Roman" w:cs="Times New Roman"/>
                <w:b/>
                <w:bCs w:val="0"/>
                <w:color w:val="auto"/>
                <w:sz w:val="24"/>
                <w:szCs w:val="24"/>
                <w:lang w:val="en-US" w:eastAsia="zh-CN"/>
              </w:rPr>
              <w:t>和</w:t>
            </w:r>
            <w:r>
              <w:rPr>
                <w:rFonts w:hint="eastAsia" w:cs="Times New Roman"/>
                <w:b/>
                <w:bCs w:val="0"/>
                <w:color w:val="auto"/>
                <w:sz w:val="24"/>
                <w:szCs w:val="24"/>
                <w:lang w:val="en-US" w:eastAsia="zh-CN"/>
              </w:rPr>
              <w:t>过滤分离器废滤芯</w:t>
            </w:r>
            <w:r>
              <w:rPr>
                <w:rFonts w:hint="default" w:ascii="Times New Roman" w:hAnsi="Times New Roman" w:cs="Times New Roman"/>
                <w:b/>
                <w:bCs w:val="0"/>
                <w:color w:val="auto"/>
                <w:sz w:val="24"/>
                <w:szCs w:val="24"/>
                <w:lang w:val="en-US" w:eastAsia="zh-CN"/>
              </w:rPr>
              <w:t>。</w:t>
            </w:r>
          </w:p>
          <w:p w14:paraId="4DE406EE">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2" w:firstLineChars="200"/>
              <w:jc w:val="left"/>
              <w:textAlignment w:val="auto"/>
              <w:rPr>
                <w:rFonts w:hint="eastAsia" w:ascii="Times New Roman" w:hAnsi="Times New Roman" w:cs="Times New Roman"/>
                <w:b/>
                <w:bCs w:val="0"/>
                <w:color w:val="auto"/>
                <w:sz w:val="24"/>
                <w:szCs w:val="24"/>
                <w:lang w:val="en-US" w:eastAsia="zh-CN"/>
              </w:rPr>
            </w:pPr>
            <w:r>
              <w:rPr>
                <w:rFonts w:hint="eastAsia" w:ascii="Times New Roman" w:hAnsi="Times New Roman" w:cs="Times New Roman"/>
                <w:b/>
                <w:bCs w:val="0"/>
                <w:color w:val="auto"/>
                <w:sz w:val="24"/>
                <w:szCs w:val="24"/>
                <w:lang w:val="en-US" w:eastAsia="zh-CN"/>
              </w:rPr>
              <w:t>清罐</w:t>
            </w:r>
          </w:p>
          <w:p w14:paraId="03A5B50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b w:val="0"/>
                <w:bCs w:val="0"/>
                <w:color w:val="auto"/>
                <w:sz w:val="24"/>
                <w:szCs w:val="24"/>
              </w:rPr>
            </w:pPr>
            <w:r>
              <w:rPr>
                <w:rFonts w:hint="eastAsia"/>
                <w:b w:val="0"/>
                <w:bCs w:val="0"/>
                <w:color w:val="auto"/>
                <w:sz w:val="24"/>
                <w:szCs w:val="24"/>
                <w:lang w:val="en-US" w:eastAsia="zh-CN"/>
              </w:rPr>
              <w:t xml:space="preserve">（1）作业人员在有监护的情况下，身穿防静电服装，使用防爆工具松开人孔上的螺丝，打开人孔盖及各管线法兰。 </w:t>
            </w:r>
          </w:p>
          <w:p w14:paraId="6D8CD2C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b w:val="0"/>
                <w:bCs w:val="0"/>
                <w:color w:val="auto"/>
                <w:sz w:val="24"/>
                <w:szCs w:val="24"/>
              </w:rPr>
            </w:pPr>
            <w:r>
              <w:rPr>
                <w:rFonts w:hint="eastAsia"/>
                <w:b w:val="0"/>
                <w:bCs w:val="0"/>
                <w:color w:val="auto"/>
                <w:sz w:val="24"/>
                <w:szCs w:val="24"/>
                <w:lang w:val="en-US" w:eastAsia="zh-CN"/>
              </w:rPr>
              <w:t xml:space="preserve">（2）检查罐内的油面高度，如果有油，使用防爆吸油泵把底油从罐内抽出直至抽完。 </w:t>
            </w:r>
          </w:p>
          <w:p w14:paraId="47B02B1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b w:val="0"/>
                <w:bCs w:val="0"/>
                <w:color w:val="auto"/>
                <w:sz w:val="24"/>
                <w:szCs w:val="24"/>
              </w:rPr>
            </w:pPr>
            <w:r>
              <w:rPr>
                <w:rFonts w:hint="eastAsia"/>
                <w:b w:val="0"/>
                <w:bCs w:val="0"/>
                <w:color w:val="auto"/>
                <w:sz w:val="24"/>
                <w:szCs w:val="24"/>
                <w:lang w:val="en-US" w:eastAsia="zh-CN"/>
              </w:rPr>
              <w:t>（3）在进入受限空间前，使用大功率防爆轴流风机深入罐内进行若干时间的</w:t>
            </w:r>
          </w:p>
          <w:p w14:paraId="4C17195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b w:val="0"/>
                <w:bCs w:val="0"/>
                <w:color w:val="auto"/>
                <w:sz w:val="24"/>
                <w:szCs w:val="24"/>
              </w:rPr>
            </w:pPr>
            <w:r>
              <w:rPr>
                <w:rFonts w:hint="eastAsia"/>
                <w:b w:val="0"/>
                <w:bCs w:val="0"/>
                <w:color w:val="auto"/>
                <w:sz w:val="24"/>
                <w:szCs w:val="24"/>
                <w:lang w:val="en-US" w:eastAsia="zh-CN"/>
              </w:rPr>
              <w:t>通风换油气后。使用两台同一型号可燃气体检测仪测量罐内油气浓度，油气浓度</w:t>
            </w:r>
          </w:p>
          <w:p w14:paraId="1806860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b w:val="0"/>
                <w:bCs w:val="0"/>
                <w:color w:val="auto"/>
                <w:sz w:val="24"/>
                <w:szCs w:val="24"/>
              </w:rPr>
            </w:pPr>
            <w:r>
              <w:rPr>
                <w:rFonts w:hint="eastAsia"/>
                <w:b w:val="0"/>
                <w:bCs w:val="0"/>
                <w:color w:val="auto"/>
                <w:sz w:val="24"/>
                <w:szCs w:val="24"/>
                <w:lang w:val="en-US" w:eastAsia="zh-CN"/>
              </w:rPr>
              <w:t xml:space="preserve">要求低于安全指标。 </w:t>
            </w:r>
          </w:p>
          <w:p w14:paraId="291BDCB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b w:val="0"/>
                <w:bCs w:val="0"/>
                <w:color w:val="auto"/>
                <w:sz w:val="24"/>
                <w:szCs w:val="24"/>
              </w:rPr>
            </w:pPr>
            <w:r>
              <w:rPr>
                <w:rFonts w:hint="eastAsia"/>
                <w:b w:val="0"/>
                <w:bCs w:val="0"/>
                <w:color w:val="auto"/>
                <w:sz w:val="24"/>
                <w:szCs w:val="24"/>
                <w:lang w:val="en-US" w:eastAsia="zh-CN"/>
              </w:rPr>
              <w:t xml:space="preserve">（4）施工人员使用正压式呼吸机、佩戴防毒面具并且携带安全绳方可进入罐 </w:t>
            </w:r>
          </w:p>
          <w:p w14:paraId="3DBDC04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b w:val="0"/>
                <w:bCs w:val="0"/>
                <w:color w:val="auto"/>
                <w:sz w:val="24"/>
                <w:szCs w:val="24"/>
              </w:rPr>
            </w:pPr>
            <w:r>
              <w:rPr>
                <w:rFonts w:hint="eastAsia"/>
                <w:b w:val="0"/>
                <w:bCs w:val="0"/>
                <w:color w:val="auto"/>
                <w:sz w:val="24"/>
                <w:szCs w:val="24"/>
                <w:lang w:val="en-US" w:eastAsia="zh-CN"/>
              </w:rPr>
              <w:t>内进行清洗作业。每隔</w:t>
            </w:r>
            <w:r>
              <w:rPr>
                <w:rFonts w:hint="default"/>
                <w:b w:val="0"/>
                <w:bCs w:val="0"/>
                <w:color w:val="auto"/>
                <w:sz w:val="24"/>
                <w:szCs w:val="24"/>
                <w:lang w:val="en-US" w:eastAsia="zh-CN"/>
              </w:rPr>
              <w:t>15</w:t>
            </w:r>
            <w:r>
              <w:rPr>
                <w:rFonts w:hint="eastAsia"/>
                <w:b w:val="0"/>
                <w:bCs w:val="0"/>
                <w:color w:val="auto"/>
                <w:sz w:val="24"/>
                <w:szCs w:val="24"/>
                <w:lang w:val="en-US" w:eastAsia="zh-CN"/>
              </w:rPr>
              <w:t xml:space="preserve">分钟更换作业人员，每隔一小时重新检测油气浓度，确认油气浓度低于安全指标，方可继续作业。 </w:t>
            </w:r>
          </w:p>
          <w:p w14:paraId="1A5B00C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b w:val="0"/>
                <w:bCs w:val="0"/>
                <w:color w:val="auto"/>
                <w:sz w:val="24"/>
                <w:szCs w:val="24"/>
              </w:rPr>
            </w:pPr>
            <w:r>
              <w:rPr>
                <w:rFonts w:hint="eastAsia"/>
                <w:b w:val="0"/>
                <w:bCs w:val="0"/>
                <w:color w:val="auto"/>
                <w:sz w:val="24"/>
                <w:szCs w:val="24"/>
                <w:lang w:val="en-US" w:eastAsia="zh-CN"/>
              </w:rPr>
              <w:t xml:space="preserve">（5）佩戴防毒面具并且携带安全绳进入罐内清洗通道进行作业，先用钢揪清 </w:t>
            </w:r>
          </w:p>
          <w:p w14:paraId="3708035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b w:val="0"/>
                <w:bCs w:val="0"/>
                <w:color w:val="auto"/>
                <w:sz w:val="24"/>
                <w:szCs w:val="24"/>
              </w:rPr>
            </w:pPr>
            <w:r>
              <w:rPr>
                <w:rFonts w:hint="eastAsia"/>
                <w:b w:val="0"/>
                <w:bCs w:val="0"/>
                <w:color w:val="auto"/>
                <w:sz w:val="24"/>
                <w:szCs w:val="24"/>
                <w:lang w:val="en-US" w:eastAsia="zh-CN"/>
              </w:rPr>
              <w:t xml:space="preserve">除罐底壁上的铁锈及残渣污泥，再用木锯末配比清洗剂把罐壁上的污物清除掉，最后使用纯棉布擦拭，直至清理干净露出金属面为止，把污物彻底清除干净。 </w:t>
            </w:r>
          </w:p>
          <w:p w14:paraId="08C134C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b w:val="0"/>
                <w:bCs w:val="0"/>
                <w:color w:val="auto"/>
                <w:sz w:val="24"/>
                <w:szCs w:val="24"/>
              </w:rPr>
            </w:pPr>
            <w:r>
              <w:rPr>
                <w:rFonts w:hint="eastAsia"/>
                <w:b w:val="0"/>
                <w:bCs w:val="0"/>
                <w:color w:val="auto"/>
                <w:sz w:val="24"/>
                <w:szCs w:val="24"/>
                <w:lang w:val="en-US" w:eastAsia="zh-CN"/>
              </w:rPr>
              <w:t xml:space="preserve">（6）清洗作业完毕后，人孔盖及管线在安装连接处要使用全新密封垫，并且保持各连接处的紧固件扭力均衡，以防止渗漏事故发生，确保每个静电接地线及跨接线连接正确。 </w:t>
            </w:r>
          </w:p>
          <w:p w14:paraId="04D5417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b w:val="0"/>
                <w:bCs w:val="0"/>
                <w:color w:val="auto"/>
                <w:sz w:val="24"/>
                <w:szCs w:val="24"/>
              </w:rPr>
            </w:pPr>
            <w:r>
              <w:rPr>
                <w:rFonts w:hint="eastAsia"/>
                <w:b w:val="0"/>
                <w:bCs w:val="0"/>
                <w:color w:val="auto"/>
                <w:sz w:val="24"/>
                <w:szCs w:val="24"/>
                <w:lang w:val="en-US" w:eastAsia="zh-CN"/>
              </w:rPr>
              <w:t>厂区每3年委托有资质单位进行一次清罐，清罐过程产生的罐底油泥、废吸油材料为危险废物，由有资质单位直接清运处理，不在厂区内暂存。</w:t>
            </w:r>
          </w:p>
          <w:p w14:paraId="6BDFB4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contextualSpacing/>
              <w:jc w:val="center"/>
              <w:textAlignment w:val="auto"/>
              <w:rPr>
                <w:rFonts w:hint="eastAsia"/>
                <w:b/>
                <w:bCs/>
                <w:color w:val="auto"/>
                <w:sz w:val="24"/>
                <w:szCs w:val="24"/>
              </w:rPr>
            </w:pPr>
            <w:r>
              <w:rPr>
                <w:b/>
                <w:bCs/>
                <w:color w:val="auto"/>
                <w:sz w:val="24"/>
                <w:szCs w:val="24"/>
              </w:rPr>
              <w:t>表</w:t>
            </w:r>
            <w:r>
              <w:rPr>
                <w:rFonts w:hint="eastAsia"/>
                <w:b/>
                <w:bCs/>
                <w:color w:val="auto"/>
                <w:sz w:val="24"/>
                <w:szCs w:val="24"/>
              </w:rPr>
              <w:t>2-</w:t>
            </w:r>
            <w:r>
              <w:rPr>
                <w:rFonts w:hint="eastAsia"/>
                <w:b/>
                <w:bCs/>
                <w:color w:val="auto"/>
                <w:sz w:val="24"/>
                <w:szCs w:val="24"/>
                <w:lang w:val="en-US" w:eastAsia="zh-CN"/>
              </w:rPr>
              <w:t xml:space="preserve">5  </w:t>
            </w:r>
            <w:r>
              <w:rPr>
                <w:rFonts w:hint="eastAsia"/>
                <w:b/>
                <w:bCs/>
                <w:color w:val="auto"/>
                <w:sz w:val="24"/>
                <w:szCs w:val="24"/>
              </w:rPr>
              <w:t>运营期</w:t>
            </w:r>
            <w:r>
              <w:rPr>
                <w:rFonts w:hint="eastAsia"/>
                <w:b/>
                <w:bCs/>
                <w:color w:val="auto"/>
                <w:sz w:val="24"/>
                <w:szCs w:val="24"/>
                <w:lang w:val="en-US" w:eastAsia="zh-CN"/>
              </w:rPr>
              <w:t>目产排污情况一览表</w:t>
            </w:r>
          </w:p>
          <w:tbl>
            <w:tblPr>
              <w:tblStyle w:val="33"/>
              <w:tblW w:w="4960" w:type="pct"/>
              <w:tblInd w:w="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71"/>
              <w:gridCol w:w="1729"/>
              <w:gridCol w:w="1355"/>
              <w:gridCol w:w="1512"/>
              <w:gridCol w:w="2973"/>
            </w:tblGrid>
            <w:tr w14:paraId="79B1E1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62" w:type="pct"/>
                  <w:tcBorders>
                    <w:tl2br w:val="nil"/>
                    <w:tr2bl w:val="nil"/>
                  </w:tcBorders>
                  <w:vAlign w:val="center"/>
                </w:tcPr>
                <w:p w14:paraId="6B1555B5">
                  <w:pPr>
                    <w:keepNext w:val="0"/>
                    <w:keepLines w:val="0"/>
                    <w:pageBreakBefore w:val="0"/>
                    <w:widowControl w:val="0"/>
                    <w:kinsoku/>
                    <w:wordWrap/>
                    <w:overflowPunct/>
                    <w:topLinePunct w:val="0"/>
                    <w:autoSpaceDE/>
                    <w:autoSpaceDN/>
                    <w:bidi w:val="0"/>
                    <w:adjustRightInd/>
                    <w:snapToGrid/>
                    <w:jc w:val="center"/>
                    <w:textAlignment w:val="auto"/>
                    <w:rPr>
                      <w:rFonts w:hint="eastAsia"/>
                      <w:b/>
                      <w:bCs/>
                      <w:color w:val="auto"/>
                      <w:lang w:val="en-US" w:eastAsia="zh-CN"/>
                    </w:rPr>
                  </w:pPr>
                  <w:r>
                    <w:rPr>
                      <w:rFonts w:hint="eastAsia"/>
                      <w:b/>
                      <w:bCs/>
                      <w:color w:val="auto"/>
                      <w:lang w:val="en-US" w:eastAsia="zh-CN"/>
                    </w:rPr>
                    <w:t>类别</w:t>
                  </w:r>
                </w:p>
              </w:tc>
              <w:tc>
                <w:tcPr>
                  <w:tcW w:w="1036" w:type="pct"/>
                  <w:tcBorders>
                    <w:tl2br w:val="nil"/>
                    <w:tr2bl w:val="nil"/>
                  </w:tcBorders>
                  <w:vAlign w:val="center"/>
                </w:tcPr>
                <w:p w14:paraId="05B9EFB7">
                  <w:pPr>
                    <w:keepNext w:val="0"/>
                    <w:keepLines w:val="0"/>
                    <w:pageBreakBefore w:val="0"/>
                    <w:widowControl w:val="0"/>
                    <w:kinsoku/>
                    <w:wordWrap/>
                    <w:overflowPunct/>
                    <w:topLinePunct w:val="0"/>
                    <w:autoSpaceDE/>
                    <w:autoSpaceDN/>
                    <w:bidi w:val="0"/>
                    <w:adjustRightInd/>
                    <w:snapToGrid/>
                    <w:jc w:val="center"/>
                    <w:textAlignment w:val="auto"/>
                    <w:rPr>
                      <w:rFonts w:hint="default"/>
                      <w:b/>
                      <w:bCs/>
                      <w:color w:val="auto"/>
                      <w:lang w:val="en-US" w:eastAsia="zh-CN"/>
                    </w:rPr>
                  </w:pPr>
                  <w:r>
                    <w:rPr>
                      <w:rFonts w:hint="default"/>
                      <w:b/>
                      <w:bCs/>
                      <w:color w:val="auto"/>
                      <w:lang w:val="en-US" w:eastAsia="zh-CN"/>
                    </w:rPr>
                    <w:t>产污工序</w:t>
                  </w:r>
                </w:p>
              </w:tc>
              <w:tc>
                <w:tcPr>
                  <w:tcW w:w="812" w:type="pct"/>
                  <w:tcBorders>
                    <w:tl2br w:val="nil"/>
                    <w:tr2bl w:val="nil"/>
                  </w:tcBorders>
                  <w:vAlign w:val="center"/>
                </w:tcPr>
                <w:p w14:paraId="1A9DFEFB">
                  <w:pPr>
                    <w:keepNext w:val="0"/>
                    <w:keepLines w:val="0"/>
                    <w:pageBreakBefore w:val="0"/>
                    <w:widowControl w:val="0"/>
                    <w:kinsoku/>
                    <w:wordWrap/>
                    <w:overflowPunct/>
                    <w:topLinePunct w:val="0"/>
                    <w:autoSpaceDE/>
                    <w:autoSpaceDN/>
                    <w:bidi w:val="0"/>
                    <w:adjustRightInd/>
                    <w:snapToGrid/>
                    <w:jc w:val="center"/>
                    <w:textAlignment w:val="auto"/>
                    <w:rPr>
                      <w:rFonts w:hint="eastAsia"/>
                      <w:b/>
                      <w:bCs/>
                      <w:color w:val="auto"/>
                      <w:lang w:val="en-US" w:eastAsia="zh-CN"/>
                    </w:rPr>
                  </w:pPr>
                  <w:r>
                    <w:rPr>
                      <w:rFonts w:hint="eastAsia"/>
                      <w:b/>
                      <w:bCs/>
                      <w:color w:val="auto"/>
                      <w:lang w:val="en-US" w:eastAsia="zh-CN"/>
                    </w:rPr>
                    <w:t>主要污染物</w:t>
                  </w:r>
                </w:p>
              </w:tc>
              <w:tc>
                <w:tcPr>
                  <w:tcW w:w="906" w:type="pct"/>
                  <w:tcBorders>
                    <w:right w:val="single" w:color="auto" w:sz="4" w:space="0"/>
                    <w:tl2br w:val="nil"/>
                    <w:tr2bl w:val="nil"/>
                  </w:tcBorders>
                  <w:vAlign w:val="center"/>
                </w:tcPr>
                <w:p w14:paraId="1163167B">
                  <w:pPr>
                    <w:keepNext w:val="0"/>
                    <w:keepLines w:val="0"/>
                    <w:pageBreakBefore w:val="0"/>
                    <w:widowControl w:val="0"/>
                    <w:kinsoku/>
                    <w:wordWrap/>
                    <w:overflowPunct/>
                    <w:topLinePunct w:val="0"/>
                    <w:autoSpaceDE/>
                    <w:autoSpaceDN/>
                    <w:bidi w:val="0"/>
                    <w:adjustRightInd/>
                    <w:snapToGrid/>
                    <w:jc w:val="center"/>
                    <w:textAlignment w:val="auto"/>
                    <w:rPr>
                      <w:rFonts w:hint="default"/>
                      <w:b/>
                      <w:bCs/>
                      <w:color w:val="auto"/>
                      <w:lang w:val="en-US" w:eastAsia="zh-CN"/>
                    </w:rPr>
                  </w:pPr>
                  <w:r>
                    <w:rPr>
                      <w:rFonts w:hint="eastAsia"/>
                      <w:b/>
                      <w:bCs/>
                      <w:color w:val="auto"/>
                      <w:lang w:val="en-US" w:eastAsia="zh-CN"/>
                    </w:rPr>
                    <w:t>污染因子</w:t>
                  </w:r>
                </w:p>
              </w:tc>
              <w:tc>
                <w:tcPr>
                  <w:tcW w:w="1782" w:type="pct"/>
                  <w:tcBorders>
                    <w:left w:val="single" w:color="auto" w:sz="4" w:space="0"/>
                    <w:tl2br w:val="nil"/>
                    <w:tr2bl w:val="nil"/>
                  </w:tcBorders>
                  <w:vAlign w:val="center"/>
                </w:tcPr>
                <w:p w14:paraId="673CB2C2">
                  <w:pPr>
                    <w:keepNext w:val="0"/>
                    <w:keepLines w:val="0"/>
                    <w:pageBreakBefore w:val="0"/>
                    <w:widowControl w:val="0"/>
                    <w:kinsoku/>
                    <w:wordWrap/>
                    <w:overflowPunct/>
                    <w:topLinePunct w:val="0"/>
                    <w:autoSpaceDE/>
                    <w:autoSpaceDN/>
                    <w:bidi w:val="0"/>
                    <w:adjustRightInd/>
                    <w:snapToGrid/>
                    <w:jc w:val="center"/>
                    <w:textAlignment w:val="auto"/>
                    <w:rPr>
                      <w:rFonts w:hint="eastAsia"/>
                      <w:b/>
                      <w:bCs/>
                      <w:color w:val="auto"/>
                      <w:lang w:val="en-US" w:eastAsia="zh-CN"/>
                    </w:rPr>
                  </w:pPr>
                  <w:r>
                    <w:rPr>
                      <w:rFonts w:hint="eastAsia"/>
                      <w:b/>
                      <w:bCs/>
                      <w:color w:val="auto"/>
                      <w:lang w:val="en-US" w:eastAsia="zh-CN"/>
                    </w:rPr>
                    <w:t>处理措施</w:t>
                  </w:r>
                </w:p>
              </w:tc>
            </w:tr>
            <w:tr w14:paraId="71D8DF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5" w:hRule="atLeast"/>
              </w:trPr>
              <w:tc>
                <w:tcPr>
                  <w:tcW w:w="462" w:type="pct"/>
                  <w:tcBorders>
                    <w:tl2br w:val="nil"/>
                    <w:tr2bl w:val="nil"/>
                  </w:tcBorders>
                  <w:vAlign w:val="center"/>
                </w:tcPr>
                <w:p w14:paraId="60F3AAA5">
                  <w:pPr>
                    <w:keepNext w:val="0"/>
                    <w:keepLines w:val="0"/>
                    <w:pageBreakBefore w:val="0"/>
                    <w:widowControl w:val="0"/>
                    <w:kinsoku/>
                    <w:wordWrap/>
                    <w:overflowPunct/>
                    <w:topLinePunct w:val="0"/>
                    <w:autoSpaceDE/>
                    <w:autoSpaceDN/>
                    <w:bidi w:val="0"/>
                    <w:adjustRightInd/>
                    <w:snapToGrid/>
                    <w:jc w:val="center"/>
                    <w:textAlignment w:val="auto"/>
                    <w:rPr>
                      <w:rFonts w:hint="eastAsia"/>
                      <w:b w:val="0"/>
                      <w:bCs w:val="0"/>
                      <w:color w:val="auto"/>
                      <w:lang w:val="en-US" w:eastAsia="zh-CN"/>
                    </w:rPr>
                  </w:pPr>
                  <w:r>
                    <w:rPr>
                      <w:rFonts w:hint="eastAsia"/>
                      <w:b w:val="0"/>
                      <w:bCs w:val="0"/>
                      <w:color w:val="auto"/>
                      <w:lang w:val="en-US" w:eastAsia="zh-CN"/>
                    </w:rPr>
                    <w:t>废气</w:t>
                  </w:r>
                </w:p>
              </w:tc>
              <w:tc>
                <w:tcPr>
                  <w:tcW w:w="1036" w:type="pct"/>
                  <w:tcBorders>
                    <w:tl2br w:val="nil"/>
                    <w:tr2bl w:val="nil"/>
                  </w:tcBorders>
                  <w:vAlign w:val="center"/>
                </w:tcPr>
                <w:p w14:paraId="1F31D755">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auto"/>
                      <w:lang w:eastAsia="zh-CN"/>
                    </w:rPr>
                  </w:pPr>
                  <w:r>
                    <w:rPr>
                      <w:rFonts w:hint="eastAsia"/>
                      <w:color w:val="auto"/>
                      <w:lang w:eastAsia="zh-CN"/>
                    </w:rPr>
                    <w:t>卸油、储油、发油、倒罐、底污油作业、清罐</w:t>
                  </w:r>
                </w:p>
              </w:tc>
              <w:tc>
                <w:tcPr>
                  <w:tcW w:w="812" w:type="pct"/>
                  <w:tcBorders>
                    <w:tl2br w:val="nil"/>
                    <w:tr2bl w:val="nil"/>
                  </w:tcBorders>
                  <w:vAlign w:val="center"/>
                </w:tcPr>
                <w:p w14:paraId="4DFB67C4">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lang w:val="en-US" w:eastAsia="zh-CN"/>
                    </w:rPr>
                  </w:pPr>
                  <w:r>
                    <w:rPr>
                      <w:rFonts w:hint="eastAsia"/>
                      <w:color w:val="auto"/>
                      <w:lang w:eastAsia="zh-CN"/>
                    </w:rPr>
                    <w:t>有机废气</w:t>
                  </w:r>
                </w:p>
              </w:tc>
              <w:tc>
                <w:tcPr>
                  <w:tcW w:w="906" w:type="pct"/>
                  <w:tcBorders>
                    <w:right w:val="single" w:color="auto" w:sz="4" w:space="0"/>
                    <w:tl2br w:val="nil"/>
                    <w:tr2bl w:val="nil"/>
                  </w:tcBorders>
                  <w:vAlign w:val="center"/>
                </w:tcPr>
                <w:p w14:paraId="3A4B8BA9">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lang w:val="en-US" w:eastAsia="zh-CN"/>
                    </w:rPr>
                  </w:pPr>
                  <w:r>
                    <w:rPr>
                      <w:rFonts w:hint="eastAsia"/>
                      <w:color w:val="auto"/>
                      <w:lang w:val="en-US" w:eastAsia="zh-CN"/>
                    </w:rPr>
                    <w:t>非甲烷总烃</w:t>
                  </w:r>
                </w:p>
              </w:tc>
              <w:tc>
                <w:tcPr>
                  <w:tcW w:w="1782" w:type="pct"/>
                  <w:tcBorders>
                    <w:left w:val="single" w:color="auto" w:sz="4" w:space="0"/>
                    <w:tl2br w:val="nil"/>
                    <w:tr2bl w:val="nil"/>
                  </w:tcBorders>
                  <w:vAlign w:val="center"/>
                </w:tcPr>
                <w:p w14:paraId="4B8C5928">
                  <w:pPr>
                    <w:keepNext w:val="0"/>
                    <w:keepLines w:val="0"/>
                    <w:widowControl/>
                    <w:suppressLineNumbers w:val="0"/>
                    <w:jc w:val="center"/>
                    <w:rPr>
                      <w:rFonts w:hint="eastAsia"/>
                      <w:color w:val="auto"/>
                      <w:lang w:val="en-US" w:eastAsia="zh-CN"/>
                    </w:rPr>
                  </w:pPr>
                  <w:r>
                    <w:rPr>
                      <w:rFonts w:hint="eastAsia" w:ascii="宋体" w:hAnsi="宋体" w:eastAsia="宋体" w:cs="宋体"/>
                      <w:color w:val="auto"/>
                      <w:kern w:val="0"/>
                      <w:sz w:val="21"/>
                      <w:szCs w:val="21"/>
                      <w:lang w:val="en-US" w:eastAsia="zh-CN" w:bidi="ar"/>
                    </w:rPr>
                    <w:t>入油气处理装置</w:t>
                  </w:r>
                </w:p>
              </w:tc>
            </w:tr>
            <w:tr w14:paraId="56D7C1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5" w:hRule="atLeast"/>
              </w:trPr>
              <w:tc>
                <w:tcPr>
                  <w:tcW w:w="462" w:type="pct"/>
                  <w:vMerge w:val="restart"/>
                  <w:tcBorders>
                    <w:tl2br w:val="nil"/>
                    <w:tr2bl w:val="nil"/>
                  </w:tcBorders>
                  <w:vAlign w:val="center"/>
                </w:tcPr>
                <w:p w14:paraId="5FC3CFCA">
                  <w:pPr>
                    <w:keepNext w:val="0"/>
                    <w:keepLines w:val="0"/>
                    <w:pageBreakBefore w:val="0"/>
                    <w:widowControl w:val="0"/>
                    <w:kinsoku/>
                    <w:wordWrap/>
                    <w:overflowPunct/>
                    <w:topLinePunct w:val="0"/>
                    <w:autoSpaceDE/>
                    <w:autoSpaceDN/>
                    <w:bidi w:val="0"/>
                    <w:adjustRightInd/>
                    <w:snapToGrid/>
                    <w:jc w:val="center"/>
                    <w:textAlignment w:val="auto"/>
                    <w:rPr>
                      <w:rFonts w:hint="eastAsia"/>
                      <w:b w:val="0"/>
                      <w:bCs w:val="0"/>
                      <w:color w:val="auto"/>
                      <w:lang w:val="en-US" w:eastAsia="zh-CN"/>
                    </w:rPr>
                  </w:pPr>
                  <w:r>
                    <w:rPr>
                      <w:rFonts w:hint="eastAsia"/>
                      <w:b w:val="0"/>
                      <w:bCs w:val="0"/>
                      <w:color w:val="auto"/>
                      <w:lang w:val="en-US" w:eastAsia="zh-CN"/>
                    </w:rPr>
                    <w:t>废水</w:t>
                  </w:r>
                </w:p>
              </w:tc>
              <w:tc>
                <w:tcPr>
                  <w:tcW w:w="1036" w:type="pct"/>
                  <w:tcBorders>
                    <w:tl2br w:val="nil"/>
                    <w:tr2bl w:val="nil"/>
                  </w:tcBorders>
                  <w:vAlign w:val="center"/>
                </w:tcPr>
                <w:p w14:paraId="7F4F3E02">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lang w:eastAsia="zh-CN"/>
                    </w:rPr>
                  </w:pPr>
                  <w:r>
                    <w:rPr>
                      <w:rFonts w:hint="eastAsia"/>
                      <w:color w:val="auto"/>
                      <w:lang w:eastAsia="zh-CN"/>
                    </w:rPr>
                    <w:t>日常工作、生活</w:t>
                  </w:r>
                </w:p>
              </w:tc>
              <w:tc>
                <w:tcPr>
                  <w:tcW w:w="812" w:type="pct"/>
                  <w:tcBorders>
                    <w:tl2br w:val="nil"/>
                    <w:tr2bl w:val="nil"/>
                  </w:tcBorders>
                  <w:vAlign w:val="center"/>
                </w:tcPr>
                <w:p w14:paraId="292D8FFD">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lang w:val="en-US" w:eastAsia="zh-CN"/>
                    </w:rPr>
                  </w:pPr>
                  <w:r>
                    <w:rPr>
                      <w:rFonts w:hint="eastAsia"/>
                      <w:color w:val="auto"/>
                      <w:lang w:val="en-US" w:eastAsia="zh-CN"/>
                    </w:rPr>
                    <w:t>生活污水</w:t>
                  </w:r>
                </w:p>
              </w:tc>
              <w:tc>
                <w:tcPr>
                  <w:tcW w:w="906" w:type="pct"/>
                  <w:tcBorders>
                    <w:right w:val="single" w:color="auto" w:sz="4" w:space="0"/>
                    <w:tl2br w:val="nil"/>
                    <w:tr2bl w:val="nil"/>
                  </w:tcBorders>
                  <w:vAlign w:val="center"/>
                </w:tcPr>
                <w:p w14:paraId="69C30CFE">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lang w:val="en-US" w:eastAsia="zh-CN"/>
                    </w:rPr>
                  </w:pPr>
                  <w:r>
                    <w:rPr>
                      <w:rFonts w:hint="eastAsia" w:ascii="Times New Roman" w:hAnsi="Times New Roman"/>
                      <w:color w:val="auto"/>
                      <w:sz w:val="21"/>
                      <w:szCs w:val="21"/>
                    </w:rPr>
                    <w:t>COD、BOD</w:t>
                  </w:r>
                  <w:r>
                    <w:rPr>
                      <w:rFonts w:hint="eastAsia" w:ascii="Times New Roman" w:hAnsi="Times New Roman"/>
                      <w:color w:val="auto"/>
                      <w:sz w:val="21"/>
                      <w:szCs w:val="21"/>
                      <w:vertAlign w:val="subscript"/>
                    </w:rPr>
                    <w:t>5</w:t>
                  </w:r>
                  <w:r>
                    <w:rPr>
                      <w:rFonts w:hint="eastAsia" w:ascii="Times New Roman" w:hAnsi="Times New Roman"/>
                      <w:color w:val="auto"/>
                      <w:sz w:val="21"/>
                      <w:szCs w:val="21"/>
                    </w:rPr>
                    <w:t>、NH</w:t>
                  </w:r>
                  <w:r>
                    <w:rPr>
                      <w:rFonts w:hint="eastAsia" w:ascii="Times New Roman" w:hAnsi="Times New Roman"/>
                      <w:color w:val="auto"/>
                      <w:sz w:val="21"/>
                      <w:szCs w:val="21"/>
                      <w:vertAlign w:val="subscript"/>
                    </w:rPr>
                    <w:t>3</w:t>
                  </w:r>
                  <w:r>
                    <w:rPr>
                      <w:rFonts w:hint="eastAsia" w:ascii="Times New Roman" w:hAnsi="Times New Roman"/>
                      <w:color w:val="auto"/>
                      <w:sz w:val="21"/>
                      <w:szCs w:val="21"/>
                    </w:rPr>
                    <w:t>-N、SS</w:t>
                  </w:r>
                </w:p>
              </w:tc>
              <w:tc>
                <w:tcPr>
                  <w:tcW w:w="1782" w:type="pct"/>
                  <w:tcBorders>
                    <w:left w:val="single" w:color="auto" w:sz="4" w:space="0"/>
                    <w:tl2br w:val="nil"/>
                    <w:tr2bl w:val="nil"/>
                  </w:tcBorders>
                  <w:vAlign w:val="center"/>
                </w:tcPr>
                <w:p w14:paraId="0F64E050">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color w:val="auto"/>
                      <w:sz w:val="21"/>
                      <w:szCs w:val="21"/>
                      <w:highlight w:val="none"/>
                      <w:lang w:val="en-US" w:eastAsia="zh-CN"/>
                    </w:rPr>
                  </w:pPr>
                  <w:r>
                    <w:rPr>
                      <w:rFonts w:hint="eastAsia"/>
                      <w:color w:val="auto"/>
                      <w:sz w:val="21"/>
                      <w:szCs w:val="21"/>
                    </w:rPr>
                    <w:t>生活污水，通过管道收集进入化粪池初步处理后，排至库内生活污水管网，库内污水最终排入机场污水管网</w:t>
                  </w:r>
                  <w:r>
                    <w:rPr>
                      <w:rFonts w:hint="eastAsia"/>
                      <w:color w:val="auto"/>
                      <w:sz w:val="21"/>
                      <w:szCs w:val="21"/>
                      <w:lang w:eastAsia="zh-CN"/>
                    </w:rPr>
                    <w:t>。</w:t>
                  </w:r>
                </w:p>
              </w:tc>
            </w:tr>
            <w:tr w14:paraId="53B867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5" w:hRule="atLeast"/>
              </w:trPr>
              <w:tc>
                <w:tcPr>
                  <w:tcW w:w="462" w:type="pct"/>
                  <w:vMerge w:val="continue"/>
                  <w:tcBorders>
                    <w:tl2br w:val="nil"/>
                    <w:tr2bl w:val="nil"/>
                  </w:tcBorders>
                  <w:vAlign w:val="center"/>
                </w:tcPr>
                <w:p w14:paraId="03AFDCE9">
                  <w:pPr>
                    <w:keepNext w:val="0"/>
                    <w:keepLines w:val="0"/>
                    <w:pageBreakBefore w:val="0"/>
                    <w:widowControl w:val="0"/>
                    <w:kinsoku/>
                    <w:wordWrap/>
                    <w:overflowPunct/>
                    <w:topLinePunct w:val="0"/>
                    <w:autoSpaceDE/>
                    <w:autoSpaceDN/>
                    <w:bidi w:val="0"/>
                    <w:adjustRightInd/>
                    <w:snapToGrid/>
                    <w:jc w:val="center"/>
                    <w:textAlignment w:val="auto"/>
                    <w:rPr>
                      <w:rFonts w:hint="eastAsia"/>
                      <w:b w:val="0"/>
                      <w:bCs w:val="0"/>
                      <w:color w:val="auto"/>
                      <w:lang w:val="en-US" w:eastAsia="zh-CN"/>
                    </w:rPr>
                  </w:pPr>
                </w:p>
              </w:tc>
              <w:tc>
                <w:tcPr>
                  <w:tcW w:w="1036" w:type="pct"/>
                  <w:tcBorders>
                    <w:tl2br w:val="nil"/>
                    <w:tr2bl w:val="nil"/>
                  </w:tcBorders>
                  <w:vAlign w:val="center"/>
                </w:tcPr>
                <w:p w14:paraId="255676FE">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lang w:val="en-US" w:eastAsia="zh-CN"/>
                    </w:rPr>
                  </w:pPr>
                  <w:r>
                    <w:rPr>
                      <w:rFonts w:hint="eastAsia"/>
                      <w:color w:val="auto"/>
                      <w:lang w:val="en-US" w:eastAsia="zh-CN"/>
                    </w:rPr>
                    <w:t>含油污水</w:t>
                  </w:r>
                </w:p>
                <w:p w14:paraId="468B1DCE">
                  <w:pPr>
                    <w:pStyle w:val="3"/>
                    <w:rPr>
                      <w:rFonts w:hint="eastAsia"/>
                      <w:color w:val="auto"/>
                      <w:lang w:eastAsia="zh-CN"/>
                    </w:rPr>
                  </w:pPr>
                </w:p>
              </w:tc>
              <w:tc>
                <w:tcPr>
                  <w:tcW w:w="812" w:type="pct"/>
                  <w:tcBorders>
                    <w:tl2br w:val="nil"/>
                    <w:tr2bl w:val="nil"/>
                  </w:tcBorders>
                  <w:vAlign w:val="center"/>
                </w:tcPr>
                <w:p w14:paraId="090640C6">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lang w:val="en-US" w:eastAsia="zh-CN"/>
                    </w:rPr>
                  </w:pPr>
                  <w:r>
                    <w:rPr>
                      <w:rFonts w:hint="eastAsia"/>
                      <w:color w:val="auto"/>
                      <w:lang w:val="en-US" w:eastAsia="zh-CN"/>
                    </w:rPr>
                    <w:t>油罐清洗废水、装卸油区域冲洗地面产生的废水</w:t>
                  </w:r>
                </w:p>
              </w:tc>
              <w:tc>
                <w:tcPr>
                  <w:tcW w:w="906" w:type="pct"/>
                  <w:tcBorders>
                    <w:right w:val="single" w:color="auto" w:sz="4" w:space="0"/>
                    <w:tl2br w:val="nil"/>
                    <w:tr2bl w:val="nil"/>
                  </w:tcBorders>
                  <w:vAlign w:val="center"/>
                </w:tcPr>
                <w:p w14:paraId="7A97D7B1">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lang w:eastAsia="zh-CN"/>
                    </w:rPr>
                  </w:pPr>
                  <w:r>
                    <w:rPr>
                      <w:rFonts w:hint="eastAsia" w:ascii="Times New Roman" w:hAnsi="Times New Roman"/>
                      <w:color w:val="auto"/>
                      <w:sz w:val="21"/>
                      <w:szCs w:val="21"/>
                    </w:rPr>
                    <w:t>COD、BOD</w:t>
                  </w:r>
                  <w:r>
                    <w:rPr>
                      <w:rFonts w:hint="eastAsia" w:ascii="Times New Roman" w:hAnsi="Times New Roman"/>
                      <w:color w:val="auto"/>
                      <w:sz w:val="21"/>
                      <w:szCs w:val="21"/>
                      <w:vertAlign w:val="subscript"/>
                    </w:rPr>
                    <w:t>5</w:t>
                  </w:r>
                  <w:r>
                    <w:rPr>
                      <w:rFonts w:hint="eastAsia" w:ascii="Times New Roman" w:hAnsi="Times New Roman"/>
                      <w:color w:val="auto"/>
                      <w:sz w:val="21"/>
                      <w:szCs w:val="21"/>
                    </w:rPr>
                    <w:t>、NH</w:t>
                  </w:r>
                  <w:r>
                    <w:rPr>
                      <w:rFonts w:hint="eastAsia" w:ascii="Times New Roman" w:hAnsi="Times New Roman"/>
                      <w:color w:val="auto"/>
                      <w:sz w:val="21"/>
                      <w:szCs w:val="21"/>
                      <w:vertAlign w:val="subscript"/>
                    </w:rPr>
                    <w:t>3</w:t>
                  </w:r>
                  <w:r>
                    <w:rPr>
                      <w:rFonts w:hint="eastAsia" w:ascii="Times New Roman" w:hAnsi="Times New Roman"/>
                      <w:color w:val="auto"/>
                      <w:sz w:val="21"/>
                      <w:szCs w:val="21"/>
                    </w:rPr>
                    <w:t>-N、SS</w:t>
                  </w:r>
                  <w:r>
                    <w:rPr>
                      <w:rFonts w:hint="eastAsia" w:ascii="Times New Roman" w:hAnsi="Times New Roman"/>
                      <w:color w:val="auto"/>
                      <w:sz w:val="21"/>
                      <w:szCs w:val="21"/>
                      <w:lang w:eastAsia="zh-CN"/>
                    </w:rPr>
                    <w:t>、石油类</w:t>
                  </w:r>
                </w:p>
              </w:tc>
              <w:tc>
                <w:tcPr>
                  <w:tcW w:w="1782" w:type="pct"/>
                  <w:tcBorders>
                    <w:left w:val="single" w:color="auto" w:sz="4" w:space="0"/>
                    <w:tl2br w:val="nil"/>
                    <w:tr2bl w:val="nil"/>
                  </w:tcBorders>
                  <w:vAlign w:val="center"/>
                </w:tcPr>
                <w:p w14:paraId="2D970A70">
                  <w:pPr>
                    <w:keepNext w:val="0"/>
                    <w:keepLines w:val="0"/>
                    <w:widowControl/>
                    <w:suppressLineNumbers w:val="0"/>
                    <w:jc w:val="left"/>
                    <w:rPr>
                      <w:rFonts w:hint="eastAsia"/>
                      <w:color w:val="auto"/>
                      <w:sz w:val="21"/>
                      <w:szCs w:val="21"/>
                    </w:rPr>
                  </w:pPr>
                  <w:r>
                    <w:rPr>
                      <w:rFonts w:hint="eastAsia" w:ascii="宋体" w:hAnsi="宋体" w:eastAsia="宋体" w:cs="宋体"/>
                      <w:color w:val="auto"/>
                      <w:kern w:val="0"/>
                      <w:sz w:val="21"/>
                      <w:szCs w:val="21"/>
                      <w:lang w:val="en-US" w:eastAsia="zh-CN" w:bidi="ar"/>
                    </w:rPr>
                    <w:t xml:space="preserve">库内含油污水集中收集至新建 </w:t>
                  </w:r>
                  <w:r>
                    <w:rPr>
                      <w:rFonts w:hint="default" w:ascii="Times New Roman" w:hAnsi="Times New Roman" w:eastAsia="宋体" w:cs="Times New Roman"/>
                      <w:color w:val="auto"/>
                      <w:kern w:val="0"/>
                      <w:sz w:val="21"/>
                      <w:szCs w:val="21"/>
                      <w:lang w:val="en-US" w:eastAsia="zh-CN" w:bidi="ar"/>
                    </w:rPr>
                    <w:t>50m³</w:t>
                  </w:r>
                  <w:r>
                    <w:rPr>
                      <w:rFonts w:hint="eastAsia" w:ascii="宋体" w:hAnsi="宋体" w:eastAsia="宋体" w:cs="宋体"/>
                      <w:color w:val="auto"/>
                      <w:kern w:val="0"/>
                      <w:sz w:val="21"/>
                      <w:szCs w:val="21"/>
                      <w:lang w:val="en-US" w:eastAsia="zh-CN" w:bidi="ar"/>
                    </w:rPr>
                    <w:t>隔油池内（隔油池与事故污水收集池合并建设，总有效容积</w:t>
                  </w:r>
                  <w:r>
                    <w:rPr>
                      <w:rFonts w:hint="default" w:ascii="Times New Roman" w:hAnsi="Times New Roman" w:eastAsia="宋体" w:cs="Times New Roman"/>
                      <w:color w:val="auto"/>
                      <w:kern w:val="0"/>
                      <w:sz w:val="21"/>
                      <w:szCs w:val="21"/>
                      <w:lang w:val="en-US" w:eastAsia="zh-CN" w:bidi="ar"/>
                    </w:rPr>
                    <w:t>350m³</w:t>
                  </w:r>
                  <w:r>
                    <w:rPr>
                      <w:rFonts w:hint="eastAsia" w:ascii="宋体" w:hAnsi="宋体" w:eastAsia="宋体" w:cs="宋体"/>
                      <w:color w:val="auto"/>
                      <w:kern w:val="0"/>
                      <w:sz w:val="21"/>
                      <w:szCs w:val="21"/>
                      <w:lang w:val="en-US" w:eastAsia="zh-CN" w:bidi="ar"/>
                    </w:rPr>
                    <w:t>），定期由处理量为</w:t>
                  </w:r>
                  <w:r>
                    <w:rPr>
                      <w:rFonts w:hint="default" w:ascii="Times New Roman" w:hAnsi="Times New Roman" w:eastAsia="宋体" w:cs="Times New Roman"/>
                      <w:color w:val="auto"/>
                      <w:kern w:val="0"/>
                      <w:sz w:val="21"/>
                      <w:szCs w:val="21"/>
                      <w:lang w:val="en-US" w:eastAsia="zh-CN" w:bidi="ar"/>
                    </w:rPr>
                    <w:t>1m³/h</w:t>
                  </w:r>
                  <w:r>
                    <w:rPr>
                      <w:rFonts w:hint="eastAsia" w:ascii="宋体" w:hAnsi="宋体" w:eastAsia="宋体" w:cs="宋体"/>
                      <w:color w:val="auto"/>
                      <w:kern w:val="0"/>
                      <w:sz w:val="21"/>
                      <w:szCs w:val="21"/>
                      <w:lang w:val="en-US" w:eastAsia="zh-CN" w:bidi="ar"/>
                    </w:rPr>
                    <w:t>的移动式含油污水处理设备（设备平时露天放置于隔油池旁）进行处理</w:t>
                  </w:r>
                  <w:r>
                    <w:rPr>
                      <w:rFonts w:hint="eastAsia" w:ascii="宋体" w:hAnsi="宋体" w:cs="宋体"/>
                      <w:color w:val="auto"/>
                      <w:kern w:val="0"/>
                      <w:sz w:val="21"/>
                      <w:szCs w:val="21"/>
                      <w:lang w:val="en-US" w:eastAsia="zh-CN" w:bidi="ar"/>
                    </w:rPr>
                    <w:t>。</w:t>
                  </w:r>
                </w:p>
              </w:tc>
            </w:tr>
            <w:tr w14:paraId="315D25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5" w:hRule="atLeast"/>
              </w:trPr>
              <w:tc>
                <w:tcPr>
                  <w:tcW w:w="462" w:type="pct"/>
                  <w:vMerge w:val="continue"/>
                  <w:tcBorders>
                    <w:tl2br w:val="nil"/>
                    <w:tr2bl w:val="nil"/>
                  </w:tcBorders>
                  <w:vAlign w:val="center"/>
                </w:tcPr>
                <w:p w14:paraId="450CFE66">
                  <w:pPr>
                    <w:keepNext w:val="0"/>
                    <w:keepLines w:val="0"/>
                    <w:pageBreakBefore w:val="0"/>
                    <w:widowControl w:val="0"/>
                    <w:kinsoku/>
                    <w:wordWrap/>
                    <w:overflowPunct/>
                    <w:topLinePunct w:val="0"/>
                    <w:autoSpaceDE/>
                    <w:autoSpaceDN/>
                    <w:bidi w:val="0"/>
                    <w:adjustRightInd/>
                    <w:snapToGrid/>
                    <w:jc w:val="center"/>
                    <w:textAlignment w:val="auto"/>
                    <w:rPr>
                      <w:rFonts w:hint="eastAsia"/>
                      <w:b w:val="0"/>
                      <w:bCs w:val="0"/>
                      <w:color w:val="auto"/>
                      <w:lang w:val="en-US" w:eastAsia="zh-CN"/>
                    </w:rPr>
                  </w:pPr>
                </w:p>
              </w:tc>
              <w:tc>
                <w:tcPr>
                  <w:tcW w:w="1036" w:type="pct"/>
                  <w:tcBorders>
                    <w:tl2br w:val="nil"/>
                    <w:tr2bl w:val="nil"/>
                  </w:tcBorders>
                  <w:vAlign w:val="center"/>
                </w:tcPr>
                <w:p w14:paraId="1BD0F27A">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lang w:eastAsia="zh-CN"/>
                    </w:rPr>
                  </w:pPr>
                  <w:r>
                    <w:rPr>
                      <w:rFonts w:hint="eastAsia"/>
                      <w:color w:val="auto"/>
                      <w:lang w:eastAsia="zh-CN"/>
                    </w:rPr>
                    <w:t>实验室</w:t>
                  </w:r>
                </w:p>
              </w:tc>
              <w:tc>
                <w:tcPr>
                  <w:tcW w:w="812" w:type="pct"/>
                  <w:tcBorders>
                    <w:tl2br w:val="nil"/>
                    <w:tr2bl w:val="nil"/>
                  </w:tcBorders>
                  <w:vAlign w:val="center"/>
                </w:tcPr>
                <w:p w14:paraId="3EC33ED4">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lang w:val="en-US" w:eastAsia="zh-CN"/>
                    </w:rPr>
                  </w:pPr>
                  <w:r>
                    <w:rPr>
                      <w:rFonts w:hint="eastAsia"/>
                      <w:color w:val="auto"/>
                      <w:lang w:eastAsia="zh-CN"/>
                    </w:rPr>
                    <w:t>实验室废水</w:t>
                  </w:r>
                </w:p>
              </w:tc>
              <w:tc>
                <w:tcPr>
                  <w:tcW w:w="906" w:type="pct"/>
                  <w:tcBorders>
                    <w:right w:val="single" w:color="auto" w:sz="4" w:space="0"/>
                    <w:tl2br w:val="nil"/>
                    <w:tr2bl w:val="nil"/>
                  </w:tcBorders>
                  <w:vAlign w:val="center"/>
                </w:tcPr>
                <w:p w14:paraId="070FE754">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olor w:val="auto"/>
                      <w:sz w:val="21"/>
                      <w:szCs w:val="21"/>
                    </w:rPr>
                  </w:pPr>
                  <w:r>
                    <w:rPr>
                      <w:rFonts w:hint="eastAsia" w:ascii="Times New Roman" w:hAnsi="Times New Roman"/>
                      <w:color w:val="auto"/>
                      <w:sz w:val="21"/>
                      <w:szCs w:val="21"/>
                    </w:rPr>
                    <w:t>COD、BOD</w:t>
                  </w:r>
                  <w:r>
                    <w:rPr>
                      <w:rFonts w:hint="eastAsia" w:ascii="Times New Roman" w:hAnsi="Times New Roman"/>
                      <w:color w:val="auto"/>
                      <w:sz w:val="21"/>
                      <w:szCs w:val="21"/>
                      <w:vertAlign w:val="subscript"/>
                    </w:rPr>
                    <w:t>5</w:t>
                  </w:r>
                  <w:r>
                    <w:rPr>
                      <w:rFonts w:hint="eastAsia" w:ascii="Times New Roman" w:hAnsi="Times New Roman"/>
                      <w:color w:val="auto"/>
                      <w:sz w:val="21"/>
                      <w:szCs w:val="21"/>
                    </w:rPr>
                    <w:t>、NH</w:t>
                  </w:r>
                  <w:r>
                    <w:rPr>
                      <w:rFonts w:hint="eastAsia" w:ascii="Times New Roman" w:hAnsi="Times New Roman"/>
                      <w:color w:val="auto"/>
                      <w:sz w:val="21"/>
                      <w:szCs w:val="21"/>
                      <w:vertAlign w:val="subscript"/>
                    </w:rPr>
                    <w:t>3</w:t>
                  </w:r>
                  <w:r>
                    <w:rPr>
                      <w:rFonts w:hint="eastAsia" w:ascii="Times New Roman" w:hAnsi="Times New Roman"/>
                      <w:color w:val="auto"/>
                      <w:sz w:val="21"/>
                      <w:szCs w:val="21"/>
                    </w:rPr>
                    <w:t>-N、SS</w:t>
                  </w:r>
                  <w:r>
                    <w:rPr>
                      <w:rFonts w:hint="eastAsia" w:ascii="Times New Roman" w:hAnsi="Times New Roman"/>
                      <w:color w:val="auto"/>
                      <w:sz w:val="21"/>
                      <w:szCs w:val="21"/>
                      <w:lang w:eastAsia="zh-CN"/>
                    </w:rPr>
                    <w:t>、石油类</w:t>
                  </w:r>
                </w:p>
              </w:tc>
              <w:tc>
                <w:tcPr>
                  <w:tcW w:w="1782" w:type="pct"/>
                  <w:tcBorders>
                    <w:left w:val="single" w:color="auto" w:sz="4" w:space="0"/>
                    <w:tl2br w:val="nil"/>
                    <w:tr2bl w:val="nil"/>
                  </w:tcBorders>
                  <w:vAlign w:val="center"/>
                </w:tcPr>
                <w:p w14:paraId="59872747">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实验室废水由专用容器收集，暂存于危废贮存间，定期交有资质单位处置</w:t>
                  </w:r>
                  <w:r>
                    <w:rPr>
                      <w:rFonts w:hint="eastAsia" w:ascii="宋体" w:hAnsi="宋体" w:cs="宋体"/>
                      <w:color w:val="auto"/>
                      <w:kern w:val="0"/>
                      <w:sz w:val="21"/>
                      <w:szCs w:val="21"/>
                      <w:lang w:val="en-US" w:eastAsia="zh-CN" w:bidi="ar"/>
                    </w:rPr>
                    <w:t>。</w:t>
                  </w:r>
                </w:p>
              </w:tc>
            </w:tr>
            <w:tr w14:paraId="19FB37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5" w:hRule="atLeast"/>
              </w:trPr>
              <w:tc>
                <w:tcPr>
                  <w:tcW w:w="462" w:type="pct"/>
                  <w:vMerge w:val="continue"/>
                  <w:tcBorders>
                    <w:tl2br w:val="nil"/>
                    <w:tr2bl w:val="nil"/>
                  </w:tcBorders>
                  <w:vAlign w:val="center"/>
                </w:tcPr>
                <w:p w14:paraId="17720F30">
                  <w:pPr>
                    <w:keepNext w:val="0"/>
                    <w:keepLines w:val="0"/>
                    <w:pageBreakBefore w:val="0"/>
                    <w:widowControl w:val="0"/>
                    <w:kinsoku/>
                    <w:wordWrap/>
                    <w:overflowPunct/>
                    <w:topLinePunct w:val="0"/>
                    <w:autoSpaceDE/>
                    <w:autoSpaceDN/>
                    <w:bidi w:val="0"/>
                    <w:adjustRightInd/>
                    <w:snapToGrid/>
                    <w:jc w:val="center"/>
                    <w:textAlignment w:val="auto"/>
                    <w:rPr>
                      <w:rFonts w:hint="eastAsia"/>
                      <w:b w:val="0"/>
                      <w:bCs w:val="0"/>
                      <w:color w:val="auto"/>
                      <w:sz w:val="21"/>
                      <w:szCs w:val="21"/>
                      <w:lang w:val="en-US" w:eastAsia="zh-CN"/>
                    </w:rPr>
                  </w:pPr>
                </w:p>
              </w:tc>
              <w:tc>
                <w:tcPr>
                  <w:tcW w:w="1036" w:type="pct"/>
                  <w:tcBorders>
                    <w:tl2br w:val="nil"/>
                    <w:tr2bl w:val="nil"/>
                  </w:tcBorders>
                  <w:vAlign w:val="center"/>
                </w:tcPr>
                <w:p w14:paraId="2627DE39">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zh-CN"/>
                    </w:rPr>
                  </w:pPr>
                  <w:r>
                    <w:rPr>
                      <w:rFonts w:hint="eastAsia" w:ascii="Times New Roman" w:hAnsi="Times New Roman" w:cs="Times New Roman"/>
                      <w:color w:val="auto"/>
                      <w:sz w:val="21"/>
                      <w:szCs w:val="21"/>
                      <w:lang w:val="en-US" w:eastAsia="zh-CN"/>
                    </w:rPr>
                    <w:t>装卸油区域地面冲洗</w:t>
                  </w:r>
                  <w:r>
                    <w:rPr>
                      <w:rFonts w:hint="eastAsia" w:ascii="Times New Roman" w:hAnsi="Times New Roman" w:cs="Times New Roman"/>
                      <w:color w:val="auto"/>
                      <w:sz w:val="21"/>
                      <w:szCs w:val="21"/>
                      <w:highlight w:val="none"/>
                      <w:lang w:val="en-US" w:eastAsia="zh-CN"/>
                    </w:rPr>
                    <w:t>、</w:t>
                  </w:r>
                  <w:r>
                    <w:rPr>
                      <w:rFonts w:hint="eastAsia"/>
                      <w:color w:val="auto"/>
                      <w:sz w:val="21"/>
                      <w:szCs w:val="21"/>
                      <w:lang w:val="en-US" w:eastAsia="zh-CN"/>
                    </w:rPr>
                    <w:t>油罐清洗</w:t>
                  </w:r>
                </w:p>
              </w:tc>
              <w:tc>
                <w:tcPr>
                  <w:tcW w:w="812" w:type="pct"/>
                  <w:tcBorders>
                    <w:tl2br w:val="nil"/>
                    <w:tr2bl w:val="nil"/>
                  </w:tcBorders>
                  <w:vAlign w:val="center"/>
                </w:tcPr>
                <w:p w14:paraId="67482346">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ascii="Times New Roman" w:hAnsi="Times New Roman" w:cs="Times New Roman"/>
                      <w:color w:val="auto"/>
                      <w:sz w:val="21"/>
                      <w:szCs w:val="21"/>
                      <w:lang w:val="en-US" w:eastAsia="zh-CN"/>
                    </w:rPr>
                    <w:t>装卸油区域地面冲洗</w:t>
                  </w:r>
                  <w:r>
                    <w:rPr>
                      <w:rFonts w:hint="eastAsia" w:ascii="Times New Roman" w:hAnsi="Times New Roman" w:cs="Times New Roman"/>
                      <w:color w:val="auto"/>
                      <w:sz w:val="21"/>
                      <w:szCs w:val="21"/>
                      <w:highlight w:val="none"/>
                      <w:lang w:val="en-US" w:eastAsia="zh-CN"/>
                    </w:rPr>
                    <w:t>废水、</w:t>
                  </w:r>
                  <w:r>
                    <w:rPr>
                      <w:rFonts w:hint="eastAsia"/>
                      <w:color w:val="auto"/>
                      <w:sz w:val="21"/>
                      <w:szCs w:val="21"/>
                      <w:lang w:val="en-US" w:eastAsia="zh-CN"/>
                    </w:rPr>
                    <w:t>油罐清洗废水</w:t>
                  </w:r>
                </w:p>
              </w:tc>
              <w:tc>
                <w:tcPr>
                  <w:tcW w:w="906" w:type="pct"/>
                  <w:tcBorders>
                    <w:right w:val="single" w:color="auto" w:sz="4" w:space="0"/>
                    <w:tl2br w:val="nil"/>
                    <w:tr2bl w:val="nil"/>
                  </w:tcBorders>
                  <w:vAlign w:val="center"/>
                </w:tcPr>
                <w:p w14:paraId="76D2F14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olor w:val="auto"/>
                      <w:sz w:val="21"/>
                      <w:szCs w:val="21"/>
                    </w:rPr>
                  </w:pPr>
                  <w:r>
                    <w:rPr>
                      <w:rFonts w:hint="eastAsia" w:ascii="Times New Roman" w:hAnsi="Times New Roman"/>
                      <w:color w:val="auto"/>
                      <w:sz w:val="21"/>
                      <w:szCs w:val="21"/>
                    </w:rPr>
                    <w:t>COD、BOD</w:t>
                  </w:r>
                  <w:r>
                    <w:rPr>
                      <w:rFonts w:hint="eastAsia" w:ascii="Times New Roman" w:hAnsi="Times New Roman"/>
                      <w:color w:val="auto"/>
                      <w:sz w:val="21"/>
                      <w:szCs w:val="21"/>
                      <w:vertAlign w:val="subscript"/>
                    </w:rPr>
                    <w:t>5</w:t>
                  </w:r>
                  <w:r>
                    <w:rPr>
                      <w:rFonts w:hint="eastAsia" w:ascii="Times New Roman" w:hAnsi="Times New Roman"/>
                      <w:color w:val="auto"/>
                      <w:sz w:val="21"/>
                      <w:szCs w:val="21"/>
                    </w:rPr>
                    <w:t>、NH</w:t>
                  </w:r>
                  <w:r>
                    <w:rPr>
                      <w:rFonts w:hint="eastAsia" w:ascii="Times New Roman" w:hAnsi="Times New Roman"/>
                      <w:color w:val="auto"/>
                      <w:sz w:val="21"/>
                      <w:szCs w:val="21"/>
                      <w:vertAlign w:val="subscript"/>
                    </w:rPr>
                    <w:t>3</w:t>
                  </w:r>
                  <w:r>
                    <w:rPr>
                      <w:rFonts w:hint="eastAsia" w:ascii="Times New Roman" w:hAnsi="Times New Roman"/>
                      <w:color w:val="auto"/>
                      <w:sz w:val="21"/>
                      <w:szCs w:val="21"/>
                    </w:rPr>
                    <w:t>-N、SS</w:t>
                  </w:r>
                  <w:r>
                    <w:rPr>
                      <w:rFonts w:hint="eastAsia" w:ascii="Times New Roman" w:hAnsi="Times New Roman"/>
                      <w:color w:val="auto"/>
                      <w:sz w:val="21"/>
                      <w:szCs w:val="21"/>
                      <w:lang w:eastAsia="zh-CN"/>
                    </w:rPr>
                    <w:t>、石油类</w:t>
                  </w:r>
                </w:p>
              </w:tc>
              <w:tc>
                <w:tcPr>
                  <w:tcW w:w="1782" w:type="pct"/>
                  <w:tcBorders>
                    <w:left w:val="single" w:color="auto" w:sz="4" w:space="0"/>
                    <w:tl2br w:val="nil"/>
                    <w:tr2bl w:val="nil"/>
                  </w:tcBorders>
                  <w:vAlign w:val="center"/>
                </w:tcPr>
                <w:p w14:paraId="51C5ECAB">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经隔油池处理后，排入宝鸡机场污水处理站处理，不外排。</w:t>
                  </w:r>
                </w:p>
              </w:tc>
            </w:tr>
            <w:tr w14:paraId="5D0311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34" w:hRule="atLeast"/>
              </w:trPr>
              <w:tc>
                <w:tcPr>
                  <w:tcW w:w="462" w:type="pct"/>
                  <w:tcBorders>
                    <w:tl2br w:val="nil"/>
                    <w:tr2bl w:val="nil"/>
                  </w:tcBorders>
                  <w:vAlign w:val="center"/>
                </w:tcPr>
                <w:p w14:paraId="00F17A00">
                  <w:pPr>
                    <w:keepNext w:val="0"/>
                    <w:keepLines w:val="0"/>
                    <w:pageBreakBefore w:val="0"/>
                    <w:widowControl w:val="0"/>
                    <w:kinsoku/>
                    <w:wordWrap/>
                    <w:overflowPunct/>
                    <w:topLinePunct w:val="0"/>
                    <w:autoSpaceDE/>
                    <w:autoSpaceDN/>
                    <w:bidi w:val="0"/>
                    <w:adjustRightInd/>
                    <w:snapToGrid/>
                    <w:jc w:val="center"/>
                    <w:textAlignment w:val="auto"/>
                    <w:rPr>
                      <w:rFonts w:hint="default"/>
                      <w:b w:val="0"/>
                      <w:bCs w:val="0"/>
                      <w:color w:val="auto"/>
                      <w:lang w:val="en-US" w:eastAsia="zh-CN"/>
                    </w:rPr>
                  </w:pPr>
                  <w:r>
                    <w:rPr>
                      <w:rFonts w:hint="eastAsia"/>
                      <w:b w:val="0"/>
                      <w:bCs w:val="0"/>
                      <w:color w:val="auto"/>
                      <w:lang w:val="en-US" w:eastAsia="zh-CN"/>
                    </w:rPr>
                    <w:t>噪声</w:t>
                  </w:r>
                </w:p>
              </w:tc>
              <w:tc>
                <w:tcPr>
                  <w:tcW w:w="1036" w:type="pct"/>
                  <w:tcBorders>
                    <w:tl2br w:val="nil"/>
                    <w:tr2bl w:val="nil"/>
                  </w:tcBorders>
                  <w:vAlign w:val="center"/>
                </w:tcPr>
                <w:p w14:paraId="0B7C82E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底油倒罐泵</w:t>
                  </w:r>
                  <w:r>
                    <w:rPr>
                      <w:rFonts w:hint="eastAsia" w:cs="Times New Roman"/>
                      <w:color w:val="auto"/>
                      <w:lang w:val="en-US" w:eastAsia="zh-CN"/>
                    </w:rPr>
                    <w:t>、</w:t>
                  </w:r>
                  <w:r>
                    <w:rPr>
                      <w:rFonts w:hint="eastAsia" w:ascii="Times New Roman" w:hAnsi="Times New Roman" w:eastAsia="宋体" w:cs="Times New Roman"/>
                      <w:color w:val="auto"/>
                      <w:lang w:val="en-US" w:eastAsia="zh-CN"/>
                    </w:rPr>
                    <w:t>回收泵</w:t>
                  </w:r>
                  <w:r>
                    <w:rPr>
                      <w:rFonts w:hint="eastAsia" w:cs="Times New Roman"/>
                      <w:color w:val="auto"/>
                      <w:lang w:val="en-US" w:eastAsia="zh-CN"/>
                    </w:rPr>
                    <w:t>、</w:t>
                  </w:r>
                  <w:r>
                    <w:rPr>
                      <w:rFonts w:hint="eastAsia" w:ascii="Times New Roman" w:hAnsi="Times New Roman" w:eastAsia="宋体" w:cs="Times New Roman"/>
                      <w:color w:val="auto"/>
                      <w:lang w:val="en-US" w:eastAsia="zh-CN"/>
                    </w:rPr>
                    <w:t>污油泵</w:t>
                  </w:r>
                  <w:r>
                    <w:rPr>
                      <w:rFonts w:hint="eastAsia" w:cs="Times New Roman"/>
                      <w:color w:val="auto"/>
                      <w:lang w:val="en-US" w:eastAsia="zh-CN"/>
                    </w:rPr>
                    <w:t>等</w:t>
                  </w:r>
                </w:p>
              </w:tc>
              <w:tc>
                <w:tcPr>
                  <w:tcW w:w="812" w:type="pct"/>
                  <w:tcBorders>
                    <w:tl2br w:val="nil"/>
                    <w:tr2bl w:val="nil"/>
                  </w:tcBorders>
                  <w:vAlign w:val="center"/>
                </w:tcPr>
                <w:p w14:paraId="21180166">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lang w:val="en-US" w:eastAsia="zh-CN"/>
                    </w:rPr>
                  </w:pPr>
                  <w:r>
                    <w:rPr>
                      <w:rFonts w:hint="eastAsia" w:cs="Times New Roman"/>
                      <w:color w:val="auto"/>
                      <w:lang w:val="en-US" w:eastAsia="zh-CN"/>
                    </w:rPr>
                    <w:t>设备噪声</w:t>
                  </w:r>
                </w:p>
              </w:tc>
              <w:tc>
                <w:tcPr>
                  <w:tcW w:w="906" w:type="pct"/>
                  <w:tcBorders>
                    <w:right w:val="single" w:color="auto" w:sz="4" w:space="0"/>
                    <w:tl2br w:val="nil"/>
                    <w:tr2bl w:val="nil"/>
                  </w:tcBorders>
                  <w:vAlign w:val="center"/>
                </w:tcPr>
                <w:p w14:paraId="009F6352">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噪声</w:t>
                  </w:r>
                  <w:r>
                    <w:rPr>
                      <w:rFonts w:hint="eastAsia" w:cs="Times New Roman"/>
                      <w:color w:val="auto"/>
                      <w:lang w:val="en-US" w:eastAsia="zh-CN"/>
                    </w:rPr>
                    <w:t>（</w:t>
                  </w:r>
                  <w:r>
                    <w:rPr>
                      <w:rFonts w:hint="eastAsia" w:ascii="Times New Roman" w:hAnsi="Times New Roman" w:eastAsia="宋体" w:cs="Times New Roman"/>
                      <w:color w:val="auto"/>
                      <w:lang w:val="en-US" w:eastAsia="zh-CN"/>
                    </w:rPr>
                    <w:t>dB(A)</w:t>
                  </w:r>
                  <w:r>
                    <w:rPr>
                      <w:rFonts w:hint="eastAsia" w:cs="Times New Roman"/>
                      <w:color w:val="auto"/>
                      <w:lang w:val="en-US" w:eastAsia="zh-CN"/>
                    </w:rPr>
                    <w:t>）</w:t>
                  </w:r>
                  <w:r>
                    <w:rPr>
                      <w:rFonts w:hint="eastAsia" w:ascii="Times New Roman" w:hAnsi="Times New Roman" w:eastAsia="宋体" w:cs="Times New Roman"/>
                      <w:color w:val="auto"/>
                      <w:lang w:val="en-US" w:eastAsia="zh-CN"/>
                    </w:rPr>
                    <w:t xml:space="preserve"> </w:t>
                  </w:r>
                </w:p>
              </w:tc>
              <w:tc>
                <w:tcPr>
                  <w:tcW w:w="1782" w:type="pct"/>
                  <w:tcBorders>
                    <w:left w:val="single" w:color="auto" w:sz="4" w:space="0"/>
                    <w:tl2br w:val="nil"/>
                    <w:tr2bl w:val="nil"/>
                  </w:tcBorders>
                  <w:vAlign w:val="center"/>
                </w:tcPr>
                <w:p w14:paraId="5BDE15A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选用低噪声设备</w:t>
                  </w:r>
                  <w:r>
                    <w:rPr>
                      <w:rFonts w:hint="eastAsia" w:cs="Times New Roman"/>
                      <w:color w:val="auto"/>
                      <w:lang w:val="en-US" w:eastAsia="zh-CN"/>
                    </w:rPr>
                    <w:t>，基础减震。</w:t>
                  </w:r>
                </w:p>
              </w:tc>
            </w:tr>
            <w:tr w14:paraId="10E012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62" w:type="pct"/>
                  <w:vMerge w:val="restart"/>
                  <w:tcBorders>
                    <w:tl2br w:val="nil"/>
                    <w:tr2bl w:val="nil"/>
                  </w:tcBorders>
                  <w:vAlign w:val="center"/>
                </w:tcPr>
                <w:p w14:paraId="62F7EA06">
                  <w:pPr>
                    <w:keepNext w:val="0"/>
                    <w:keepLines w:val="0"/>
                    <w:pageBreakBefore w:val="0"/>
                    <w:widowControl w:val="0"/>
                    <w:kinsoku/>
                    <w:wordWrap/>
                    <w:overflowPunct/>
                    <w:topLinePunct w:val="0"/>
                    <w:autoSpaceDE/>
                    <w:autoSpaceDN/>
                    <w:bidi w:val="0"/>
                    <w:adjustRightInd/>
                    <w:snapToGrid/>
                    <w:jc w:val="center"/>
                    <w:textAlignment w:val="auto"/>
                    <w:rPr>
                      <w:rFonts w:hint="eastAsia"/>
                      <w:b w:val="0"/>
                      <w:bCs w:val="0"/>
                      <w:color w:val="auto"/>
                      <w:lang w:val="en-US" w:eastAsia="zh-CN"/>
                    </w:rPr>
                  </w:pPr>
                  <w:r>
                    <w:rPr>
                      <w:rFonts w:hint="eastAsia"/>
                      <w:b w:val="0"/>
                      <w:bCs w:val="0"/>
                      <w:color w:val="auto"/>
                      <w:lang w:val="en-US" w:eastAsia="zh-CN"/>
                    </w:rPr>
                    <w:t>固废</w:t>
                  </w:r>
                </w:p>
              </w:tc>
              <w:tc>
                <w:tcPr>
                  <w:tcW w:w="1036" w:type="pct"/>
                  <w:tcBorders>
                    <w:tl2br w:val="nil"/>
                    <w:tr2bl w:val="nil"/>
                  </w:tcBorders>
                  <w:vAlign w:val="center"/>
                </w:tcPr>
                <w:p w14:paraId="3C5B4D3F">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lang w:val="en-US" w:eastAsia="zh-CN"/>
                    </w:rPr>
                  </w:pPr>
                  <w:r>
                    <w:rPr>
                      <w:rFonts w:hint="eastAsia" w:cs="Times New Roman"/>
                      <w:color w:val="auto"/>
                      <w:lang w:val="en-US" w:eastAsia="zh-CN"/>
                    </w:rPr>
                    <w:t>一般固废</w:t>
                  </w:r>
                </w:p>
              </w:tc>
              <w:tc>
                <w:tcPr>
                  <w:tcW w:w="1718" w:type="pct"/>
                  <w:gridSpan w:val="2"/>
                  <w:tcBorders>
                    <w:right w:val="single" w:color="auto" w:sz="4" w:space="0"/>
                    <w:tl2br w:val="nil"/>
                    <w:tr2bl w:val="nil"/>
                  </w:tcBorders>
                  <w:vAlign w:val="center"/>
                </w:tcPr>
                <w:p w14:paraId="02B89576">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lang w:val="en-US" w:eastAsia="zh-CN"/>
                    </w:rPr>
                  </w:pPr>
                  <w:r>
                    <w:rPr>
                      <w:rFonts w:hint="eastAsia" w:cs="Times New Roman"/>
                      <w:color w:val="auto"/>
                      <w:lang w:val="en-US" w:eastAsia="zh-CN"/>
                    </w:rPr>
                    <w:t>生活垃圾</w:t>
                  </w:r>
                </w:p>
              </w:tc>
              <w:tc>
                <w:tcPr>
                  <w:tcW w:w="1782" w:type="pct"/>
                  <w:tcBorders>
                    <w:left w:val="single" w:color="auto" w:sz="4" w:space="0"/>
                    <w:tl2br w:val="nil"/>
                    <w:tr2bl w:val="nil"/>
                  </w:tcBorders>
                  <w:vAlign w:val="center"/>
                </w:tcPr>
                <w:p w14:paraId="4678141F">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lang w:val="en-US" w:eastAsia="zh-CN"/>
                    </w:rPr>
                  </w:pPr>
                  <w:r>
                    <w:rPr>
                      <w:rFonts w:hint="eastAsia" w:cs="Times New Roman"/>
                      <w:color w:val="auto"/>
                      <w:lang w:val="en-US" w:eastAsia="zh-CN"/>
                    </w:rPr>
                    <w:t>站内垃圾桶分类收集，由环卫部门及时清运处理。</w:t>
                  </w:r>
                </w:p>
              </w:tc>
            </w:tr>
            <w:tr w14:paraId="4C6EC3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0" w:hRule="atLeast"/>
              </w:trPr>
              <w:tc>
                <w:tcPr>
                  <w:tcW w:w="462" w:type="pct"/>
                  <w:vMerge w:val="continue"/>
                  <w:tcBorders>
                    <w:tl2br w:val="nil"/>
                    <w:tr2bl w:val="nil"/>
                  </w:tcBorders>
                  <w:vAlign w:val="center"/>
                </w:tcPr>
                <w:p w14:paraId="633DF4B1">
                  <w:pPr>
                    <w:keepNext w:val="0"/>
                    <w:keepLines w:val="0"/>
                    <w:pageBreakBefore w:val="0"/>
                    <w:widowControl w:val="0"/>
                    <w:kinsoku/>
                    <w:wordWrap/>
                    <w:overflowPunct/>
                    <w:topLinePunct w:val="0"/>
                    <w:autoSpaceDE/>
                    <w:autoSpaceDN/>
                    <w:bidi w:val="0"/>
                    <w:adjustRightInd/>
                    <w:snapToGrid/>
                    <w:jc w:val="center"/>
                    <w:textAlignment w:val="auto"/>
                    <w:rPr>
                      <w:rFonts w:hint="eastAsia"/>
                      <w:b/>
                      <w:bCs/>
                      <w:color w:val="auto"/>
                      <w:lang w:val="en-US" w:eastAsia="zh-CN"/>
                    </w:rPr>
                  </w:pPr>
                </w:p>
              </w:tc>
              <w:tc>
                <w:tcPr>
                  <w:tcW w:w="1036" w:type="pct"/>
                  <w:tcBorders>
                    <w:tl2br w:val="nil"/>
                    <w:tr2bl w:val="nil"/>
                  </w:tcBorders>
                  <w:vAlign w:val="center"/>
                </w:tcPr>
                <w:p w14:paraId="1DA5E198">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lang w:val="en-US" w:eastAsia="zh-CN"/>
                    </w:rPr>
                  </w:pPr>
                  <w:r>
                    <w:rPr>
                      <w:rFonts w:hint="eastAsia" w:cs="Times New Roman"/>
                      <w:color w:val="auto"/>
                      <w:lang w:val="en-US" w:eastAsia="zh-CN"/>
                    </w:rPr>
                    <w:t>危废</w:t>
                  </w:r>
                </w:p>
              </w:tc>
              <w:tc>
                <w:tcPr>
                  <w:tcW w:w="1718" w:type="pct"/>
                  <w:gridSpan w:val="2"/>
                  <w:tcBorders>
                    <w:right w:val="single" w:color="auto" w:sz="4" w:space="0"/>
                    <w:tl2br w:val="nil"/>
                    <w:tr2bl w:val="nil"/>
                  </w:tcBorders>
                  <w:vAlign w:val="center"/>
                </w:tcPr>
                <w:p w14:paraId="58AB553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lang w:val="en-US" w:eastAsia="zh-CN"/>
                    </w:rPr>
                  </w:pPr>
                  <w:r>
                    <w:rPr>
                      <w:rFonts w:hint="eastAsia" w:ascii="Times New Roman" w:hAnsi="Times New Roman"/>
                      <w:color w:val="auto"/>
                      <w:sz w:val="21"/>
                      <w:szCs w:val="21"/>
                    </w:rPr>
                    <w:t>污油渣属于危险废物（HW08）</w:t>
                  </w:r>
                  <w:r>
                    <w:rPr>
                      <w:rFonts w:hint="eastAsia" w:ascii="Times New Roman" w:hAnsi="Times New Roman"/>
                      <w:color w:val="auto"/>
                      <w:sz w:val="21"/>
                      <w:szCs w:val="21"/>
                      <w:lang w:eastAsia="zh-CN"/>
                    </w:rPr>
                    <w:t>、</w:t>
                  </w:r>
                  <w:r>
                    <w:rPr>
                      <w:rFonts w:hint="eastAsia" w:ascii="Times New Roman" w:hAnsi="Times New Roman"/>
                      <w:color w:val="auto"/>
                      <w:sz w:val="21"/>
                      <w:szCs w:val="21"/>
                      <w:lang w:val="en-US" w:eastAsia="zh-CN"/>
                    </w:rPr>
                    <w:t>滤分离器废滤芯、</w:t>
                  </w:r>
                  <w:r>
                    <w:rPr>
                      <w:rFonts w:hint="eastAsia"/>
                      <w:color w:val="auto"/>
                      <w:sz w:val="21"/>
                      <w:szCs w:val="21"/>
                      <w:lang w:eastAsia="zh-CN"/>
                    </w:rPr>
                    <w:t>化验室实验器皿清洗排放的含油废水、化验试剂废液</w:t>
                  </w:r>
                </w:p>
              </w:tc>
              <w:tc>
                <w:tcPr>
                  <w:tcW w:w="1782" w:type="pct"/>
                  <w:tcBorders>
                    <w:left w:val="single" w:color="auto" w:sz="4" w:space="0"/>
                    <w:tl2br w:val="nil"/>
                    <w:tr2bl w:val="nil"/>
                  </w:tcBorders>
                  <w:vAlign w:val="center"/>
                </w:tcPr>
                <w:p w14:paraId="1444FE2B">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lang w:val="en-US" w:eastAsia="zh-CN"/>
                    </w:rPr>
                  </w:pPr>
                  <w:r>
                    <w:rPr>
                      <w:rFonts w:hint="eastAsia" w:ascii="Times New Roman" w:hAnsi="Times New Roman"/>
                      <w:color w:val="auto"/>
                      <w:sz w:val="21"/>
                      <w:szCs w:val="21"/>
                    </w:rPr>
                    <w:t>污油渣</w:t>
                  </w:r>
                  <w:r>
                    <w:rPr>
                      <w:rFonts w:hint="eastAsia" w:ascii="Times New Roman" w:hAnsi="Times New Roman"/>
                      <w:color w:val="auto"/>
                      <w:sz w:val="21"/>
                      <w:szCs w:val="21"/>
                      <w:lang w:eastAsia="zh-CN"/>
                    </w:rPr>
                    <w:t>、</w:t>
                  </w:r>
                  <w:r>
                    <w:rPr>
                      <w:rFonts w:hint="eastAsia" w:ascii="Times New Roman" w:hAnsi="Times New Roman"/>
                      <w:color w:val="auto"/>
                      <w:sz w:val="21"/>
                      <w:szCs w:val="21"/>
                      <w:lang w:val="en-US" w:eastAsia="zh-CN"/>
                    </w:rPr>
                    <w:t>滤分离器废滤芯、</w:t>
                  </w:r>
                  <w:r>
                    <w:rPr>
                      <w:rFonts w:hint="eastAsia"/>
                      <w:color w:val="auto"/>
                      <w:sz w:val="21"/>
                      <w:szCs w:val="21"/>
                      <w:lang w:eastAsia="zh-CN"/>
                    </w:rPr>
                    <w:t>化验室实验器皿清洗排放的含油废水、化验试剂废液</w:t>
                  </w:r>
                  <w:r>
                    <w:rPr>
                      <w:rFonts w:hint="eastAsia"/>
                      <w:color w:val="auto"/>
                      <w:sz w:val="21"/>
                      <w:szCs w:val="21"/>
                    </w:rPr>
                    <w:t>属危险废物，</w:t>
                  </w:r>
                  <w:r>
                    <w:rPr>
                      <w:rFonts w:hint="eastAsia"/>
                      <w:color w:val="auto"/>
                      <w:sz w:val="21"/>
                      <w:szCs w:val="21"/>
                      <w:lang w:eastAsia="zh-CN"/>
                    </w:rPr>
                    <w:t>暂存于危废暂存库，</w:t>
                  </w:r>
                  <w:r>
                    <w:rPr>
                      <w:rFonts w:hint="default" w:ascii="Times New Roman" w:hAnsi="Times New Roman" w:eastAsia="宋体" w:cs="Times New Roman"/>
                      <w:color w:val="auto"/>
                      <w:kern w:val="2"/>
                      <w:sz w:val="21"/>
                      <w:szCs w:val="21"/>
                      <w:lang w:val="en-US" w:eastAsia="zh-CN"/>
                    </w:rPr>
                    <w:t>由有资质单位转运清理处置</w:t>
                  </w:r>
                  <w:r>
                    <w:rPr>
                      <w:rFonts w:hint="eastAsia" w:cs="Times New Roman"/>
                      <w:color w:val="auto"/>
                      <w:kern w:val="2"/>
                      <w:sz w:val="21"/>
                      <w:szCs w:val="21"/>
                      <w:lang w:val="en-US" w:eastAsia="zh-CN"/>
                    </w:rPr>
                    <w:t>。</w:t>
                  </w:r>
                </w:p>
              </w:tc>
            </w:tr>
          </w:tbl>
          <w:p w14:paraId="0E3A2EE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lang w:val="en-US" w:eastAsia="zh-CN"/>
              </w:rPr>
            </w:pPr>
          </w:p>
        </w:tc>
      </w:tr>
      <w:tr w14:paraId="2BAF5B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4" w:type="pct"/>
            <w:vAlign w:val="center"/>
          </w:tcPr>
          <w:p w14:paraId="1E98815A">
            <w:pPr>
              <w:pStyle w:val="29"/>
              <w:adjustRightInd w:val="0"/>
              <w:snapToGrid w:val="0"/>
              <w:spacing w:before="0" w:beforeAutospacing="0" w:after="0" w:afterAutospacing="0"/>
              <w:jc w:val="center"/>
              <w:rPr>
                <w:rFonts w:cs="宋体"/>
                <w:color w:val="auto"/>
                <w:sz w:val="21"/>
                <w:szCs w:val="21"/>
              </w:rPr>
            </w:pPr>
            <w:r>
              <w:rPr>
                <w:rFonts w:hint="eastAsia" w:cs="宋体"/>
                <w:bCs/>
                <w:color w:val="auto"/>
                <w:kern w:val="2"/>
                <w:sz w:val="21"/>
                <w:szCs w:val="21"/>
              </w:rPr>
              <w:t>与项目有关的原有环境污染问题</w:t>
            </w:r>
          </w:p>
        </w:tc>
        <w:tc>
          <w:tcPr>
            <w:tcW w:w="4765" w:type="pct"/>
          </w:tcPr>
          <w:p w14:paraId="4ADB8B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lang w:val="en-US" w:eastAsia="zh-CN"/>
              </w:rPr>
            </w:pPr>
          </w:p>
          <w:p w14:paraId="00D9D38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lang w:val="en-US" w:eastAsia="zh-CN"/>
              </w:rPr>
            </w:pPr>
          </w:p>
          <w:p w14:paraId="6972309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lang w:val="en-US" w:eastAsia="zh-CN"/>
              </w:rPr>
            </w:pPr>
          </w:p>
          <w:p w14:paraId="1E61BC6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lang w:val="en-US" w:eastAsia="zh-CN"/>
              </w:rPr>
            </w:pPr>
          </w:p>
          <w:p w14:paraId="1DC5DEC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color w:val="auto"/>
                <w:sz w:val="24"/>
                <w:szCs w:val="24"/>
                <w:lang w:val="en-US" w:eastAsia="zh-CN"/>
              </w:rPr>
            </w:pPr>
            <w:r>
              <w:rPr>
                <w:rFonts w:hint="default" w:ascii="Times New Roman" w:hAnsi="Times New Roman" w:eastAsia="宋体" w:cs="Times New Roman"/>
                <w:color w:val="auto"/>
                <w:sz w:val="24"/>
                <w:szCs w:val="24"/>
                <w:lang w:val="en-US" w:eastAsia="zh-CN"/>
              </w:rPr>
              <w:t>本项目为新建项目，经现场勘查，无与本项目有关的原有环境污染问题。</w:t>
            </w:r>
          </w:p>
          <w:p w14:paraId="73F50A66">
            <w:pPr>
              <w:pStyle w:val="3"/>
              <w:rPr>
                <w:rFonts w:hint="eastAsia"/>
                <w:color w:val="auto"/>
                <w:sz w:val="24"/>
                <w:szCs w:val="24"/>
                <w:lang w:val="en-US" w:eastAsia="zh-CN"/>
              </w:rPr>
            </w:pPr>
          </w:p>
          <w:p w14:paraId="16E048A6">
            <w:pPr>
              <w:rPr>
                <w:rFonts w:hint="eastAsia"/>
                <w:color w:val="auto"/>
                <w:sz w:val="24"/>
                <w:szCs w:val="24"/>
                <w:lang w:val="en-US" w:eastAsia="zh-CN"/>
              </w:rPr>
            </w:pPr>
          </w:p>
          <w:p w14:paraId="5C5E8925">
            <w:pPr>
              <w:pStyle w:val="3"/>
              <w:rPr>
                <w:rFonts w:hint="eastAsia"/>
                <w:color w:val="auto"/>
                <w:sz w:val="24"/>
                <w:szCs w:val="24"/>
                <w:lang w:val="en-US" w:eastAsia="zh-CN"/>
              </w:rPr>
            </w:pPr>
          </w:p>
          <w:p w14:paraId="0958B66B">
            <w:pPr>
              <w:rPr>
                <w:rFonts w:hint="eastAsia"/>
                <w:color w:val="auto"/>
                <w:sz w:val="24"/>
                <w:szCs w:val="24"/>
                <w:lang w:val="en-US" w:eastAsia="zh-CN"/>
              </w:rPr>
            </w:pPr>
          </w:p>
          <w:p w14:paraId="37119426">
            <w:pPr>
              <w:pStyle w:val="3"/>
              <w:rPr>
                <w:rFonts w:hint="eastAsia"/>
                <w:color w:val="auto"/>
                <w:sz w:val="24"/>
                <w:szCs w:val="24"/>
                <w:lang w:val="en-US" w:eastAsia="zh-CN"/>
              </w:rPr>
            </w:pPr>
          </w:p>
          <w:p w14:paraId="31D2BA01">
            <w:pPr>
              <w:rPr>
                <w:rFonts w:hint="eastAsia"/>
                <w:color w:val="auto"/>
                <w:sz w:val="24"/>
                <w:szCs w:val="24"/>
                <w:lang w:val="en-US" w:eastAsia="zh-CN"/>
              </w:rPr>
            </w:pPr>
          </w:p>
          <w:p w14:paraId="59B11596">
            <w:pPr>
              <w:pStyle w:val="3"/>
              <w:rPr>
                <w:rFonts w:hint="eastAsia"/>
                <w:color w:val="auto"/>
                <w:sz w:val="24"/>
                <w:szCs w:val="24"/>
                <w:lang w:val="en-US" w:eastAsia="zh-CN"/>
              </w:rPr>
            </w:pPr>
          </w:p>
          <w:p w14:paraId="36D3E29B">
            <w:pPr>
              <w:rPr>
                <w:rFonts w:hint="eastAsia"/>
                <w:color w:val="auto"/>
                <w:sz w:val="24"/>
                <w:szCs w:val="24"/>
                <w:lang w:val="en-US" w:eastAsia="zh-CN"/>
              </w:rPr>
            </w:pPr>
          </w:p>
          <w:p w14:paraId="4FEA8BCD">
            <w:pPr>
              <w:pStyle w:val="3"/>
              <w:rPr>
                <w:rFonts w:hint="eastAsia"/>
                <w:color w:val="auto"/>
                <w:sz w:val="24"/>
                <w:szCs w:val="24"/>
                <w:lang w:val="en-US" w:eastAsia="zh-CN"/>
              </w:rPr>
            </w:pPr>
          </w:p>
          <w:p w14:paraId="30E68DF2">
            <w:pPr>
              <w:rPr>
                <w:rFonts w:hint="eastAsia"/>
                <w:color w:val="auto"/>
                <w:sz w:val="24"/>
                <w:szCs w:val="24"/>
                <w:lang w:val="en-US" w:eastAsia="zh-CN"/>
              </w:rPr>
            </w:pPr>
          </w:p>
          <w:p w14:paraId="0156905C">
            <w:pPr>
              <w:pStyle w:val="3"/>
              <w:rPr>
                <w:rFonts w:hint="eastAsia"/>
                <w:color w:val="auto"/>
                <w:sz w:val="24"/>
                <w:szCs w:val="24"/>
                <w:lang w:val="en-US" w:eastAsia="zh-CN"/>
              </w:rPr>
            </w:pPr>
          </w:p>
          <w:p w14:paraId="1D82B67F">
            <w:pPr>
              <w:rPr>
                <w:rFonts w:hint="eastAsia"/>
                <w:color w:val="auto"/>
                <w:sz w:val="24"/>
                <w:szCs w:val="24"/>
                <w:lang w:val="en-US" w:eastAsia="zh-CN"/>
              </w:rPr>
            </w:pPr>
          </w:p>
          <w:p w14:paraId="450594CC">
            <w:pPr>
              <w:rPr>
                <w:rFonts w:hint="eastAsia"/>
                <w:color w:val="auto"/>
                <w:sz w:val="24"/>
                <w:szCs w:val="24"/>
                <w:lang w:val="en-US" w:eastAsia="zh-CN"/>
              </w:rPr>
            </w:pPr>
          </w:p>
          <w:p w14:paraId="2DC870B9">
            <w:pPr>
              <w:rPr>
                <w:rFonts w:hint="eastAsia"/>
                <w:color w:val="auto"/>
                <w:sz w:val="24"/>
                <w:szCs w:val="24"/>
                <w:lang w:val="en-US" w:eastAsia="zh-CN"/>
              </w:rPr>
            </w:pPr>
          </w:p>
          <w:p w14:paraId="036121B2">
            <w:pPr>
              <w:rPr>
                <w:rFonts w:hint="eastAsia"/>
                <w:color w:val="auto"/>
                <w:sz w:val="24"/>
                <w:szCs w:val="24"/>
                <w:lang w:val="en-US" w:eastAsia="zh-CN"/>
              </w:rPr>
            </w:pPr>
          </w:p>
          <w:p w14:paraId="26BE75B5">
            <w:pPr>
              <w:rPr>
                <w:rFonts w:hint="eastAsia"/>
                <w:color w:val="auto"/>
                <w:sz w:val="24"/>
                <w:szCs w:val="24"/>
                <w:lang w:val="en-US" w:eastAsia="zh-CN"/>
              </w:rPr>
            </w:pPr>
          </w:p>
          <w:p w14:paraId="6169277E">
            <w:pPr>
              <w:rPr>
                <w:rFonts w:hint="eastAsia"/>
                <w:color w:val="auto"/>
                <w:sz w:val="24"/>
                <w:szCs w:val="24"/>
                <w:lang w:val="en-US" w:eastAsia="zh-CN"/>
              </w:rPr>
            </w:pPr>
          </w:p>
          <w:p w14:paraId="6067276E">
            <w:pPr>
              <w:pStyle w:val="3"/>
              <w:rPr>
                <w:rFonts w:hint="eastAsia"/>
                <w:color w:val="auto"/>
                <w:sz w:val="24"/>
                <w:szCs w:val="24"/>
                <w:lang w:val="en-US" w:eastAsia="zh-CN"/>
              </w:rPr>
            </w:pPr>
          </w:p>
          <w:p w14:paraId="227C4ACD">
            <w:pPr>
              <w:rPr>
                <w:rFonts w:hint="eastAsia"/>
                <w:color w:val="auto"/>
                <w:sz w:val="24"/>
                <w:szCs w:val="24"/>
                <w:lang w:val="en-US" w:eastAsia="zh-CN"/>
              </w:rPr>
            </w:pPr>
          </w:p>
          <w:p w14:paraId="322C0D11">
            <w:pPr>
              <w:pStyle w:val="3"/>
              <w:rPr>
                <w:rFonts w:hint="eastAsia"/>
                <w:color w:val="auto"/>
                <w:sz w:val="24"/>
                <w:szCs w:val="24"/>
                <w:lang w:val="en-US" w:eastAsia="zh-CN"/>
              </w:rPr>
            </w:pPr>
          </w:p>
          <w:p w14:paraId="17092983">
            <w:pPr>
              <w:rPr>
                <w:rFonts w:hint="eastAsia"/>
                <w:color w:val="auto"/>
                <w:sz w:val="24"/>
                <w:szCs w:val="24"/>
                <w:lang w:val="en-US" w:eastAsia="zh-CN"/>
              </w:rPr>
            </w:pPr>
          </w:p>
          <w:p w14:paraId="2DEB4600">
            <w:pPr>
              <w:pStyle w:val="3"/>
              <w:rPr>
                <w:rFonts w:hint="eastAsia"/>
                <w:color w:val="auto"/>
                <w:lang w:val="en-US" w:eastAsia="zh-CN"/>
              </w:rPr>
            </w:pPr>
          </w:p>
          <w:p w14:paraId="7F613D42">
            <w:pPr>
              <w:rPr>
                <w:rFonts w:hint="eastAsia"/>
                <w:color w:val="auto"/>
                <w:sz w:val="24"/>
                <w:szCs w:val="24"/>
                <w:lang w:val="en-US" w:eastAsia="zh-CN"/>
              </w:rPr>
            </w:pPr>
          </w:p>
          <w:p w14:paraId="2157B5CB">
            <w:pPr>
              <w:rPr>
                <w:rFonts w:hint="eastAsia"/>
                <w:color w:val="auto"/>
                <w:sz w:val="24"/>
                <w:szCs w:val="24"/>
                <w:lang w:val="en-US" w:eastAsia="zh-CN"/>
              </w:rPr>
            </w:pPr>
          </w:p>
          <w:p w14:paraId="615FF24A">
            <w:pPr>
              <w:rPr>
                <w:rFonts w:hint="eastAsia"/>
                <w:color w:val="auto"/>
                <w:sz w:val="24"/>
                <w:szCs w:val="24"/>
                <w:lang w:val="en-US" w:eastAsia="zh-CN"/>
              </w:rPr>
            </w:pPr>
          </w:p>
          <w:p w14:paraId="27A6039E">
            <w:pPr>
              <w:rPr>
                <w:rFonts w:hint="eastAsia"/>
                <w:color w:val="auto"/>
                <w:sz w:val="24"/>
                <w:szCs w:val="24"/>
                <w:lang w:val="en-US" w:eastAsia="zh-CN"/>
              </w:rPr>
            </w:pPr>
          </w:p>
          <w:p w14:paraId="0CE6C0D1">
            <w:pPr>
              <w:rPr>
                <w:rFonts w:hint="eastAsia"/>
                <w:color w:val="auto"/>
                <w:sz w:val="24"/>
                <w:szCs w:val="24"/>
                <w:lang w:val="en-US" w:eastAsia="zh-CN"/>
              </w:rPr>
            </w:pPr>
          </w:p>
          <w:p w14:paraId="7D3A5E6D">
            <w:pPr>
              <w:pStyle w:val="3"/>
              <w:rPr>
                <w:rFonts w:hint="eastAsia"/>
                <w:color w:val="auto"/>
                <w:sz w:val="24"/>
                <w:szCs w:val="24"/>
                <w:lang w:val="en-US" w:eastAsia="zh-CN"/>
              </w:rPr>
            </w:pPr>
          </w:p>
          <w:p w14:paraId="7BBB993B">
            <w:pPr>
              <w:rPr>
                <w:rFonts w:hint="eastAsia"/>
                <w:color w:val="auto"/>
                <w:sz w:val="24"/>
                <w:szCs w:val="24"/>
                <w:lang w:val="en-US" w:eastAsia="zh-CN"/>
              </w:rPr>
            </w:pPr>
          </w:p>
          <w:p w14:paraId="15DA9B4D">
            <w:pPr>
              <w:pStyle w:val="3"/>
              <w:rPr>
                <w:rFonts w:hint="eastAsia"/>
                <w:color w:val="auto"/>
                <w:sz w:val="24"/>
                <w:szCs w:val="24"/>
                <w:lang w:val="en-US" w:eastAsia="zh-CN"/>
              </w:rPr>
            </w:pPr>
          </w:p>
          <w:p w14:paraId="06FEFE7B">
            <w:pPr>
              <w:pStyle w:val="3"/>
              <w:rPr>
                <w:rFonts w:hint="eastAsia"/>
                <w:color w:val="auto"/>
                <w:sz w:val="24"/>
                <w:szCs w:val="24"/>
                <w:lang w:val="en-US" w:eastAsia="zh-CN"/>
              </w:rPr>
            </w:pPr>
          </w:p>
          <w:p w14:paraId="4B696036">
            <w:pPr>
              <w:rPr>
                <w:rFonts w:hint="eastAsia"/>
                <w:color w:val="auto"/>
                <w:sz w:val="24"/>
                <w:szCs w:val="24"/>
                <w:lang w:val="en-US" w:eastAsia="zh-CN"/>
              </w:rPr>
            </w:pPr>
          </w:p>
          <w:p w14:paraId="54B17A2D">
            <w:pPr>
              <w:pStyle w:val="3"/>
              <w:rPr>
                <w:rFonts w:hint="eastAsia"/>
                <w:color w:val="auto"/>
                <w:sz w:val="24"/>
                <w:szCs w:val="24"/>
                <w:lang w:val="en-US" w:eastAsia="zh-CN"/>
              </w:rPr>
            </w:pPr>
          </w:p>
          <w:p w14:paraId="579062E1">
            <w:pPr>
              <w:rPr>
                <w:rFonts w:hint="eastAsia"/>
                <w:color w:val="auto"/>
                <w:sz w:val="24"/>
                <w:szCs w:val="24"/>
                <w:lang w:val="en-US" w:eastAsia="zh-CN"/>
              </w:rPr>
            </w:pPr>
          </w:p>
          <w:p w14:paraId="793327CA">
            <w:pPr>
              <w:rPr>
                <w:rFonts w:hint="eastAsia"/>
                <w:color w:val="auto"/>
                <w:sz w:val="24"/>
                <w:szCs w:val="24"/>
                <w:lang w:val="en-US" w:eastAsia="zh-CN"/>
              </w:rPr>
            </w:pPr>
          </w:p>
          <w:p w14:paraId="65125E24">
            <w:pPr>
              <w:rPr>
                <w:rFonts w:hint="eastAsia"/>
                <w:color w:val="auto"/>
                <w:sz w:val="24"/>
                <w:szCs w:val="24"/>
                <w:lang w:val="en-US" w:eastAsia="zh-CN"/>
              </w:rPr>
            </w:pPr>
          </w:p>
          <w:p w14:paraId="73BB2888">
            <w:pPr>
              <w:rPr>
                <w:rFonts w:hint="eastAsia"/>
                <w:color w:val="auto"/>
                <w:sz w:val="24"/>
                <w:szCs w:val="24"/>
                <w:lang w:val="en-US" w:eastAsia="zh-CN"/>
              </w:rPr>
            </w:pPr>
          </w:p>
          <w:p w14:paraId="0BBD8A49">
            <w:pPr>
              <w:rPr>
                <w:rFonts w:hint="eastAsia"/>
                <w:color w:val="auto"/>
                <w:sz w:val="24"/>
                <w:szCs w:val="24"/>
                <w:lang w:val="en-US" w:eastAsia="zh-CN"/>
              </w:rPr>
            </w:pPr>
          </w:p>
          <w:p w14:paraId="677FC097">
            <w:pPr>
              <w:pStyle w:val="3"/>
              <w:rPr>
                <w:rFonts w:hint="eastAsia"/>
                <w:color w:val="auto"/>
                <w:sz w:val="24"/>
                <w:szCs w:val="24"/>
                <w:lang w:val="en-US" w:eastAsia="zh-CN"/>
              </w:rPr>
            </w:pPr>
          </w:p>
          <w:p w14:paraId="74524C7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color w:val="auto"/>
                <w:sz w:val="24"/>
                <w:szCs w:val="24"/>
                <w:lang w:val="en-US" w:eastAsia="zh-CN"/>
              </w:rPr>
            </w:pPr>
          </w:p>
        </w:tc>
      </w:tr>
    </w:tbl>
    <w:p w14:paraId="41F56C99">
      <w:pPr>
        <w:pStyle w:val="29"/>
        <w:jc w:val="center"/>
        <w:rPr>
          <w:rFonts w:ascii="黑体" w:hAnsi="黑体" w:eastAsia="黑体"/>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3ACBA988">
      <w:pPr>
        <w:pStyle w:val="29"/>
        <w:adjustRightInd w:val="0"/>
        <w:snapToGrid w:val="0"/>
        <w:spacing w:before="0" w:beforeAutospacing="0" w:after="0" w:afterAutospacing="0" w:line="15" w:lineRule="auto"/>
        <w:jc w:val="center"/>
        <w:rPr>
          <w:rFonts w:ascii="黑体" w:hAnsi="黑体" w:eastAsia="黑体"/>
          <w:snapToGrid w:val="0"/>
          <w:color w:val="auto"/>
          <w:sz w:val="30"/>
          <w:szCs w:val="30"/>
        </w:rPr>
      </w:pPr>
    </w:p>
    <w:p w14:paraId="3BA168A6">
      <w:pPr>
        <w:bidi w:val="0"/>
        <w:rPr>
          <w:rFonts w:hint="eastAsia"/>
          <w:color w:val="auto"/>
          <w:lang w:val="en-US" w:eastAsia="zh-CN"/>
        </w:rPr>
      </w:pPr>
    </w:p>
    <w:p w14:paraId="67C71245">
      <w:pPr>
        <w:bidi w:val="0"/>
        <w:rPr>
          <w:rFonts w:hint="eastAsia"/>
          <w:color w:val="auto"/>
          <w:lang w:val="en-US" w:eastAsia="zh-CN"/>
        </w:rPr>
      </w:pPr>
    </w:p>
    <w:sectPr>
      <w:footerReference r:id="rId6" w:type="default"/>
      <w:pgSz w:w="16838" w:h="11906" w:orient="landscape"/>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90055">
    <w:pPr>
      <w:pStyle w:val="22"/>
      <w:framePr w:wrap="around" w:vAnchor="text" w:hAnchor="margin" w:xAlign="center" w:y="1"/>
      <w:rPr>
        <w:rStyle w:val="36"/>
      </w:rPr>
    </w:pPr>
    <w:r>
      <w:fldChar w:fldCharType="begin"/>
    </w:r>
    <w:r>
      <w:rPr>
        <w:rStyle w:val="36"/>
      </w:rPr>
      <w:instrText xml:space="preserve">PAGE  </w:instrText>
    </w:r>
    <w:r>
      <w:fldChar w:fldCharType="end"/>
    </w:r>
  </w:p>
  <w:p w14:paraId="7BFFF4EE">
    <w:pPr>
      <w:pStyle w:val="2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93D17">
    <w:pPr>
      <w:pStyle w:val="22"/>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8F32C">
    <w:pPr>
      <w:pStyle w:val="22"/>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08285AD6">
                          <w:pPr>
                            <w:pStyle w:val="22"/>
                            <w:rPr>
                              <w:rStyle w:val="36"/>
                              <w:rFonts w:ascii="宋体" w:hAnsi="宋体"/>
                              <w:sz w:val="28"/>
                              <w:szCs w:val="28"/>
                            </w:rPr>
                          </w:pPr>
                          <w:r>
                            <w:rPr>
                              <w:rStyle w:val="36"/>
                              <w:rFonts w:hint="eastAsia" w:ascii="宋体" w:hAnsi="宋体"/>
                              <w:sz w:val="28"/>
                              <w:szCs w:val="28"/>
                            </w:rPr>
                            <w:t>—</w:t>
                          </w:r>
                          <w:r>
                            <w:rPr>
                              <w:rStyle w:val="36"/>
                              <w:rFonts w:hint="eastAsia" w:ascii="宋体" w:hAnsi="宋体"/>
                              <w:sz w:val="20"/>
                            </w:rPr>
                            <w:t xml:space="preserve">  </w:t>
                          </w:r>
                          <w:r>
                            <w:rPr>
                              <w:rFonts w:ascii="宋体" w:hAnsi="宋体"/>
                              <w:sz w:val="26"/>
                              <w:szCs w:val="26"/>
                            </w:rPr>
                            <w:fldChar w:fldCharType="begin"/>
                          </w:r>
                          <w:r>
                            <w:rPr>
                              <w:rStyle w:val="36"/>
                              <w:rFonts w:ascii="宋体" w:hAnsi="宋体"/>
                              <w:sz w:val="26"/>
                              <w:szCs w:val="26"/>
                            </w:rPr>
                            <w:instrText xml:space="preserve">PAGE  </w:instrText>
                          </w:r>
                          <w:r>
                            <w:rPr>
                              <w:rFonts w:ascii="宋体" w:hAnsi="宋体"/>
                              <w:sz w:val="26"/>
                              <w:szCs w:val="26"/>
                            </w:rPr>
                            <w:fldChar w:fldCharType="separate"/>
                          </w:r>
                          <w:r>
                            <w:rPr>
                              <w:rStyle w:val="36"/>
                              <w:rFonts w:ascii="宋体" w:hAnsi="宋体"/>
                              <w:sz w:val="26"/>
                              <w:szCs w:val="26"/>
                            </w:rPr>
                            <w:t>9</w:t>
                          </w:r>
                          <w:r>
                            <w:rPr>
                              <w:rFonts w:ascii="宋体" w:hAnsi="宋体"/>
                              <w:sz w:val="26"/>
                              <w:szCs w:val="26"/>
                            </w:rPr>
                            <w:fldChar w:fldCharType="end"/>
                          </w:r>
                          <w:r>
                            <w:rPr>
                              <w:rStyle w:val="36"/>
                              <w:rFonts w:hint="eastAsia" w:ascii="宋体" w:hAnsi="宋体"/>
                              <w:sz w:val="20"/>
                            </w:rPr>
                            <w:t xml:space="preserve">  </w:t>
                          </w:r>
                          <w:r>
                            <w:rPr>
                              <w:rStyle w:val="36"/>
                              <w:rFonts w:hint="eastAsia" w:ascii="宋体" w:hAnsi="宋体"/>
                              <w:sz w:val="28"/>
                              <w:szCs w:val="28"/>
                            </w:rPr>
                            <w:t>—</w:t>
                          </w:r>
                        </w:p>
                      </w:txbxContent>
                    </wps:txbx>
                    <wps:bodyPr vert="horz" wrap="none" lIns="0" tIns="0" rIns="0" bIns="0" anchor="t" anchorCtr="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BVZcJbgAQAAuwMAAA4AAAAA&#10;AAAAAQAgAAAAHgEAAGRycy9lMm9Eb2MueG1sUEsFBgAAAAAGAAYAWQEAAHAFAAAAAA==&#10;">
              <v:fill on="f" focussize="0,0"/>
              <v:stroke on="f"/>
              <v:imagedata o:title=""/>
              <o:lock v:ext="edit" aspectratio="f"/>
              <v:textbox inset="0mm,0mm,0mm,0mm" style="mso-fit-shape-to-text:t;">
                <w:txbxContent>
                  <w:p w14:paraId="08285AD6">
                    <w:pPr>
                      <w:pStyle w:val="22"/>
                      <w:rPr>
                        <w:rStyle w:val="36"/>
                        <w:rFonts w:ascii="宋体" w:hAnsi="宋体"/>
                        <w:sz w:val="28"/>
                        <w:szCs w:val="28"/>
                      </w:rPr>
                    </w:pPr>
                    <w:r>
                      <w:rPr>
                        <w:rStyle w:val="36"/>
                        <w:rFonts w:hint="eastAsia" w:ascii="宋体" w:hAnsi="宋体"/>
                        <w:sz w:val="28"/>
                        <w:szCs w:val="28"/>
                      </w:rPr>
                      <w:t>—</w:t>
                    </w:r>
                    <w:r>
                      <w:rPr>
                        <w:rStyle w:val="36"/>
                        <w:rFonts w:hint="eastAsia" w:ascii="宋体" w:hAnsi="宋体"/>
                        <w:sz w:val="20"/>
                      </w:rPr>
                      <w:t xml:space="preserve">  </w:t>
                    </w:r>
                    <w:r>
                      <w:rPr>
                        <w:rFonts w:ascii="宋体" w:hAnsi="宋体"/>
                        <w:sz w:val="26"/>
                        <w:szCs w:val="26"/>
                      </w:rPr>
                      <w:fldChar w:fldCharType="begin"/>
                    </w:r>
                    <w:r>
                      <w:rPr>
                        <w:rStyle w:val="36"/>
                        <w:rFonts w:ascii="宋体" w:hAnsi="宋体"/>
                        <w:sz w:val="26"/>
                        <w:szCs w:val="26"/>
                      </w:rPr>
                      <w:instrText xml:space="preserve">PAGE  </w:instrText>
                    </w:r>
                    <w:r>
                      <w:rPr>
                        <w:rFonts w:ascii="宋体" w:hAnsi="宋体"/>
                        <w:sz w:val="26"/>
                        <w:szCs w:val="26"/>
                      </w:rPr>
                      <w:fldChar w:fldCharType="separate"/>
                    </w:r>
                    <w:r>
                      <w:rPr>
                        <w:rStyle w:val="36"/>
                        <w:rFonts w:ascii="宋体" w:hAnsi="宋体"/>
                        <w:sz w:val="26"/>
                        <w:szCs w:val="26"/>
                      </w:rPr>
                      <w:t>9</w:t>
                    </w:r>
                    <w:r>
                      <w:rPr>
                        <w:rFonts w:ascii="宋体" w:hAnsi="宋体"/>
                        <w:sz w:val="26"/>
                        <w:szCs w:val="26"/>
                      </w:rPr>
                      <w:fldChar w:fldCharType="end"/>
                    </w:r>
                    <w:r>
                      <w:rPr>
                        <w:rStyle w:val="36"/>
                        <w:rFonts w:hint="eastAsia" w:ascii="宋体" w:hAnsi="宋体"/>
                        <w:sz w:val="20"/>
                      </w:rPr>
                      <w:t xml:space="preserve">  </w:t>
                    </w:r>
                    <w:r>
                      <w:rPr>
                        <w:rStyle w:val="36"/>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4EF65">
    <w:pPr>
      <w:pStyle w:val="22"/>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CF50C3B"/>
    <w:multiLevelType w:val="singleLevel"/>
    <w:tmpl w:val="FCF50C3B"/>
    <w:lvl w:ilvl="0" w:tentative="0">
      <w:start w:val="6"/>
      <w:numFmt w:val="decimal"/>
      <w:suff w:val="nothing"/>
      <w:lvlText w:val="%1、"/>
      <w:lvlJc w:val="left"/>
    </w:lvl>
  </w:abstractNum>
  <w:abstractNum w:abstractNumId="1">
    <w:nsid w:val="00000005"/>
    <w:multiLevelType w:val="singleLevel"/>
    <w:tmpl w:val="00000005"/>
    <w:lvl w:ilvl="0" w:tentative="0">
      <w:start w:val="3"/>
      <w:numFmt w:val="decimal"/>
      <w:suff w:val="nothing"/>
      <w:lvlText w:val="（%1）"/>
      <w:lvlJc w:val="left"/>
    </w:lvl>
  </w:abstractNum>
  <w:abstractNum w:abstractNumId="2">
    <w:nsid w:val="21F3297D"/>
    <w:multiLevelType w:val="multilevel"/>
    <w:tmpl w:val="21F3297D"/>
    <w:lvl w:ilvl="0" w:tentative="0">
      <w:start w:val="1"/>
      <w:numFmt w:val="none"/>
      <w:pStyle w:val="78"/>
      <w:lvlText w:val="4."/>
      <w:lvlJc w:val="left"/>
      <w:pPr>
        <w:tabs>
          <w:tab w:val="left" w:pos="420"/>
        </w:tabs>
        <w:ind w:left="420" w:hanging="420"/>
      </w:pPr>
      <w:rPr>
        <w:rFonts w:hint="eastAsia"/>
      </w:rPr>
    </w:lvl>
    <w:lvl w:ilvl="1" w:tentative="0">
      <w:start w:val="1"/>
      <w:numFmt w:val="decimal"/>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5DA8073E"/>
    <w:multiLevelType w:val="singleLevel"/>
    <w:tmpl w:val="5DA8073E"/>
    <w:lvl w:ilvl="0" w:tentative="0">
      <w:start w:val="2"/>
      <w:numFmt w:val="decimal"/>
      <w:suff w:val="nothing"/>
      <w:lvlText w:val="%1、"/>
      <w:lvlJc w:val="left"/>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M2ZWU0MzFlNzA0YjQzMjA5ZTk5NjE1NTlkZjBmNDQifQ=="/>
    <w:docVar w:name="KSO_WPS_MARK_KEY" w:val="d47c6333-de8c-478c-bb68-609f4b67396b"/>
  </w:docVars>
  <w:rsids>
    <w:rsidRoot w:val="00A14947"/>
    <w:rsid w:val="00001A32"/>
    <w:rsid w:val="000060B3"/>
    <w:rsid w:val="00032F7A"/>
    <w:rsid w:val="00043144"/>
    <w:rsid w:val="0004364B"/>
    <w:rsid w:val="00052A18"/>
    <w:rsid w:val="00061B1F"/>
    <w:rsid w:val="000733C4"/>
    <w:rsid w:val="00074783"/>
    <w:rsid w:val="0008070B"/>
    <w:rsid w:val="000810AC"/>
    <w:rsid w:val="00081A02"/>
    <w:rsid w:val="00082231"/>
    <w:rsid w:val="00092D38"/>
    <w:rsid w:val="0009377B"/>
    <w:rsid w:val="000A20C9"/>
    <w:rsid w:val="000B058F"/>
    <w:rsid w:val="000B4467"/>
    <w:rsid w:val="000B4DB9"/>
    <w:rsid w:val="000B6281"/>
    <w:rsid w:val="000C09AC"/>
    <w:rsid w:val="000C767F"/>
    <w:rsid w:val="000D5A44"/>
    <w:rsid w:val="000E3ED2"/>
    <w:rsid w:val="000E5D71"/>
    <w:rsid w:val="00131F42"/>
    <w:rsid w:val="00135135"/>
    <w:rsid w:val="001357F1"/>
    <w:rsid w:val="00140FA8"/>
    <w:rsid w:val="00142FEB"/>
    <w:rsid w:val="00143A2D"/>
    <w:rsid w:val="00145A41"/>
    <w:rsid w:val="00151675"/>
    <w:rsid w:val="00157435"/>
    <w:rsid w:val="0017504D"/>
    <w:rsid w:val="0017671A"/>
    <w:rsid w:val="00177422"/>
    <w:rsid w:val="00184590"/>
    <w:rsid w:val="001870D1"/>
    <w:rsid w:val="0018781E"/>
    <w:rsid w:val="001900E5"/>
    <w:rsid w:val="0019262D"/>
    <w:rsid w:val="00196629"/>
    <w:rsid w:val="001A1B35"/>
    <w:rsid w:val="001A48A2"/>
    <w:rsid w:val="001A6F61"/>
    <w:rsid w:val="001B72B8"/>
    <w:rsid w:val="001C69B3"/>
    <w:rsid w:val="001D4CF3"/>
    <w:rsid w:val="001D526B"/>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45D5B"/>
    <w:rsid w:val="002506BC"/>
    <w:rsid w:val="00254345"/>
    <w:rsid w:val="00264557"/>
    <w:rsid w:val="002805AB"/>
    <w:rsid w:val="00284204"/>
    <w:rsid w:val="00291773"/>
    <w:rsid w:val="002A168C"/>
    <w:rsid w:val="002A3DC7"/>
    <w:rsid w:val="002B49E2"/>
    <w:rsid w:val="002B6923"/>
    <w:rsid w:val="002B7B00"/>
    <w:rsid w:val="002B7C44"/>
    <w:rsid w:val="002C2B17"/>
    <w:rsid w:val="002D237F"/>
    <w:rsid w:val="002D3DD0"/>
    <w:rsid w:val="002E1F3A"/>
    <w:rsid w:val="002E298A"/>
    <w:rsid w:val="002E336F"/>
    <w:rsid w:val="00301978"/>
    <w:rsid w:val="0030332C"/>
    <w:rsid w:val="003051C2"/>
    <w:rsid w:val="00305274"/>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2984"/>
    <w:rsid w:val="003D794D"/>
    <w:rsid w:val="003E2391"/>
    <w:rsid w:val="003E3058"/>
    <w:rsid w:val="003E54A2"/>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B48E1"/>
    <w:rsid w:val="004E6946"/>
    <w:rsid w:val="004F1AD8"/>
    <w:rsid w:val="00501EE6"/>
    <w:rsid w:val="005039CB"/>
    <w:rsid w:val="0050558F"/>
    <w:rsid w:val="00506286"/>
    <w:rsid w:val="00510813"/>
    <w:rsid w:val="00511990"/>
    <w:rsid w:val="00511DE0"/>
    <w:rsid w:val="00514870"/>
    <w:rsid w:val="00514B9B"/>
    <w:rsid w:val="00517F02"/>
    <w:rsid w:val="00524303"/>
    <w:rsid w:val="005258A2"/>
    <w:rsid w:val="00530612"/>
    <w:rsid w:val="005401AE"/>
    <w:rsid w:val="00542E07"/>
    <w:rsid w:val="00545424"/>
    <w:rsid w:val="00554A7B"/>
    <w:rsid w:val="0055572C"/>
    <w:rsid w:val="0056106A"/>
    <w:rsid w:val="005720AE"/>
    <w:rsid w:val="00594D77"/>
    <w:rsid w:val="005969E4"/>
    <w:rsid w:val="005A06B7"/>
    <w:rsid w:val="005A1759"/>
    <w:rsid w:val="005A68A7"/>
    <w:rsid w:val="005B7FE4"/>
    <w:rsid w:val="005D2F48"/>
    <w:rsid w:val="005D36AB"/>
    <w:rsid w:val="00617CC3"/>
    <w:rsid w:val="0062519D"/>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0D55"/>
    <w:rsid w:val="006E12FF"/>
    <w:rsid w:val="006E607E"/>
    <w:rsid w:val="00706C5D"/>
    <w:rsid w:val="00732922"/>
    <w:rsid w:val="0075162E"/>
    <w:rsid w:val="00754034"/>
    <w:rsid w:val="00756556"/>
    <w:rsid w:val="007618C4"/>
    <w:rsid w:val="00767980"/>
    <w:rsid w:val="00770B19"/>
    <w:rsid w:val="0077463F"/>
    <w:rsid w:val="00775D4B"/>
    <w:rsid w:val="007836EA"/>
    <w:rsid w:val="00784CDA"/>
    <w:rsid w:val="007906C4"/>
    <w:rsid w:val="007940EA"/>
    <w:rsid w:val="007967E8"/>
    <w:rsid w:val="007A2170"/>
    <w:rsid w:val="007A22BF"/>
    <w:rsid w:val="007A3323"/>
    <w:rsid w:val="007B72B8"/>
    <w:rsid w:val="007B7A58"/>
    <w:rsid w:val="007C21B5"/>
    <w:rsid w:val="007E21B8"/>
    <w:rsid w:val="007E4BD2"/>
    <w:rsid w:val="007F6C6F"/>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1B35"/>
    <w:rsid w:val="008A213E"/>
    <w:rsid w:val="008A2F68"/>
    <w:rsid w:val="008B4FA6"/>
    <w:rsid w:val="008B5282"/>
    <w:rsid w:val="008B7C17"/>
    <w:rsid w:val="008C2D01"/>
    <w:rsid w:val="008C40E6"/>
    <w:rsid w:val="008D0F7A"/>
    <w:rsid w:val="008D484F"/>
    <w:rsid w:val="008D68E4"/>
    <w:rsid w:val="008E0506"/>
    <w:rsid w:val="008E0CFF"/>
    <w:rsid w:val="008E5D6B"/>
    <w:rsid w:val="008E76F0"/>
    <w:rsid w:val="008F15FE"/>
    <w:rsid w:val="008F2D29"/>
    <w:rsid w:val="008F5187"/>
    <w:rsid w:val="008F60D8"/>
    <w:rsid w:val="00902727"/>
    <w:rsid w:val="0090312B"/>
    <w:rsid w:val="0091736D"/>
    <w:rsid w:val="00920750"/>
    <w:rsid w:val="0093037A"/>
    <w:rsid w:val="0094154D"/>
    <w:rsid w:val="0095155F"/>
    <w:rsid w:val="00954429"/>
    <w:rsid w:val="009563CE"/>
    <w:rsid w:val="00960920"/>
    <w:rsid w:val="009644C6"/>
    <w:rsid w:val="00976328"/>
    <w:rsid w:val="0097680D"/>
    <w:rsid w:val="00982438"/>
    <w:rsid w:val="0098404C"/>
    <w:rsid w:val="00985283"/>
    <w:rsid w:val="0099362E"/>
    <w:rsid w:val="00995992"/>
    <w:rsid w:val="009A03E5"/>
    <w:rsid w:val="009A0F3B"/>
    <w:rsid w:val="009A1BB4"/>
    <w:rsid w:val="009A2628"/>
    <w:rsid w:val="009A3200"/>
    <w:rsid w:val="009B0897"/>
    <w:rsid w:val="009B2798"/>
    <w:rsid w:val="009B7BD9"/>
    <w:rsid w:val="009C7DD5"/>
    <w:rsid w:val="009E227D"/>
    <w:rsid w:val="009E5019"/>
    <w:rsid w:val="009F4C1B"/>
    <w:rsid w:val="00A04F1B"/>
    <w:rsid w:val="00A0501B"/>
    <w:rsid w:val="00A079C7"/>
    <w:rsid w:val="00A11ED5"/>
    <w:rsid w:val="00A14947"/>
    <w:rsid w:val="00A2056D"/>
    <w:rsid w:val="00A32A83"/>
    <w:rsid w:val="00A368DB"/>
    <w:rsid w:val="00A423AA"/>
    <w:rsid w:val="00A4361E"/>
    <w:rsid w:val="00A53BF4"/>
    <w:rsid w:val="00A53EC6"/>
    <w:rsid w:val="00A55C0F"/>
    <w:rsid w:val="00A8713F"/>
    <w:rsid w:val="00A90BA1"/>
    <w:rsid w:val="00A97A9A"/>
    <w:rsid w:val="00AA0671"/>
    <w:rsid w:val="00AA2531"/>
    <w:rsid w:val="00AB1E09"/>
    <w:rsid w:val="00AB5330"/>
    <w:rsid w:val="00AB7747"/>
    <w:rsid w:val="00AC14CE"/>
    <w:rsid w:val="00AC2A56"/>
    <w:rsid w:val="00AC349E"/>
    <w:rsid w:val="00AD055E"/>
    <w:rsid w:val="00AD47A7"/>
    <w:rsid w:val="00AF0CBF"/>
    <w:rsid w:val="00AF257F"/>
    <w:rsid w:val="00AF33CF"/>
    <w:rsid w:val="00AF4D50"/>
    <w:rsid w:val="00AF5F44"/>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2805"/>
    <w:rsid w:val="00C64BFF"/>
    <w:rsid w:val="00C704E9"/>
    <w:rsid w:val="00C763C9"/>
    <w:rsid w:val="00C80057"/>
    <w:rsid w:val="00C82232"/>
    <w:rsid w:val="00C82913"/>
    <w:rsid w:val="00C972B1"/>
    <w:rsid w:val="00CA2CCE"/>
    <w:rsid w:val="00CA43FD"/>
    <w:rsid w:val="00CA613C"/>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A57BB"/>
    <w:rsid w:val="00DB2983"/>
    <w:rsid w:val="00DC1257"/>
    <w:rsid w:val="00DC3DC0"/>
    <w:rsid w:val="00DC5B2B"/>
    <w:rsid w:val="00DD318D"/>
    <w:rsid w:val="00DF2E12"/>
    <w:rsid w:val="00DF514A"/>
    <w:rsid w:val="00DF6690"/>
    <w:rsid w:val="00DF6804"/>
    <w:rsid w:val="00E0358D"/>
    <w:rsid w:val="00E04323"/>
    <w:rsid w:val="00E070A2"/>
    <w:rsid w:val="00E20E97"/>
    <w:rsid w:val="00E2656A"/>
    <w:rsid w:val="00E412D0"/>
    <w:rsid w:val="00E56322"/>
    <w:rsid w:val="00E60982"/>
    <w:rsid w:val="00E62C62"/>
    <w:rsid w:val="00E654C1"/>
    <w:rsid w:val="00E65D97"/>
    <w:rsid w:val="00E72A5A"/>
    <w:rsid w:val="00E73354"/>
    <w:rsid w:val="00E80394"/>
    <w:rsid w:val="00E85487"/>
    <w:rsid w:val="00E9242D"/>
    <w:rsid w:val="00EB5255"/>
    <w:rsid w:val="00EB5C47"/>
    <w:rsid w:val="00ED0639"/>
    <w:rsid w:val="00EF4755"/>
    <w:rsid w:val="00EF7135"/>
    <w:rsid w:val="00F027DB"/>
    <w:rsid w:val="00F069CD"/>
    <w:rsid w:val="00F14A7A"/>
    <w:rsid w:val="00F22985"/>
    <w:rsid w:val="00F3383E"/>
    <w:rsid w:val="00F465A7"/>
    <w:rsid w:val="00F50B7C"/>
    <w:rsid w:val="00F550E6"/>
    <w:rsid w:val="00F656DE"/>
    <w:rsid w:val="00F74345"/>
    <w:rsid w:val="00F80A0A"/>
    <w:rsid w:val="00F82B19"/>
    <w:rsid w:val="00F9212D"/>
    <w:rsid w:val="00F965DA"/>
    <w:rsid w:val="00FA406A"/>
    <w:rsid w:val="00FB1CC0"/>
    <w:rsid w:val="00FB503A"/>
    <w:rsid w:val="00FB516C"/>
    <w:rsid w:val="00FD0236"/>
    <w:rsid w:val="00FD18F4"/>
    <w:rsid w:val="00FD54DB"/>
    <w:rsid w:val="00FD619F"/>
    <w:rsid w:val="00FF56BA"/>
    <w:rsid w:val="01027E5C"/>
    <w:rsid w:val="01064C9A"/>
    <w:rsid w:val="010B22B0"/>
    <w:rsid w:val="011E0236"/>
    <w:rsid w:val="01267C0A"/>
    <w:rsid w:val="01290F7E"/>
    <w:rsid w:val="01323CE1"/>
    <w:rsid w:val="01336FF2"/>
    <w:rsid w:val="01454703"/>
    <w:rsid w:val="01465CE2"/>
    <w:rsid w:val="01511601"/>
    <w:rsid w:val="01536978"/>
    <w:rsid w:val="015D1E09"/>
    <w:rsid w:val="01664743"/>
    <w:rsid w:val="01695955"/>
    <w:rsid w:val="017B3B55"/>
    <w:rsid w:val="018C152A"/>
    <w:rsid w:val="01997D21"/>
    <w:rsid w:val="019B32C6"/>
    <w:rsid w:val="01AD4D56"/>
    <w:rsid w:val="01B2494B"/>
    <w:rsid w:val="01B354EA"/>
    <w:rsid w:val="01B714B4"/>
    <w:rsid w:val="01BA7D4E"/>
    <w:rsid w:val="01CC7C92"/>
    <w:rsid w:val="01CF1FD5"/>
    <w:rsid w:val="01D743EA"/>
    <w:rsid w:val="01E27502"/>
    <w:rsid w:val="01E36F4E"/>
    <w:rsid w:val="01E70628"/>
    <w:rsid w:val="01FD5AB3"/>
    <w:rsid w:val="02113575"/>
    <w:rsid w:val="021D70DF"/>
    <w:rsid w:val="021E565B"/>
    <w:rsid w:val="0227136C"/>
    <w:rsid w:val="02335BA7"/>
    <w:rsid w:val="02353087"/>
    <w:rsid w:val="023575E5"/>
    <w:rsid w:val="02385327"/>
    <w:rsid w:val="02551A35"/>
    <w:rsid w:val="02557B52"/>
    <w:rsid w:val="025609C5"/>
    <w:rsid w:val="025E5F48"/>
    <w:rsid w:val="02647ECA"/>
    <w:rsid w:val="02656144"/>
    <w:rsid w:val="02667A07"/>
    <w:rsid w:val="02697903"/>
    <w:rsid w:val="026E34D7"/>
    <w:rsid w:val="02854EBE"/>
    <w:rsid w:val="029A1B3E"/>
    <w:rsid w:val="02A43D1D"/>
    <w:rsid w:val="02AB459F"/>
    <w:rsid w:val="02AF7F28"/>
    <w:rsid w:val="02B5285C"/>
    <w:rsid w:val="02BF0840"/>
    <w:rsid w:val="02CE3596"/>
    <w:rsid w:val="02CF5D26"/>
    <w:rsid w:val="02D95AEB"/>
    <w:rsid w:val="02DE2EF8"/>
    <w:rsid w:val="02E24B61"/>
    <w:rsid w:val="02E84657"/>
    <w:rsid w:val="02E90CFA"/>
    <w:rsid w:val="02EB406C"/>
    <w:rsid w:val="02F23728"/>
    <w:rsid w:val="02F96569"/>
    <w:rsid w:val="03104E09"/>
    <w:rsid w:val="031A3365"/>
    <w:rsid w:val="031E27AC"/>
    <w:rsid w:val="031F08F3"/>
    <w:rsid w:val="0321413B"/>
    <w:rsid w:val="033124A2"/>
    <w:rsid w:val="03381231"/>
    <w:rsid w:val="033D53E8"/>
    <w:rsid w:val="034253AD"/>
    <w:rsid w:val="0348159A"/>
    <w:rsid w:val="034F152E"/>
    <w:rsid w:val="0359742A"/>
    <w:rsid w:val="035D4597"/>
    <w:rsid w:val="036D00AF"/>
    <w:rsid w:val="036D2DAF"/>
    <w:rsid w:val="03791753"/>
    <w:rsid w:val="037D61DE"/>
    <w:rsid w:val="037F623A"/>
    <w:rsid w:val="038010BF"/>
    <w:rsid w:val="038852D4"/>
    <w:rsid w:val="038E47F6"/>
    <w:rsid w:val="03991DF6"/>
    <w:rsid w:val="03A569EC"/>
    <w:rsid w:val="03AA4C63"/>
    <w:rsid w:val="03C1310F"/>
    <w:rsid w:val="03C54999"/>
    <w:rsid w:val="03D22144"/>
    <w:rsid w:val="03D45789"/>
    <w:rsid w:val="03D851F9"/>
    <w:rsid w:val="03DB6E20"/>
    <w:rsid w:val="03E322AC"/>
    <w:rsid w:val="03EA7B21"/>
    <w:rsid w:val="03EB7101"/>
    <w:rsid w:val="03F854BC"/>
    <w:rsid w:val="03FE04A3"/>
    <w:rsid w:val="041D6583"/>
    <w:rsid w:val="0424259F"/>
    <w:rsid w:val="043D0E14"/>
    <w:rsid w:val="045A6DB0"/>
    <w:rsid w:val="045C65EA"/>
    <w:rsid w:val="04620DE2"/>
    <w:rsid w:val="046C3066"/>
    <w:rsid w:val="04730898"/>
    <w:rsid w:val="04811B11"/>
    <w:rsid w:val="04893C18"/>
    <w:rsid w:val="04910DFE"/>
    <w:rsid w:val="0491110B"/>
    <w:rsid w:val="04A51F69"/>
    <w:rsid w:val="04BF3ADE"/>
    <w:rsid w:val="04BF763A"/>
    <w:rsid w:val="04C256F2"/>
    <w:rsid w:val="04C63C0C"/>
    <w:rsid w:val="04C959D7"/>
    <w:rsid w:val="04CB6271"/>
    <w:rsid w:val="04D534BD"/>
    <w:rsid w:val="04E470A0"/>
    <w:rsid w:val="04E60F50"/>
    <w:rsid w:val="04EB1D87"/>
    <w:rsid w:val="04EF43C3"/>
    <w:rsid w:val="04FA6125"/>
    <w:rsid w:val="05025778"/>
    <w:rsid w:val="050B2FCD"/>
    <w:rsid w:val="05157BA2"/>
    <w:rsid w:val="051A6F66"/>
    <w:rsid w:val="0520214C"/>
    <w:rsid w:val="052120A3"/>
    <w:rsid w:val="052D4EEB"/>
    <w:rsid w:val="053171B4"/>
    <w:rsid w:val="053F305D"/>
    <w:rsid w:val="05487A70"/>
    <w:rsid w:val="05512A90"/>
    <w:rsid w:val="055747B6"/>
    <w:rsid w:val="055E6E53"/>
    <w:rsid w:val="05601B4A"/>
    <w:rsid w:val="05685F23"/>
    <w:rsid w:val="056A5D0F"/>
    <w:rsid w:val="056B0190"/>
    <w:rsid w:val="056B33D7"/>
    <w:rsid w:val="056B4B16"/>
    <w:rsid w:val="056F72B2"/>
    <w:rsid w:val="05880374"/>
    <w:rsid w:val="05922FA0"/>
    <w:rsid w:val="05946408"/>
    <w:rsid w:val="05993FCE"/>
    <w:rsid w:val="05A64CE0"/>
    <w:rsid w:val="05C0567F"/>
    <w:rsid w:val="05C56A68"/>
    <w:rsid w:val="05CB22BB"/>
    <w:rsid w:val="05E732EC"/>
    <w:rsid w:val="05E9638D"/>
    <w:rsid w:val="05EA4DDA"/>
    <w:rsid w:val="05F20F73"/>
    <w:rsid w:val="05F44C0E"/>
    <w:rsid w:val="05F83EAE"/>
    <w:rsid w:val="05FC69B1"/>
    <w:rsid w:val="060426AA"/>
    <w:rsid w:val="0606092B"/>
    <w:rsid w:val="060C52E8"/>
    <w:rsid w:val="061C5E36"/>
    <w:rsid w:val="06226A06"/>
    <w:rsid w:val="06316315"/>
    <w:rsid w:val="0635675A"/>
    <w:rsid w:val="063E7D85"/>
    <w:rsid w:val="064323A1"/>
    <w:rsid w:val="064737C1"/>
    <w:rsid w:val="06782196"/>
    <w:rsid w:val="067C1376"/>
    <w:rsid w:val="0687062B"/>
    <w:rsid w:val="06901BB8"/>
    <w:rsid w:val="06935222"/>
    <w:rsid w:val="06952D48"/>
    <w:rsid w:val="06A25465"/>
    <w:rsid w:val="06A4548C"/>
    <w:rsid w:val="06AC3F78"/>
    <w:rsid w:val="06AE35DF"/>
    <w:rsid w:val="06AF5B76"/>
    <w:rsid w:val="06B03869"/>
    <w:rsid w:val="06B14245"/>
    <w:rsid w:val="06C12B4D"/>
    <w:rsid w:val="06C278B5"/>
    <w:rsid w:val="06CA717F"/>
    <w:rsid w:val="06CC19E2"/>
    <w:rsid w:val="06CC4290"/>
    <w:rsid w:val="06D30152"/>
    <w:rsid w:val="06E82466"/>
    <w:rsid w:val="06F51A39"/>
    <w:rsid w:val="06FA19CE"/>
    <w:rsid w:val="06FE6B3F"/>
    <w:rsid w:val="07097292"/>
    <w:rsid w:val="071023CF"/>
    <w:rsid w:val="07180613"/>
    <w:rsid w:val="071D4AEC"/>
    <w:rsid w:val="0721282E"/>
    <w:rsid w:val="07231279"/>
    <w:rsid w:val="07293586"/>
    <w:rsid w:val="07295285"/>
    <w:rsid w:val="074F208F"/>
    <w:rsid w:val="075065BC"/>
    <w:rsid w:val="07515289"/>
    <w:rsid w:val="075449B1"/>
    <w:rsid w:val="075524D7"/>
    <w:rsid w:val="075741C6"/>
    <w:rsid w:val="075C1B42"/>
    <w:rsid w:val="07636392"/>
    <w:rsid w:val="07667795"/>
    <w:rsid w:val="077251C9"/>
    <w:rsid w:val="07770C56"/>
    <w:rsid w:val="077946F5"/>
    <w:rsid w:val="077D0A4B"/>
    <w:rsid w:val="077F1302"/>
    <w:rsid w:val="077F3AB3"/>
    <w:rsid w:val="07870976"/>
    <w:rsid w:val="07922158"/>
    <w:rsid w:val="07935F9B"/>
    <w:rsid w:val="079B25E0"/>
    <w:rsid w:val="079E1A04"/>
    <w:rsid w:val="07A115E8"/>
    <w:rsid w:val="07A16205"/>
    <w:rsid w:val="07A80520"/>
    <w:rsid w:val="07B93A3E"/>
    <w:rsid w:val="07BA3D1D"/>
    <w:rsid w:val="07CA293D"/>
    <w:rsid w:val="07CB5911"/>
    <w:rsid w:val="07D50140"/>
    <w:rsid w:val="07D96C64"/>
    <w:rsid w:val="07E87D3C"/>
    <w:rsid w:val="07F95559"/>
    <w:rsid w:val="07FB4DF1"/>
    <w:rsid w:val="08012539"/>
    <w:rsid w:val="08034185"/>
    <w:rsid w:val="08144141"/>
    <w:rsid w:val="082058C8"/>
    <w:rsid w:val="08352B56"/>
    <w:rsid w:val="08395955"/>
    <w:rsid w:val="083E5E44"/>
    <w:rsid w:val="084E7652"/>
    <w:rsid w:val="084F33CB"/>
    <w:rsid w:val="08521399"/>
    <w:rsid w:val="085E716A"/>
    <w:rsid w:val="0866476F"/>
    <w:rsid w:val="086F6867"/>
    <w:rsid w:val="0878256E"/>
    <w:rsid w:val="087F780C"/>
    <w:rsid w:val="0882554E"/>
    <w:rsid w:val="088509DF"/>
    <w:rsid w:val="08955C95"/>
    <w:rsid w:val="08961FC9"/>
    <w:rsid w:val="08A10FEA"/>
    <w:rsid w:val="08A84C97"/>
    <w:rsid w:val="08BB45BC"/>
    <w:rsid w:val="08BF37EF"/>
    <w:rsid w:val="08C05347"/>
    <w:rsid w:val="08CA1531"/>
    <w:rsid w:val="08D134AC"/>
    <w:rsid w:val="08DE33AB"/>
    <w:rsid w:val="08E12275"/>
    <w:rsid w:val="08E7715F"/>
    <w:rsid w:val="08EE2D4F"/>
    <w:rsid w:val="08F359A9"/>
    <w:rsid w:val="08F55D20"/>
    <w:rsid w:val="08FE04F3"/>
    <w:rsid w:val="090D27AF"/>
    <w:rsid w:val="0919606C"/>
    <w:rsid w:val="092217DD"/>
    <w:rsid w:val="092E1232"/>
    <w:rsid w:val="092E1A43"/>
    <w:rsid w:val="092F01B8"/>
    <w:rsid w:val="0933542B"/>
    <w:rsid w:val="093A7294"/>
    <w:rsid w:val="09400B40"/>
    <w:rsid w:val="094A76EB"/>
    <w:rsid w:val="09531D27"/>
    <w:rsid w:val="09590F21"/>
    <w:rsid w:val="095F264D"/>
    <w:rsid w:val="096311E7"/>
    <w:rsid w:val="096316DD"/>
    <w:rsid w:val="09763059"/>
    <w:rsid w:val="097C01EF"/>
    <w:rsid w:val="098021C8"/>
    <w:rsid w:val="09806A03"/>
    <w:rsid w:val="09875ED4"/>
    <w:rsid w:val="09886320"/>
    <w:rsid w:val="0988643E"/>
    <w:rsid w:val="09911F20"/>
    <w:rsid w:val="099D7D71"/>
    <w:rsid w:val="09AA6B1D"/>
    <w:rsid w:val="09AB549B"/>
    <w:rsid w:val="09B259AA"/>
    <w:rsid w:val="09B44918"/>
    <w:rsid w:val="09C4132C"/>
    <w:rsid w:val="09CB139F"/>
    <w:rsid w:val="09D129E3"/>
    <w:rsid w:val="09D815E1"/>
    <w:rsid w:val="09DD2324"/>
    <w:rsid w:val="09DF284A"/>
    <w:rsid w:val="09DF42DA"/>
    <w:rsid w:val="09E366B7"/>
    <w:rsid w:val="09EB75E0"/>
    <w:rsid w:val="09EE4C79"/>
    <w:rsid w:val="09F75AC8"/>
    <w:rsid w:val="09FF759F"/>
    <w:rsid w:val="0A043E1E"/>
    <w:rsid w:val="0A23066B"/>
    <w:rsid w:val="0A232A84"/>
    <w:rsid w:val="0A263993"/>
    <w:rsid w:val="0A2C5771"/>
    <w:rsid w:val="0A2D00A2"/>
    <w:rsid w:val="0A2D3AC2"/>
    <w:rsid w:val="0A344626"/>
    <w:rsid w:val="0A362524"/>
    <w:rsid w:val="0A4073C8"/>
    <w:rsid w:val="0A4505E1"/>
    <w:rsid w:val="0A496C6B"/>
    <w:rsid w:val="0A4A3E4A"/>
    <w:rsid w:val="0A526C05"/>
    <w:rsid w:val="0A595E3B"/>
    <w:rsid w:val="0A5F5D75"/>
    <w:rsid w:val="0A60366D"/>
    <w:rsid w:val="0A744757"/>
    <w:rsid w:val="0A786C09"/>
    <w:rsid w:val="0A7B04A7"/>
    <w:rsid w:val="0A7D35EF"/>
    <w:rsid w:val="0A8530D4"/>
    <w:rsid w:val="0A85631C"/>
    <w:rsid w:val="0AA25A34"/>
    <w:rsid w:val="0AA7304A"/>
    <w:rsid w:val="0AA755DF"/>
    <w:rsid w:val="0AA90B70"/>
    <w:rsid w:val="0AAE64BA"/>
    <w:rsid w:val="0ACC2AB1"/>
    <w:rsid w:val="0ACE430C"/>
    <w:rsid w:val="0ADA341F"/>
    <w:rsid w:val="0ADB62AB"/>
    <w:rsid w:val="0AE42508"/>
    <w:rsid w:val="0AF34CBF"/>
    <w:rsid w:val="0AFF4C34"/>
    <w:rsid w:val="0B001553"/>
    <w:rsid w:val="0B053EB3"/>
    <w:rsid w:val="0B0D5671"/>
    <w:rsid w:val="0B0F299D"/>
    <w:rsid w:val="0B1054C7"/>
    <w:rsid w:val="0B120D44"/>
    <w:rsid w:val="0B13248D"/>
    <w:rsid w:val="0B242101"/>
    <w:rsid w:val="0B275F39"/>
    <w:rsid w:val="0B310B66"/>
    <w:rsid w:val="0B337CA4"/>
    <w:rsid w:val="0B3F14D4"/>
    <w:rsid w:val="0B445062"/>
    <w:rsid w:val="0B51154E"/>
    <w:rsid w:val="0B8D7114"/>
    <w:rsid w:val="0BA36F45"/>
    <w:rsid w:val="0BA77FB4"/>
    <w:rsid w:val="0BA90928"/>
    <w:rsid w:val="0BAF7A66"/>
    <w:rsid w:val="0BB06CD5"/>
    <w:rsid w:val="0BBF224A"/>
    <w:rsid w:val="0BC140B0"/>
    <w:rsid w:val="0BC467D3"/>
    <w:rsid w:val="0BD27BF6"/>
    <w:rsid w:val="0BD77145"/>
    <w:rsid w:val="0BE43E2A"/>
    <w:rsid w:val="0BE74194"/>
    <w:rsid w:val="0BEE462D"/>
    <w:rsid w:val="0BF33CDB"/>
    <w:rsid w:val="0BFE313E"/>
    <w:rsid w:val="0BFE643E"/>
    <w:rsid w:val="0C085D6A"/>
    <w:rsid w:val="0C1069CD"/>
    <w:rsid w:val="0C191D25"/>
    <w:rsid w:val="0C1F7B9B"/>
    <w:rsid w:val="0C204971"/>
    <w:rsid w:val="0C28576C"/>
    <w:rsid w:val="0C2B1A59"/>
    <w:rsid w:val="0C2C241F"/>
    <w:rsid w:val="0C3B3C7D"/>
    <w:rsid w:val="0C3F059C"/>
    <w:rsid w:val="0C4900DF"/>
    <w:rsid w:val="0C4E1FB1"/>
    <w:rsid w:val="0C572706"/>
    <w:rsid w:val="0C636DD8"/>
    <w:rsid w:val="0C673DCB"/>
    <w:rsid w:val="0C812CC8"/>
    <w:rsid w:val="0C83145C"/>
    <w:rsid w:val="0C8A2C23"/>
    <w:rsid w:val="0C8C7FCD"/>
    <w:rsid w:val="0C923718"/>
    <w:rsid w:val="0C9A0A72"/>
    <w:rsid w:val="0C9B5204"/>
    <w:rsid w:val="0CA041F5"/>
    <w:rsid w:val="0CA63264"/>
    <w:rsid w:val="0CA75583"/>
    <w:rsid w:val="0CAB2EAE"/>
    <w:rsid w:val="0CAB5696"/>
    <w:rsid w:val="0CAF0F6A"/>
    <w:rsid w:val="0CB24EC7"/>
    <w:rsid w:val="0CBF0FEB"/>
    <w:rsid w:val="0CC638F0"/>
    <w:rsid w:val="0CD32B4F"/>
    <w:rsid w:val="0CD679BD"/>
    <w:rsid w:val="0CD86DD1"/>
    <w:rsid w:val="0CE75980"/>
    <w:rsid w:val="0CF91902"/>
    <w:rsid w:val="0D0B3D64"/>
    <w:rsid w:val="0D123874"/>
    <w:rsid w:val="0D14139C"/>
    <w:rsid w:val="0D174814"/>
    <w:rsid w:val="0D1D3133"/>
    <w:rsid w:val="0D336E17"/>
    <w:rsid w:val="0D366374"/>
    <w:rsid w:val="0D3818EF"/>
    <w:rsid w:val="0D422886"/>
    <w:rsid w:val="0D4904F5"/>
    <w:rsid w:val="0D4A5F0F"/>
    <w:rsid w:val="0D4C3218"/>
    <w:rsid w:val="0D4E59FF"/>
    <w:rsid w:val="0D530974"/>
    <w:rsid w:val="0D561C3A"/>
    <w:rsid w:val="0D621C7D"/>
    <w:rsid w:val="0D685587"/>
    <w:rsid w:val="0D8341B7"/>
    <w:rsid w:val="0D9000C1"/>
    <w:rsid w:val="0DA11FD2"/>
    <w:rsid w:val="0DA45B6C"/>
    <w:rsid w:val="0DA74070"/>
    <w:rsid w:val="0DB333E3"/>
    <w:rsid w:val="0DBA08FC"/>
    <w:rsid w:val="0DBD7F1C"/>
    <w:rsid w:val="0DBE2B84"/>
    <w:rsid w:val="0DCB3277"/>
    <w:rsid w:val="0DCD726B"/>
    <w:rsid w:val="0DD57ECE"/>
    <w:rsid w:val="0DDF2AFB"/>
    <w:rsid w:val="0DE87C01"/>
    <w:rsid w:val="0DEB5944"/>
    <w:rsid w:val="0DF00369"/>
    <w:rsid w:val="0DFC3E81"/>
    <w:rsid w:val="0DFD79CD"/>
    <w:rsid w:val="0E0A5692"/>
    <w:rsid w:val="0E10622A"/>
    <w:rsid w:val="0E161661"/>
    <w:rsid w:val="0E1934B6"/>
    <w:rsid w:val="0E1B0505"/>
    <w:rsid w:val="0E1B1E5B"/>
    <w:rsid w:val="0E21660F"/>
    <w:rsid w:val="0E2726DF"/>
    <w:rsid w:val="0E3E1F17"/>
    <w:rsid w:val="0E433C09"/>
    <w:rsid w:val="0E663D87"/>
    <w:rsid w:val="0E73034D"/>
    <w:rsid w:val="0E8D5C3B"/>
    <w:rsid w:val="0E8E1C5C"/>
    <w:rsid w:val="0E936C8D"/>
    <w:rsid w:val="0E9671C2"/>
    <w:rsid w:val="0E9813AF"/>
    <w:rsid w:val="0E9F1FF3"/>
    <w:rsid w:val="0EA3253A"/>
    <w:rsid w:val="0EA60956"/>
    <w:rsid w:val="0EA87391"/>
    <w:rsid w:val="0EB35F83"/>
    <w:rsid w:val="0EC662EE"/>
    <w:rsid w:val="0ECA6574"/>
    <w:rsid w:val="0EE24651"/>
    <w:rsid w:val="0EEE7499"/>
    <w:rsid w:val="0EF652A0"/>
    <w:rsid w:val="0EFF16A6"/>
    <w:rsid w:val="0F112C3E"/>
    <w:rsid w:val="0F13775A"/>
    <w:rsid w:val="0F1F3B79"/>
    <w:rsid w:val="0F212FFE"/>
    <w:rsid w:val="0F220EF1"/>
    <w:rsid w:val="0F276507"/>
    <w:rsid w:val="0F3139F2"/>
    <w:rsid w:val="0F36499C"/>
    <w:rsid w:val="0F452EA2"/>
    <w:rsid w:val="0F473047"/>
    <w:rsid w:val="0F484622"/>
    <w:rsid w:val="0F4B48EC"/>
    <w:rsid w:val="0F4C0664"/>
    <w:rsid w:val="0F5F45FE"/>
    <w:rsid w:val="0F680F65"/>
    <w:rsid w:val="0F7756E1"/>
    <w:rsid w:val="0F81030D"/>
    <w:rsid w:val="0F8349EB"/>
    <w:rsid w:val="0F89508C"/>
    <w:rsid w:val="0F8C0A60"/>
    <w:rsid w:val="0F9A112B"/>
    <w:rsid w:val="0F9C5147"/>
    <w:rsid w:val="0FA506E5"/>
    <w:rsid w:val="0FA57836"/>
    <w:rsid w:val="0FA579EC"/>
    <w:rsid w:val="0FA60DA3"/>
    <w:rsid w:val="0FAD28DD"/>
    <w:rsid w:val="0FAE1174"/>
    <w:rsid w:val="0FC150CF"/>
    <w:rsid w:val="0FC45FA0"/>
    <w:rsid w:val="0FD3668F"/>
    <w:rsid w:val="0FDD2F99"/>
    <w:rsid w:val="0FE05657"/>
    <w:rsid w:val="0FE07ED0"/>
    <w:rsid w:val="0FFA260F"/>
    <w:rsid w:val="100827DD"/>
    <w:rsid w:val="101A1F93"/>
    <w:rsid w:val="10207243"/>
    <w:rsid w:val="102147F8"/>
    <w:rsid w:val="1021564D"/>
    <w:rsid w:val="102F518A"/>
    <w:rsid w:val="10303EF6"/>
    <w:rsid w:val="104220FC"/>
    <w:rsid w:val="10437371"/>
    <w:rsid w:val="10524E07"/>
    <w:rsid w:val="10562819"/>
    <w:rsid w:val="105754EE"/>
    <w:rsid w:val="105E23A9"/>
    <w:rsid w:val="10645539"/>
    <w:rsid w:val="106D2F64"/>
    <w:rsid w:val="1080556E"/>
    <w:rsid w:val="10843731"/>
    <w:rsid w:val="1085436E"/>
    <w:rsid w:val="10863711"/>
    <w:rsid w:val="108A31F2"/>
    <w:rsid w:val="1091537A"/>
    <w:rsid w:val="10993435"/>
    <w:rsid w:val="109B53FF"/>
    <w:rsid w:val="10AF0BAA"/>
    <w:rsid w:val="10B63710"/>
    <w:rsid w:val="10B95885"/>
    <w:rsid w:val="10BE2E9B"/>
    <w:rsid w:val="10D41E94"/>
    <w:rsid w:val="10D70136"/>
    <w:rsid w:val="10D70330"/>
    <w:rsid w:val="10DB6F0E"/>
    <w:rsid w:val="10DC30EE"/>
    <w:rsid w:val="10DE709A"/>
    <w:rsid w:val="10E70644"/>
    <w:rsid w:val="10E7268D"/>
    <w:rsid w:val="10EE6860"/>
    <w:rsid w:val="10F10820"/>
    <w:rsid w:val="10F33916"/>
    <w:rsid w:val="10F845FF"/>
    <w:rsid w:val="10F84BC2"/>
    <w:rsid w:val="110130BD"/>
    <w:rsid w:val="11017C87"/>
    <w:rsid w:val="11196324"/>
    <w:rsid w:val="111C2F7A"/>
    <w:rsid w:val="112167B4"/>
    <w:rsid w:val="1122167C"/>
    <w:rsid w:val="112A1D23"/>
    <w:rsid w:val="112D64BC"/>
    <w:rsid w:val="11365AD1"/>
    <w:rsid w:val="113849FC"/>
    <w:rsid w:val="113B1A46"/>
    <w:rsid w:val="1154735C"/>
    <w:rsid w:val="115B4B8E"/>
    <w:rsid w:val="115C6507"/>
    <w:rsid w:val="115E4E0F"/>
    <w:rsid w:val="11625910"/>
    <w:rsid w:val="116339D1"/>
    <w:rsid w:val="116522F5"/>
    <w:rsid w:val="11665CA1"/>
    <w:rsid w:val="116E2B13"/>
    <w:rsid w:val="11800151"/>
    <w:rsid w:val="11812847"/>
    <w:rsid w:val="11875E5E"/>
    <w:rsid w:val="119208DE"/>
    <w:rsid w:val="119D3855"/>
    <w:rsid w:val="11A01790"/>
    <w:rsid w:val="11A33105"/>
    <w:rsid w:val="11AD363C"/>
    <w:rsid w:val="11E608FC"/>
    <w:rsid w:val="11E97209"/>
    <w:rsid w:val="11EA306B"/>
    <w:rsid w:val="11F254F3"/>
    <w:rsid w:val="11FE2376"/>
    <w:rsid w:val="12043C94"/>
    <w:rsid w:val="12057DA5"/>
    <w:rsid w:val="120A78B7"/>
    <w:rsid w:val="120E3219"/>
    <w:rsid w:val="12114F0A"/>
    <w:rsid w:val="1228313F"/>
    <w:rsid w:val="123F2B0E"/>
    <w:rsid w:val="12435D4E"/>
    <w:rsid w:val="12544015"/>
    <w:rsid w:val="125F245C"/>
    <w:rsid w:val="126209FA"/>
    <w:rsid w:val="12633974"/>
    <w:rsid w:val="12647A72"/>
    <w:rsid w:val="12703D7D"/>
    <w:rsid w:val="12746EDC"/>
    <w:rsid w:val="128123D2"/>
    <w:rsid w:val="12963118"/>
    <w:rsid w:val="12980ED8"/>
    <w:rsid w:val="12A4166C"/>
    <w:rsid w:val="12A460C1"/>
    <w:rsid w:val="12B376DE"/>
    <w:rsid w:val="12B37DEE"/>
    <w:rsid w:val="12C0739F"/>
    <w:rsid w:val="12C306CC"/>
    <w:rsid w:val="12D16100"/>
    <w:rsid w:val="12DB7D35"/>
    <w:rsid w:val="12E3308D"/>
    <w:rsid w:val="12E75B94"/>
    <w:rsid w:val="12EB0686"/>
    <w:rsid w:val="12EF1BF6"/>
    <w:rsid w:val="12F8205D"/>
    <w:rsid w:val="13043660"/>
    <w:rsid w:val="130C48FD"/>
    <w:rsid w:val="131C64A0"/>
    <w:rsid w:val="13216D07"/>
    <w:rsid w:val="13280AA0"/>
    <w:rsid w:val="132818B7"/>
    <w:rsid w:val="1336343C"/>
    <w:rsid w:val="133B1DE5"/>
    <w:rsid w:val="133D6C35"/>
    <w:rsid w:val="13445B41"/>
    <w:rsid w:val="13581385"/>
    <w:rsid w:val="136442CB"/>
    <w:rsid w:val="136E3D0D"/>
    <w:rsid w:val="137C2A53"/>
    <w:rsid w:val="137E6912"/>
    <w:rsid w:val="13816400"/>
    <w:rsid w:val="13830FA6"/>
    <w:rsid w:val="13853604"/>
    <w:rsid w:val="138E23CC"/>
    <w:rsid w:val="13951726"/>
    <w:rsid w:val="139E27C3"/>
    <w:rsid w:val="13A70C83"/>
    <w:rsid w:val="13AB626E"/>
    <w:rsid w:val="13AB6AFA"/>
    <w:rsid w:val="13B7075E"/>
    <w:rsid w:val="13BD5A5A"/>
    <w:rsid w:val="13BD7638"/>
    <w:rsid w:val="13BE3795"/>
    <w:rsid w:val="13BF030C"/>
    <w:rsid w:val="13C07196"/>
    <w:rsid w:val="13CD729A"/>
    <w:rsid w:val="13D76995"/>
    <w:rsid w:val="13EF7C2B"/>
    <w:rsid w:val="13FB7F63"/>
    <w:rsid w:val="141A7849"/>
    <w:rsid w:val="142976A3"/>
    <w:rsid w:val="142E3B87"/>
    <w:rsid w:val="143533EF"/>
    <w:rsid w:val="14396509"/>
    <w:rsid w:val="14463A68"/>
    <w:rsid w:val="14483D8C"/>
    <w:rsid w:val="1448754C"/>
    <w:rsid w:val="14575AE1"/>
    <w:rsid w:val="14577D53"/>
    <w:rsid w:val="146228E4"/>
    <w:rsid w:val="14647DD5"/>
    <w:rsid w:val="14787365"/>
    <w:rsid w:val="14795A57"/>
    <w:rsid w:val="14887A48"/>
    <w:rsid w:val="148A7C64"/>
    <w:rsid w:val="148D32B1"/>
    <w:rsid w:val="14904B4F"/>
    <w:rsid w:val="14952EAD"/>
    <w:rsid w:val="149C7998"/>
    <w:rsid w:val="149E0C82"/>
    <w:rsid w:val="14A71FB7"/>
    <w:rsid w:val="14A73E2F"/>
    <w:rsid w:val="14B3682E"/>
    <w:rsid w:val="14C6556D"/>
    <w:rsid w:val="14CD18FF"/>
    <w:rsid w:val="14DD2C3C"/>
    <w:rsid w:val="14DD7293"/>
    <w:rsid w:val="14E07D19"/>
    <w:rsid w:val="14E1232E"/>
    <w:rsid w:val="14ED1B20"/>
    <w:rsid w:val="14EE4E85"/>
    <w:rsid w:val="14F33503"/>
    <w:rsid w:val="14F818EF"/>
    <w:rsid w:val="14F81BC4"/>
    <w:rsid w:val="14F85F8E"/>
    <w:rsid w:val="14FA0773"/>
    <w:rsid w:val="14FA769C"/>
    <w:rsid w:val="14FD2B61"/>
    <w:rsid w:val="14FF36C4"/>
    <w:rsid w:val="15067A88"/>
    <w:rsid w:val="1510660E"/>
    <w:rsid w:val="153D4CD7"/>
    <w:rsid w:val="15411B60"/>
    <w:rsid w:val="155142DE"/>
    <w:rsid w:val="15583CB7"/>
    <w:rsid w:val="15634011"/>
    <w:rsid w:val="15651385"/>
    <w:rsid w:val="156C311B"/>
    <w:rsid w:val="157543DA"/>
    <w:rsid w:val="1575625C"/>
    <w:rsid w:val="157B75AD"/>
    <w:rsid w:val="15875F52"/>
    <w:rsid w:val="1596109F"/>
    <w:rsid w:val="15973CBB"/>
    <w:rsid w:val="15A21E82"/>
    <w:rsid w:val="15A524B3"/>
    <w:rsid w:val="15A66620"/>
    <w:rsid w:val="15A74787"/>
    <w:rsid w:val="15A9236C"/>
    <w:rsid w:val="15AE1060"/>
    <w:rsid w:val="15B12FCF"/>
    <w:rsid w:val="15C302C1"/>
    <w:rsid w:val="15C56A7A"/>
    <w:rsid w:val="15CC7A50"/>
    <w:rsid w:val="15D43E1B"/>
    <w:rsid w:val="15D4618E"/>
    <w:rsid w:val="15E038B4"/>
    <w:rsid w:val="15E211F7"/>
    <w:rsid w:val="15E63EC2"/>
    <w:rsid w:val="15F306FC"/>
    <w:rsid w:val="15F97EB4"/>
    <w:rsid w:val="16050EB1"/>
    <w:rsid w:val="16087E1D"/>
    <w:rsid w:val="1618304E"/>
    <w:rsid w:val="16213029"/>
    <w:rsid w:val="162C583E"/>
    <w:rsid w:val="163C6D3C"/>
    <w:rsid w:val="163D1F89"/>
    <w:rsid w:val="163E2DAF"/>
    <w:rsid w:val="164666A6"/>
    <w:rsid w:val="16514256"/>
    <w:rsid w:val="165226B5"/>
    <w:rsid w:val="165A5414"/>
    <w:rsid w:val="166352AA"/>
    <w:rsid w:val="166456F1"/>
    <w:rsid w:val="166F2CA6"/>
    <w:rsid w:val="16757794"/>
    <w:rsid w:val="167B4357"/>
    <w:rsid w:val="16814185"/>
    <w:rsid w:val="16845441"/>
    <w:rsid w:val="168D3DD1"/>
    <w:rsid w:val="169052DA"/>
    <w:rsid w:val="169E79F7"/>
    <w:rsid w:val="16A95608"/>
    <w:rsid w:val="16AE07B1"/>
    <w:rsid w:val="16BA047E"/>
    <w:rsid w:val="16BE57DA"/>
    <w:rsid w:val="16C02BC6"/>
    <w:rsid w:val="16C27344"/>
    <w:rsid w:val="16C3745D"/>
    <w:rsid w:val="16CC523F"/>
    <w:rsid w:val="16D57191"/>
    <w:rsid w:val="16D73273"/>
    <w:rsid w:val="16DB65C3"/>
    <w:rsid w:val="16E52453"/>
    <w:rsid w:val="16EA1297"/>
    <w:rsid w:val="16F35924"/>
    <w:rsid w:val="17097C7A"/>
    <w:rsid w:val="170B4961"/>
    <w:rsid w:val="170B670F"/>
    <w:rsid w:val="171862DF"/>
    <w:rsid w:val="17297264"/>
    <w:rsid w:val="172B0B5F"/>
    <w:rsid w:val="174B2876"/>
    <w:rsid w:val="174D02F7"/>
    <w:rsid w:val="17520330"/>
    <w:rsid w:val="1759391E"/>
    <w:rsid w:val="17606A5A"/>
    <w:rsid w:val="1763479D"/>
    <w:rsid w:val="17701D14"/>
    <w:rsid w:val="17735226"/>
    <w:rsid w:val="17747262"/>
    <w:rsid w:val="177C13BA"/>
    <w:rsid w:val="17944106"/>
    <w:rsid w:val="17A172D9"/>
    <w:rsid w:val="17A27073"/>
    <w:rsid w:val="17AC119B"/>
    <w:rsid w:val="17B117AC"/>
    <w:rsid w:val="17B44FF8"/>
    <w:rsid w:val="17C20009"/>
    <w:rsid w:val="17C43DD0"/>
    <w:rsid w:val="17E0063E"/>
    <w:rsid w:val="17E13079"/>
    <w:rsid w:val="17E44BFC"/>
    <w:rsid w:val="17F84C38"/>
    <w:rsid w:val="17F973DA"/>
    <w:rsid w:val="17FF564B"/>
    <w:rsid w:val="180841A7"/>
    <w:rsid w:val="180F2CDA"/>
    <w:rsid w:val="18167A61"/>
    <w:rsid w:val="183357E7"/>
    <w:rsid w:val="18363559"/>
    <w:rsid w:val="18363C5F"/>
    <w:rsid w:val="1839615F"/>
    <w:rsid w:val="183A374F"/>
    <w:rsid w:val="183D4FEE"/>
    <w:rsid w:val="1844012A"/>
    <w:rsid w:val="184C0C5A"/>
    <w:rsid w:val="184F26DA"/>
    <w:rsid w:val="186270E4"/>
    <w:rsid w:val="18716A45"/>
    <w:rsid w:val="18821CB9"/>
    <w:rsid w:val="18822A00"/>
    <w:rsid w:val="18834365"/>
    <w:rsid w:val="188F4B6C"/>
    <w:rsid w:val="189105F4"/>
    <w:rsid w:val="18933380"/>
    <w:rsid w:val="18982224"/>
    <w:rsid w:val="18983F8B"/>
    <w:rsid w:val="189F624C"/>
    <w:rsid w:val="18A60196"/>
    <w:rsid w:val="18A961DF"/>
    <w:rsid w:val="18AC1086"/>
    <w:rsid w:val="18AD1107"/>
    <w:rsid w:val="18AD2173"/>
    <w:rsid w:val="18BC70D4"/>
    <w:rsid w:val="18C43019"/>
    <w:rsid w:val="18CE4707"/>
    <w:rsid w:val="18D87CD2"/>
    <w:rsid w:val="18DA3201"/>
    <w:rsid w:val="18FF22A3"/>
    <w:rsid w:val="18FF4051"/>
    <w:rsid w:val="1901601B"/>
    <w:rsid w:val="19017DC9"/>
    <w:rsid w:val="19044120"/>
    <w:rsid w:val="191012EE"/>
    <w:rsid w:val="192561AE"/>
    <w:rsid w:val="19375BC2"/>
    <w:rsid w:val="194C312C"/>
    <w:rsid w:val="19683308"/>
    <w:rsid w:val="196912DD"/>
    <w:rsid w:val="19732C07"/>
    <w:rsid w:val="19747F97"/>
    <w:rsid w:val="19801636"/>
    <w:rsid w:val="198C1C7F"/>
    <w:rsid w:val="19A90B8D"/>
    <w:rsid w:val="19B65058"/>
    <w:rsid w:val="19C43406"/>
    <w:rsid w:val="19C71817"/>
    <w:rsid w:val="19E35721"/>
    <w:rsid w:val="19E971DB"/>
    <w:rsid w:val="19EC6CCB"/>
    <w:rsid w:val="19F60EE6"/>
    <w:rsid w:val="1A0045C4"/>
    <w:rsid w:val="1A095342"/>
    <w:rsid w:val="1A0D716D"/>
    <w:rsid w:val="1A114381"/>
    <w:rsid w:val="1A1C66C0"/>
    <w:rsid w:val="1A254691"/>
    <w:rsid w:val="1A25488B"/>
    <w:rsid w:val="1A303121"/>
    <w:rsid w:val="1A377398"/>
    <w:rsid w:val="1A3A10E3"/>
    <w:rsid w:val="1A3B555D"/>
    <w:rsid w:val="1A3B7D69"/>
    <w:rsid w:val="1A42393B"/>
    <w:rsid w:val="1A4408B5"/>
    <w:rsid w:val="1A472154"/>
    <w:rsid w:val="1A495ECC"/>
    <w:rsid w:val="1A59671E"/>
    <w:rsid w:val="1A616FE2"/>
    <w:rsid w:val="1A681208"/>
    <w:rsid w:val="1A6C6144"/>
    <w:rsid w:val="1A87674F"/>
    <w:rsid w:val="1A956870"/>
    <w:rsid w:val="1AAC31E9"/>
    <w:rsid w:val="1AAD45DE"/>
    <w:rsid w:val="1AB05F4B"/>
    <w:rsid w:val="1ACD08AB"/>
    <w:rsid w:val="1ACF1846"/>
    <w:rsid w:val="1AD67034"/>
    <w:rsid w:val="1AE6371B"/>
    <w:rsid w:val="1AF000F5"/>
    <w:rsid w:val="1B046F80"/>
    <w:rsid w:val="1B1C72B0"/>
    <w:rsid w:val="1B267688"/>
    <w:rsid w:val="1B2C7A13"/>
    <w:rsid w:val="1B3204C1"/>
    <w:rsid w:val="1B3267B5"/>
    <w:rsid w:val="1B3847A4"/>
    <w:rsid w:val="1B40161D"/>
    <w:rsid w:val="1B441859"/>
    <w:rsid w:val="1B4474E1"/>
    <w:rsid w:val="1B5508A0"/>
    <w:rsid w:val="1B5A1A13"/>
    <w:rsid w:val="1B6606B1"/>
    <w:rsid w:val="1B6D18C5"/>
    <w:rsid w:val="1B854CE1"/>
    <w:rsid w:val="1B98664F"/>
    <w:rsid w:val="1B9B0CFA"/>
    <w:rsid w:val="1BA03591"/>
    <w:rsid w:val="1BA64C58"/>
    <w:rsid w:val="1BBC3D63"/>
    <w:rsid w:val="1BBE4697"/>
    <w:rsid w:val="1BC752FA"/>
    <w:rsid w:val="1BCB2EDE"/>
    <w:rsid w:val="1BD22B4C"/>
    <w:rsid w:val="1BD6378F"/>
    <w:rsid w:val="1C06600A"/>
    <w:rsid w:val="1C0F1353"/>
    <w:rsid w:val="1C0F2C5C"/>
    <w:rsid w:val="1C1918CE"/>
    <w:rsid w:val="1C204A0A"/>
    <w:rsid w:val="1C2410B7"/>
    <w:rsid w:val="1C34384B"/>
    <w:rsid w:val="1C361F38"/>
    <w:rsid w:val="1C41355E"/>
    <w:rsid w:val="1C4A0E21"/>
    <w:rsid w:val="1C5308B3"/>
    <w:rsid w:val="1C5362E0"/>
    <w:rsid w:val="1C597F1C"/>
    <w:rsid w:val="1C5C1D06"/>
    <w:rsid w:val="1C5E7925"/>
    <w:rsid w:val="1C6230C8"/>
    <w:rsid w:val="1C624C5C"/>
    <w:rsid w:val="1C6D261E"/>
    <w:rsid w:val="1C712C07"/>
    <w:rsid w:val="1C7275DA"/>
    <w:rsid w:val="1C7B4336"/>
    <w:rsid w:val="1C8651B5"/>
    <w:rsid w:val="1C93342E"/>
    <w:rsid w:val="1C981DB6"/>
    <w:rsid w:val="1C98798D"/>
    <w:rsid w:val="1C9F0025"/>
    <w:rsid w:val="1CA64B79"/>
    <w:rsid w:val="1CB258D2"/>
    <w:rsid w:val="1CB6536F"/>
    <w:rsid w:val="1CC47A8B"/>
    <w:rsid w:val="1CC61A56"/>
    <w:rsid w:val="1CC63804"/>
    <w:rsid w:val="1CC63891"/>
    <w:rsid w:val="1CCE39BD"/>
    <w:rsid w:val="1CCE4D7F"/>
    <w:rsid w:val="1CCF7CB8"/>
    <w:rsid w:val="1CF86BD6"/>
    <w:rsid w:val="1CFD070F"/>
    <w:rsid w:val="1CFE4C4F"/>
    <w:rsid w:val="1D062C5C"/>
    <w:rsid w:val="1D16215F"/>
    <w:rsid w:val="1D2B79ED"/>
    <w:rsid w:val="1D374689"/>
    <w:rsid w:val="1D4604A0"/>
    <w:rsid w:val="1D4D4A4E"/>
    <w:rsid w:val="1D4E6151"/>
    <w:rsid w:val="1D522E85"/>
    <w:rsid w:val="1D537924"/>
    <w:rsid w:val="1D557934"/>
    <w:rsid w:val="1D5F5282"/>
    <w:rsid w:val="1D5F6196"/>
    <w:rsid w:val="1D6132A5"/>
    <w:rsid w:val="1D62374A"/>
    <w:rsid w:val="1D644DCB"/>
    <w:rsid w:val="1D672D1A"/>
    <w:rsid w:val="1D682B0D"/>
    <w:rsid w:val="1D6C11CA"/>
    <w:rsid w:val="1D702D6A"/>
    <w:rsid w:val="1D76400B"/>
    <w:rsid w:val="1D7C0366"/>
    <w:rsid w:val="1D8035DC"/>
    <w:rsid w:val="1D834723"/>
    <w:rsid w:val="1D8B6A06"/>
    <w:rsid w:val="1D8E56D5"/>
    <w:rsid w:val="1D9A1FF5"/>
    <w:rsid w:val="1DC52889"/>
    <w:rsid w:val="1DC932FC"/>
    <w:rsid w:val="1DCA2E80"/>
    <w:rsid w:val="1DD106B2"/>
    <w:rsid w:val="1DE70F29"/>
    <w:rsid w:val="1DF60D84"/>
    <w:rsid w:val="1DFC5003"/>
    <w:rsid w:val="1DFC5340"/>
    <w:rsid w:val="1DFE3C88"/>
    <w:rsid w:val="1E0A001A"/>
    <w:rsid w:val="1E0C16EA"/>
    <w:rsid w:val="1E0D1398"/>
    <w:rsid w:val="1E110AAE"/>
    <w:rsid w:val="1E1265D5"/>
    <w:rsid w:val="1E227AB9"/>
    <w:rsid w:val="1E242665"/>
    <w:rsid w:val="1E2660A9"/>
    <w:rsid w:val="1E2F7187"/>
    <w:rsid w:val="1E301B9F"/>
    <w:rsid w:val="1E391DB3"/>
    <w:rsid w:val="1E3B3D7D"/>
    <w:rsid w:val="1E3E2F64"/>
    <w:rsid w:val="1E4A3FC0"/>
    <w:rsid w:val="1E4B0389"/>
    <w:rsid w:val="1E4C1E76"/>
    <w:rsid w:val="1E515442"/>
    <w:rsid w:val="1E5F280F"/>
    <w:rsid w:val="1E65704C"/>
    <w:rsid w:val="1E681D11"/>
    <w:rsid w:val="1E70523F"/>
    <w:rsid w:val="1E721445"/>
    <w:rsid w:val="1E7228D5"/>
    <w:rsid w:val="1E7304F7"/>
    <w:rsid w:val="1E741F31"/>
    <w:rsid w:val="1E7456E8"/>
    <w:rsid w:val="1E7A43DA"/>
    <w:rsid w:val="1E81001B"/>
    <w:rsid w:val="1E857F63"/>
    <w:rsid w:val="1E953657"/>
    <w:rsid w:val="1E982F7E"/>
    <w:rsid w:val="1EB12291"/>
    <w:rsid w:val="1EB17A38"/>
    <w:rsid w:val="1EBB0A1A"/>
    <w:rsid w:val="1EC10726"/>
    <w:rsid w:val="1EC2624D"/>
    <w:rsid w:val="1ECC70CB"/>
    <w:rsid w:val="1ECE55CB"/>
    <w:rsid w:val="1EDA3596"/>
    <w:rsid w:val="1EDB78D8"/>
    <w:rsid w:val="1EDC5F80"/>
    <w:rsid w:val="1EF51436"/>
    <w:rsid w:val="1F022AED"/>
    <w:rsid w:val="1F150595"/>
    <w:rsid w:val="1F166779"/>
    <w:rsid w:val="1F1712DB"/>
    <w:rsid w:val="1F1C3BAF"/>
    <w:rsid w:val="1F291E28"/>
    <w:rsid w:val="1F33215A"/>
    <w:rsid w:val="1F3507CD"/>
    <w:rsid w:val="1F3B5844"/>
    <w:rsid w:val="1F423EFE"/>
    <w:rsid w:val="1F443106"/>
    <w:rsid w:val="1F501AAA"/>
    <w:rsid w:val="1F613491"/>
    <w:rsid w:val="1F651542"/>
    <w:rsid w:val="1F6707C5"/>
    <w:rsid w:val="1F745F7B"/>
    <w:rsid w:val="1F7F5EEC"/>
    <w:rsid w:val="1FA1510F"/>
    <w:rsid w:val="1FA26223"/>
    <w:rsid w:val="1FB14406"/>
    <w:rsid w:val="1FB65DB1"/>
    <w:rsid w:val="1FB843E7"/>
    <w:rsid w:val="1FBB04F4"/>
    <w:rsid w:val="1FC13AD0"/>
    <w:rsid w:val="1FC35DD8"/>
    <w:rsid w:val="1FC81641"/>
    <w:rsid w:val="1FCB1E28"/>
    <w:rsid w:val="1FCB2EDF"/>
    <w:rsid w:val="1FCF6838"/>
    <w:rsid w:val="1FD209A4"/>
    <w:rsid w:val="1FE7539E"/>
    <w:rsid w:val="1FED554B"/>
    <w:rsid w:val="1FEF6725"/>
    <w:rsid w:val="1FF24910"/>
    <w:rsid w:val="200A3A07"/>
    <w:rsid w:val="20183A07"/>
    <w:rsid w:val="201C77E6"/>
    <w:rsid w:val="203C63F9"/>
    <w:rsid w:val="203E7571"/>
    <w:rsid w:val="204809D3"/>
    <w:rsid w:val="204954CA"/>
    <w:rsid w:val="204D5FEA"/>
    <w:rsid w:val="2052555B"/>
    <w:rsid w:val="20530D7F"/>
    <w:rsid w:val="205C1496"/>
    <w:rsid w:val="205E627F"/>
    <w:rsid w:val="20653333"/>
    <w:rsid w:val="20671BE0"/>
    <w:rsid w:val="20687466"/>
    <w:rsid w:val="207402A9"/>
    <w:rsid w:val="20765541"/>
    <w:rsid w:val="207D59DE"/>
    <w:rsid w:val="20963CB8"/>
    <w:rsid w:val="20A10B77"/>
    <w:rsid w:val="20A81A1B"/>
    <w:rsid w:val="20AF1627"/>
    <w:rsid w:val="20B07FB6"/>
    <w:rsid w:val="20B16579"/>
    <w:rsid w:val="20B646FB"/>
    <w:rsid w:val="20BE673B"/>
    <w:rsid w:val="20C46F55"/>
    <w:rsid w:val="20DC03F8"/>
    <w:rsid w:val="20DF6940"/>
    <w:rsid w:val="20E41BB1"/>
    <w:rsid w:val="20E85FD7"/>
    <w:rsid w:val="20EB4EDE"/>
    <w:rsid w:val="20ED6A47"/>
    <w:rsid w:val="20EF2592"/>
    <w:rsid w:val="20F17BD1"/>
    <w:rsid w:val="20F920BF"/>
    <w:rsid w:val="21014986"/>
    <w:rsid w:val="21045795"/>
    <w:rsid w:val="2115072D"/>
    <w:rsid w:val="211508B6"/>
    <w:rsid w:val="211A2370"/>
    <w:rsid w:val="21203E0B"/>
    <w:rsid w:val="2121407A"/>
    <w:rsid w:val="212B0814"/>
    <w:rsid w:val="213170F5"/>
    <w:rsid w:val="21380F88"/>
    <w:rsid w:val="21392F8F"/>
    <w:rsid w:val="213B74B1"/>
    <w:rsid w:val="213E4537"/>
    <w:rsid w:val="213F17DE"/>
    <w:rsid w:val="21403AEA"/>
    <w:rsid w:val="214E154F"/>
    <w:rsid w:val="215001F7"/>
    <w:rsid w:val="21543E5D"/>
    <w:rsid w:val="21577120"/>
    <w:rsid w:val="215A2310"/>
    <w:rsid w:val="215B20D3"/>
    <w:rsid w:val="216B0628"/>
    <w:rsid w:val="217F2283"/>
    <w:rsid w:val="21817CF9"/>
    <w:rsid w:val="21933ED0"/>
    <w:rsid w:val="2196425A"/>
    <w:rsid w:val="21997739"/>
    <w:rsid w:val="21B52B49"/>
    <w:rsid w:val="21BE0F4D"/>
    <w:rsid w:val="21C97780"/>
    <w:rsid w:val="21D40771"/>
    <w:rsid w:val="21D818E3"/>
    <w:rsid w:val="21DE318A"/>
    <w:rsid w:val="21E131ED"/>
    <w:rsid w:val="21E14C3C"/>
    <w:rsid w:val="21E53AB3"/>
    <w:rsid w:val="21ED5F41"/>
    <w:rsid w:val="21EF5B80"/>
    <w:rsid w:val="21F36C2E"/>
    <w:rsid w:val="21FA4FDA"/>
    <w:rsid w:val="21FF0D89"/>
    <w:rsid w:val="22000100"/>
    <w:rsid w:val="2209733C"/>
    <w:rsid w:val="220C05F5"/>
    <w:rsid w:val="2221772E"/>
    <w:rsid w:val="22282037"/>
    <w:rsid w:val="222A213F"/>
    <w:rsid w:val="223700F7"/>
    <w:rsid w:val="223F374B"/>
    <w:rsid w:val="224C0133"/>
    <w:rsid w:val="22576990"/>
    <w:rsid w:val="225936CC"/>
    <w:rsid w:val="22595D90"/>
    <w:rsid w:val="226738D0"/>
    <w:rsid w:val="226A06FE"/>
    <w:rsid w:val="227E633A"/>
    <w:rsid w:val="227F49FE"/>
    <w:rsid w:val="228101C4"/>
    <w:rsid w:val="228E63B8"/>
    <w:rsid w:val="228F339A"/>
    <w:rsid w:val="22936057"/>
    <w:rsid w:val="229B200E"/>
    <w:rsid w:val="229B4DEB"/>
    <w:rsid w:val="229D2DC0"/>
    <w:rsid w:val="22A11BBD"/>
    <w:rsid w:val="22A16179"/>
    <w:rsid w:val="22A5210D"/>
    <w:rsid w:val="22A55C69"/>
    <w:rsid w:val="22AF0C16"/>
    <w:rsid w:val="22BA197A"/>
    <w:rsid w:val="22C02AA3"/>
    <w:rsid w:val="22C62F3A"/>
    <w:rsid w:val="22C75BE0"/>
    <w:rsid w:val="22C84F16"/>
    <w:rsid w:val="22CA69FF"/>
    <w:rsid w:val="22D12F02"/>
    <w:rsid w:val="22D27242"/>
    <w:rsid w:val="22F47480"/>
    <w:rsid w:val="22F67B4D"/>
    <w:rsid w:val="22F84190"/>
    <w:rsid w:val="23052BAC"/>
    <w:rsid w:val="2309192D"/>
    <w:rsid w:val="230D60DF"/>
    <w:rsid w:val="230F4F46"/>
    <w:rsid w:val="23113671"/>
    <w:rsid w:val="23121476"/>
    <w:rsid w:val="23167A6F"/>
    <w:rsid w:val="231B23CF"/>
    <w:rsid w:val="231F1523"/>
    <w:rsid w:val="232E5A00"/>
    <w:rsid w:val="233A7989"/>
    <w:rsid w:val="23517DED"/>
    <w:rsid w:val="23546916"/>
    <w:rsid w:val="235975E1"/>
    <w:rsid w:val="235A0D1F"/>
    <w:rsid w:val="2366189C"/>
    <w:rsid w:val="23665473"/>
    <w:rsid w:val="23675615"/>
    <w:rsid w:val="23711FEF"/>
    <w:rsid w:val="237E524F"/>
    <w:rsid w:val="23840747"/>
    <w:rsid w:val="2389558B"/>
    <w:rsid w:val="2392304D"/>
    <w:rsid w:val="239A32F4"/>
    <w:rsid w:val="23A14CF8"/>
    <w:rsid w:val="23C6233B"/>
    <w:rsid w:val="23D06D16"/>
    <w:rsid w:val="23D5208E"/>
    <w:rsid w:val="23D71FC8"/>
    <w:rsid w:val="23D902C0"/>
    <w:rsid w:val="23DD119A"/>
    <w:rsid w:val="23DE1C48"/>
    <w:rsid w:val="23E47ABE"/>
    <w:rsid w:val="23E728C6"/>
    <w:rsid w:val="23EB3B50"/>
    <w:rsid w:val="23FD0E10"/>
    <w:rsid w:val="2401595F"/>
    <w:rsid w:val="24016050"/>
    <w:rsid w:val="240210CD"/>
    <w:rsid w:val="24100D97"/>
    <w:rsid w:val="241A2687"/>
    <w:rsid w:val="242D4168"/>
    <w:rsid w:val="242D5F16"/>
    <w:rsid w:val="24332AB0"/>
    <w:rsid w:val="243601AA"/>
    <w:rsid w:val="24463799"/>
    <w:rsid w:val="245C2C9F"/>
    <w:rsid w:val="24625933"/>
    <w:rsid w:val="246C54B4"/>
    <w:rsid w:val="246D3A9C"/>
    <w:rsid w:val="24724271"/>
    <w:rsid w:val="24763D61"/>
    <w:rsid w:val="24771AB9"/>
    <w:rsid w:val="24866139"/>
    <w:rsid w:val="248B6F10"/>
    <w:rsid w:val="24A75DD1"/>
    <w:rsid w:val="24AD1217"/>
    <w:rsid w:val="24BD4B8E"/>
    <w:rsid w:val="24BF09F7"/>
    <w:rsid w:val="24C10D89"/>
    <w:rsid w:val="24C53A3F"/>
    <w:rsid w:val="24CC565C"/>
    <w:rsid w:val="24CE7218"/>
    <w:rsid w:val="24D434BF"/>
    <w:rsid w:val="24D9144B"/>
    <w:rsid w:val="24DA7BC0"/>
    <w:rsid w:val="24F41F0A"/>
    <w:rsid w:val="24FB5A20"/>
    <w:rsid w:val="24FC6017"/>
    <w:rsid w:val="24FD4AC9"/>
    <w:rsid w:val="250207C6"/>
    <w:rsid w:val="2503311B"/>
    <w:rsid w:val="250619BA"/>
    <w:rsid w:val="25100C5B"/>
    <w:rsid w:val="25121533"/>
    <w:rsid w:val="2513739E"/>
    <w:rsid w:val="251F61A7"/>
    <w:rsid w:val="252D53FE"/>
    <w:rsid w:val="25396B3D"/>
    <w:rsid w:val="253A13A7"/>
    <w:rsid w:val="25445C0D"/>
    <w:rsid w:val="255F4BB4"/>
    <w:rsid w:val="258C4EBE"/>
    <w:rsid w:val="258F74B8"/>
    <w:rsid w:val="25911D97"/>
    <w:rsid w:val="2599064A"/>
    <w:rsid w:val="25A95A70"/>
    <w:rsid w:val="25AC5757"/>
    <w:rsid w:val="25B229DB"/>
    <w:rsid w:val="25B467DD"/>
    <w:rsid w:val="25B6018D"/>
    <w:rsid w:val="25B608DD"/>
    <w:rsid w:val="25BD00FE"/>
    <w:rsid w:val="25BD4A76"/>
    <w:rsid w:val="25C1725E"/>
    <w:rsid w:val="25CA054A"/>
    <w:rsid w:val="25CB3688"/>
    <w:rsid w:val="25E04007"/>
    <w:rsid w:val="25E346C9"/>
    <w:rsid w:val="25EA6412"/>
    <w:rsid w:val="25EC2D81"/>
    <w:rsid w:val="25F72C80"/>
    <w:rsid w:val="25F74A2E"/>
    <w:rsid w:val="260158AC"/>
    <w:rsid w:val="26040AE7"/>
    <w:rsid w:val="260B2287"/>
    <w:rsid w:val="26154EB4"/>
    <w:rsid w:val="26242FA2"/>
    <w:rsid w:val="264D464E"/>
    <w:rsid w:val="264E77B2"/>
    <w:rsid w:val="265947CC"/>
    <w:rsid w:val="265F132E"/>
    <w:rsid w:val="265F7A49"/>
    <w:rsid w:val="266879AE"/>
    <w:rsid w:val="266E3938"/>
    <w:rsid w:val="2672718A"/>
    <w:rsid w:val="268C732C"/>
    <w:rsid w:val="2694227D"/>
    <w:rsid w:val="26A55E55"/>
    <w:rsid w:val="26AF5308"/>
    <w:rsid w:val="26BD06F7"/>
    <w:rsid w:val="26BD1EBC"/>
    <w:rsid w:val="26C1503C"/>
    <w:rsid w:val="26D365F5"/>
    <w:rsid w:val="26E606A8"/>
    <w:rsid w:val="26E64588"/>
    <w:rsid w:val="26E7642A"/>
    <w:rsid w:val="26EB3E67"/>
    <w:rsid w:val="26EB5FEE"/>
    <w:rsid w:val="26F20826"/>
    <w:rsid w:val="26FA337A"/>
    <w:rsid w:val="26FA353F"/>
    <w:rsid w:val="271A039A"/>
    <w:rsid w:val="27221F7E"/>
    <w:rsid w:val="27230EF8"/>
    <w:rsid w:val="2725381D"/>
    <w:rsid w:val="27280C17"/>
    <w:rsid w:val="27362FEC"/>
    <w:rsid w:val="27363334"/>
    <w:rsid w:val="274577C6"/>
    <w:rsid w:val="27485039"/>
    <w:rsid w:val="274C6FFB"/>
    <w:rsid w:val="274E038B"/>
    <w:rsid w:val="275B723E"/>
    <w:rsid w:val="275D29E0"/>
    <w:rsid w:val="275F7934"/>
    <w:rsid w:val="27624935"/>
    <w:rsid w:val="276A6553"/>
    <w:rsid w:val="277057A2"/>
    <w:rsid w:val="27734588"/>
    <w:rsid w:val="27736336"/>
    <w:rsid w:val="27781B9E"/>
    <w:rsid w:val="27817875"/>
    <w:rsid w:val="278E17D2"/>
    <w:rsid w:val="279D5271"/>
    <w:rsid w:val="27A908DC"/>
    <w:rsid w:val="27B31C8C"/>
    <w:rsid w:val="27C16CD4"/>
    <w:rsid w:val="27C546B8"/>
    <w:rsid w:val="27C748D4"/>
    <w:rsid w:val="27DF178A"/>
    <w:rsid w:val="27F1444B"/>
    <w:rsid w:val="27F33C31"/>
    <w:rsid w:val="27F53BFF"/>
    <w:rsid w:val="27F97A81"/>
    <w:rsid w:val="28001F91"/>
    <w:rsid w:val="280460E8"/>
    <w:rsid w:val="28262BD6"/>
    <w:rsid w:val="282633A8"/>
    <w:rsid w:val="282923F0"/>
    <w:rsid w:val="282A48B7"/>
    <w:rsid w:val="28363EB7"/>
    <w:rsid w:val="28427CBE"/>
    <w:rsid w:val="28441A80"/>
    <w:rsid w:val="284C442A"/>
    <w:rsid w:val="2862727C"/>
    <w:rsid w:val="286640ED"/>
    <w:rsid w:val="2869172C"/>
    <w:rsid w:val="286F11F3"/>
    <w:rsid w:val="28724E88"/>
    <w:rsid w:val="287A7186"/>
    <w:rsid w:val="287C5797"/>
    <w:rsid w:val="287D5314"/>
    <w:rsid w:val="287E31E4"/>
    <w:rsid w:val="288972BE"/>
    <w:rsid w:val="289D26E1"/>
    <w:rsid w:val="28A013AD"/>
    <w:rsid w:val="28A53A9A"/>
    <w:rsid w:val="28B27332"/>
    <w:rsid w:val="28B44E58"/>
    <w:rsid w:val="28B46EC0"/>
    <w:rsid w:val="28CA467C"/>
    <w:rsid w:val="28D72835"/>
    <w:rsid w:val="28DF4BB3"/>
    <w:rsid w:val="28E02362"/>
    <w:rsid w:val="28E04D4C"/>
    <w:rsid w:val="28E219C5"/>
    <w:rsid w:val="28ED6C21"/>
    <w:rsid w:val="28F645B6"/>
    <w:rsid w:val="28FC4C7F"/>
    <w:rsid w:val="28FC6193"/>
    <w:rsid w:val="291931BB"/>
    <w:rsid w:val="291B4ED7"/>
    <w:rsid w:val="29206EB8"/>
    <w:rsid w:val="29286A82"/>
    <w:rsid w:val="292A4721"/>
    <w:rsid w:val="292A7E7B"/>
    <w:rsid w:val="292E69BA"/>
    <w:rsid w:val="29367A84"/>
    <w:rsid w:val="29407D5C"/>
    <w:rsid w:val="2945608E"/>
    <w:rsid w:val="294A756A"/>
    <w:rsid w:val="295403E9"/>
    <w:rsid w:val="29595666"/>
    <w:rsid w:val="296D1BF8"/>
    <w:rsid w:val="296D614E"/>
    <w:rsid w:val="29752090"/>
    <w:rsid w:val="297C0A5B"/>
    <w:rsid w:val="297C222F"/>
    <w:rsid w:val="29874881"/>
    <w:rsid w:val="29946A38"/>
    <w:rsid w:val="299762DC"/>
    <w:rsid w:val="299D58EC"/>
    <w:rsid w:val="29A0418A"/>
    <w:rsid w:val="29A6223A"/>
    <w:rsid w:val="29A94F7B"/>
    <w:rsid w:val="29AA742B"/>
    <w:rsid w:val="29B9024C"/>
    <w:rsid w:val="29C22137"/>
    <w:rsid w:val="29C9048F"/>
    <w:rsid w:val="29CA61FC"/>
    <w:rsid w:val="29CB24AA"/>
    <w:rsid w:val="29CE5AA6"/>
    <w:rsid w:val="29D37560"/>
    <w:rsid w:val="29DF06DE"/>
    <w:rsid w:val="29DF6D2B"/>
    <w:rsid w:val="29E325E0"/>
    <w:rsid w:val="29EE0438"/>
    <w:rsid w:val="29F173EA"/>
    <w:rsid w:val="29F446FA"/>
    <w:rsid w:val="29F730D4"/>
    <w:rsid w:val="29F85218"/>
    <w:rsid w:val="29FA7887"/>
    <w:rsid w:val="29FC5C6A"/>
    <w:rsid w:val="2A0D0CC4"/>
    <w:rsid w:val="2A181417"/>
    <w:rsid w:val="2A1C6CCC"/>
    <w:rsid w:val="2A23469B"/>
    <w:rsid w:val="2A24600D"/>
    <w:rsid w:val="2A2B6099"/>
    <w:rsid w:val="2A2C0A1E"/>
    <w:rsid w:val="2A426A5F"/>
    <w:rsid w:val="2A452503"/>
    <w:rsid w:val="2A500BB0"/>
    <w:rsid w:val="2A5049B2"/>
    <w:rsid w:val="2A521023"/>
    <w:rsid w:val="2A754BDC"/>
    <w:rsid w:val="2A7569AE"/>
    <w:rsid w:val="2A79759D"/>
    <w:rsid w:val="2A7C19A5"/>
    <w:rsid w:val="2A9419D0"/>
    <w:rsid w:val="2A9E738D"/>
    <w:rsid w:val="2AA77572"/>
    <w:rsid w:val="2AA809EC"/>
    <w:rsid w:val="2AAE1623"/>
    <w:rsid w:val="2AB07A68"/>
    <w:rsid w:val="2AB36BED"/>
    <w:rsid w:val="2ABC7FF4"/>
    <w:rsid w:val="2ABE364B"/>
    <w:rsid w:val="2ABE63C2"/>
    <w:rsid w:val="2AC808C0"/>
    <w:rsid w:val="2AC84FDC"/>
    <w:rsid w:val="2AD92315"/>
    <w:rsid w:val="2ADA2EC7"/>
    <w:rsid w:val="2ADF3F76"/>
    <w:rsid w:val="2AE57DE8"/>
    <w:rsid w:val="2AE94929"/>
    <w:rsid w:val="2AFA0B7E"/>
    <w:rsid w:val="2B044D71"/>
    <w:rsid w:val="2B055C91"/>
    <w:rsid w:val="2B0A0D5F"/>
    <w:rsid w:val="2B163D1C"/>
    <w:rsid w:val="2B1F5069"/>
    <w:rsid w:val="2B2D22CA"/>
    <w:rsid w:val="2B3B53BD"/>
    <w:rsid w:val="2B522260"/>
    <w:rsid w:val="2B563729"/>
    <w:rsid w:val="2B577997"/>
    <w:rsid w:val="2B5A38DD"/>
    <w:rsid w:val="2B5B770D"/>
    <w:rsid w:val="2B764647"/>
    <w:rsid w:val="2B77090E"/>
    <w:rsid w:val="2B781AF8"/>
    <w:rsid w:val="2B7C161C"/>
    <w:rsid w:val="2B802C2A"/>
    <w:rsid w:val="2B876854"/>
    <w:rsid w:val="2B8B386C"/>
    <w:rsid w:val="2B9952EB"/>
    <w:rsid w:val="2B9C21ED"/>
    <w:rsid w:val="2B9E76FA"/>
    <w:rsid w:val="2B9F115D"/>
    <w:rsid w:val="2BA07916"/>
    <w:rsid w:val="2BA51F9A"/>
    <w:rsid w:val="2BA60333"/>
    <w:rsid w:val="2BA936A8"/>
    <w:rsid w:val="2BAB32EB"/>
    <w:rsid w:val="2BAD3E89"/>
    <w:rsid w:val="2BAF7B59"/>
    <w:rsid w:val="2BB807BB"/>
    <w:rsid w:val="2BC36512"/>
    <w:rsid w:val="2BD31A99"/>
    <w:rsid w:val="2BE02720"/>
    <w:rsid w:val="2BE53C5E"/>
    <w:rsid w:val="2BE56496"/>
    <w:rsid w:val="2BE76212"/>
    <w:rsid w:val="2BED16AA"/>
    <w:rsid w:val="2BED3884"/>
    <w:rsid w:val="2BF11F1F"/>
    <w:rsid w:val="2BF37873"/>
    <w:rsid w:val="2BF83045"/>
    <w:rsid w:val="2BF832AE"/>
    <w:rsid w:val="2BF87A83"/>
    <w:rsid w:val="2C0C01DE"/>
    <w:rsid w:val="2C0F6B5F"/>
    <w:rsid w:val="2C117A1C"/>
    <w:rsid w:val="2C126BF9"/>
    <w:rsid w:val="2C183BEE"/>
    <w:rsid w:val="2C1A02AB"/>
    <w:rsid w:val="2C2372FA"/>
    <w:rsid w:val="2C315A5A"/>
    <w:rsid w:val="2C3562B0"/>
    <w:rsid w:val="2C3C5B7C"/>
    <w:rsid w:val="2C447E50"/>
    <w:rsid w:val="2C4B1C25"/>
    <w:rsid w:val="2C5B6870"/>
    <w:rsid w:val="2C6852A9"/>
    <w:rsid w:val="2C6B4AC3"/>
    <w:rsid w:val="2C71101D"/>
    <w:rsid w:val="2C7212B2"/>
    <w:rsid w:val="2C7A72E4"/>
    <w:rsid w:val="2C7D6EEC"/>
    <w:rsid w:val="2C7F51A8"/>
    <w:rsid w:val="2C862667"/>
    <w:rsid w:val="2C8E59C0"/>
    <w:rsid w:val="2CC032E9"/>
    <w:rsid w:val="2CC2469D"/>
    <w:rsid w:val="2CC322AB"/>
    <w:rsid w:val="2CC67354"/>
    <w:rsid w:val="2CCB6766"/>
    <w:rsid w:val="2CCC3583"/>
    <w:rsid w:val="2CD84C6E"/>
    <w:rsid w:val="2CDC2894"/>
    <w:rsid w:val="2CDF446E"/>
    <w:rsid w:val="2CE23E3F"/>
    <w:rsid w:val="2CE35D0C"/>
    <w:rsid w:val="2CE664C1"/>
    <w:rsid w:val="2CF72DFA"/>
    <w:rsid w:val="2D0B213D"/>
    <w:rsid w:val="2D2E0C20"/>
    <w:rsid w:val="2D2F2CFF"/>
    <w:rsid w:val="2D360A97"/>
    <w:rsid w:val="2D372842"/>
    <w:rsid w:val="2D3C3768"/>
    <w:rsid w:val="2D3C541C"/>
    <w:rsid w:val="2D410C84"/>
    <w:rsid w:val="2D497F94"/>
    <w:rsid w:val="2D4F3FFF"/>
    <w:rsid w:val="2D574DFE"/>
    <w:rsid w:val="2D621DCA"/>
    <w:rsid w:val="2D736B67"/>
    <w:rsid w:val="2D764AE5"/>
    <w:rsid w:val="2D795648"/>
    <w:rsid w:val="2D856BEB"/>
    <w:rsid w:val="2D940EA8"/>
    <w:rsid w:val="2D9D0920"/>
    <w:rsid w:val="2D9E56F5"/>
    <w:rsid w:val="2DA239F0"/>
    <w:rsid w:val="2DA52353"/>
    <w:rsid w:val="2DB33930"/>
    <w:rsid w:val="2DB526B0"/>
    <w:rsid w:val="2DB74FD2"/>
    <w:rsid w:val="2DC16AE6"/>
    <w:rsid w:val="2DC93A34"/>
    <w:rsid w:val="2DCA0C7A"/>
    <w:rsid w:val="2DD42233"/>
    <w:rsid w:val="2DD439A4"/>
    <w:rsid w:val="2DD536C3"/>
    <w:rsid w:val="2DE56F06"/>
    <w:rsid w:val="2DE7182C"/>
    <w:rsid w:val="2DE85F3E"/>
    <w:rsid w:val="2DEB0301"/>
    <w:rsid w:val="2DEC6810"/>
    <w:rsid w:val="2DF81343"/>
    <w:rsid w:val="2DFB239F"/>
    <w:rsid w:val="2DFD4010"/>
    <w:rsid w:val="2DFF7C71"/>
    <w:rsid w:val="2E056305"/>
    <w:rsid w:val="2E0A2945"/>
    <w:rsid w:val="2E1D6FFC"/>
    <w:rsid w:val="2E2C5491"/>
    <w:rsid w:val="2E2C723F"/>
    <w:rsid w:val="2E316BEE"/>
    <w:rsid w:val="2E33681F"/>
    <w:rsid w:val="2E3413C6"/>
    <w:rsid w:val="2E3615D0"/>
    <w:rsid w:val="2E400F3C"/>
    <w:rsid w:val="2E4653E6"/>
    <w:rsid w:val="2E5C18EB"/>
    <w:rsid w:val="2E6668EE"/>
    <w:rsid w:val="2E667F96"/>
    <w:rsid w:val="2E680DA0"/>
    <w:rsid w:val="2E6E3CFB"/>
    <w:rsid w:val="2E6E3F01"/>
    <w:rsid w:val="2E79527A"/>
    <w:rsid w:val="2E8226AB"/>
    <w:rsid w:val="2E86044A"/>
    <w:rsid w:val="2E870057"/>
    <w:rsid w:val="2EA9088F"/>
    <w:rsid w:val="2EBF4557"/>
    <w:rsid w:val="2EC53536"/>
    <w:rsid w:val="2ED52EBC"/>
    <w:rsid w:val="2EDB7A3A"/>
    <w:rsid w:val="2EDD1AA4"/>
    <w:rsid w:val="2EDD69C9"/>
    <w:rsid w:val="2EE8124D"/>
    <w:rsid w:val="2EEA15D4"/>
    <w:rsid w:val="2EED2E72"/>
    <w:rsid w:val="2EEF63D7"/>
    <w:rsid w:val="2EFA1199"/>
    <w:rsid w:val="2F195A15"/>
    <w:rsid w:val="2F1A0783"/>
    <w:rsid w:val="2F1D79A9"/>
    <w:rsid w:val="2F287E07"/>
    <w:rsid w:val="2F302D5E"/>
    <w:rsid w:val="2F316B28"/>
    <w:rsid w:val="2F327541"/>
    <w:rsid w:val="2F345295"/>
    <w:rsid w:val="2F3517DE"/>
    <w:rsid w:val="2F3576FE"/>
    <w:rsid w:val="2F3A7E16"/>
    <w:rsid w:val="2F417C8C"/>
    <w:rsid w:val="2F4B1946"/>
    <w:rsid w:val="2F4E4F57"/>
    <w:rsid w:val="2F535165"/>
    <w:rsid w:val="2F587A28"/>
    <w:rsid w:val="2F652FB2"/>
    <w:rsid w:val="2F6E3CC8"/>
    <w:rsid w:val="2F734D3C"/>
    <w:rsid w:val="2F803CE6"/>
    <w:rsid w:val="2F871743"/>
    <w:rsid w:val="2F8E20BB"/>
    <w:rsid w:val="2F951A24"/>
    <w:rsid w:val="2F976F8B"/>
    <w:rsid w:val="2F9E717C"/>
    <w:rsid w:val="2FA86D99"/>
    <w:rsid w:val="2FBB4D1E"/>
    <w:rsid w:val="2FBE036A"/>
    <w:rsid w:val="2FBE7946"/>
    <w:rsid w:val="2FCC083B"/>
    <w:rsid w:val="2FD065E6"/>
    <w:rsid w:val="2FD96870"/>
    <w:rsid w:val="2FDD62F3"/>
    <w:rsid w:val="2FDE6975"/>
    <w:rsid w:val="2FE80560"/>
    <w:rsid w:val="2FE96968"/>
    <w:rsid w:val="2FE97B1E"/>
    <w:rsid w:val="2FEA5460"/>
    <w:rsid w:val="2FFD05E8"/>
    <w:rsid w:val="30006BD5"/>
    <w:rsid w:val="30065993"/>
    <w:rsid w:val="30104713"/>
    <w:rsid w:val="30146A2A"/>
    <w:rsid w:val="3029030A"/>
    <w:rsid w:val="3034062C"/>
    <w:rsid w:val="30372325"/>
    <w:rsid w:val="304F6F88"/>
    <w:rsid w:val="30557BC6"/>
    <w:rsid w:val="30580BC9"/>
    <w:rsid w:val="30586FDF"/>
    <w:rsid w:val="30696528"/>
    <w:rsid w:val="306B1215"/>
    <w:rsid w:val="306D7717"/>
    <w:rsid w:val="306F1683"/>
    <w:rsid w:val="30707DAF"/>
    <w:rsid w:val="3071463F"/>
    <w:rsid w:val="307355F9"/>
    <w:rsid w:val="3078676B"/>
    <w:rsid w:val="308178C2"/>
    <w:rsid w:val="3084306C"/>
    <w:rsid w:val="30896F9D"/>
    <w:rsid w:val="308A649E"/>
    <w:rsid w:val="30973E22"/>
    <w:rsid w:val="30A75D21"/>
    <w:rsid w:val="30AA4D0F"/>
    <w:rsid w:val="30AF4FF7"/>
    <w:rsid w:val="30B17ECF"/>
    <w:rsid w:val="30C13C90"/>
    <w:rsid w:val="30C41C15"/>
    <w:rsid w:val="30CB2D3F"/>
    <w:rsid w:val="30CC59E1"/>
    <w:rsid w:val="30D047F9"/>
    <w:rsid w:val="30D40F90"/>
    <w:rsid w:val="30D66767"/>
    <w:rsid w:val="30DB7244"/>
    <w:rsid w:val="30E052E7"/>
    <w:rsid w:val="30F076FF"/>
    <w:rsid w:val="30F43D16"/>
    <w:rsid w:val="30FD4EC2"/>
    <w:rsid w:val="310D3357"/>
    <w:rsid w:val="31155262"/>
    <w:rsid w:val="311C7A3E"/>
    <w:rsid w:val="311E2ED7"/>
    <w:rsid w:val="3124258B"/>
    <w:rsid w:val="31462D0D"/>
    <w:rsid w:val="315076E8"/>
    <w:rsid w:val="31523460"/>
    <w:rsid w:val="315619EE"/>
    <w:rsid w:val="315C449C"/>
    <w:rsid w:val="315C7E3B"/>
    <w:rsid w:val="31615451"/>
    <w:rsid w:val="316F4012"/>
    <w:rsid w:val="31723B02"/>
    <w:rsid w:val="31805B7F"/>
    <w:rsid w:val="318E323E"/>
    <w:rsid w:val="31934018"/>
    <w:rsid w:val="319D6E9C"/>
    <w:rsid w:val="31AA115B"/>
    <w:rsid w:val="31B732C3"/>
    <w:rsid w:val="31B82709"/>
    <w:rsid w:val="31B907E3"/>
    <w:rsid w:val="31D05482"/>
    <w:rsid w:val="31D200FD"/>
    <w:rsid w:val="31D66820"/>
    <w:rsid w:val="31D71BB7"/>
    <w:rsid w:val="31E340B8"/>
    <w:rsid w:val="31E8381B"/>
    <w:rsid w:val="31EB11BF"/>
    <w:rsid w:val="31EF3058"/>
    <w:rsid w:val="3203475A"/>
    <w:rsid w:val="321626E0"/>
    <w:rsid w:val="32186458"/>
    <w:rsid w:val="32195D2C"/>
    <w:rsid w:val="3222475B"/>
    <w:rsid w:val="322D6032"/>
    <w:rsid w:val="32347FFB"/>
    <w:rsid w:val="323E642A"/>
    <w:rsid w:val="32400B34"/>
    <w:rsid w:val="324B1B69"/>
    <w:rsid w:val="324B7C8E"/>
    <w:rsid w:val="324D35C8"/>
    <w:rsid w:val="32636828"/>
    <w:rsid w:val="32656435"/>
    <w:rsid w:val="327A76B3"/>
    <w:rsid w:val="327D275F"/>
    <w:rsid w:val="327F2074"/>
    <w:rsid w:val="32816B91"/>
    <w:rsid w:val="32830EED"/>
    <w:rsid w:val="3284589B"/>
    <w:rsid w:val="328533C1"/>
    <w:rsid w:val="329A1673"/>
    <w:rsid w:val="329E6876"/>
    <w:rsid w:val="32AE418A"/>
    <w:rsid w:val="32B24F2E"/>
    <w:rsid w:val="32B86000"/>
    <w:rsid w:val="32DD76BC"/>
    <w:rsid w:val="32E015AF"/>
    <w:rsid w:val="32E41DED"/>
    <w:rsid w:val="32E7490A"/>
    <w:rsid w:val="32EC3440"/>
    <w:rsid w:val="32F421C8"/>
    <w:rsid w:val="32F86004"/>
    <w:rsid w:val="32FF3174"/>
    <w:rsid w:val="33022C64"/>
    <w:rsid w:val="330662B0"/>
    <w:rsid w:val="33162FDC"/>
    <w:rsid w:val="3317670F"/>
    <w:rsid w:val="331C6AE0"/>
    <w:rsid w:val="331D1716"/>
    <w:rsid w:val="33270FD5"/>
    <w:rsid w:val="332E2F02"/>
    <w:rsid w:val="333015F2"/>
    <w:rsid w:val="33396201"/>
    <w:rsid w:val="333E1084"/>
    <w:rsid w:val="33412BDD"/>
    <w:rsid w:val="3348533B"/>
    <w:rsid w:val="334B6320"/>
    <w:rsid w:val="33520A10"/>
    <w:rsid w:val="33530979"/>
    <w:rsid w:val="335367FD"/>
    <w:rsid w:val="33681EDB"/>
    <w:rsid w:val="33704071"/>
    <w:rsid w:val="3370532E"/>
    <w:rsid w:val="33725452"/>
    <w:rsid w:val="3376291B"/>
    <w:rsid w:val="33863895"/>
    <w:rsid w:val="3386755B"/>
    <w:rsid w:val="338D077F"/>
    <w:rsid w:val="33A37FA3"/>
    <w:rsid w:val="33A4500D"/>
    <w:rsid w:val="33A819B6"/>
    <w:rsid w:val="33A871B4"/>
    <w:rsid w:val="33B026C0"/>
    <w:rsid w:val="33B34145"/>
    <w:rsid w:val="33B739EB"/>
    <w:rsid w:val="33BC1065"/>
    <w:rsid w:val="33BC72B7"/>
    <w:rsid w:val="33D934D4"/>
    <w:rsid w:val="33ED2EC3"/>
    <w:rsid w:val="33EE2C76"/>
    <w:rsid w:val="33F15392"/>
    <w:rsid w:val="33F16F60"/>
    <w:rsid w:val="33FB393B"/>
    <w:rsid w:val="33FE2F6A"/>
    <w:rsid w:val="34005499"/>
    <w:rsid w:val="34015D57"/>
    <w:rsid w:val="34094392"/>
    <w:rsid w:val="340B5FBB"/>
    <w:rsid w:val="340E07E5"/>
    <w:rsid w:val="34120C85"/>
    <w:rsid w:val="34131D21"/>
    <w:rsid w:val="341B2889"/>
    <w:rsid w:val="34235BF7"/>
    <w:rsid w:val="34237336"/>
    <w:rsid w:val="3438223E"/>
    <w:rsid w:val="343B75F5"/>
    <w:rsid w:val="34565511"/>
    <w:rsid w:val="346C2A8B"/>
    <w:rsid w:val="34732316"/>
    <w:rsid w:val="347B0F20"/>
    <w:rsid w:val="348B4FD5"/>
    <w:rsid w:val="349F0B4A"/>
    <w:rsid w:val="34A21EBE"/>
    <w:rsid w:val="34A73AC3"/>
    <w:rsid w:val="34AF4725"/>
    <w:rsid w:val="34B17E94"/>
    <w:rsid w:val="34B306BA"/>
    <w:rsid w:val="34B94ACE"/>
    <w:rsid w:val="34B95C8F"/>
    <w:rsid w:val="34BA69B2"/>
    <w:rsid w:val="34BB24A6"/>
    <w:rsid w:val="34CA77B1"/>
    <w:rsid w:val="34D15BB4"/>
    <w:rsid w:val="34D374C9"/>
    <w:rsid w:val="34DB1A12"/>
    <w:rsid w:val="34DC33DB"/>
    <w:rsid w:val="34DD714D"/>
    <w:rsid w:val="34F67558"/>
    <w:rsid w:val="34F76E9F"/>
    <w:rsid w:val="34FF7FF6"/>
    <w:rsid w:val="350902DA"/>
    <w:rsid w:val="350F0945"/>
    <w:rsid w:val="351539BD"/>
    <w:rsid w:val="351D4748"/>
    <w:rsid w:val="352D4FC3"/>
    <w:rsid w:val="352E68BA"/>
    <w:rsid w:val="353A1CA5"/>
    <w:rsid w:val="35417A73"/>
    <w:rsid w:val="354778FD"/>
    <w:rsid w:val="35493A58"/>
    <w:rsid w:val="354E4AE3"/>
    <w:rsid w:val="354F7564"/>
    <w:rsid w:val="35505F08"/>
    <w:rsid w:val="35510366"/>
    <w:rsid w:val="35571045"/>
    <w:rsid w:val="356063A9"/>
    <w:rsid w:val="356E45E1"/>
    <w:rsid w:val="357B23B5"/>
    <w:rsid w:val="35887DBD"/>
    <w:rsid w:val="358B7B22"/>
    <w:rsid w:val="358C5FA8"/>
    <w:rsid w:val="35A453EE"/>
    <w:rsid w:val="35AA1945"/>
    <w:rsid w:val="35B847C0"/>
    <w:rsid w:val="35C15DF1"/>
    <w:rsid w:val="35D51C91"/>
    <w:rsid w:val="35D72186"/>
    <w:rsid w:val="35E13818"/>
    <w:rsid w:val="35E34252"/>
    <w:rsid w:val="35E36B0D"/>
    <w:rsid w:val="35F20D6E"/>
    <w:rsid w:val="35FE3BB6"/>
    <w:rsid w:val="36074A7F"/>
    <w:rsid w:val="36080591"/>
    <w:rsid w:val="36116DAA"/>
    <w:rsid w:val="361311BE"/>
    <w:rsid w:val="361433DA"/>
    <w:rsid w:val="3616178C"/>
    <w:rsid w:val="361E342E"/>
    <w:rsid w:val="36232BFD"/>
    <w:rsid w:val="363650FE"/>
    <w:rsid w:val="36390A6E"/>
    <w:rsid w:val="363B2715"/>
    <w:rsid w:val="363D6078"/>
    <w:rsid w:val="36416B0C"/>
    <w:rsid w:val="364C2F9C"/>
    <w:rsid w:val="364F7F6E"/>
    <w:rsid w:val="36545C9A"/>
    <w:rsid w:val="365E4655"/>
    <w:rsid w:val="366652B8"/>
    <w:rsid w:val="366A3071"/>
    <w:rsid w:val="366D6646"/>
    <w:rsid w:val="366F67FD"/>
    <w:rsid w:val="367E0853"/>
    <w:rsid w:val="367E4E6F"/>
    <w:rsid w:val="36825E6C"/>
    <w:rsid w:val="368E7F7A"/>
    <w:rsid w:val="36923549"/>
    <w:rsid w:val="36A53FDD"/>
    <w:rsid w:val="36A7090F"/>
    <w:rsid w:val="36AF3103"/>
    <w:rsid w:val="36B0782A"/>
    <w:rsid w:val="36B75FBF"/>
    <w:rsid w:val="36BD0C45"/>
    <w:rsid w:val="36BD75CE"/>
    <w:rsid w:val="36C90700"/>
    <w:rsid w:val="36D77E04"/>
    <w:rsid w:val="36E52680"/>
    <w:rsid w:val="36F371B1"/>
    <w:rsid w:val="36F86EB7"/>
    <w:rsid w:val="36FA5D6F"/>
    <w:rsid w:val="37173B70"/>
    <w:rsid w:val="371957D9"/>
    <w:rsid w:val="37197C72"/>
    <w:rsid w:val="371B60A2"/>
    <w:rsid w:val="372A0C84"/>
    <w:rsid w:val="37311A62"/>
    <w:rsid w:val="373218D1"/>
    <w:rsid w:val="373227C5"/>
    <w:rsid w:val="37337890"/>
    <w:rsid w:val="37372749"/>
    <w:rsid w:val="373E204D"/>
    <w:rsid w:val="373F688E"/>
    <w:rsid w:val="374719D4"/>
    <w:rsid w:val="37531CE0"/>
    <w:rsid w:val="37623183"/>
    <w:rsid w:val="37740FCE"/>
    <w:rsid w:val="377432D3"/>
    <w:rsid w:val="37755E86"/>
    <w:rsid w:val="3775603C"/>
    <w:rsid w:val="3787198A"/>
    <w:rsid w:val="37893954"/>
    <w:rsid w:val="37904CE2"/>
    <w:rsid w:val="37927BA8"/>
    <w:rsid w:val="379364E3"/>
    <w:rsid w:val="37936580"/>
    <w:rsid w:val="3799307A"/>
    <w:rsid w:val="379A2136"/>
    <w:rsid w:val="37A564C6"/>
    <w:rsid w:val="37B25BE8"/>
    <w:rsid w:val="37CD3840"/>
    <w:rsid w:val="37E00298"/>
    <w:rsid w:val="37E172EC"/>
    <w:rsid w:val="37E5578B"/>
    <w:rsid w:val="37F16516"/>
    <w:rsid w:val="37F214F9"/>
    <w:rsid w:val="37F37919"/>
    <w:rsid w:val="38054744"/>
    <w:rsid w:val="380A6498"/>
    <w:rsid w:val="380F6E09"/>
    <w:rsid w:val="38195E9E"/>
    <w:rsid w:val="381B22F3"/>
    <w:rsid w:val="381C4EC4"/>
    <w:rsid w:val="38276C57"/>
    <w:rsid w:val="382B6736"/>
    <w:rsid w:val="382E3A24"/>
    <w:rsid w:val="382F62A9"/>
    <w:rsid w:val="383E2CC2"/>
    <w:rsid w:val="38455560"/>
    <w:rsid w:val="384758D1"/>
    <w:rsid w:val="384C2463"/>
    <w:rsid w:val="384F4255"/>
    <w:rsid w:val="384F4332"/>
    <w:rsid w:val="3852380F"/>
    <w:rsid w:val="3853412E"/>
    <w:rsid w:val="385B709E"/>
    <w:rsid w:val="385E2FE6"/>
    <w:rsid w:val="387A55A7"/>
    <w:rsid w:val="389205E6"/>
    <w:rsid w:val="389E51DD"/>
    <w:rsid w:val="38A8605B"/>
    <w:rsid w:val="38B302F9"/>
    <w:rsid w:val="38B30C88"/>
    <w:rsid w:val="38BF587F"/>
    <w:rsid w:val="38C06056"/>
    <w:rsid w:val="38C16934"/>
    <w:rsid w:val="38C52678"/>
    <w:rsid w:val="38D445C9"/>
    <w:rsid w:val="38E56968"/>
    <w:rsid w:val="38EA64FC"/>
    <w:rsid w:val="38EA6674"/>
    <w:rsid w:val="38F12CD3"/>
    <w:rsid w:val="38F94775"/>
    <w:rsid w:val="38FC2B25"/>
    <w:rsid w:val="38FF4436"/>
    <w:rsid w:val="3905525C"/>
    <w:rsid w:val="39164139"/>
    <w:rsid w:val="391C5DFD"/>
    <w:rsid w:val="392971ED"/>
    <w:rsid w:val="392D2312"/>
    <w:rsid w:val="392F0171"/>
    <w:rsid w:val="39325651"/>
    <w:rsid w:val="393A61F1"/>
    <w:rsid w:val="394F3325"/>
    <w:rsid w:val="396024B0"/>
    <w:rsid w:val="396543BD"/>
    <w:rsid w:val="397464A8"/>
    <w:rsid w:val="39755B0E"/>
    <w:rsid w:val="39763EF8"/>
    <w:rsid w:val="39820561"/>
    <w:rsid w:val="398A5989"/>
    <w:rsid w:val="398F400C"/>
    <w:rsid w:val="3995038E"/>
    <w:rsid w:val="399F15E3"/>
    <w:rsid w:val="39B8407C"/>
    <w:rsid w:val="39B966FD"/>
    <w:rsid w:val="39BC3D54"/>
    <w:rsid w:val="39BE045B"/>
    <w:rsid w:val="39BE07C6"/>
    <w:rsid w:val="39CC330E"/>
    <w:rsid w:val="39D52E80"/>
    <w:rsid w:val="39D96898"/>
    <w:rsid w:val="39DA4DCD"/>
    <w:rsid w:val="39E00648"/>
    <w:rsid w:val="39E97AD3"/>
    <w:rsid w:val="39ED4E59"/>
    <w:rsid w:val="39F06068"/>
    <w:rsid w:val="39F229AD"/>
    <w:rsid w:val="39F30EC3"/>
    <w:rsid w:val="39FE51E3"/>
    <w:rsid w:val="3A00289B"/>
    <w:rsid w:val="3A0051F7"/>
    <w:rsid w:val="3A064DE8"/>
    <w:rsid w:val="3A0E437B"/>
    <w:rsid w:val="3A125E82"/>
    <w:rsid w:val="3A1743EE"/>
    <w:rsid w:val="3A176FF5"/>
    <w:rsid w:val="3A222087"/>
    <w:rsid w:val="3A2523FE"/>
    <w:rsid w:val="3A313DDF"/>
    <w:rsid w:val="3A345DF9"/>
    <w:rsid w:val="3A360333"/>
    <w:rsid w:val="3A385506"/>
    <w:rsid w:val="3A3A0F35"/>
    <w:rsid w:val="3A483018"/>
    <w:rsid w:val="3A4D507E"/>
    <w:rsid w:val="3A52002D"/>
    <w:rsid w:val="3A5B5E6C"/>
    <w:rsid w:val="3A625E7E"/>
    <w:rsid w:val="3A63048C"/>
    <w:rsid w:val="3A655477"/>
    <w:rsid w:val="3A704957"/>
    <w:rsid w:val="3A7A7584"/>
    <w:rsid w:val="3A7F7D10"/>
    <w:rsid w:val="3A84407A"/>
    <w:rsid w:val="3A872856"/>
    <w:rsid w:val="3A8A5A19"/>
    <w:rsid w:val="3A8F750B"/>
    <w:rsid w:val="3A94020A"/>
    <w:rsid w:val="3A953740"/>
    <w:rsid w:val="3AA06FEA"/>
    <w:rsid w:val="3AAD343A"/>
    <w:rsid w:val="3AB4121B"/>
    <w:rsid w:val="3ABF721B"/>
    <w:rsid w:val="3ACE7FFB"/>
    <w:rsid w:val="3AD249E7"/>
    <w:rsid w:val="3AE0314C"/>
    <w:rsid w:val="3AE5547E"/>
    <w:rsid w:val="3AEB5706"/>
    <w:rsid w:val="3AF50479"/>
    <w:rsid w:val="3B01368C"/>
    <w:rsid w:val="3B0E03F8"/>
    <w:rsid w:val="3B1005B0"/>
    <w:rsid w:val="3B1D063B"/>
    <w:rsid w:val="3B2A5510"/>
    <w:rsid w:val="3B2A7A46"/>
    <w:rsid w:val="3B2B3204"/>
    <w:rsid w:val="3B3224BA"/>
    <w:rsid w:val="3B3763D1"/>
    <w:rsid w:val="3B401368"/>
    <w:rsid w:val="3B5068F7"/>
    <w:rsid w:val="3B5B5607"/>
    <w:rsid w:val="3B614F44"/>
    <w:rsid w:val="3B634251"/>
    <w:rsid w:val="3B657F1A"/>
    <w:rsid w:val="3B6C511E"/>
    <w:rsid w:val="3B70502D"/>
    <w:rsid w:val="3B817D3C"/>
    <w:rsid w:val="3B887BDE"/>
    <w:rsid w:val="3B8E59E5"/>
    <w:rsid w:val="3B923A8E"/>
    <w:rsid w:val="3B9D50C0"/>
    <w:rsid w:val="3BA269CE"/>
    <w:rsid w:val="3BA64A91"/>
    <w:rsid w:val="3BB370BB"/>
    <w:rsid w:val="3BB92FCA"/>
    <w:rsid w:val="3BBA23D3"/>
    <w:rsid w:val="3BC431AC"/>
    <w:rsid w:val="3BCE2E77"/>
    <w:rsid w:val="3BD210EC"/>
    <w:rsid w:val="3BDD426E"/>
    <w:rsid w:val="3BEF17F0"/>
    <w:rsid w:val="3BF75330"/>
    <w:rsid w:val="3BFA246A"/>
    <w:rsid w:val="3BFE1F56"/>
    <w:rsid w:val="3BFF41E4"/>
    <w:rsid w:val="3C055B26"/>
    <w:rsid w:val="3C067395"/>
    <w:rsid w:val="3C096E11"/>
    <w:rsid w:val="3C0E4427"/>
    <w:rsid w:val="3C160E0A"/>
    <w:rsid w:val="3C166AA5"/>
    <w:rsid w:val="3C1732DC"/>
    <w:rsid w:val="3C2100DE"/>
    <w:rsid w:val="3C215F09"/>
    <w:rsid w:val="3C2F6E1E"/>
    <w:rsid w:val="3C300842"/>
    <w:rsid w:val="3C355E58"/>
    <w:rsid w:val="3C373D13"/>
    <w:rsid w:val="3C3C7EA1"/>
    <w:rsid w:val="3C3D7B36"/>
    <w:rsid w:val="3C3E6BD4"/>
    <w:rsid w:val="3C4A3275"/>
    <w:rsid w:val="3C4D400B"/>
    <w:rsid w:val="3C4F64BA"/>
    <w:rsid w:val="3C595011"/>
    <w:rsid w:val="3C5E0F0B"/>
    <w:rsid w:val="3C602049"/>
    <w:rsid w:val="3C607BAF"/>
    <w:rsid w:val="3C636DF2"/>
    <w:rsid w:val="3C664263"/>
    <w:rsid w:val="3C713708"/>
    <w:rsid w:val="3C7541E3"/>
    <w:rsid w:val="3C80719C"/>
    <w:rsid w:val="3C826AA5"/>
    <w:rsid w:val="3C88242C"/>
    <w:rsid w:val="3C8D6828"/>
    <w:rsid w:val="3C940DD1"/>
    <w:rsid w:val="3C991F43"/>
    <w:rsid w:val="3CA1044F"/>
    <w:rsid w:val="3CA7694E"/>
    <w:rsid w:val="3CAE5253"/>
    <w:rsid w:val="3CB04C67"/>
    <w:rsid w:val="3CB31314"/>
    <w:rsid w:val="3CB33C9A"/>
    <w:rsid w:val="3CB46C36"/>
    <w:rsid w:val="3CC058E0"/>
    <w:rsid w:val="3CC571DC"/>
    <w:rsid w:val="3CD15615"/>
    <w:rsid w:val="3CD55D6A"/>
    <w:rsid w:val="3CDA245A"/>
    <w:rsid w:val="3CE05DC4"/>
    <w:rsid w:val="3CE07C0C"/>
    <w:rsid w:val="3CE120F1"/>
    <w:rsid w:val="3CE36C30"/>
    <w:rsid w:val="3CE60A27"/>
    <w:rsid w:val="3CF46830"/>
    <w:rsid w:val="3CF60FF7"/>
    <w:rsid w:val="3D001FC2"/>
    <w:rsid w:val="3D007E13"/>
    <w:rsid w:val="3D0719EB"/>
    <w:rsid w:val="3D0A2E41"/>
    <w:rsid w:val="3D0E5556"/>
    <w:rsid w:val="3D0F66A9"/>
    <w:rsid w:val="3D1E06B7"/>
    <w:rsid w:val="3D2211C4"/>
    <w:rsid w:val="3D2D6C82"/>
    <w:rsid w:val="3D322F67"/>
    <w:rsid w:val="3D506D1E"/>
    <w:rsid w:val="3D56589C"/>
    <w:rsid w:val="3D5E0D9C"/>
    <w:rsid w:val="3D644C0E"/>
    <w:rsid w:val="3D65311A"/>
    <w:rsid w:val="3D6C3DD7"/>
    <w:rsid w:val="3D7042CA"/>
    <w:rsid w:val="3D711084"/>
    <w:rsid w:val="3D7540D4"/>
    <w:rsid w:val="3D7A7FC6"/>
    <w:rsid w:val="3D7C6E63"/>
    <w:rsid w:val="3D9274E1"/>
    <w:rsid w:val="3D931088"/>
    <w:rsid w:val="3DA60DBB"/>
    <w:rsid w:val="3DAA3342"/>
    <w:rsid w:val="3DB159B2"/>
    <w:rsid w:val="3DB66B25"/>
    <w:rsid w:val="3DBA42C7"/>
    <w:rsid w:val="3DCB54D0"/>
    <w:rsid w:val="3DD36E8F"/>
    <w:rsid w:val="3DD43653"/>
    <w:rsid w:val="3DD6576A"/>
    <w:rsid w:val="3DE23C97"/>
    <w:rsid w:val="3DE9514C"/>
    <w:rsid w:val="3DF86485"/>
    <w:rsid w:val="3DF91485"/>
    <w:rsid w:val="3E067AAC"/>
    <w:rsid w:val="3E094BAE"/>
    <w:rsid w:val="3E0F175C"/>
    <w:rsid w:val="3E120BC1"/>
    <w:rsid w:val="3E13537A"/>
    <w:rsid w:val="3E161A80"/>
    <w:rsid w:val="3E1D4AF4"/>
    <w:rsid w:val="3E1E3305"/>
    <w:rsid w:val="3E242D59"/>
    <w:rsid w:val="3E2449C7"/>
    <w:rsid w:val="3E2919ED"/>
    <w:rsid w:val="3E3208A1"/>
    <w:rsid w:val="3E320F55"/>
    <w:rsid w:val="3E380469"/>
    <w:rsid w:val="3E3F6B1A"/>
    <w:rsid w:val="3E473A5B"/>
    <w:rsid w:val="3E573279"/>
    <w:rsid w:val="3E611186"/>
    <w:rsid w:val="3E6F2D8D"/>
    <w:rsid w:val="3E7313A8"/>
    <w:rsid w:val="3E75253C"/>
    <w:rsid w:val="3E84485B"/>
    <w:rsid w:val="3E9F580B"/>
    <w:rsid w:val="3EA14D33"/>
    <w:rsid w:val="3EA529B7"/>
    <w:rsid w:val="3EA93C5B"/>
    <w:rsid w:val="3EB34EB9"/>
    <w:rsid w:val="3EBB68DC"/>
    <w:rsid w:val="3EBC4B8C"/>
    <w:rsid w:val="3ED83031"/>
    <w:rsid w:val="3EDA0523"/>
    <w:rsid w:val="3EDE4585"/>
    <w:rsid w:val="3EE84C99"/>
    <w:rsid w:val="3EFC2A3B"/>
    <w:rsid w:val="3F1315DD"/>
    <w:rsid w:val="3F16026A"/>
    <w:rsid w:val="3F213573"/>
    <w:rsid w:val="3F312907"/>
    <w:rsid w:val="3F3978F9"/>
    <w:rsid w:val="3F3D5750"/>
    <w:rsid w:val="3F41113A"/>
    <w:rsid w:val="3F4A0D5C"/>
    <w:rsid w:val="3F4B2DEB"/>
    <w:rsid w:val="3F5049AF"/>
    <w:rsid w:val="3F52267A"/>
    <w:rsid w:val="3F54411F"/>
    <w:rsid w:val="3F544386"/>
    <w:rsid w:val="3F566811"/>
    <w:rsid w:val="3F5C7C20"/>
    <w:rsid w:val="3F743687"/>
    <w:rsid w:val="3F7C0F6A"/>
    <w:rsid w:val="3F7D4F2E"/>
    <w:rsid w:val="3F9133A5"/>
    <w:rsid w:val="3F945626"/>
    <w:rsid w:val="3F963B6A"/>
    <w:rsid w:val="3F9B61F7"/>
    <w:rsid w:val="3FA26360"/>
    <w:rsid w:val="3FA44E04"/>
    <w:rsid w:val="3FA70E1B"/>
    <w:rsid w:val="3FB86B84"/>
    <w:rsid w:val="3FBF3316"/>
    <w:rsid w:val="3FD95BBB"/>
    <w:rsid w:val="3FDC5A97"/>
    <w:rsid w:val="3FE82A49"/>
    <w:rsid w:val="3FF658FE"/>
    <w:rsid w:val="3FF7445C"/>
    <w:rsid w:val="4004626D"/>
    <w:rsid w:val="40297A82"/>
    <w:rsid w:val="40392451"/>
    <w:rsid w:val="403A57EB"/>
    <w:rsid w:val="403E177F"/>
    <w:rsid w:val="404515F5"/>
    <w:rsid w:val="40583EC3"/>
    <w:rsid w:val="407A6407"/>
    <w:rsid w:val="40863A2F"/>
    <w:rsid w:val="408A55AD"/>
    <w:rsid w:val="40961B1B"/>
    <w:rsid w:val="409B3943"/>
    <w:rsid w:val="40AD420F"/>
    <w:rsid w:val="40C348DC"/>
    <w:rsid w:val="40E85247"/>
    <w:rsid w:val="40EB2BD4"/>
    <w:rsid w:val="40FE3145"/>
    <w:rsid w:val="40FF607C"/>
    <w:rsid w:val="4105629E"/>
    <w:rsid w:val="410F68C9"/>
    <w:rsid w:val="41105967"/>
    <w:rsid w:val="4124398E"/>
    <w:rsid w:val="41296327"/>
    <w:rsid w:val="41297D82"/>
    <w:rsid w:val="41401283"/>
    <w:rsid w:val="41447381"/>
    <w:rsid w:val="414508EB"/>
    <w:rsid w:val="41605725"/>
    <w:rsid w:val="41641D45"/>
    <w:rsid w:val="41735459"/>
    <w:rsid w:val="41777FD1"/>
    <w:rsid w:val="41785BF5"/>
    <w:rsid w:val="41894625"/>
    <w:rsid w:val="41896917"/>
    <w:rsid w:val="418A09F4"/>
    <w:rsid w:val="418A4550"/>
    <w:rsid w:val="419B76C7"/>
    <w:rsid w:val="41A35612"/>
    <w:rsid w:val="41A97D0E"/>
    <w:rsid w:val="41B13830"/>
    <w:rsid w:val="41B16375"/>
    <w:rsid w:val="41CD6CF7"/>
    <w:rsid w:val="41CF42AF"/>
    <w:rsid w:val="41DC5CC2"/>
    <w:rsid w:val="41E163E2"/>
    <w:rsid w:val="41EA124C"/>
    <w:rsid w:val="41EA5288"/>
    <w:rsid w:val="41EB681A"/>
    <w:rsid w:val="41EE5E2D"/>
    <w:rsid w:val="41EF2769"/>
    <w:rsid w:val="41F06AA9"/>
    <w:rsid w:val="41F26F65"/>
    <w:rsid w:val="41F65354"/>
    <w:rsid w:val="41F65B4A"/>
    <w:rsid w:val="41FF1B86"/>
    <w:rsid w:val="4200449D"/>
    <w:rsid w:val="42073406"/>
    <w:rsid w:val="42084A18"/>
    <w:rsid w:val="421245F7"/>
    <w:rsid w:val="42185A06"/>
    <w:rsid w:val="421B1721"/>
    <w:rsid w:val="42265720"/>
    <w:rsid w:val="42324F5C"/>
    <w:rsid w:val="42350960"/>
    <w:rsid w:val="423A3BCC"/>
    <w:rsid w:val="423B4C47"/>
    <w:rsid w:val="424439FF"/>
    <w:rsid w:val="42446DF5"/>
    <w:rsid w:val="424C5CAA"/>
    <w:rsid w:val="424E57D2"/>
    <w:rsid w:val="42520F0B"/>
    <w:rsid w:val="42550F3F"/>
    <w:rsid w:val="42650575"/>
    <w:rsid w:val="426C0C47"/>
    <w:rsid w:val="426F07B5"/>
    <w:rsid w:val="42795009"/>
    <w:rsid w:val="427C033D"/>
    <w:rsid w:val="42862AF1"/>
    <w:rsid w:val="42894808"/>
    <w:rsid w:val="429C09DF"/>
    <w:rsid w:val="42A86388"/>
    <w:rsid w:val="42B26C49"/>
    <w:rsid w:val="42B84620"/>
    <w:rsid w:val="42BC6853"/>
    <w:rsid w:val="42CC7E7F"/>
    <w:rsid w:val="42D57A4D"/>
    <w:rsid w:val="42D9753E"/>
    <w:rsid w:val="42DA0EF4"/>
    <w:rsid w:val="42DC0DDB"/>
    <w:rsid w:val="42E31E8A"/>
    <w:rsid w:val="42E44134"/>
    <w:rsid w:val="42EB54C2"/>
    <w:rsid w:val="42FB7AA1"/>
    <w:rsid w:val="430628C9"/>
    <w:rsid w:val="430E1705"/>
    <w:rsid w:val="43196087"/>
    <w:rsid w:val="43252782"/>
    <w:rsid w:val="43361A71"/>
    <w:rsid w:val="433A17D1"/>
    <w:rsid w:val="433A3653"/>
    <w:rsid w:val="433A6FE6"/>
    <w:rsid w:val="43413334"/>
    <w:rsid w:val="43480868"/>
    <w:rsid w:val="4350713C"/>
    <w:rsid w:val="4356268C"/>
    <w:rsid w:val="43655275"/>
    <w:rsid w:val="436653E0"/>
    <w:rsid w:val="437C436D"/>
    <w:rsid w:val="43884ABF"/>
    <w:rsid w:val="438C3F40"/>
    <w:rsid w:val="439416B6"/>
    <w:rsid w:val="43AE7A61"/>
    <w:rsid w:val="43B72C56"/>
    <w:rsid w:val="43B75896"/>
    <w:rsid w:val="43B835F7"/>
    <w:rsid w:val="43BB2A91"/>
    <w:rsid w:val="43C024AB"/>
    <w:rsid w:val="43C4431A"/>
    <w:rsid w:val="43D23F8D"/>
    <w:rsid w:val="43D70449"/>
    <w:rsid w:val="43D85A47"/>
    <w:rsid w:val="43E4263E"/>
    <w:rsid w:val="43EC32A0"/>
    <w:rsid w:val="43EC504E"/>
    <w:rsid w:val="43F41212"/>
    <w:rsid w:val="44087B7A"/>
    <w:rsid w:val="440A1978"/>
    <w:rsid w:val="440D3C5A"/>
    <w:rsid w:val="4413082D"/>
    <w:rsid w:val="44143AFC"/>
    <w:rsid w:val="44147613"/>
    <w:rsid w:val="44152867"/>
    <w:rsid w:val="44272BD7"/>
    <w:rsid w:val="443A6FB3"/>
    <w:rsid w:val="44403BC7"/>
    <w:rsid w:val="44565FEF"/>
    <w:rsid w:val="4466465B"/>
    <w:rsid w:val="449A0F4E"/>
    <w:rsid w:val="44A433DE"/>
    <w:rsid w:val="44A57553"/>
    <w:rsid w:val="44AA2533"/>
    <w:rsid w:val="44B00772"/>
    <w:rsid w:val="44B244EA"/>
    <w:rsid w:val="44B951CC"/>
    <w:rsid w:val="44C9538F"/>
    <w:rsid w:val="44CA3141"/>
    <w:rsid w:val="44CD14E0"/>
    <w:rsid w:val="44CE021A"/>
    <w:rsid w:val="44D073C1"/>
    <w:rsid w:val="44D256B2"/>
    <w:rsid w:val="44D810D1"/>
    <w:rsid w:val="44D9739A"/>
    <w:rsid w:val="44E224DB"/>
    <w:rsid w:val="44F20B0B"/>
    <w:rsid w:val="45036AF3"/>
    <w:rsid w:val="45045C1E"/>
    <w:rsid w:val="4508410A"/>
    <w:rsid w:val="45140D01"/>
    <w:rsid w:val="451A208F"/>
    <w:rsid w:val="45261842"/>
    <w:rsid w:val="452E5F4C"/>
    <w:rsid w:val="45467A41"/>
    <w:rsid w:val="454B3FF6"/>
    <w:rsid w:val="455448C0"/>
    <w:rsid w:val="455C6204"/>
    <w:rsid w:val="45612018"/>
    <w:rsid w:val="45680119"/>
    <w:rsid w:val="45682DFA"/>
    <w:rsid w:val="45685D52"/>
    <w:rsid w:val="456B28EB"/>
    <w:rsid w:val="45724207"/>
    <w:rsid w:val="458946E9"/>
    <w:rsid w:val="458F65D9"/>
    <w:rsid w:val="45901E2B"/>
    <w:rsid w:val="45935D6C"/>
    <w:rsid w:val="45947D5B"/>
    <w:rsid w:val="459C4CE8"/>
    <w:rsid w:val="45A47C0E"/>
    <w:rsid w:val="45AA1EF9"/>
    <w:rsid w:val="45AA51C1"/>
    <w:rsid w:val="45B002FD"/>
    <w:rsid w:val="45B67CC6"/>
    <w:rsid w:val="45C07CB9"/>
    <w:rsid w:val="45C50DEF"/>
    <w:rsid w:val="45C81AEB"/>
    <w:rsid w:val="45CA37B0"/>
    <w:rsid w:val="45CC3389"/>
    <w:rsid w:val="45DD5636"/>
    <w:rsid w:val="45E36925"/>
    <w:rsid w:val="45E42D51"/>
    <w:rsid w:val="45E43B02"/>
    <w:rsid w:val="45E61FA9"/>
    <w:rsid w:val="45E702E2"/>
    <w:rsid w:val="45ED2453"/>
    <w:rsid w:val="460D70C4"/>
    <w:rsid w:val="46215B20"/>
    <w:rsid w:val="46221AC5"/>
    <w:rsid w:val="46277CE2"/>
    <w:rsid w:val="462976F5"/>
    <w:rsid w:val="462C3E28"/>
    <w:rsid w:val="462F2174"/>
    <w:rsid w:val="463B22BD"/>
    <w:rsid w:val="463E737E"/>
    <w:rsid w:val="46577FD6"/>
    <w:rsid w:val="465B4516"/>
    <w:rsid w:val="4665531F"/>
    <w:rsid w:val="466A0E47"/>
    <w:rsid w:val="46835CA8"/>
    <w:rsid w:val="46955500"/>
    <w:rsid w:val="46A50E9C"/>
    <w:rsid w:val="46A77952"/>
    <w:rsid w:val="46B45A80"/>
    <w:rsid w:val="46BC46AD"/>
    <w:rsid w:val="46D955A7"/>
    <w:rsid w:val="46DC5ED8"/>
    <w:rsid w:val="46F72CBA"/>
    <w:rsid w:val="46FA3C5C"/>
    <w:rsid w:val="470041B9"/>
    <w:rsid w:val="47133957"/>
    <w:rsid w:val="47215957"/>
    <w:rsid w:val="47264D1B"/>
    <w:rsid w:val="472D4FA9"/>
    <w:rsid w:val="472D53D2"/>
    <w:rsid w:val="473C453F"/>
    <w:rsid w:val="474131A7"/>
    <w:rsid w:val="47420EBA"/>
    <w:rsid w:val="474E5743"/>
    <w:rsid w:val="474F6592"/>
    <w:rsid w:val="47560C85"/>
    <w:rsid w:val="475B0A52"/>
    <w:rsid w:val="475C7312"/>
    <w:rsid w:val="477723DE"/>
    <w:rsid w:val="477D265F"/>
    <w:rsid w:val="47867568"/>
    <w:rsid w:val="478A34FC"/>
    <w:rsid w:val="479B488A"/>
    <w:rsid w:val="479E2B03"/>
    <w:rsid w:val="47A07E0C"/>
    <w:rsid w:val="47BB7793"/>
    <w:rsid w:val="47BC5E84"/>
    <w:rsid w:val="47C23E75"/>
    <w:rsid w:val="47D215BA"/>
    <w:rsid w:val="47D22243"/>
    <w:rsid w:val="47DF0117"/>
    <w:rsid w:val="47DF7D4B"/>
    <w:rsid w:val="47DF7F53"/>
    <w:rsid w:val="47EB6BAD"/>
    <w:rsid w:val="47EF644C"/>
    <w:rsid w:val="47F06A69"/>
    <w:rsid w:val="47F800BC"/>
    <w:rsid w:val="47FB7EB7"/>
    <w:rsid w:val="47FB7F56"/>
    <w:rsid w:val="48002AF9"/>
    <w:rsid w:val="48027536"/>
    <w:rsid w:val="480908C5"/>
    <w:rsid w:val="480F755D"/>
    <w:rsid w:val="4814066D"/>
    <w:rsid w:val="48205D97"/>
    <w:rsid w:val="482D66DB"/>
    <w:rsid w:val="483A65C3"/>
    <w:rsid w:val="483F7400"/>
    <w:rsid w:val="48457CBF"/>
    <w:rsid w:val="484F6835"/>
    <w:rsid w:val="485F3886"/>
    <w:rsid w:val="48623AD0"/>
    <w:rsid w:val="48641684"/>
    <w:rsid w:val="4865210C"/>
    <w:rsid w:val="486716D5"/>
    <w:rsid w:val="4870272E"/>
    <w:rsid w:val="48777B4E"/>
    <w:rsid w:val="487F7E32"/>
    <w:rsid w:val="48907EB9"/>
    <w:rsid w:val="489205F8"/>
    <w:rsid w:val="48945CB4"/>
    <w:rsid w:val="48A57EC2"/>
    <w:rsid w:val="48AB6FFA"/>
    <w:rsid w:val="48AC1250"/>
    <w:rsid w:val="48AE321A"/>
    <w:rsid w:val="48B5270C"/>
    <w:rsid w:val="48BC0D87"/>
    <w:rsid w:val="48DA7B6B"/>
    <w:rsid w:val="48E24BBA"/>
    <w:rsid w:val="48F77C20"/>
    <w:rsid w:val="49042076"/>
    <w:rsid w:val="49095E81"/>
    <w:rsid w:val="490E3079"/>
    <w:rsid w:val="49180694"/>
    <w:rsid w:val="491B2179"/>
    <w:rsid w:val="492B14A4"/>
    <w:rsid w:val="492F25D6"/>
    <w:rsid w:val="493059DD"/>
    <w:rsid w:val="493B5434"/>
    <w:rsid w:val="494E4A9E"/>
    <w:rsid w:val="495A6EFE"/>
    <w:rsid w:val="495F0B5E"/>
    <w:rsid w:val="4961028C"/>
    <w:rsid w:val="4977360C"/>
    <w:rsid w:val="49836455"/>
    <w:rsid w:val="498779AB"/>
    <w:rsid w:val="499441BE"/>
    <w:rsid w:val="499D7C4A"/>
    <w:rsid w:val="49A34401"/>
    <w:rsid w:val="49A45B5C"/>
    <w:rsid w:val="49AD5192"/>
    <w:rsid w:val="49AF7555"/>
    <w:rsid w:val="49CA0BFE"/>
    <w:rsid w:val="49CC27B8"/>
    <w:rsid w:val="49D54780"/>
    <w:rsid w:val="49D67550"/>
    <w:rsid w:val="49DC7715"/>
    <w:rsid w:val="49EA2030"/>
    <w:rsid w:val="49F501CC"/>
    <w:rsid w:val="49F66671"/>
    <w:rsid w:val="4A023139"/>
    <w:rsid w:val="4A037596"/>
    <w:rsid w:val="4A082895"/>
    <w:rsid w:val="4A084FAB"/>
    <w:rsid w:val="4A0A2668"/>
    <w:rsid w:val="4A2319E6"/>
    <w:rsid w:val="4A271687"/>
    <w:rsid w:val="4A3C1F14"/>
    <w:rsid w:val="4A4551BE"/>
    <w:rsid w:val="4A5A202A"/>
    <w:rsid w:val="4A6D4385"/>
    <w:rsid w:val="4A7A147A"/>
    <w:rsid w:val="4A7B576F"/>
    <w:rsid w:val="4A7E4E7C"/>
    <w:rsid w:val="4A80623A"/>
    <w:rsid w:val="4A862918"/>
    <w:rsid w:val="4A91694F"/>
    <w:rsid w:val="4A96265D"/>
    <w:rsid w:val="4AB443EC"/>
    <w:rsid w:val="4ABA3A4E"/>
    <w:rsid w:val="4ABA6E77"/>
    <w:rsid w:val="4ABC67D3"/>
    <w:rsid w:val="4AC72C8D"/>
    <w:rsid w:val="4AC944E1"/>
    <w:rsid w:val="4ACC6C2B"/>
    <w:rsid w:val="4AE20BFA"/>
    <w:rsid w:val="4AEA4ACB"/>
    <w:rsid w:val="4AF561A9"/>
    <w:rsid w:val="4AF62644"/>
    <w:rsid w:val="4AF76EE1"/>
    <w:rsid w:val="4AFC26D1"/>
    <w:rsid w:val="4AFC64BF"/>
    <w:rsid w:val="4AFD2237"/>
    <w:rsid w:val="4B034EF9"/>
    <w:rsid w:val="4B260643"/>
    <w:rsid w:val="4B2A3283"/>
    <w:rsid w:val="4B3A2B43"/>
    <w:rsid w:val="4B3B62EA"/>
    <w:rsid w:val="4B427942"/>
    <w:rsid w:val="4B4E2A92"/>
    <w:rsid w:val="4B524D19"/>
    <w:rsid w:val="4B5412EE"/>
    <w:rsid w:val="4B69318E"/>
    <w:rsid w:val="4B6940A7"/>
    <w:rsid w:val="4B736055"/>
    <w:rsid w:val="4B76388E"/>
    <w:rsid w:val="4B7C5F3D"/>
    <w:rsid w:val="4B7D0C82"/>
    <w:rsid w:val="4B7F49FA"/>
    <w:rsid w:val="4B826C70"/>
    <w:rsid w:val="4BA163BC"/>
    <w:rsid w:val="4BAB07F5"/>
    <w:rsid w:val="4BB94120"/>
    <w:rsid w:val="4BBC17AA"/>
    <w:rsid w:val="4BCC52B3"/>
    <w:rsid w:val="4BDF36EB"/>
    <w:rsid w:val="4BEF7753"/>
    <w:rsid w:val="4BF411B3"/>
    <w:rsid w:val="4BFD0DED"/>
    <w:rsid w:val="4C0233B4"/>
    <w:rsid w:val="4C081CA4"/>
    <w:rsid w:val="4C101B77"/>
    <w:rsid w:val="4C1C66ED"/>
    <w:rsid w:val="4C20442F"/>
    <w:rsid w:val="4C2C2250"/>
    <w:rsid w:val="4C2C4B82"/>
    <w:rsid w:val="4C325F10"/>
    <w:rsid w:val="4C43011D"/>
    <w:rsid w:val="4C473B7E"/>
    <w:rsid w:val="4C4A0649"/>
    <w:rsid w:val="4C501087"/>
    <w:rsid w:val="4C591AA8"/>
    <w:rsid w:val="4C59524B"/>
    <w:rsid w:val="4C631B91"/>
    <w:rsid w:val="4C6E544A"/>
    <w:rsid w:val="4C7E5ECA"/>
    <w:rsid w:val="4C876AA5"/>
    <w:rsid w:val="4C8C0DCC"/>
    <w:rsid w:val="4C9269AF"/>
    <w:rsid w:val="4CA010CC"/>
    <w:rsid w:val="4CBF5C1D"/>
    <w:rsid w:val="4CE114E8"/>
    <w:rsid w:val="4CE627DD"/>
    <w:rsid w:val="4CE70FAE"/>
    <w:rsid w:val="4CF8221E"/>
    <w:rsid w:val="4CF85F6B"/>
    <w:rsid w:val="4D03307E"/>
    <w:rsid w:val="4D072E8F"/>
    <w:rsid w:val="4D0E00FB"/>
    <w:rsid w:val="4D13189E"/>
    <w:rsid w:val="4D162F0A"/>
    <w:rsid w:val="4D176606"/>
    <w:rsid w:val="4D357A66"/>
    <w:rsid w:val="4D365A25"/>
    <w:rsid w:val="4D3B48FE"/>
    <w:rsid w:val="4D4D7DF7"/>
    <w:rsid w:val="4D513A8B"/>
    <w:rsid w:val="4D5819A6"/>
    <w:rsid w:val="4D5C1145"/>
    <w:rsid w:val="4D6644C5"/>
    <w:rsid w:val="4D7007BC"/>
    <w:rsid w:val="4D812262"/>
    <w:rsid w:val="4D8306D4"/>
    <w:rsid w:val="4D8F462F"/>
    <w:rsid w:val="4DA42E3E"/>
    <w:rsid w:val="4DA46948"/>
    <w:rsid w:val="4DAC584E"/>
    <w:rsid w:val="4DAE5A6A"/>
    <w:rsid w:val="4DB85903"/>
    <w:rsid w:val="4DE34C26"/>
    <w:rsid w:val="4DEC4FB0"/>
    <w:rsid w:val="4DF2714E"/>
    <w:rsid w:val="4DF44037"/>
    <w:rsid w:val="4DF53699"/>
    <w:rsid w:val="4E027BEB"/>
    <w:rsid w:val="4E075D8A"/>
    <w:rsid w:val="4E21623C"/>
    <w:rsid w:val="4E2536C5"/>
    <w:rsid w:val="4E2D5856"/>
    <w:rsid w:val="4E3E0EF8"/>
    <w:rsid w:val="4E4C3BD7"/>
    <w:rsid w:val="4E593C28"/>
    <w:rsid w:val="4E5B2D9E"/>
    <w:rsid w:val="4E833421"/>
    <w:rsid w:val="4E83361B"/>
    <w:rsid w:val="4E8A2033"/>
    <w:rsid w:val="4E8A5B90"/>
    <w:rsid w:val="4E8D3A8D"/>
    <w:rsid w:val="4EA75B41"/>
    <w:rsid w:val="4EBB21ED"/>
    <w:rsid w:val="4EC00FAD"/>
    <w:rsid w:val="4EC512BE"/>
    <w:rsid w:val="4ECD6BC7"/>
    <w:rsid w:val="4ECE1B1A"/>
    <w:rsid w:val="4ED07D21"/>
    <w:rsid w:val="4ED85F7B"/>
    <w:rsid w:val="4EDD6B06"/>
    <w:rsid w:val="4EE57D03"/>
    <w:rsid w:val="4EE91CD3"/>
    <w:rsid w:val="4EFB6DE2"/>
    <w:rsid w:val="4F0040A4"/>
    <w:rsid w:val="4F041DE6"/>
    <w:rsid w:val="4F082F58"/>
    <w:rsid w:val="4F0E24B7"/>
    <w:rsid w:val="4F0F3B2D"/>
    <w:rsid w:val="4F1C4C2B"/>
    <w:rsid w:val="4F2159BA"/>
    <w:rsid w:val="4F2E04D0"/>
    <w:rsid w:val="4F381A8F"/>
    <w:rsid w:val="4F3A4FAD"/>
    <w:rsid w:val="4F3B1580"/>
    <w:rsid w:val="4F420222"/>
    <w:rsid w:val="4F4F47F2"/>
    <w:rsid w:val="4F542EE9"/>
    <w:rsid w:val="4F544C68"/>
    <w:rsid w:val="4F686F20"/>
    <w:rsid w:val="4F764366"/>
    <w:rsid w:val="4F7C732D"/>
    <w:rsid w:val="4F8B48FA"/>
    <w:rsid w:val="4F8D5A54"/>
    <w:rsid w:val="4F912F4E"/>
    <w:rsid w:val="4F9248B3"/>
    <w:rsid w:val="4F9843DC"/>
    <w:rsid w:val="4F9B059D"/>
    <w:rsid w:val="4FAA24EE"/>
    <w:rsid w:val="4FB07878"/>
    <w:rsid w:val="4FB66650"/>
    <w:rsid w:val="4FBB22C3"/>
    <w:rsid w:val="4FBE01E7"/>
    <w:rsid w:val="4FBF5D0D"/>
    <w:rsid w:val="4FC21744"/>
    <w:rsid w:val="4FC62A8C"/>
    <w:rsid w:val="4FC95601"/>
    <w:rsid w:val="4FCC59A5"/>
    <w:rsid w:val="4FD02C81"/>
    <w:rsid w:val="4FD47FA8"/>
    <w:rsid w:val="4FE15C83"/>
    <w:rsid w:val="4FE20F0D"/>
    <w:rsid w:val="4FE44462"/>
    <w:rsid w:val="4FE47A31"/>
    <w:rsid w:val="4FE51552"/>
    <w:rsid w:val="4FE74196"/>
    <w:rsid w:val="4FF020B0"/>
    <w:rsid w:val="4FF534DD"/>
    <w:rsid w:val="50061022"/>
    <w:rsid w:val="5008672A"/>
    <w:rsid w:val="500D26BF"/>
    <w:rsid w:val="50106AF7"/>
    <w:rsid w:val="50136B9E"/>
    <w:rsid w:val="501A73E7"/>
    <w:rsid w:val="501E3FEC"/>
    <w:rsid w:val="502344EE"/>
    <w:rsid w:val="5036368D"/>
    <w:rsid w:val="50504C4B"/>
    <w:rsid w:val="505E20E8"/>
    <w:rsid w:val="5066262C"/>
    <w:rsid w:val="506C2E35"/>
    <w:rsid w:val="508036EE"/>
    <w:rsid w:val="508166BD"/>
    <w:rsid w:val="50861242"/>
    <w:rsid w:val="509335EF"/>
    <w:rsid w:val="509C6E7C"/>
    <w:rsid w:val="50A44E55"/>
    <w:rsid w:val="50AA076B"/>
    <w:rsid w:val="50B019F5"/>
    <w:rsid w:val="50C03AEB"/>
    <w:rsid w:val="50C07F8E"/>
    <w:rsid w:val="50CC09F9"/>
    <w:rsid w:val="50CE26AB"/>
    <w:rsid w:val="50CF5EEA"/>
    <w:rsid w:val="50CF7027"/>
    <w:rsid w:val="50D96F51"/>
    <w:rsid w:val="50DB3F55"/>
    <w:rsid w:val="50E21CB3"/>
    <w:rsid w:val="50EF617E"/>
    <w:rsid w:val="510155EC"/>
    <w:rsid w:val="51081672"/>
    <w:rsid w:val="510C4F82"/>
    <w:rsid w:val="510F6250"/>
    <w:rsid w:val="5115563D"/>
    <w:rsid w:val="51181B78"/>
    <w:rsid w:val="51214051"/>
    <w:rsid w:val="51361FFF"/>
    <w:rsid w:val="51373825"/>
    <w:rsid w:val="51383FC9"/>
    <w:rsid w:val="513C6EA5"/>
    <w:rsid w:val="514324CE"/>
    <w:rsid w:val="514B6A3D"/>
    <w:rsid w:val="51542926"/>
    <w:rsid w:val="51595CED"/>
    <w:rsid w:val="515C2C15"/>
    <w:rsid w:val="515E0AC1"/>
    <w:rsid w:val="515F3A7B"/>
    <w:rsid w:val="5162104E"/>
    <w:rsid w:val="51764AF1"/>
    <w:rsid w:val="517D3696"/>
    <w:rsid w:val="518358F0"/>
    <w:rsid w:val="51887982"/>
    <w:rsid w:val="518C39D0"/>
    <w:rsid w:val="518C6243"/>
    <w:rsid w:val="51990EDC"/>
    <w:rsid w:val="519E7612"/>
    <w:rsid w:val="51B178D7"/>
    <w:rsid w:val="51B37C8A"/>
    <w:rsid w:val="51C413B8"/>
    <w:rsid w:val="51E046EE"/>
    <w:rsid w:val="51E541D6"/>
    <w:rsid w:val="51EC4E24"/>
    <w:rsid w:val="51EF0175"/>
    <w:rsid w:val="51F429D5"/>
    <w:rsid w:val="51F823BF"/>
    <w:rsid w:val="51F8392E"/>
    <w:rsid w:val="51FA49B0"/>
    <w:rsid w:val="520619D1"/>
    <w:rsid w:val="521D255D"/>
    <w:rsid w:val="521F72C8"/>
    <w:rsid w:val="52271947"/>
    <w:rsid w:val="522F38A0"/>
    <w:rsid w:val="52383CD0"/>
    <w:rsid w:val="523F2203"/>
    <w:rsid w:val="524C3D9F"/>
    <w:rsid w:val="524D7600"/>
    <w:rsid w:val="5253098E"/>
    <w:rsid w:val="5253273C"/>
    <w:rsid w:val="52632790"/>
    <w:rsid w:val="526856F0"/>
    <w:rsid w:val="527247C1"/>
    <w:rsid w:val="527A5F1B"/>
    <w:rsid w:val="527B1EA7"/>
    <w:rsid w:val="527B72D6"/>
    <w:rsid w:val="52887ADE"/>
    <w:rsid w:val="528D1027"/>
    <w:rsid w:val="52903990"/>
    <w:rsid w:val="52971631"/>
    <w:rsid w:val="52B1202C"/>
    <w:rsid w:val="52B40959"/>
    <w:rsid w:val="52BA4AFD"/>
    <w:rsid w:val="52BB4769"/>
    <w:rsid w:val="52C553E8"/>
    <w:rsid w:val="52C75E9B"/>
    <w:rsid w:val="52CC1E87"/>
    <w:rsid w:val="52D63A99"/>
    <w:rsid w:val="52E51384"/>
    <w:rsid w:val="52E55A8A"/>
    <w:rsid w:val="52F77EAA"/>
    <w:rsid w:val="53014989"/>
    <w:rsid w:val="53035CDB"/>
    <w:rsid w:val="5305327E"/>
    <w:rsid w:val="530D17D8"/>
    <w:rsid w:val="531262E7"/>
    <w:rsid w:val="532F2BCB"/>
    <w:rsid w:val="533A6F86"/>
    <w:rsid w:val="533F6258"/>
    <w:rsid w:val="535A2FA8"/>
    <w:rsid w:val="53690469"/>
    <w:rsid w:val="53714FDF"/>
    <w:rsid w:val="53726766"/>
    <w:rsid w:val="53742406"/>
    <w:rsid w:val="537D4134"/>
    <w:rsid w:val="53807561"/>
    <w:rsid w:val="53861FF4"/>
    <w:rsid w:val="538829DF"/>
    <w:rsid w:val="53915C12"/>
    <w:rsid w:val="5394300C"/>
    <w:rsid w:val="539A3C5B"/>
    <w:rsid w:val="53A039CC"/>
    <w:rsid w:val="53A1505A"/>
    <w:rsid w:val="53A17324"/>
    <w:rsid w:val="53A476F3"/>
    <w:rsid w:val="53A76A97"/>
    <w:rsid w:val="53B6727B"/>
    <w:rsid w:val="53C60C55"/>
    <w:rsid w:val="53C73982"/>
    <w:rsid w:val="53C90E62"/>
    <w:rsid w:val="53C90F08"/>
    <w:rsid w:val="53CD5ADF"/>
    <w:rsid w:val="53D46B22"/>
    <w:rsid w:val="53DE680C"/>
    <w:rsid w:val="53E43F94"/>
    <w:rsid w:val="53E81E9C"/>
    <w:rsid w:val="53E97F57"/>
    <w:rsid w:val="53F50900"/>
    <w:rsid w:val="54063E08"/>
    <w:rsid w:val="54147A2B"/>
    <w:rsid w:val="541A781F"/>
    <w:rsid w:val="542362A5"/>
    <w:rsid w:val="54280325"/>
    <w:rsid w:val="54302D35"/>
    <w:rsid w:val="543079D2"/>
    <w:rsid w:val="543437E8"/>
    <w:rsid w:val="543A021F"/>
    <w:rsid w:val="543F566E"/>
    <w:rsid w:val="54422567"/>
    <w:rsid w:val="54444A33"/>
    <w:rsid w:val="544A11FE"/>
    <w:rsid w:val="5454111A"/>
    <w:rsid w:val="545F46A6"/>
    <w:rsid w:val="546155E5"/>
    <w:rsid w:val="546253ED"/>
    <w:rsid w:val="546319C0"/>
    <w:rsid w:val="54665AB2"/>
    <w:rsid w:val="546E3A6F"/>
    <w:rsid w:val="547846DC"/>
    <w:rsid w:val="548968E9"/>
    <w:rsid w:val="54907C78"/>
    <w:rsid w:val="5497721C"/>
    <w:rsid w:val="549A60AE"/>
    <w:rsid w:val="549B5123"/>
    <w:rsid w:val="549E2395"/>
    <w:rsid w:val="54A01882"/>
    <w:rsid w:val="54C067AF"/>
    <w:rsid w:val="54C47921"/>
    <w:rsid w:val="54CA271A"/>
    <w:rsid w:val="54D1276A"/>
    <w:rsid w:val="54EF234D"/>
    <w:rsid w:val="54F50220"/>
    <w:rsid w:val="54F73313"/>
    <w:rsid w:val="54F80955"/>
    <w:rsid w:val="55014E8B"/>
    <w:rsid w:val="55191A1B"/>
    <w:rsid w:val="552211B7"/>
    <w:rsid w:val="55255918"/>
    <w:rsid w:val="552C0EDB"/>
    <w:rsid w:val="55402455"/>
    <w:rsid w:val="5547793A"/>
    <w:rsid w:val="554956D1"/>
    <w:rsid w:val="554C6B67"/>
    <w:rsid w:val="55503D0D"/>
    <w:rsid w:val="555170A7"/>
    <w:rsid w:val="55592760"/>
    <w:rsid w:val="555B2034"/>
    <w:rsid w:val="555C2FA6"/>
    <w:rsid w:val="5560589C"/>
    <w:rsid w:val="55683C90"/>
    <w:rsid w:val="55763B4C"/>
    <w:rsid w:val="55822BB4"/>
    <w:rsid w:val="558327A4"/>
    <w:rsid w:val="5587536D"/>
    <w:rsid w:val="5591749D"/>
    <w:rsid w:val="55943798"/>
    <w:rsid w:val="559B174B"/>
    <w:rsid w:val="55A8310A"/>
    <w:rsid w:val="55B62248"/>
    <w:rsid w:val="55B81575"/>
    <w:rsid w:val="55BB256E"/>
    <w:rsid w:val="55CE0CF4"/>
    <w:rsid w:val="55D32512"/>
    <w:rsid w:val="55D6790C"/>
    <w:rsid w:val="55D7115D"/>
    <w:rsid w:val="55DF2C65"/>
    <w:rsid w:val="55E24ED9"/>
    <w:rsid w:val="55FC3817"/>
    <w:rsid w:val="560617A9"/>
    <w:rsid w:val="56094D75"/>
    <w:rsid w:val="560E354A"/>
    <w:rsid w:val="561B23FD"/>
    <w:rsid w:val="56210DC4"/>
    <w:rsid w:val="56290E65"/>
    <w:rsid w:val="562C39D0"/>
    <w:rsid w:val="563C581B"/>
    <w:rsid w:val="56436DEA"/>
    <w:rsid w:val="56485946"/>
    <w:rsid w:val="5652729B"/>
    <w:rsid w:val="56554D73"/>
    <w:rsid w:val="56591451"/>
    <w:rsid w:val="56617B1E"/>
    <w:rsid w:val="56643CB4"/>
    <w:rsid w:val="56660C90"/>
    <w:rsid w:val="56670CF5"/>
    <w:rsid w:val="566F769F"/>
    <w:rsid w:val="568B6949"/>
    <w:rsid w:val="568E5A7A"/>
    <w:rsid w:val="56950243"/>
    <w:rsid w:val="569D3CA4"/>
    <w:rsid w:val="56A52B5E"/>
    <w:rsid w:val="56A7547E"/>
    <w:rsid w:val="56A87127"/>
    <w:rsid w:val="56AE2780"/>
    <w:rsid w:val="56AE7493"/>
    <w:rsid w:val="56B22A9C"/>
    <w:rsid w:val="56B60D75"/>
    <w:rsid w:val="56BB5136"/>
    <w:rsid w:val="56BF4B95"/>
    <w:rsid w:val="56CD278A"/>
    <w:rsid w:val="56D23D87"/>
    <w:rsid w:val="56DC4043"/>
    <w:rsid w:val="56E12A50"/>
    <w:rsid w:val="56E30139"/>
    <w:rsid w:val="56E322E1"/>
    <w:rsid w:val="56E878F7"/>
    <w:rsid w:val="570F6B2B"/>
    <w:rsid w:val="571461A1"/>
    <w:rsid w:val="571D1821"/>
    <w:rsid w:val="57206913"/>
    <w:rsid w:val="57254C9B"/>
    <w:rsid w:val="57390153"/>
    <w:rsid w:val="574C432A"/>
    <w:rsid w:val="57557EB6"/>
    <w:rsid w:val="575925A3"/>
    <w:rsid w:val="57592CB3"/>
    <w:rsid w:val="575F33B6"/>
    <w:rsid w:val="576F3995"/>
    <w:rsid w:val="57817A2B"/>
    <w:rsid w:val="578226A1"/>
    <w:rsid w:val="57864FE8"/>
    <w:rsid w:val="57932B88"/>
    <w:rsid w:val="57A17F6F"/>
    <w:rsid w:val="57A7185E"/>
    <w:rsid w:val="57A777B2"/>
    <w:rsid w:val="57AE0B41"/>
    <w:rsid w:val="57B721BF"/>
    <w:rsid w:val="57B72A76"/>
    <w:rsid w:val="57B95737"/>
    <w:rsid w:val="57BE68AA"/>
    <w:rsid w:val="57C3426C"/>
    <w:rsid w:val="57C41965"/>
    <w:rsid w:val="57CE1F93"/>
    <w:rsid w:val="57E20CBD"/>
    <w:rsid w:val="57E26A3C"/>
    <w:rsid w:val="58021F5D"/>
    <w:rsid w:val="58070251"/>
    <w:rsid w:val="580E7831"/>
    <w:rsid w:val="5812294D"/>
    <w:rsid w:val="58122E6F"/>
    <w:rsid w:val="58170BDA"/>
    <w:rsid w:val="5818420C"/>
    <w:rsid w:val="581F559B"/>
    <w:rsid w:val="58287839"/>
    <w:rsid w:val="582E1BEA"/>
    <w:rsid w:val="583062CE"/>
    <w:rsid w:val="58552CA4"/>
    <w:rsid w:val="58563B5A"/>
    <w:rsid w:val="585E7C8F"/>
    <w:rsid w:val="586E02D0"/>
    <w:rsid w:val="587254FD"/>
    <w:rsid w:val="58733B38"/>
    <w:rsid w:val="587B3E58"/>
    <w:rsid w:val="587C72F5"/>
    <w:rsid w:val="587F072F"/>
    <w:rsid w:val="587F164A"/>
    <w:rsid w:val="58860961"/>
    <w:rsid w:val="588743D1"/>
    <w:rsid w:val="5887701A"/>
    <w:rsid w:val="588875E4"/>
    <w:rsid w:val="58986088"/>
    <w:rsid w:val="58A1667F"/>
    <w:rsid w:val="58AC3282"/>
    <w:rsid w:val="58B008E9"/>
    <w:rsid w:val="58B303D9"/>
    <w:rsid w:val="58B636C1"/>
    <w:rsid w:val="58B65AA2"/>
    <w:rsid w:val="58B77EC9"/>
    <w:rsid w:val="58BA52C3"/>
    <w:rsid w:val="58C1582F"/>
    <w:rsid w:val="58C678EE"/>
    <w:rsid w:val="58D918B5"/>
    <w:rsid w:val="58D92917"/>
    <w:rsid w:val="58DF2F7C"/>
    <w:rsid w:val="58E14F7F"/>
    <w:rsid w:val="58EE7121"/>
    <w:rsid w:val="58F016DE"/>
    <w:rsid w:val="58FA1B64"/>
    <w:rsid w:val="58FE1654"/>
    <w:rsid w:val="59060650"/>
    <w:rsid w:val="591043AD"/>
    <w:rsid w:val="5917019C"/>
    <w:rsid w:val="5919023C"/>
    <w:rsid w:val="591A3FB4"/>
    <w:rsid w:val="59260BAB"/>
    <w:rsid w:val="592D710E"/>
    <w:rsid w:val="593037D7"/>
    <w:rsid w:val="593776DB"/>
    <w:rsid w:val="593B5D04"/>
    <w:rsid w:val="59462FFB"/>
    <w:rsid w:val="594D6137"/>
    <w:rsid w:val="597D3EA4"/>
    <w:rsid w:val="5989726A"/>
    <w:rsid w:val="598F6750"/>
    <w:rsid w:val="59920FB2"/>
    <w:rsid w:val="59A3044D"/>
    <w:rsid w:val="59A93BFA"/>
    <w:rsid w:val="59AC1739"/>
    <w:rsid w:val="59AD2ADA"/>
    <w:rsid w:val="59B63CDD"/>
    <w:rsid w:val="59B73F60"/>
    <w:rsid w:val="59BE36AB"/>
    <w:rsid w:val="59C0439F"/>
    <w:rsid w:val="59C24CD2"/>
    <w:rsid w:val="59C30027"/>
    <w:rsid w:val="59C363FA"/>
    <w:rsid w:val="59C86985"/>
    <w:rsid w:val="59CB18BA"/>
    <w:rsid w:val="59D12269"/>
    <w:rsid w:val="59E7307A"/>
    <w:rsid w:val="59EB1740"/>
    <w:rsid w:val="59EC7FAC"/>
    <w:rsid w:val="59F130A5"/>
    <w:rsid w:val="59F478F2"/>
    <w:rsid w:val="59FE6517"/>
    <w:rsid w:val="5A00764E"/>
    <w:rsid w:val="5A010E1A"/>
    <w:rsid w:val="5A187989"/>
    <w:rsid w:val="5A20384C"/>
    <w:rsid w:val="5A23076E"/>
    <w:rsid w:val="5A297487"/>
    <w:rsid w:val="5A361B13"/>
    <w:rsid w:val="5A3B0ADB"/>
    <w:rsid w:val="5A3D0B5E"/>
    <w:rsid w:val="5A3F1F24"/>
    <w:rsid w:val="5A434FE4"/>
    <w:rsid w:val="5A490FF5"/>
    <w:rsid w:val="5A4C0425"/>
    <w:rsid w:val="5A6501DB"/>
    <w:rsid w:val="5A6552BD"/>
    <w:rsid w:val="5A6C5756"/>
    <w:rsid w:val="5A763C23"/>
    <w:rsid w:val="5A795DF3"/>
    <w:rsid w:val="5A7C018E"/>
    <w:rsid w:val="5A987886"/>
    <w:rsid w:val="5A992E07"/>
    <w:rsid w:val="5A9C1D5C"/>
    <w:rsid w:val="5AA70016"/>
    <w:rsid w:val="5AAB0196"/>
    <w:rsid w:val="5AB20948"/>
    <w:rsid w:val="5ABE2233"/>
    <w:rsid w:val="5ABE73D9"/>
    <w:rsid w:val="5AC308B9"/>
    <w:rsid w:val="5AC32B55"/>
    <w:rsid w:val="5AC4067B"/>
    <w:rsid w:val="5AC65F69"/>
    <w:rsid w:val="5AC71F19"/>
    <w:rsid w:val="5ACA2CB5"/>
    <w:rsid w:val="5ADC7773"/>
    <w:rsid w:val="5AE047D0"/>
    <w:rsid w:val="5AE54F11"/>
    <w:rsid w:val="5AE908F6"/>
    <w:rsid w:val="5AF076C2"/>
    <w:rsid w:val="5AF319E8"/>
    <w:rsid w:val="5AF83831"/>
    <w:rsid w:val="5AFA711E"/>
    <w:rsid w:val="5AFA763F"/>
    <w:rsid w:val="5B155A7C"/>
    <w:rsid w:val="5B156152"/>
    <w:rsid w:val="5B301722"/>
    <w:rsid w:val="5B3C46B5"/>
    <w:rsid w:val="5B4A7D20"/>
    <w:rsid w:val="5B63489B"/>
    <w:rsid w:val="5B687259"/>
    <w:rsid w:val="5B743103"/>
    <w:rsid w:val="5B7618C6"/>
    <w:rsid w:val="5B781D0C"/>
    <w:rsid w:val="5B7C4526"/>
    <w:rsid w:val="5B995664"/>
    <w:rsid w:val="5BA81D4B"/>
    <w:rsid w:val="5BA83AF9"/>
    <w:rsid w:val="5BAA161F"/>
    <w:rsid w:val="5BB16E51"/>
    <w:rsid w:val="5BB75BFE"/>
    <w:rsid w:val="5BBE50CA"/>
    <w:rsid w:val="5BD010D2"/>
    <w:rsid w:val="5BDA3AC8"/>
    <w:rsid w:val="5BDF5D95"/>
    <w:rsid w:val="5BE379AC"/>
    <w:rsid w:val="5BE50188"/>
    <w:rsid w:val="5BEE20A9"/>
    <w:rsid w:val="5BF925A6"/>
    <w:rsid w:val="5BFB4366"/>
    <w:rsid w:val="5BFE7528"/>
    <w:rsid w:val="5BFF1759"/>
    <w:rsid w:val="5C0304F1"/>
    <w:rsid w:val="5C074B91"/>
    <w:rsid w:val="5C137BC9"/>
    <w:rsid w:val="5C1E5C5E"/>
    <w:rsid w:val="5C205AB0"/>
    <w:rsid w:val="5C233C84"/>
    <w:rsid w:val="5C2C64D8"/>
    <w:rsid w:val="5C470D42"/>
    <w:rsid w:val="5C480E38"/>
    <w:rsid w:val="5C4D007C"/>
    <w:rsid w:val="5C4D4511"/>
    <w:rsid w:val="5C5617A7"/>
    <w:rsid w:val="5C5872CD"/>
    <w:rsid w:val="5C59404C"/>
    <w:rsid w:val="5C605AFE"/>
    <w:rsid w:val="5C6A307B"/>
    <w:rsid w:val="5C6C0FCA"/>
    <w:rsid w:val="5C78796F"/>
    <w:rsid w:val="5C9018ED"/>
    <w:rsid w:val="5C983A6F"/>
    <w:rsid w:val="5C992D5B"/>
    <w:rsid w:val="5C9F4BDD"/>
    <w:rsid w:val="5CA54B1E"/>
    <w:rsid w:val="5CB12E81"/>
    <w:rsid w:val="5CB169DD"/>
    <w:rsid w:val="5CC11316"/>
    <w:rsid w:val="5CC93B2E"/>
    <w:rsid w:val="5CD66444"/>
    <w:rsid w:val="5CD72CFD"/>
    <w:rsid w:val="5CE609FA"/>
    <w:rsid w:val="5CF61096"/>
    <w:rsid w:val="5CF64186"/>
    <w:rsid w:val="5CF765FF"/>
    <w:rsid w:val="5CFA40D7"/>
    <w:rsid w:val="5D081262"/>
    <w:rsid w:val="5D0E62A6"/>
    <w:rsid w:val="5D183915"/>
    <w:rsid w:val="5D1C02FB"/>
    <w:rsid w:val="5D202983"/>
    <w:rsid w:val="5D245401"/>
    <w:rsid w:val="5D2C0F26"/>
    <w:rsid w:val="5D414205"/>
    <w:rsid w:val="5D54174E"/>
    <w:rsid w:val="5D553D6C"/>
    <w:rsid w:val="5D577226"/>
    <w:rsid w:val="5D651B36"/>
    <w:rsid w:val="5D720862"/>
    <w:rsid w:val="5D9941E2"/>
    <w:rsid w:val="5D9E6F62"/>
    <w:rsid w:val="5DA87DE0"/>
    <w:rsid w:val="5DAA7FFC"/>
    <w:rsid w:val="5DB402AB"/>
    <w:rsid w:val="5DBA7B13"/>
    <w:rsid w:val="5DBD5FC0"/>
    <w:rsid w:val="5DD130A9"/>
    <w:rsid w:val="5DD74B5C"/>
    <w:rsid w:val="5DE56518"/>
    <w:rsid w:val="5DE60909"/>
    <w:rsid w:val="5DEB5F1F"/>
    <w:rsid w:val="5DF92166"/>
    <w:rsid w:val="5E005E6E"/>
    <w:rsid w:val="5E010F43"/>
    <w:rsid w:val="5E0A2132"/>
    <w:rsid w:val="5E197573"/>
    <w:rsid w:val="5E2467F1"/>
    <w:rsid w:val="5E281F05"/>
    <w:rsid w:val="5E2B4120"/>
    <w:rsid w:val="5E2B5FA2"/>
    <w:rsid w:val="5E395BA4"/>
    <w:rsid w:val="5E3D59D6"/>
    <w:rsid w:val="5E5B7E40"/>
    <w:rsid w:val="5E653D32"/>
    <w:rsid w:val="5E6B1FFF"/>
    <w:rsid w:val="5E6C52B2"/>
    <w:rsid w:val="5E6F4DA2"/>
    <w:rsid w:val="5E7136B3"/>
    <w:rsid w:val="5E7471C5"/>
    <w:rsid w:val="5E8819C0"/>
    <w:rsid w:val="5E8B5F88"/>
    <w:rsid w:val="5E8D2A1A"/>
    <w:rsid w:val="5E954F01"/>
    <w:rsid w:val="5E9D3D74"/>
    <w:rsid w:val="5EA7128D"/>
    <w:rsid w:val="5EB42CDF"/>
    <w:rsid w:val="5EB903EF"/>
    <w:rsid w:val="5EBC2507"/>
    <w:rsid w:val="5EDC2437"/>
    <w:rsid w:val="5EDF5A84"/>
    <w:rsid w:val="5EE13ED0"/>
    <w:rsid w:val="5EEF62A0"/>
    <w:rsid w:val="5EFC1C0E"/>
    <w:rsid w:val="5F0B387C"/>
    <w:rsid w:val="5F1119B5"/>
    <w:rsid w:val="5F17346F"/>
    <w:rsid w:val="5F1A2B43"/>
    <w:rsid w:val="5F1C2834"/>
    <w:rsid w:val="5F212B3A"/>
    <w:rsid w:val="5F2931A3"/>
    <w:rsid w:val="5F3820BC"/>
    <w:rsid w:val="5F4B7635"/>
    <w:rsid w:val="5F4C0C3F"/>
    <w:rsid w:val="5F4C72CA"/>
    <w:rsid w:val="5F5875E4"/>
    <w:rsid w:val="5F630463"/>
    <w:rsid w:val="5F745594"/>
    <w:rsid w:val="5F7E4C4E"/>
    <w:rsid w:val="5F8811CD"/>
    <w:rsid w:val="5F8D7E89"/>
    <w:rsid w:val="5F906BA5"/>
    <w:rsid w:val="5F912253"/>
    <w:rsid w:val="5F95631A"/>
    <w:rsid w:val="5F9A5E4E"/>
    <w:rsid w:val="5FB837BB"/>
    <w:rsid w:val="5FC20FEA"/>
    <w:rsid w:val="5FC62BC6"/>
    <w:rsid w:val="5FC6785B"/>
    <w:rsid w:val="5FDD1A0A"/>
    <w:rsid w:val="5FDE5D05"/>
    <w:rsid w:val="5FDF4A71"/>
    <w:rsid w:val="5FE63023"/>
    <w:rsid w:val="5FEB1B9D"/>
    <w:rsid w:val="5FEF67E0"/>
    <w:rsid w:val="5FFA17ED"/>
    <w:rsid w:val="600D3E66"/>
    <w:rsid w:val="600F4A8D"/>
    <w:rsid w:val="602050BE"/>
    <w:rsid w:val="60223961"/>
    <w:rsid w:val="6027474E"/>
    <w:rsid w:val="602D0138"/>
    <w:rsid w:val="603764BF"/>
    <w:rsid w:val="60383FDA"/>
    <w:rsid w:val="60386A8A"/>
    <w:rsid w:val="6042276E"/>
    <w:rsid w:val="6052738E"/>
    <w:rsid w:val="605B62FF"/>
    <w:rsid w:val="60603856"/>
    <w:rsid w:val="60636240"/>
    <w:rsid w:val="60677708"/>
    <w:rsid w:val="60752AEC"/>
    <w:rsid w:val="607F2E50"/>
    <w:rsid w:val="60941FBC"/>
    <w:rsid w:val="60A171F2"/>
    <w:rsid w:val="60CC405A"/>
    <w:rsid w:val="60D04021"/>
    <w:rsid w:val="60DC0870"/>
    <w:rsid w:val="60EC2FF9"/>
    <w:rsid w:val="60FB0F04"/>
    <w:rsid w:val="60FC1B05"/>
    <w:rsid w:val="61004E5C"/>
    <w:rsid w:val="610139B4"/>
    <w:rsid w:val="611C2A0D"/>
    <w:rsid w:val="61273712"/>
    <w:rsid w:val="612C7226"/>
    <w:rsid w:val="6142679E"/>
    <w:rsid w:val="61462F51"/>
    <w:rsid w:val="61535E2D"/>
    <w:rsid w:val="61671724"/>
    <w:rsid w:val="61691F7C"/>
    <w:rsid w:val="616D381B"/>
    <w:rsid w:val="617F354E"/>
    <w:rsid w:val="6180184A"/>
    <w:rsid w:val="618108CF"/>
    <w:rsid w:val="619D712D"/>
    <w:rsid w:val="61A93286"/>
    <w:rsid w:val="61AD00BB"/>
    <w:rsid w:val="61BA27D8"/>
    <w:rsid w:val="61BB4EB9"/>
    <w:rsid w:val="61C1376D"/>
    <w:rsid w:val="61C575C4"/>
    <w:rsid w:val="61C872AA"/>
    <w:rsid w:val="61D141E5"/>
    <w:rsid w:val="61DE64C6"/>
    <w:rsid w:val="61E11B13"/>
    <w:rsid w:val="61E215D8"/>
    <w:rsid w:val="61E33ADD"/>
    <w:rsid w:val="61E814E9"/>
    <w:rsid w:val="620D0B5A"/>
    <w:rsid w:val="621B3775"/>
    <w:rsid w:val="622444B3"/>
    <w:rsid w:val="622814F0"/>
    <w:rsid w:val="622B58B1"/>
    <w:rsid w:val="622D504B"/>
    <w:rsid w:val="62364782"/>
    <w:rsid w:val="624D3FF6"/>
    <w:rsid w:val="62682234"/>
    <w:rsid w:val="626B0816"/>
    <w:rsid w:val="627222EF"/>
    <w:rsid w:val="62732C9C"/>
    <w:rsid w:val="627369F1"/>
    <w:rsid w:val="6276330C"/>
    <w:rsid w:val="627A3C98"/>
    <w:rsid w:val="627F77D0"/>
    <w:rsid w:val="62A32CCC"/>
    <w:rsid w:val="62A41849"/>
    <w:rsid w:val="62A50CBD"/>
    <w:rsid w:val="62B45479"/>
    <w:rsid w:val="62BC34BF"/>
    <w:rsid w:val="62BE3D10"/>
    <w:rsid w:val="62C002E4"/>
    <w:rsid w:val="62C34226"/>
    <w:rsid w:val="62CF7BBD"/>
    <w:rsid w:val="62F66AEA"/>
    <w:rsid w:val="62F93AED"/>
    <w:rsid w:val="62FE79D4"/>
    <w:rsid w:val="630A076A"/>
    <w:rsid w:val="631B2E02"/>
    <w:rsid w:val="631D37BF"/>
    <w:rsid w:val="63283C1D"/>
    <w:rsid w:val="63493E13"/>
    <w:rsid w:val="634E31D8"/>
    <w:rsid w:val="635D2D54"/>
    <w:rsid w:val="636269AF"/>
    <w:rsid w:val="63631E7E"/>
    <w:rsid w:val="63731617"/>
    <w:rsid w:val="638008EE"/>
    <w:rsid w:val="63803269"/>
    <w:rsid w:val="638135AD"/>
    <w:rsid w:val="63846BFA"/>
    <w:rsid w:val="6386481F"/>
    <w:rsid w:val="638B442C"/>
    <w:rsid w:val="638E64DB"/>
    <w:rsid w:val="6394356A"/>
    <w:rsid w:val="6397045F"/>
    <w:rsid w:val="63975202"/>
    <w:rsid w:val="639A641D"/>
    <w:rsid w:val="63A23524"/>
    <w:rsid w:val="63AD1FEB"/>
    <w:rsid w:val="63AE604C"/>
    <w:rsid w:val="63BA4221"/>
    <w:rsid w:val="63BB48E2"/>
    <w:rsid w:val="63BC0D27"/>
    <w:rsid w:val="63BD7310"/>
    <w:rsid w:val="63C61B2C"/>
    <w:rsid w:val="63CE60C7"/>
    <w:rsid w:val="63D40BE9"/>
    <w:rsid w:val="63D61AC1"/>
    <w:rsid w:val="63D87E5F"/>
    <w:rsid w:val="63EB4ECB"/>
    <w:rsid w:val="63EB6C79"/>
    <w:rsid w:val="63F01194"/>
    <w:rsid w:val="63F55ABD"/>
    <w:rsid w:val="640146EE"/>
    <w:rsid w:val="640F4998"/>
    <w:rsid w:val="64102431"/>
    <w:rsid w:val="64162FEB"/>
    <w:rsid w:val="641C593C"/>
    <w:rsid w:val="641E605D"/>
    <w:rsid w:val="642106E9"/>
    <w:rsid w:val="642D7FAE"/>
    <w:rsid w:val="643E5896"/>
    <w:rsid w:val="643F285B"/>
    <w:rsid w:val="64411EBD"/>
    <w:rsid w:val="645034B9"/>
    <w:rsid w:val="64535682"/>
    <w:rsid w:val="645875E3"/>
    <w:rsid w:val="64654C7D"/>
    <w:rsid w:val="6468630B"/>
    <w:rsid w:val="646F3406"/>
    <w:rsid w:val="646F5DDE"/>
    <w:rsid w:val="64842E48"/>
    <w:rsid w:val="648469BC"/>
    <w:rsid w:val="64990483"/>
    <w:rsid w:val="649B069F"/>
    <w:rsid w:val="64A15589"/>
    <w:rsid w:val="64A5243A"/>
    <w:rsid w:val="64B61035"/>
    <w:rsid w:val="64B90B25"/>
    <w:rsid w:val="64B96D77"/>
    <w:rsid w:val="64C676BB"/>
    <w:rsid w:val="64C96720"/>
    <w:rsid w:val="64D84B35"/>
    <w:rsid w:val="64E73B73"/>
    <w:rsid w:val="64E965CB"/>
    <w:rsid w:val="64EB57C1"/>
    <w:rsid w:val="64EE0379"/>
    <w:rsid w:val="64EF4547"/>
    <w:rsid w:val="64F531DE"/>
    <w:rsid w:val="64F93617"/>
    <w:rsid w:val="65044544"/>
    <w:rsid w:val="650A75D2"/>
    <w:rsid w:val="65155B50"/>
    <w:rsid w:val="65164DA3"/>
    <w:rsid w:val="65254A6D"/>
    <w:rsid w:val="652D0651"/>
    <w:rsid w:val="653351B5"/>
    <w:rsid w:val="65373578"/>
    <w:rsid w:val="653C7415"/>
    <w:rsid w:val="653E4B02"/>
    <w:rsid w:val="655621F8"/>
    <w:rsid w:val="655A350D"/>
    <w:rsid w:val="655B398A"/>
    <w:rsid w:val="655F0227"/>
    <w:rsid w:val="656C3E87"/>
    <w:rsid w:val="656F7435"/>
    <w:rsid w:val="657E7B5C"/>
    <w:rsid w:val="658D6460"/>
    <w:rsid w:val="65907AD8"/>
    <w:rsid w:val="65987EBF"/>
    <w:rsid w:val="65AC5C01"/>
    <w:rsid w:val="65AD2600"/>
    <w:rsid w:val="65B763A9"/>
    <w:rsid w:val="65BB6A86"/>
    <w:rsid w:val="65D73958"/>
    <w:rsid w:val="65E762A0"/>
    <w:rsid w:val="65EB11B2"/>
    <w:rsid w:val="65F00576"/>
    <w:rsid w:val="65F853C2"/>
    <w:rsid w:val="65FE2CB0"/>
    <w:rsid w:val="65FE52C2"/>
    <w:rsid w:val="6604282F"/>
    <w:rsid w:val="66165181"/>
    <w:rsid w:val="66215E2C"/>
    <w:rsid w:val="6626795D"/>
    <w:rsid w:val="662A79E4"/>
    <w:rsid w:val="66364027"/>
    <w:rsid w:val="664B26DE"/>
    <w:rsid w:val="664D3C1B"/>
    <w:rsid w:val="665B6338"/>
    <w:rsid w:val="665E5A2D"/>
    <w:rsid w:val="667F358A"/>
    <w:rsid w:val="6687347B"/>
    <w:rsid w:val="668A7384"/>
    <w:rsid w:val="668C66E7"/>
    <w:rsid w:val="668E7F75"/>
    <w:rsid w:val="669021AE"/>
    <w:rsid w:val="669058B5"/>
    <w:rsid w:val="669B2BD8"/>
    <w:rsid w:val="66AA6C33"/>
    <w:rsid w:val="66B71094"/>
    <w:rsid w:val="66BC48FC"/>
    <w:rsid w:val="66C057B2"/>
    <w:rsid w:val="66C35C8B"/>
    <w:rsid w:val="66C37A39"/>
    <w:rsid w:val="66C8442E"/>
    <w:rsid w:val="66CA417A"/>
    <w:rsid w:val="66CB277F"/>
    <w:rsid w:val="66CD2666"/>
    <w:rsid w:val="66D95112"/>
    <w:rsid w:val="66DC0AFB"/>
    <w:rsid w:val="66E4436D"/>
    <w:rsid w:val="66EB76F6"/>
    <w:rsid w:val="66EF3494"/>
    <w:rsid w:val="66F70F35"/>
    <w:rsid w:val="66F7131F"/>
    <w:rsid w:val="66FB2959"/>
    <w:rsid w:val="67000CC4"/>
    <w:rsid w:val="67000E3B"/>
    <w:rsid w:val="67007834"/>
    <w:rsid w:val="6703580B"/>
    <w:rsid w:val="67053426"/>
    <w:rsid w:val="67065C98"/>
    <w:rsid w:val="6707201B"/>
    <w:rsid w:val="670E0B4F"/>
    <w:rsid w:val="670F0ED0"/>
    <w:rsid w:val="671B5EFB"/>
    <w:rsid w:val="671F124A"/>
    <w:rsid w:val="67375B86"/>
    <w:rsid w:val="674C6DED"/>
    <w:rsid w:val="674E444A"/>
    <w:rsid w:val="674E7135"/>
    <w:rsid w:val="67580AC9"/>
    <w:rsid w:val="675E0579"/>
    <w:rsid w:val="6760172C"/>
    <w:rsid w:val="67656684"/>
    <w:rsid w:val="676A58F9"/>
    <w:rsid w:val="676D6891"/>
    <w:rsid w:val="677104EF"/>
    <w:rsid w:val="67777F76"/>
    <w:rsid w:val="677A33C6"/>
    <w:rsid w:val="677F5452"/>
    <w:rsid w:val="679636D1"/>
    <w:rsid w:val="67966EFB"/>
    <w:rsid w:val="67A056CE"/>
    <w:rsid w:val="67A46076"/>
    <w:rsid w:val="67AC2BC3"/>
    <w:rsid w:val="67BD3CBF"/>
    <w:rsid w:val="67BD569C"/>
    <w:rsid w:val="67C7085E"/>
    <w:rsid w:val="67CB7884"/>
    <w:rsid w:val="67CD1DE2"/>
    <w:rsid w:val="67CE2B39"/>
    <w:rsid w:val="67DD06AF"/>
    <w:rsid w:val="67DD4B2A"/>
    <w:rsid w:val="67E67E83"/>
    <w:rsid w:val="67E964BF"/>
    <w:rsid w:val="67EE3316"/>
    <w:rsid w:val="67F17C03"/>
    <w:rsid w:val="67F214AF"/>
    <w:rsid w:val="67FD341E"/>
    <w:rsid w:val="67FE6CF9"/>
    <w:rsid w:val="68171831"/>
    <w:rsid w:val="681744E0"/>
    <w:rsid w:val="681D2BE7"/>
    <w:rsid w:val="681F6961"/>
    <w:rsid w:val="68362C8E"/>
    <w:rsid w:val="68364600"/>
    <w:rsid w:val="684A2231"/>
    <w:rsid w:val="686025A4"/>
    <w:rsid w:val="68610A2F"/>
    <w:rsid w:val="68692862"/>
    <w:rsid w:val="686C168B"/>
    <w:rsid w:val="68805514"/>
    <w:rsid w:val="68866CD3"/>
    <w:rsid w:val="68932395"/>
    <w:rsid w:val="68A4505F"/>
    <w:rsid w:val="68AB2E7A"/>
    <w:rsid w:val="68C006D4"/>
    <w:rsid w:val="68C27F38"/>
    <w:rsid w:val="68C301C4"/>
    <w:rsid w:val="68CB0847"/>
    <w:rsid w:val="68D0643D"/>
    <w:rsid w:val="68D93CAA"/>
    <w:rsid w:val="68EF247D"/>
    <w:rsid w:val="68F640F6"/>
    <w:rsid w:val="68F760C0"/>
    <w:rsid w:val="690F0FFE"/>
    <w:rsid w:val="691547A6"/>
    <w:rsid w:val="692B230E"/>
    <w:rsid w:val="692C7B17"/>
    <w:rsid w:val="692E36B1"/>
    <w:rsid w:val="69316E2F"/>
    <w:rsid w:val="69317F96"/>
    <w:rsid w:val="69390486"/>
    <w:rsid w:val="693C55FC"/>
    <w:rsid w:val="694A110D"/>
    <w:rsid w:val="694E2071"/>
    <w:rsid w:val="69501DEC"/>
    <w:rsid w:val="69564C0E"/>
    <w:rsid w:val="69647D33"/>
    <w:rsid w:val="69667A6B"/>
    <w:rsid w:val="6968585F"/>
    <w:rsid w:val="696C2F1F"/>
    <w:rsid w:val="69716287"/>
    <w:rsid w:val="69766163"/>
    <w:rsid w:val="69774E94"/>
    <w:rsid w:val="697A3B33"/>
    <w:rsid w:val="69800E56"/>
    <w:rsid w:val="69921BD7"/>
    <w:rsid w:val="69987C4C"/>
    <w:rsid w:val="699A74FB"/>
    <w:rsid w:val="699D7845"/>
    <w:rsid w:val="699E3448"/>
    <w:rsid w:val="69A064AF"/>
    <w:rsid w:val="69A476D9"/>
    <w:rsid w:val="69A90608"/>
    <w:rsid w:val="69AD50D5"/>
    <w:rsid w:val="69B67D29"/>
    <w:rsid w:val="69BB00A8"/>
    <w:rsid w:val="69BD4C2B"/>
    <w:rsid w:val="69BF36D4"/>
    <w:rsid w:val="69C9662A"/>
    <w:rsid w:val="69CB5582"/>
    <w:rsid w:val="69D44760"/>
    <w:rsid w:val="69E31E28"/>
    <w:rsid w:val="69EA2BD4"/>
    <w:rsid w:val="69EE0B66"/>
    <w:rsid w:val="69F34AD9"/>
    <w:rsid w:val="69FC76B5"/>
    <w:rsid w:val="69FF347E"/>
    <w:rsid w:val="6A161ADF"/>
    <w:rsid w:val="6A1631A0"/>
    <w:rsid w:val="6A303637"/>
    <w:rsid w:val="6A3B2535"/>
    <w:rsid w:val="6A520EC7"/>
    <w:rsid w:val="6A527A52"/>
    <w:rsid w:val="6A576E16"/>
    <w:rsid w:val="6A587C04"/>
    <w:rsid w:val="6A7C19BF"/>
    <w:rsid w:val="6A7D1EA0"/>
    <w:rsid w:val="6A8120E5"/>
    <w:rsid w:val="6A84029F"/>
    <w:rsid w:val="6AA22005"/>
    <w:rsid w:val="6AA45378"/>
    <w:rsid w:val="6AA90B3A"/>
    <w:rsid w:val="6ABC71AD"/>
    <w:rsid w:val="6AC5471F"/>
    <w:rsid w:val="6AC54E80"/>
    <w:rsid w:val="6AC706C1"/>
    <w:rsid w:val="6AC91A75"/>
    <w:rsid w:val="6ACB5C35"/>
    <w:rsid w:val="6AD71D05"/>
    <w:rsid w:val="6ADE14D1"/>
    <w:rsid w:val="6ADF06DE"/>
    <w:rsid w:val="6AE26445"/>
    <w:rsid w:val="6AE663EC"/>
    <w:rsid w:val="6AEF34F2"/>
    <w:rsid w:val="6AF573BF"/>
    <w:rsid w:val="6AF87E20"/>
    <w:rsid w:val="6AF9611F"/>
    <w:rsid w:val="6AFD14CE"/>
    <w:rsid w:val="6B1B7E43"/>
    <w:rsid w:val="6B1C2D47"/>
    <w:rsid w:val="6B244839"/>
    <w:rsid w:val="6B254208"/>
    <w:rsid w:val="6B2734B9"/>
    <w:rsid w:val="6B274AFB"/>
    <w:rsid w:val="6B2801F5"/>
    <w:rsid w:val="6B322639"/>
    <w:rsid w:val="6B3727A3"/>
    <w:rsid w:val="6B4450F3"/>
    <w:rsid w:val="6B4B3EF8"/>
    <w:rsid w:val="6B5174A7"/>
    <w:rsid w:val="6B574BF4"/>
    <w:rsid w:val="6B631EBD"/>
    <w:rsid w:val="6B6A4927"/>
    <w:rsid w:val="6B8235F5"/>
    <w:rsid w:val="6B9300C4"/>
    <w:rsid w:val="6B9540A4"/>
    <w:rsid w:val="6B9624B7"/>
    <w:rsid w:val="6BA372CD"/>
    <w:rsid w:val="6BA918F3"/>
    <w:rsid w:val="6BD14C21"/>
    <w:rsid w:val="6BD22F9F"/>
    <w:rsid w:val="6BD84BEA"/>
    <w:rsid w:val="6BDB75D3"/>
    <w:rsid w:val="6BDE05C0"/>
    <w:rsid w:val="6BE379CF"/>
    <w:rsid w:val="6BE566A3"/>
    <w:rsid w:val="6BF07522"/>
    <w:rsid w:val="6BF84629"/>
    <w:rsid w:val="6BFA733C"/>
    <w:rsid w:val="6C0B7C76"/>
    <w:rsid w:val="6C0C59DE"/>
    <w:rsid w:val="6C0E79A8"/>
    <w:rsid w:val="6C100DF0"/>
    <w:rsid w:val="6C101972"/>
    <w:rsid w:val="6C1256EA"/>
    <w:rsid w:val="6C191D20"/>
    <w:rsid w:val="6C1F1AB4"/>
    <w:rsid w:val="6C277408"/>
    <w:rsid w:val="6C2947E2"/>
    <w:rsid w:val="6C2F085B"/>
    <w:rsid w:val="6C307AAE"/>
    <w:rsid w:val="6C3714C9"/>
    <w:rsid w:val="6C3D64DF"/>
    <w:rsid w:val="6C444C2E"/>
    <w:rsid w:val="6C4706F9"/>
    <w:rsid w:val="6C4A6A6B"/>
    <w:rsid w:val="6C547ACA"/>
    <w:rsid w:val="6C575974"/>
    <w:rsid w:val="6C5F004A"/>
    <w:rsid w:val="6C636C38"/>
    <w:rsid w:val="6C6B76C4"/>
    <w:rsid w:val="6C7E69B1"/>
    <w:rsid w:val="6C863FAD"/>
    <w:rsid w:val="6C8B724B"/>
    <w:rsid w:val="6CAF42DD"/>
    <w:rsid w:val="6CB322FE"/>
    <w:rsid w:val="6CBD0550"/>
    <w:rsid w:val="6CD865BF"/>
    <w:rsid w:val="6CE66B6E"/>
    <w:rsid w:val="6CEA21C3"/>
    <w:rsid w:val="6D0D5EB2"/>
    <w:rsid w:val="6D16152A"/>
    <w:rsid w:val="6D194017"/>
    <w:rsid w:val="6D33797F"/>
    <w:rsid w:val="6D417EEF"/>
    <w:rsid w:val="6D510B67"/>
    <w:rsid w:val="6D5270A3"/>
    <w:rsid w:val="6D55003C"/>
    <w:rsid w:val="6D617FAC"/>
    <w:rsid w:val="6D735F81"/>
    <w:rsid w:val="6D7C4ED1"/>
    <w:rsid w:val="6D7E53B7"/>
    <w:rsid w:val="6D8048D6"/>
    <w:rsid w:val="6D943EDD"/>
    <w:rsid w:val="6D9E3E83"/>
    <w:rsid w:val="6DA854DF"/>
    <w:rsid w:val="6DB34098"/>
    <w:rsid w:val="6DB36FDC"/>
    <w:rsid w:val="6DB450BF"/>
    <w:rsid w:val="6DB545B6"/>
    <w:rsid w:val="6DBC7768"/>
    <w:rsid w:val="6DBD51C9"/>
    <w:rsid w:val="6DC05A43"/>
    <w:rsid w:val="6DCD28C7"/>
    <w:rsid w:val="6DD34202"/>
    <w:rsid w:val="6DDC54A7"/>
    <w:rsid w:val="6DE02FB4"/>
    <w:rsid w:val="6DEA1D4F"/>
    <w:rsid w:val="6DED1CA3"/>
    <w:rsid w:val="6DF11851"/>
    <w:rsid w:val="6DF30EEC"/>
    <w:rsid w:val="6E032E11"/>
    <w:rsid w:val="6E080427"/>
    <w:rsid w:val="6E096679"/>
    <w:rsid w:val="6E201C15"/>
    <w:rsid w:val="6E297E68"/>
    <w:rsid w:val="6E301E58"/>
    <w:rsid w:val="6E353DE4"/>
    <w:rsid w:val="6E391F20"/>
    <w:rsid w:val="6E3B6556"/>
    <w:rsid w:val="6E3C2D80"/>
    <w:rsid w:val="6E514CED"/>
    <w:rsid w:val="6E5632B7"/>
    <w:rsid w:val="6E597D79"/>
    <w:rsid w:val="6E5B69FB"/>
    <w:rsid w:val="6E624FA8"/>
    <w:rsid w:val="6E6474E3"/>
    <w:rsid w:val="6E753C61"/>
    <w:rsid w:val="6E775756"/>
    <w:rsid w:val="6E787440"/>
    <w:rsid w:val="6E7E1789"/>
    <w:rsid w:val="6E823E52"/>
    <w:rsid w:val="6E84731C"/>
    <w:rsid w:val="6E8A319E"/>
    <w:rsid w:val="6E902A69"/>
    <w:rsid w:val="6EB563D5"/>
    <w:rsid w:val="6EB80153"/>
    <w:rsid w:val="6EC15BA9"/>
    <w:rsid w:val="6ED92677"/>
    <w:rsid w:val="6EF035FA"/>
    <w:rsid w:val="6EF34C6F"/>
    <w:rsid w:val="6F084B83"/>
    <w:rsid w:val="6F215C44"/>
    <w:rsid w:val="6F225983"/>
    <w:rsid w:val="6F233805"/>
    <w:rsid w:val="6F2748A4"/>
    <w:rsid w:val="6F332352"/>
    <w:rsid w:val="6F34488D"/>
    <w:rsid w:val="6F3A3E03"/>
    <w:rsid w:val="6F3A720A"/>
    <w:rsid w:val="6F481423"/>
    <w:rsid w:val="6F6840AB"/>
    <w:rsid w:val="6F757355"/>
    <w:rsid w:val="6F765F90"/>
    <w:rsid w:val="6F933F14"/>
    <w:rsid w:val="6F936635"/>
    <w:rsid w:val="6F9878D6"/>
    <w:rsid w:val="6F9C071A"/>
    <w:rsid w:val="6FA02C0D"/>
    <w:rsid w:val="6FA10B33"/>
    <w:rsid w:val="6FA6623A"/>
    <w:rsid w:val="6FB645DF"/>
    <w:rsid w:val="6FBE6845"/>
    <w:rsid w:val="6FD430CB"/>
    <w:rsid w:val="6FEF7A37"/>
    <w:rsid w:val="6FF1023B"/>
    <w:rsid w:val="6FFC5590"/>
    <w:rsid w:val="700147E0"/>
    <w:rsid w:val="700215D2"/>
    <w:rsid w:val="700B0B56"/>
    <w:rsid w:val="70111815"/>
    <w:rsid w:val="7016507D"/>
    <w:rsid w:val="7019691C"/>
    <w:rsid w:val="701B08E6"/>
    <w:rsid w:val="701C7667"/>
    <w:rsid w:val="70290282"/>
    <w:rsid w:val="702B672C"/>
    <w:rsid w:val="70400C06"/>
    <w:rsid w:val="70445CD9"/>
    <w:rsid w:val="70483BF2"/>
    <w:rsid w:val="704A07CB"/>
    <w:rsid w:val="704D431D"/>
    <w:rsid w:val="704E514D"/>
    <w:rsid w:val="70513C88"/>
    <w:rsid w:val="7052056C"/>
    <w:rsid w:val="70645DE9"/>
    <w:rsid w:val="706D1DD0"/>
    <w:rsid w:val="706E4EB9"/>
    <w:rsid w:val="70804E40"/>
    <w:rsid w:val="70815027"/>
    <w:rsid w:val="70856B87"/>
    <w:rsid w:val="708B251E"/>
    <w:rsid w:val="708E6442"/>
    <w:rsid w:val="70932B72"/>
    <w:rsid w:val="709449EC"/>
    <w:rsid w:val="709561A1"/>
    <w:rsid w:val="709F2893"/>
    <w:rsid w:val="709F48AA"/>
    <w:rsid w:val="70A00DEB"/>
    <w:rsid w:val="70A408C8"/>
    <w:rsid w:val="70A628A5"/>
    <w:rsid w:val="70AA0DF2"/>
    <w:rsid w:val="70B07280"/>
    <w:rsid w:val="70B17303"/>
    <w:rsid w:val="70B30B1E"/>
    <w:rsid w:val="70BD199D"/>
    <w:rsid w:val="70C66AA3"/>
    <w:rsid w:val="70CA22A0"/>
    <w:rsid w:val="70D527EE"/>
    <w:rsid w:val="70DC62C7"/>
    <w:rsid w:val="70E13D8A"/>
    <w:rsid w:val="70E32B78"/>
    <w:rsid w:val="70E46EFF"/>
    <w:rsid w:val="70E64A50"/>
    <w:rsid w:val="70EB650A"/>
    <w:rsid w:val="70EE7DA8"/>
    <w:rsid w:val="70FA674D"/>
    <w:rsid w:val="70FE120B"/>
    <w:rsid w:val="71263CB9"/>
    <w:rsid w:val="712D491D"/>
    <w:rsid w:val="71325EE7"/>
    <w:rsid w:val="713C0BF3"/>
    <w:rsid w:val="71437E38"/>
    <w:rsid w:val="714B2083"/>
    <w:rsid w:val="7150636D"/>
    <w:rsid w:val="71597917"/>
    <w:rsid w:val="715B5300"/>
    <w:rsid w:val="715C2949"/>
    <w:rsid w:val="716E41D1"/>
    <w:rsid w:val="71794BBE"/>
    <w:rsid w:val="717E5165"/>
    <w:rsid w:val="717E737E"/>
    <w:rsid w:val="71863563"/>
    <w:rsid w:val="719601A3"/>
    <w:rsid w:val="719646C8"/>
    <w:rsid w:val="71997D14"/>
    <w:rsid w:val="719E1F10"/>
    <w:rsid w:val="71A22550"/>
    <w:rsid w:val="71A737E4"/>
    <w:rsid w:val="71AB5C99"/>
    <w:rsid w:val="71B876C7"/>
    <w:rsid w:val="71BE518B"/>
    <w:rsid w:val="71CC7F1B"/>
    <w:rsid w:val="71CF1988"/>
    <w:rsid w:val="71D065E1"/>
    <w:rsid w:val="71D276C4"/>
    <w:rsid w:val="71D27F8A"/>
    <w:rsid w:val="71DF2938"/>
    <w:rsid w:val="71E04502"/>
    <w:rsid w:val="71E74F23"/>
    <w:rsid w:val="72046C38"/>
    <w:rsid w:val="72077373"/>
    <w:rsid w:val="72080E01"/>
    <w:rsid w:val="72081252"/>
    <w:rsid w:val="72084E9A"/>
    <w:rsid w:val="7214383E"/>
    <w:rsid w:val="72243CE3"/>
    <w:rsid w:val="72264127"/>
    <w:rsid w:val="72272B5E"/>
    <w:rsid w:val="72282262"/>
    <w:rsid w:val="72287836"/>
    <w:rsid w:val="7229553C"/>
    <w:rsid w:val="722D1C75"/>
    <w:rsid w:val="72441905"/>
    <w:rsid w:val="724E69A2"/>
    <w:rsid w:val="72553024"/>
    <w:rsid w:val="7262544B"/>
    <w:rsid w:val="726C5429"/>
    <w:rsid w:val="726C5969"/>
    <w:rsid w:val="726C7228"/>
    <w:rsid w:val="72734BAD"/>
    <w:rsid w:val="727B2686"/>
    <w:rsid w:val="727E69BE"/>
    <w:rsid w:val="727F3840"/>
    <w:rsid w:val="72824C4C"/>
    <w:rsid w:val="728704B4"/>
    <w:rsid w:val="72892BC7"/>
    <w:rsid w:val="72944B4C"/>
    <w:rsid w:val="72966C68"/>
    <w:rsid w:val="7297294F"/>
    <w:rsid w:val="729D5DF1"/>
    <w:rsid w:val="729E7A5E"/>
    <w:rsid w:val="72AC4516"/>
    <w:rsid w:val="72B34F40"/>
    <w:rsid w:val="72BA5BBD"/>
    <w:rsid w:val="72C04D9D"/>
    <w:rsid w:val="72C15774"/>
    <w:rsid w:val="72C73AD6"/>
    <w:rsid w:val="72C94956"/>
    <w:rsid w:val="72CF66BC"/>
    <w:rsid w:val="72D305D9"/>
    <w:rsid w:val="72D82ABE"/>
    <w:rsid w:val="72DA05E4"/>
    <w:rsid w:val="72DB610A"/>
    <w:rsid w:val="72E421C6"/>
    <w:rsid w:val="72ED47BB"/>
    <w:rsid w:val="72F13B62"/>
    <w:rsid w:val="72F6585E"/>
    <w:rsid w:val="72F80E64"/>
    <w:rsid w:val="72FD7CE3"/>
    <w:rsid w:val="73025D8D"/>
    <w:rsid w:val="73034158"/>
    <w:rsid w:val="730C7ECF"/>
    <w:rsid w:val="730E028E"/>
    <w:rsid w:val="730E6926"/>
    <w:rsid w:val="73122968"/>
    <w:rsid w:val="7315161C"/>
    <w:rsid w:val="731529C8"/>
    <w:rsid w:val="73156A8C"/>
    <w:rsid w:val="731A4E85"/>
    <w:rsid w:val="731B1A14"/>
    <w:rsid w:val="731F5D5E"/>
    <w:rsid w:val="7327134F"/>
    <w:rsid w:val="732B1E4E"/>
    <w:rsid w:val="733F2B3D"/>
    <w:rsid w:val="73467A28"/>
    <w:rsid w:val="734A25E8"/>
    <w:rsid w:val="73552361"/>
    <w:rsid w:val="735C6B15"/>
    <w:rsid w:val="735E370F"/>
    <w:rsid w:val="73612AB3"/>
    <w:rsid w:val="73823ECB"/>
    <w:rsid w:val="73840550"/>
    <w:rsid w:val="73922C6D"/>
    <w:rsid w:val="739755D2"/>
    <w:rsid w:val="739C1D3D"/>
    <w:rsid w:val="73B76B77"/>
    <w:rsid w:val="73B800DD"/>
    <w:rsid w:val="73C51AD5"/>
    <w:rsid w:val="73D512DF"/>
    <w:rsid w:val="73D56A03"/>
    <w:rsid w:val="73D802A1"/>
    <w:rsid w:val="73F81D9D"/>
    <w:rsid w:val="740235EF"/>
    <w:rsid w:val="74076312"/>
    <w:rsid w:val="741716FF"/>
    <w:rsid w:val="741E793C"/>
    <w:rsid w:val="741F0326"/>
    <w:rsid w:val="7423420D"/>
    <w:rsid w:val="743E50DD"/>
    <w:rsid w:val="74463A57"/>
    <w:rsid w:val="744F5002"/>
    <w:rsid w:val="74505387"/>
    <w:rsid w:val="74512B28"/>
    <w:rsid w:val="74534249"/>
    <w:rsid w:val="74542618"/>
    <w:rsid w:val="74566390"/>
    <w:rsid w:val="745E3944"/>
    <w:rsid w:val="746242BC"/>
    <w:rsid w:val="748A428C"/>
    <w:rsid w:val="74975C19"/>
    <w:rsid w:val="74AC5FB0"/>
    <w:rsid w:val="74B351A8"/>
    <w:rsid w:val="74CA4688"/>
    <w:rsid w:val="74D6127F"/>
    <w:rsid w:val="74D65E5E"/>
    <w:rsid w:val="74DD5F11"/>
    <w:rsid w:val="74E9064B"/>
    <w:rsid w:val="74F00593"/>
    <w:rsid w:val="7501454E"/>
    <w:rsid w:val="75026274"/>
    <w:rsid w:val="751C4038"/>
    <w:rsid w:val="752E2E69"/>
    <w:rsid w:val="753606CB"/>
    <w:rsid w:val="7536669F"/>
    <w:rsid w:val="75463129"/>
    <w:rsid w:val="75483099"/>
    <w:rsid w:val="7549409D"/>
    <w:rsid w:val="755723C0"/>
    <w:rsid w:val="75581C94"/>
    <w:rsid w:val="755C0BB7"/>
    <w:rsid w:val="755F2B15"/>
    <w:rsid w:val="75667C5E"/>
    <w:rsid w:val="75677CFC"/>
    <w:rsid w:val="75812F99"/>
    <w:rsid w:val="75867019"/>
    <w:rsid w:val="75894543"/>
    <w:rsid w:val="75A25616"/>
    <w:rsid w:val="75A4502A"/>
    <w:rsid w:val="75B06567"/>
    <w:rsid w:val="75B84CEB"/>
    <w:rsid w:val="75BB6B8A"/>
    <w:rsid w:val="75BE4715"/>
    <w:rsid w:val="75CB24B4"/>
    <w:rsid w:val="75CE5B1D"/>
    <w:rsid w:val="75D03F04"/>
    <w:rsid w:val="75DE5A1A"/>
    <w:rsid w:val="75E6724E"/>
    <w:rsid w:val="76032465"/>
    <w:rsid w:val="76215762"/>
    <w:rsid w:val="762B2F49"/>
    <w:rsid w:val="762D4ECF"/>
    <w:rsid w:val="762F0E3B"/>
    <w:rsid w:val="763005C4"/>
    <w:rsid w:val="7635099D"/>
    <w:rsid w:val="76377AFB"/>
    <w:rsid w:val="7642033F"/>
    <w:rsid w:val="764412BA"/>
    <w:rsid w:val="76515061"/>
    <w:rsid w:val="76544B51"/>
    <w:rsid w:val="765863F0"/>
    <w:rsid w:val="765A35D1"/>
    <w:rsid w:val="765F224D"/>
    <w:rsid w:val="76917410"/>
    <w:rsid w:val="769253C1"/>
    <w:rsid w:val="76AF3B36"/>
    <w:rsid w:val="76B16769"/>
    <w:rsid w:val="76B97A88"/>
    <w:rsid w:val="76D01337"/>
    <w:rsid w:val="76D812DE"/>
    <w:rsid w:val="76EA5000"/>
    <w:rsid w:val="76EC08E6"/>
    <w:rsid w:val="76F000EE"/>
    <w:rsid w:val="76FB59C6"/>
    <w:rsid w:val="77020109"/>
    <w:rsid w:val="77060137"/>
    <w:rsid w:val="770B219A"/>
    <w:rsid w:val="77110F15"/>
    <w:rsid w:val="7711657D"/>
    <w:rsid w:val="77133466"/>
    <w:rsid w:val="772054B7"/>
    <w:rsid w:val="7726029C"/>
    <w:rsid w:val="772C5186"/>
    <w:rsid w:val="77352BFE"/>
    <w:rsid w:val="773A5AF5"/>
    <w:rsid w:val="7746425A"/>
    <w:rsid w:val="774C5953"/>
    <w:rsid w:val="774C75D7"/>
    <w:rsid w:val="77665C79"/>
    <w:rsid w:val="776D6665"/>
    <w:rsid w:val="777022BA"/>
    <w:rsid w:val="77762421"/>
    <w:rsid w:val="777668B4"/>
    <w:rsid w:val="7782124A"/>
    <w:rsid w:val="77821AEF"/>
    <w:rsid w:val="778B3A75"/>
    <w:rsid w:val="779234C6"/>
    <w:rsid w:val="77925931"/>
    <w:rsid w:val="779F608B"/>
    <w:rsid w:val="77A0185F"/>
    <w:rsid w:val="77A44B9E"/>
    <w:rsid w:val="77A92C7B"/>
    <w:rsid w:val="77B05DB7"/>
    <w:rsid w:val="77B56B1F"/>
    <w:rsid w:val="77C33D3D"/>
    <w:rsid w:val="77CF26E1"/>
    <w:rsid w:val="77E839E4"/>
    <w:rsid w:val="77F43EF6"/>
    <w:rsid w:val="780305DD"/>
    <w:rsid w:val="780D6C5D"/>
    <w:rsid w:val="780F09F4"/>
    <w:rsid w:val="781A446B"/>
    <w:rsid w:val="781C0719"/>
    <w:rsid w:val="781D07A0"/>
    <w:rsid w:val="78224565"/>
    <w:rsid w:val="7829648F"/>
    <w:rsid w:val="783562BD"/>
    <w:rsid w:val="78460399"/>
    <w:rsid w:val="784B51D3"/>
    <w:rsid w:val="786C34E9"/>
    <w:rsid w:val="78782D79"/>
    <w:rsid w:val="78866B18"/>
    <w:rsid w:val="78896EF0"/>
    <w:rsid w:val="788A0834"/>
    <w:rsid w:val="789260CA"/>
    <w:rsid w:val="78A27DF6"/>
    <w:rsid w:val="78A32D0B"/>
    <w:rsid w:val="78A90480"/>
    <w:rsid w:val="78C86B1C"/>
    <w:rsid w:val="78CC3620"/>
    <w:rsid w:val="78F06BB2"/>
    <w:rsid w:val="78F51364"/>
    <w:rsid w:val="78F61EF0"/>
    <w:rsid w:val="79073DA6"/>
    <w:rsid w:val="79102FB2"/>
    <w:rsid w:val="7914531E"/>
    <w:rsid w:val="792A3F9A"/>
    <w:rsid w:val="79343296"/>
    <w:rsid w:val="793C3CB2"/>
    <w:rsid w:val="79442C5B"/>
    <w:rsid w:val="79464C25"/>
    <w:rsid w:val="7947274B"/>
    <w:rsid w:val="795E6B13"/>
    <w:rsid w:val="795F169C"/>
    <w:rsid w:val="79610156"/>
    <w:rsid w:val="79614F0B"/>
    <w:rsid w:val="796D12BC"/>
    <w:rsid w:val="79975481"/>
    <w:rsid w:val="799E2160"/>
    <w:rsid w:val="79BC5C1C"/>
    <w:rsid w:val="79CF6CBD"/>
    <w:rsid w:val="79D0629D"/>
    <w:rsid w:val="79D258F0"/>
    <w:rsid w:val="79D44D3D"/>
    <w:rsid w:val="79D745FF"/>
    <w:rsid w:val="79D86B8E"/>
    <w:rsid w:val="79DC0F2B"/>
    <w:rsid w:val="79E82189"/>
    <w:rsid w:val="79FB2265"/>
    <w:rsid w:val="7A03546E"/>
    <w:rsid w:val="7A067F0C"/>
    <w:rsid w:val="7A290AB6"/>
    <w:rsid w:val="7A364017"/>
    <w:rsid w:val="7A4968AB"/>
    <w:rsid w:val="7A5731A8"/>
    <w:rsid w:val="7A585845"/>
    <w:rsid w:val="7A5C68AA"/>
    <w:rsid w:val="7A5D0673"/>
    <w:rsid w:val="7A6A04A0"/>
    <w:rsid w:val="7A7F5248"/>
    <w:rsid w:val="7A803BE4"/>
    <w:rsid w:val="7A8265E1"/>
    <w:rsid w:val="7A8863D5"/>
    <w:rsid w:val="7A8A0B42"/>
    <w:rsid w:val="7A9159FA"/>
    <w:rsid w:val="7AAC0901"/>
    <w:rsid w:val="7AB20098"/>
    <w:rsid w:val="7ABF6FEF"/>
    <w:rsid w:val="7ACC115A"/>
    <w:rsid w:val="7ACD6C80"/>
    <w:rsid w:val="7ADD5115"/>
    <w:rsid w:val="7AF16E13"/>
    <w:rsid w:val="7AF4420D"/>
    <w:rsid w:val="7AF64429"/>
    <w:rsid w:val="7AF910BD"/>
    <w:rsid w:val="7AFD18AC"/>
    <w:rsid w:val="7B0408F4"/>
    <w:rsid w:val="7B0816F7"/>
    <w:rsid w:val="7B091CEE"/>
    <w:rsid w:val="7B147078"/>
    <w:rsid w:val="7B2524AF"/>
    <w:rsid w:val="7B2E453D"/>
    <w:rsid w:val="7B2F105B"/>
    <w:rsid w:val="7B36052E"/>
    <w:rsid w:val="7B4D3C62"/>
    <w:rsid w:val="7B523435"/>
    <w:rsid w:val="7B5F49A4"/>
    <w:rsid w:val="7B613075"/>
    <w:rsid w:val="7B686D42"/>
    <w:rsid w:val="7B6A2721"/>
    <w:rsid w:val="7B6E3F3E"/>
    <w:rsid w:val="7B841746"/>
    <w:rsid w:val="7B872369"/>
    <w:rsid w:val="7B9C6D8F"/>
    <w:rsid w:val="7B9D3C3F"/>
    <w:rsid w:val="7BA3331B"/>
    <w:rsid w:val="7BA37F1B"/>
    <w:rsid w:val="7BB75966"/>
    <w:rsid w:val="7BCF674F"/>
    <w:rsid w:val="7BD519B1"/>
    <w:rsid w:val="7BE4736D"/>
    <w:rsid w:val="7BE5404A"/>
    <w:rsid w:val="7BEF6CB9"/>
    <w:rsid w:val="7BF32717"/>
    <w:rsid w:val="7BF83D00"/>
    <w:rsid w:val="7BFC5A6F"/>
    <w:rsid w:val="7BFC7D99"/>
    <w:rsid w:val="7BFE53B6"/>
    <w:rsid w:val="7C016BE2"/>
    <w:rsid w:val="7C02295A"/>
    <w:rsid w:val="7C0526B8"/>
    <w:rsid w:val="7C0A6A36"/>
    <w:rsid w:val="7C0F22E4"/>
    <w:rsid w:val="7C1728A9"/>
    <w:rsid w:val="7C256A90"/>
    <w:rsid w:val="7C29438A"/>
    <w:rsid w:val="7C2C62F2"/>
    <w:rsid w:val="7C32323F"/>
    <w:rsid w:val="7C34248C"/>
    <w:rsid w:val="7C357264"/>
    <w:rsid w:val="7C372976"/>
    <w:rsid w:val="7C68003A"/>
    <w:rsid w:val="7C6B04FF"/>
    <w:rsid w:val="7C6B6751"/>
    <w:rsid w:val="7C6C5AC7"/>
    <w:rsid w:val="7C6D4277"/>
    <w:rsid w:val="7C752BCD"/>
    <w:rsid w:val="7C780C46"/>
    <w:rsid w:val="7CAB0325"/>
    <w:rsid w:val="7CC400C6"/>
    <w:rsid w:val="7CC6544B"/>
    <w:rsid w:val="7CC7347F"/>
    <w:rsid w:val="7CD27020"/>
    <w:rsid w:val="7CD5683A"/>
    <w:rsid w:val="7CE42970"/>
    <w:rsid w:val="7CEF1130"/>
    <w:rsid w:val="7CF14EA8"/>
    <w:rsid w:val="7D0239FF"/>
    <w:rsid w:val="7D096B1B"/>
    <w:rsid w:val="7D0D233E"/>
    <w:rsid w:val="7D0E34DE"/>
    <w:rsid w:val="7D143A84"/>
    <w:rsid w:val="7D191913"/>
    <w:rsid w:val="7D1F62F1"/>
    <w:rsid w:val="7D2B7798"/>
    <w:rsid w:val="7D397FE0"/>
    <w:rsid w:val="7D3D633F"/>
    <w:rsid w:val="7D3E4DCA"/>
    <w:rsid w:val="7D4A45B8"/>
    <w:rsid w:val="7D4C6582"/>
    <w:rsid w:val="7D557286"/>
    <w:rsid w:val="7D5E40CD"/>
    <w:rsid w:val="7D5F6DCD"/>
    <w:rsid w:val="7D6257E2"/>
    <w:rsid w:val="7D637428"/>
    <w:rsid w:val="7D697134"/>
    <w:rsid w:val="7D6F784A"/>
    <w:rsid w:val="7D755AD9"/>
    <w:rsid w:val="7D7C4C97"/>
    <w:rsid w:val="7DA023D2"/>
    <w:rsid w:val="7DA52DC3"/>
    <w:rsid w:val="7DBD7803"/>
    <w:rsid w:val="7DCA28D7"/>
    <w:rsid w:val="7DCD56F2"/>
    <w:rsid w:val="7DD65A11"/>
    <w:rsid w:val="7DDC406E"/>
    <w:rsid w:val="7DE762AB"/>
    <w:rsid w:val="7DE85257"/>
    <w:rsid w:val="7DEC1126"/>
    <w:rsid w:val="7DF02678"/>
    <w:rsid w:val="7DFD3B40"/>
    <w:rsid w:val="7E000A2B"/>
    <w:rsid w:val="7E023B1F"/>
    <w:rsid w:val="7E133FFB"/>
    <w:rsid w:val="7E140A30"/>
    <w:rsid w:val="7E1617C1"/>
    <w:rsid w:val="7E162D9E"/>
    <w:rsid w:val="7E2D48F7"/>
    <w:rsid w:val="7E374868"/>
    <w:rsid w:val="7E3C2153"/>
    <w:rsid w:val="7E3E0756"/>
    <w:rsid w:val="7E421789"/>
    <w:rsid w:val="7E4D5EDF"/>
    <w:rsid w:val="7E5356EF"/>
    <w:rsid w:val="7E63541B"/>
    <w:rsid w:val="7E6C17AC"/>
    <w:rsid w:val="7E9A6AEE"/>
    <w:rsid w:val="7E9D7975"/>
    <w:rsid w:val="7E9F542B"/>
    <w:rsid w:val="7EB9429C"/>
    <w:rsid w:val="7EBE4C6A"/>
    <w:rsid w:val="7EC21D1F"/>
    <w:rsid w:val="7ED82952"/>
    <w:rsid w:val="7EDD4593"/>
    <w:rsid w:val="7EDE320A"/>
    <w:rsid w:val="7EF21A17"/>
    <w:rsid w:val="7EF61F5F"/>
    <w:rsid w:val="7EFF5267"/>
    <w:rsid w:val="7F001CE7"/>
    <w:rsid w:val="7F01339C"/>
    <w:rsid w:val="7F0D7634"/>
    <w:rsid w:val="7F181C41"/>
    <w:rsid w:val="7F1906E6"/>
    <w:rsid w:val="7F21759B"/>
    <w:rsid w:val="7F2C21C7"/>
    <w:rsid w:val="7F3945FE"/>
    <w:rsid w:val="7F3B5839"/>
    <w:rsid w:val="7F441D1B"/>
    <w:rsid w:val="7F450A78"/>
    <w:rsid w:val="7F463BFE"/>
    <w:rsid w:val="7F4B387D"/>
    <w:rsid w:val="7F4C461E"/>
    <w:rsid w:val="7F4E05F7"/>
    <w:rsid w:val="7F5B391B"/>
    <w:rsid w:val="7F64384B"/>
    <w:rsid w:val="7F6E55F0"/>
    <w:rsid w:val="7F722E84"/>
    <w:rsid w:val="7F806779"/>
    <w:rsid w:val="7F8E4C30"/>
    <w:rsid w:val="7F8F1536"/>
    <w:rsid w:val="7F9B734D"/>
    <w:rsid w:val="7FA426A6"/>
    <w:rsid w:val="7FAB6D51"/>
    <w:rsid w:val="7FAC155A"/>
    <w:rsid w:val="7FAF1ED9"/>
    <w:rsid w:val="7FBB1BD1"/>
    <w:rsid w:val="7FBB248D"/>
    <w:rsid w:val="7FC9774D"/>
    <w:rsid w:val="7FD27E44"/>
    <w:rsid w:val="7FE47E50"/>
    <w:rsid w:val="7FF17D45"/>
    <w:rsid w:val="7FFA0518"/>
    <w:rsid w:val="7FFF39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qFormat="1" w:uiPriority="99"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uiPriority w:val="99"/>
    <w:pPr>
      <w:keepNext/>
      <w:snapToGrid w:val="0"/>
      <w:outlineLvl w:val="1"/>
    </w:pPr>
    <w:rPr>
      <w:sz w:val="28"/>
    </w:rPr>
  </w:style>
  <w:style w:type="paragraph" w:styleId="4">
    <w:name w:val="heading 3"/>
    <w:basedOn w:val="1"/>
    <w:next w:val="1"/>
    <w:qFormat/>
    <w:uiPriority w:val="99"/>
    <w:pPr>
      <w:keepNext/>
      <w:keepLines/>
      <w:spacing w:before="260" w:after="260" w:line="416" w:lineRule="auto"/>
      <w:outlineLvl w:val="2"/>
    </w:pPr>
    <w:rPr>
      <w:b/>
      <w:bCs/>
      <w:sz w:val="32"/>
      <w:szCs w:val="32"/>
    </w:rPr>
  </w:style>
  <w:style w:type="paragraph" w:styleId="5">
    <w:name w:val="heading 4"/>
    <w:basedOn w:val="1"/>
    <w:next w:val="6"/>
    <w:autoRedefine/>
    <w:qFormat/>
    <w:uiPriority w:val="0"/>
    <w:pPr>
      <w:keepNext/>
      <w:keepLines/>
      <w:spacing w:before="280" w:beforeLines="0" w:after="290" w:afterLines="0" w:line="376" w:lineRule="auto"/>
      <w:outlineLvl w:val="3"/>
    </w:pPr>
    <w:rPr>
      <w:rFonts w:ascii="Arial" w:hAnsi="Arial" w:eastAsia="黑体"/>
      <w:b/>
      <w:bCs/>
      <w:sz w:val="28"/>
      <w:szCs w:val="28"/>
    </w:rPr>
  </w:style>
  <w:style w:type="character" w:default="1" w:styleId="34">
    <w:name w:val="Default Paragraph Font"/>
    <w:autoRedefine/>
    <w:semiHidden/>
    <w:unhideWhenUsed/>
    <w:qFormat/>
    <w:uiPriority w:val="1"/>
  </w:style>
  <w:style w:type="table" w:default="1" w:styleId="32">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next w:val="7"/>
    <w:link w:val="97"/>
    <w:qFormat/>
    <w:uiPriority w:val="99"/>
    <w:pPr>
      <w:spacing w:line="360" w:lineRule="auto"/>
      <w:ind w:firstLine="420"/>
    </w:pPr>
  </w:style>
  <w:style w:type="paragraph" w:styleId="7">
    <w:name w:val="Body Text First Indent 2"/>
    <w:basedOn w:val="8"/>
    <w:next w:val="1"/>
    <w:qFormat/>
    <w:uiPriority w:val="99"/>
    <w:pPr>
      <w:ind w:firstLine="420" w:firstLineChars="200"/>
    </w:pPr>
  </w:style>
  <w:style w:type="paragraph" w:styleId="8">
    <w:name w:val="Body Text Indent"/>
    <w:basedOn w:val="1"/>
    <w:next w:val="1"/>
    <w:link w:val="44"/>
    <w:qFormat/>
    <w:uiPriority w:val="0"/>
    <w:pPr>
      <w:spacing w:after="120"/>
      <w:ind w:left="420" w:leftChars="200"/>
    </w:pPr>
    <w:rPr>
      <w:kern w:val="0"/>
      <w:sz w:val="24"/>
      <w:szCs w:val="20"/>
    </w:rPr>
  </w:style>
  <w:style w:type="paragraph" w:styleId="9">
    <w:name w:val="List 3"/>
    <w:basedOn w:val="1"/>
    <w:next w:val="1"/>
    <w:qFormat/>
    <w:uiPriority w:val="0"/>
    <w:pPr>
      <w:ind w:left="100" w:leftChars="400" w:hanging="200" w:hangingChars="200"/>
    </w:pPr>
  </w:style>
  <w:style w:type="paragraph" w:styleId="10">
    <w:name w:val="toa heading"/>
    <w:basedOn w:val="1"/>
    <w:next w:val="1"/>
    <w:autoRedefine/>
    <w:qFormat/>
    <w:uiPriority w:val="0"/>
    <w:pPr>
      <w:spacing w:before="120" w:after="120"/>
      <w:jc w:val="left"/>
    </w:pPr>
    <w:rPr>
      <w:u w:val="single"/>
    </w:rPr>
  </w:style>
  <w:style w:type="paragraph" w:styleId="11">
    <w:name w:val="annotation text"/>
    <w:basedOn w:val="1"/>
    <w:link w:val="45"/>
    <w:autoRedefine/>
    <w:semiHidden/>
    <w:qFormat/>
    <w:uiPriority w:val="0"/>
    <w:pPr>
      <w:jc w:val="left"/>
    </w:pPr>
    <w:rPr>
      <w:kern w:val="0"/>
      <w:sz w:val="24"/>
      <w:szCs w:val="20"/>
    </w:rPr>
  </w:style>
  <w:style w:type="paragraph" w:styleId="12">
    <w:name w:val="Salutation"/>
    <w:basedOn w:val="1"/>
    <w:next w:val="1"/>
    <w:autoRedefine/>
    <w:qFormat/>
    <w:uiPriority w:val="0"/>
  </w:style>
  <w:style w:type="paragraph" w:styleId="13">
    <w:name w:val="Body Text 3"/>
    <w:basedOn w:val="1"/>
    <w:next w:val="1"/>
    <w:qFormat/>
    <w:uiPriority w:val="0"/>
    <w:pPr>
      <w:spacing w:after="120"/>
    </w:pPr>
    <w:rPr>
      <w:sz w:val="16"/>
      <w:szCs w:val="16"/>
    </w:rPr>
  </w:style>
  <w:style w:type="paragraph" w:styleId="14">
    <w:name w:val="Body Text"/>
    <w:basedOn w:val="1"/>
    <w:link w:val="46"/>
    <w:autoRedefine/>
    <w:qFormat/>
    <w:uiPriority w:val="0"/>
    <w:pPr>
      <w:widowControl/>
      <w:snapToGrid w:val="0"/>
      <w:spacing w:before="60" w:after="160" w:line="259" w:lineRule="auto"/>
      <w:ind w:right="113"/>
    </w:pPr>
    <w:rPr>
      <w:kern w:val="0"/>
      <w:sz w:val="18"/>
      <w:szCs w:val="20"/>
    </w:rPr>
  </w:style>
  <w:style w:type="paragraph" w:styleId="15">
    <w:name w:val="Block Text"/>
    <w:basedOn w:val="1"/>
    <w:autoRedefine/>
    <w:unhideWhenUsed/>
    <w:qFormat/>
    <w:uiPriority w:val="99"/>
    <w:pPr>
      <w:spacing w:line="360" w:lineRule="auto"/>
    </w:pPr>
  </w:style>
  <w:style w:type="paragraph" w:styleId="16">
    <w:name w:val="toc 3"/>
    <w:basedOn w:val="1"/>
    <w:next w:val="1"/>
    <w:qFormat/>
    <w:uiPriority w:val="0"/>
    <w:pPr>
      <w:ind w:left="560"/>
    </w:pPr>
    <w:rPr>
      <w:i/>
      <w:iCs/>
      <w:sz w:val="20"/>
    </w:rPr>
  </w:style>
  <w:style w:type="paragraph" w:styleId="17">
    <w:name w:val="Plain Text"/>
    <w:basedOn w:val="1"/>
    <w:next w:val="1"/>
    <w:autoRedefine/>
    <w:qFormat/>
    <w:uiPriority w:val="99"/>
    <w:rPr>
      <w:rFonts w:hAnsi="Courier New" w:cs="Courier New"/>
      <w:szCs w:val="21"/>
    </w:rPr>
  </w:style>
  <w:style w:type="paragraph" w:styleId="18">
    <w:name w:val="toc 8"/>
    <w:basedOn w:val="1"/>
    <w:next w:val="1"/>
    <w:autoRedefine/>
    <w:qFormat/>
    <w:uiPriority w:val="0"/>
    <w:pPr>
      <w:ind w:left="1470"/>
      <w:jc w:val="left"/>
    </w:pPr>
    <w:rPr>
      <w:sz w:val="18"/>
      <w:szCs w:val="18"/>
    </w:rPr>
  </w:style>
  <w:style w:type="paragraph" w:styleId="19">
    <w:name w:val="Date"/>
    <w:basedOn w:val="1"/>
    <w:next w:val="1"/>
    <w:link w:val="47"/>
    <w:autoRedefine/>
    <w:qFormat/>
    <w:uiPriority w:val="0"/>
    <w:pPr>
      <w:ind w:left="100" w:leftChars="2500"/>
    </w:pPr>
    <w:rPr>
      <w:kern w:val="0"/>
      <w:sz w:val="24"/>
      <w:szCs w:val="20"/>
    </w:rPr>
  </w:style>
  <w:style w:type="paragraph" w:styleId="20">
    <w:name w:val="Body Text Indent 2"/>
    <w:basedOn w:val="1"/>
    <w:next w:val="10"/>
    <w:autoRedefine/>
    <w:qFormat/>
    <w:uiPriority w:val="0"/>
    <w:pPr>
      <w:spacing w:after="120" w:afterLines="0" w:line="480" w:lineRule="auto"/>
      <w:ind w:left="420" w:leftChars="200"/>
    </w:pPr>
    <w:rPr>
      <w:spacing w:val="0"/>
      <w:kern w:val="2"/>
      <w:sz w:val="21"/>
      <w:szCs w:val="24"/>
    </w:rPr>
  </w:style>
  <w:style w:type="paragraph" w:styleId="21">
    <w:name w:val="Balloon Text"/>
    <w:basedOn w:val="1"/>
    <w:link w:val="48"/>
    <w:semiHidden/>
    <w:qFormat/>
    <w:uiPriority w:val="0"/>
    <w:rPr>
      <w:kern w:val="0"/>
      <w:sz w:val="18"/>
      <w:szCs w:val="20"/>
    </w:rPr>
  </w:style>
  <w:style w:type="paragraph" w:styleId="22">
    <w:name w:val="footer"/>
    <w:basedOn w:val="1"/>
    <w:link w:val="49"/>
    <w:autoRedefine/>
    <w:qFormat/>
    <w:uiPriority w:val="99"/>
    <w:pPr>
      <w:tabs>
        <w:tab w:val="center" w:pos="4153"/>
        <w:tab w:val="right" w:pos="8306"/>
      </w:tabs>
      <w:snapToGrid w:val="0"/>
      <w:jc w:val="left"/>
    </w:pPr>
    <w:rPr>
      <w:kern w:val="0"/>
      <w:sz w:val="18"/>
      <w:szCs w:val="20"/>
    </w:rPr>
  </w:style>
  <w:style w:type="paragraph" w:styleId="23">
    <w:name w:val="header"/>
    <w:basedOn w:val="1"/>
    <w:link w:val="50"/>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24">
    <w:name w:val="toc 1"/>
    <w:basedOn w:val="1"/>
    <w:next w:val="1"/>
    <w:autoRedefine/>
    <w:qFormat/>
    <w:uiPriority w:val="39"/>
    <w:pPr>
      <w:spacing w:before="120" w:after="120"/>
      <w:jc w:val="left"/>
    </w:pPr>
    <w:rPr>
      <w:b/>
      <w:bCs/>
      <w:caps/>
      <w:sz w:val="20"/>
      <w:szCs w:val="20"/>
    </w:rPr>
  </w:style>
  <w:style w:type="paragraph" w:styleId="25">
    <w:name w:val="List"/>
    <w:basedOn w:val="1"/>
    <w:qFormat/>
    <w:uiPriority w:val="0"/>
    <w:pPr>
      <w:widowControl/>
      <w:spacing w:line="440" w:lineRule="exact"/>
      <w:ind w:left="200" w:hanging="200"/>
      <w:jc w:val="left"/>
    </w:pPr>
    <w:rPr>
      <w:kern w:val="0"/>
      <w:sz w:val="24"/>
      <w:szCs w:val="20"/>
    </w:rPr>
  </w:style>
  <w:style w:type="paragraph" w:styleId="26">
    <w:name w:val="table of figures"/>
    <w:basedOn w:val="1"/>
    <w:next w:val="1"/>
    <w:autoRedefine/>
    <w:qFormat/>
    <w:uiPriority w:val="0"/>
  </w:style>
  <w:style w:type="paragraph" w:styleId="27">
    <w:name w:val="toc 2"/>
    <w:basedOn w:val="1"/>
    <w:next w:val="1"/>
    <w:autoRedefine/>
    <w:qFormat/>
    <w:uiPriority w:val="39"/>
    <w:pPr>
      <w:ind w:left="210"/>
    </w:pPr>
    <w:rPr>
      <w:smallCaps/>
      <w:sz w:val="20"/>
      <w:szCs w:val="20"/>
    </w:rPr>
  </w:style>
  <w:style w:type="paragraph" w:styleId="28">
    <w:name w:val="Body Text 2"/>
    <w:basedOn w:val="1"/>
    <w:qFormat/>
    <w:uiPriority w:val="0"/>
    <w:pPr>
      <w:spacing w:afterLines="0" w:afterAutospacing="0" w:line="240" w:lineRule="auto"/>
      <w:jc w:val="center"/>
    </w:pPr>
    <w:rPr>
      <w:rFonts w:eastAsia="宋体"/>
      <w:sz w:val="21"/>
    </w:rPr>
  </w:style>
  <w:style w:type="paragraph" w:styleId="29">
    <w:name w:val="Normal (Web)"/>
    <w:basedOn w:val="1"/>
    <w:next w:val="1"/>
    <w:link w:val="51"/>
    <w:autoRedefine/>
    <w:qFormat/>
    <w:uiPriority w:val="0"/>
    <w:pPr>
      <w:widowControl/>
      <w:spacing w:before="100" w:beforeAutospacing="1" w:after="100" w:afterAutospacing="1"/>
      <w:jc w:val="left"/>
    </w:pPr>
    <w:rPr>
      <w:rFonts w:ascii="宋体" w:hAnsi="宋体"/>
      <w:kern w:val="0"/>
      <w:sz w:val="24"/>
      <w:szCs w:val="20"/>
    </w:rPr>
  </w:style>
  <w:style w:type="paragraph" w:styleId="30">
    <w:name w:val="annotation subject"/>
    <w:basedOn w:val="11"/>
    <w:next w:val="11"/>
    <w:link w:val="52"/>
    <w:semiHidden/>
    <w:qFormat/>
    <w:uiPriority w:val="0"/>
    <w:rPr>
      <w:b/>
    </w:rPr>
  </w:style>
  <w:style w:type="paragraph" w:styleId="31">
    <w:name w:val="Body Text First Indent"/>
    <w:basedOn w:val="14"/>
    <w:autoRedefine/>
    <w:qFormat/>
    <w:uiPriority w:val="99"/>
    <w:pPr>
      <w:spacing w:line="440" w:lineRule="exact"/>
      <w:ind w:firstLine="504"/>
    </w:pPr>
    <w:rPr>
      <w:spacing w:val="6"/>
    </w:rPr>
  </w:style>
  <w:style w:type="table" w:styleId="33">
    <w:name w:val="Table Grid"/>
    <w:basedOn w:val="3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basedOn w:val="34"/>
    <w:autoRedefine/>
    <w:qFormat/>
    <w:uiPriority w:val="0"/>
    <w:rPr>
      <w:b/>
    </w:rPr>
  </w:style>
  <w:style w:type="character" w:styleId="36">
    <w:name w:val="page number"/>
    <w:basedOn w:val="34"/>
    <w:autoRedefine/>
    <w:qFormat/>
    <w:uiPriority w:val="0"/>
  </w:style>
  <w:style w:type="character" w:styleId="37">
    <w:name w:val="Hyperlink"/>
    <w:basedOn w:val="34"/>
    <w:qFormat/>
    <w:uiPriority w:val="0"/>
    <w:rPr>
      <w:color w:val="0000FF"/>
      <w:u w:val="none"/>
    </w:rPr>
  </w:style>
  <w:style w:type="character" w:styleId="38">
    <w:name w:val="annotation reference"/>
    <w:basedOn w:val="34"/>
    <w:autoRedefine/>
    <w:semiHidden/>
    <w:qFormat/>
    <w:uiPriority w:val="0"/>
    <w:rPr>
      <w:sz w:val="21"/>
    </w:rPr>
  </w:style>
  <w:style w:type="paragraph" w:customStyle="1" w:styleId="39">
    <w:name w:val="样式5"/>
    <w:basedOn w:val="40"/>
    <w:qFormat/>
    <w:uiPriority w:val="0"/>
    <w:pPr>
      <w:jc w:val="center"/>
    </w:pPr>
  </w:style>
  <w:style w:type="paragraph" w:customStyle="1" w:styleId="40">
    <w:name w:val="样式3"/>
    <w:basedOn w:val="16"/>
    <w:qFormat/>
    <w:uiPriority w:val="0"/>
    <w:pPr>
      <w:snapToGrid w:val="0"/>
      <w:ind w:firstLine="539"/>
      <w:jc w:val="center"/>
    </w:pPr>
    <w:rPr>
      <w:rFonts w:ascii="黑体" w:hAnsi="宋体" w:eastAsia="黑体"/>
      <w:color w:val="000000"/>
    </w:rPr>
  </w:style>
  <w:style w:type="paragraph" w:customStyle="1" w:styleId="41">
    <w:name w:val="style4"/>
    <w:basedOn w:val="1"/>
    <w:next w:val="42"/>
    <w:autoRedefine/>
    <w:qFormat/>
    <w:uiPriority w:val="0"/>
    <w:pPr>
      <w:widowControl/>
      <w:spacing w:before="280" w:after="280"/>
    </w:pPr>
    <w:rPr>
      <w:rFonts w:ascii="宋体"/>
      <w:sz w:val="18"/>
    </w:rPr>
  </w:style>
  <w:style w:type="paragraph" w:customStyle="1" w:styleId="42">
    <w:name w:val="2"/>
    <w:next w:val="1"/>
    <w:autoRedefine/>
    <w:qFormat/>
    <w:uiPriority w:val="0"/>
    <w:pPr>
      <w:widowControl w:val="0"/>
      <w:jc w:val="both"/>
    </w:pPr>
    <w:rPr>
      <w:rFonts w:ascii="Calibri" w:hAnsi="Calibri" w:eastAsia="宋体" w:cs="Times New Roman"/>
      <w:sz w:val="21"/>
      <w:szCs w:val="22"/>
      <w:lang w:val="en-US" w:eastAsia="zh-CN" w:bidi="ar-SA"/>
    </w:rPr>
  </w:style>
  <w:style w:type="paragraph" w:customStyle="1" w:styleId="43">
    <w:name w:val="Default1"/>
    <w:next w:val="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4">
    <w:name w:val="正文文本缩进 字符"/>
    <w:link w:val="8"/>
    <w:autoRedefine/>
    <w:semiHidden/>
    <w:qFormat/>
    <w:uiPriority w:val="0"/>
    <w:rPr>
      <w:rFonts w:ascii="Times New Roman" w:hAnsi="Times New Roman" w:eastAsia="宋体"/>
      <w:sz w:val="24"/>
    </w:rPr>
  </w:style>
  <w:style w:type="character" w:customStyle="1" w:styleId="45">
    <w:name w:val="批注文字 字符"/>
    <w:link w:val="11"/>
    <w:autoRedefine/>
    <w:qFormat/>
    <w:uiPriority w:val="0"/>
    <w:rPr>
      <w:rFonts w:ascii="Times New Roman" w:hAnsi="Times New Roman" w:eastAsia="宋体"/>
      <w:sz w:val="24"/>
    </w:rPr>
  </w:style>
  <w:style w:type="character" w:customStyle="1" w:styleId="46">
    <w:name w:val="正文文本 字符"/>
    <w:link w:val="14"/>
    <w:autoRedefine/>
    <w:qFormat/>
    <w:uiPriority w:val="0"/>
    <w:rPr>
      <w:sz w:val="18"/>
    </w:rPr>
  </w:style>
  <w:style w:type="character" w:customStyle="1" w:styleId="47">
    <w:name w:val="日期 字符1"/>
    <w:link w:val="19"/>
    <w:autoRedefine/>
    <w:qFormat/>
    <w:uiPriority w:val="0"/>
    <w:rPr>
      <w:rFonts w:ascii="Times New Roman" w:hAnsi="Times New Roman" w:eastAsia="宋体"/>
      <w:sz w:val="24"/>
    </w:rPr>
  </w:style>
  <w:style w:type="character" w:customStyle="1" w:styleId="48">
    <w:name w:val="批注框文本 字符"/>
    <w:link w:val="21"/>
    <w:autoRedefine/>
    <w:semiHidden/>
    <w:qFormat/>
    <w:uiPriority w:val="0"/>
    <w:rPr>
      <w:rFonts w:ascii="Times New Roman" w:hAnsi="Times New Roman" w:eastAsia="宋体"/>
      <w:sz w:val="18"/>
    </w:rPr>
  </w:style>
  <w:style w:type="character" w:customStyle="1" w:styleId="49">
    <w:name w:val="页脚 字符1"/>
    <w:link w:val="22"/>
    <w:autoRedefine/>
    <w:qFormat/>
    <w:uiPriority w:val="99"/>
    <w:rPr>
      <w:sz w:val="18"/>
    </w:rPr>
  </w:style>
  <w:style w:type="character" w:customStyle="1" w:styleId="50">
    <w:name w:val="页眉 字符"/>
    <w:link w:val="23"/>
    <w:autoRedefine/>
    <w:qFormat/>
    <w:uiPriority w:val="0"/>
    <w:rPr>
      <w:sz w:val="18"/>
    </w:rPr>
  </w:style>
  <w:style w:type="character" w:customStyle="1" w:styleId="51">
    <w:name w:val="普通(网站) 字符"/>
    <w:link w:val="29"/>
    <w:autoRedefine/>
    <w:qFormat/>
    <w:uiPriority w:val="0"/>
    <w:rPr>
      <w:rFonts w:ascii="宋体" w:hAnsi="宋体" w:eastAsia="宋体"/>
      <w:sz w:val="24"/>
    </w:rPr>
  </w:style>
  <w:style w:type="character" w:customStyle="1" w:styleId="52">
    <w:name w:val="批注主题 字符"/>
    <w:link w:val="30"/>
    <w:autoRedefine/>
    <w:semiHidden/>
    <w:qFormat/>
    <w:uiPriority w:val="0"/>
    <w:rPr>
      <w:rFonts w:ascii="Times New Roman" w:hAnsi="Times New Roman" w:eastAsia="宋体"/>
      <w:b/>
      <w:kern w:val="2"/>
      <w:sz w:val="24"/>
    </w:rPr>
  </w:style>
  <w:style w:type="character" w:customStyle="1" w:styleId="53">
    <w:name w:val="批注文字 字符1"/>
    <w:autoRedefine/>
    <w:semiHidden/>
    <w:qFormat/>
    <w:uiPriority w:val="0"/>
    <w:rPr>
      <w:rFonts w:ascii="Times New Roman" w:hAnsi="Times New Roman" w:eastAsia="宋体"/>
      <w:sz w:val="24"/>
    </w:rPr>
  </w:style>
  <w:style w:type="character" w:customStyle="1" w:styleId="54">
    <w:name w:val="font61"/>
    <w:autoRedefine/>
    <w:qFormat/>
    <w:uiPriority w:val="0"/>
    <w:rPr>
      <w:rFonts w:hint="eastAsia" w:ascii="宋体" w:hAnsi="宋体" w:eastAsia="宋体" w:cs="宋体"/>
      <w:color w:val="000000"/>
      <w:sz w:val="22"/>
      <w:szCs w:val="22"/>
      <w:u w:val="none"/>
    </w:rPr>
  </w:style>
  <w:style w:type="character" w:customStyle="1" w:styleId="55">
    <w:name w:val="日期 字符"/>
    <w:autoRedefine/>
    <w:semiHidden/>
    <w:qFormat/>
    <w:uiPriority w:val="0"/>
    <w:rPr>
      <w:rFonts w:ascii="Times New Roman" w:hAnsi="Times New Roman" w:eastAsia="宋体"/>
      <w:sz w:val="24"/>
    </w:rPr>
  </w:style>
  <w:style w:type="character" w:customStyle="1" w:styleId="56">
    <w:name w:val="表格 Char"/>
    <w:link w:val="57"/>
    <w:autoRedefine/>
    <w:qFormat/>
    <w:uiPriority w:val="0"/>
    <w:rPr>
      <w:rFonts w:ascii="宋体"/>
      <w:sz w:val="21"/>
    </w:rPr>
  </w:style>
  <w:style w:type="paragraph" w:customStyle="1" w:styleId="57">
    <w:name w:val="表格"/>
    <w:basedOn w:val="25"/>
    <w:next w:val="1"/>
    <w:link w:val="56"/>
    <w:autoRedefine/>
    <w:qFormat/>
    <w:uiPriority w:val="0"/>
    <w:pPr>
      <w:adjustRightInd w:val="0"/>
      <w:snapToGrid w:val="0"/>
      <w:spacing w:beforeLines="10" w:afterLines="10" w:line="259" w:lineRule="auto"/>
      <w:jc w:val="center"/>
    </w:pPr>
    <w:rPr>
      <w:rFonts w:ascii="宋体"/>
      <w:kern w:val="0"/>
      <w:szCs w:val="20"/>
    </w:rPr>
  </w:style>
  <w:style w:type="character" w:customStyle="1" w:styleId="58">
    <w:name w:val="font41"/>
    <w:autoRedefine/>
    <w:qFormat/>
    <w:uiPriority w:val="0"/>
    <w:rPr>
      <w:rFonts w:hint="eastAsia" w:ascii="宋体" w:hAnsi="宋体" w:eastAsia="宋体" w:cs="宋体"/>
      <w:color w:val="000000"/>
      <w:sz w:val="22"/>
      <w:szCs w:val="22"/>
      <w:u w:val="none"/>
      <w:vertAlign w:val="superscript"/>
    </w:rPr>
  </w:style>
  <w:style w:type="character" w:customStyle="1" w:styleId="59">
    <w:name w:val="正文文本 字符1"/>
    <w:autoRedefine/>
    <w:semiHidden/>
    <w:qFormat/>
    <w:uiPriority w:val="0"/>
    <w:rPr>
      <w:rFonts w:ascii="Times New Roman" w:hAnsi="Times New Roman" w:eastAsia="宋体"/>
      <w:sz w:val="24"/>
    </w:rPr>
  </w:style>
  <w:style w:type="character" w:customStyle="1" w:styleId="60">
    <w:name w:val="页脚 字符"/>
    <w:basedOn w:val="34"/>
    <w:autoRedefine/>
    <w:qFormat/>
    <w:uiPriority w:val="99"/>
  </w:style>
  <w:style w:type="paragraph" w:styleId="61">
    <w:name w:val="List Paragraph"/>
    <w:basedOn w:val="1"/>
    <w:unhideWhenUsed/>
    <w:qFormat/>
    <w:uiPriority w:val="99"/>
    <w:pPr>
      <w:ind w:firstLine="420" w:firstLineChars="200"/>
    </w:pPr>
  </w:style>
  <w:style w:type="paragraph" w:customStyle="1" w:styleId="62">
    <w:name w:val="样式 五号 居中"/>
    <w:basedOn w:val="1"/>
    <w:autoRedefine/>
    <w:qFormat/>
    <w:uiPriority w:val="0"/>
    <w:pPr>
      <w:spacing w:line="240" w:lineRule="atLeast"/>
      <w:jc w:val="center"/>
    </w:pPr>
    <w:rPr>
      <w:rFonts w:cs="宋体"/>
      <w:szCs w:val="20"/>
    </w:rPr>
  </w:style>
  <w:style w:type="paragraph" w:customStyle="1" w:styleId="63">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64">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5">
    <w:name w:val="列出段落2"/>
    <w:basedOn w:val="1"/>
    <w:autoRedefine/>
    <w:unhideWhenUsed/>
    <w:qFormat/>
    <w:uiPriority w:val="99"/>
    <w:pPr>
      <w:ind w:firstLine="420" w:firstLineChars="200"/>
    </w:pPr>
  </w:style>
  <w:style w:type="paragraph" w:customStyle="1" w:styleId="66">
    <w:name w:val="文"/>
    <w:autoRedefine/>
    <w:qFormat/>
    <w:uiPriority w:val="0"/>
    <w:pPr>
      <w:spacing w:before="30" w:beforeLines="30" w:after="20" w:afterLines="20" w:line="420" w:lineRule="atLeast"/>
      <w:ind w:firstLine="200" w:firstLineChars="200"/>
      <w:jc w:val="both"/>
    </w:pPr>
    <w:rPr>
      <w:rFonts w:ascii="Times New Roman" w:hAnsi="Times New Roman" w:eastAsia="宋体" w:cs="Times New Roman"/>
      <w:bCs/>
      <w:sz w:val="24"/>
      <w:szCs w:val="28"/>
      <w:lang w:val="en-US" w:eastAsia="zh-CN" w:bidi="ar-SA"/>
    </w:rPr>
  </w:style>
  <w:style w:type="paragraph" w:customStyle="1" w:styleId="67">
    <w:name w:val="Default"/>
    <w:basedOn w:val="68"/>
    <w:next w:val="9"/>
    <w:autoRedefine/>
    <w:unhideWhenUsed/>
    <w:qFormat/>
    <w:uiPriority w:val="99"/>
    <w:pPr>
      <w:widowControl w:val="0"/>
      <w:autoSpaceDE w:val="0"/>
      <w:autoSpaceDN w:val="0"/>
    </w:pPr>
    <w:rPr>
      <w:rFonts w:hint="eastAsia" w:ascii="仿宋_GB2312" w:hAnsi="Calibri" w:eastAsia="仿宋_GB2312" w:cs="Times New Roman"/>
      <w:color w:val="000000"/>
      <w:sz w:val="24"/>
      <w:szCs w:val="22"/>
      <w:lang w:val="en-US" w:eastAsia="zh-CN" w:bidi="ar-SA"/>
    </w:rPr>
  </w:style>
  <w:style w:type="paragraph" w:customStyle="1" w:styleId="68">
    <w:name w:val="纯文本1"/>
    <w:basedOn w:val="1"/>
    <w:qFormat/>
    <w:uiPriority w:val="0"/>
    <w:pPr>
      <w:adjustRightInd w:val="0"/>
      <w:jc w:val="center"/>
      <w:textAlignment w:val="baseline"/>
    </w:pPr>
    <w:rPr>
      <w:rFonts w:ascii="宋体" w:hAnsi="Courier New"/>
      <w:snapToGrid w:val="0"/>
      <w:kern w:val="0"/>
      <w:sz w:val="24"/>
    </w:rPr>
  </w:style>
  <w:style w:type="paragraph" w:customStyle="1" w:styleId="69">
    <w:name w:val="album-div"/>
    <w:basedOn w:val="1"/>
    <w:next w:val="70"/>
    <w:qFormat/>
    <w:uiPriority w:val="0"/>
    <w:pPr>
      <w:spacing w:before="280" w:after="280"/>
    </w:pPr>
    <w:rPr>
      <w:sz w:val="24"/>
    </w:rPr>
  </w:style>
  <w:style w:type="paragraph" w:customStyle="1" w:styleId="70">
    <w:name w:val="章节副题"/>
    <w:basedOn w:val="1"/>
    <w:next w:val="13"/>
    <w:qFormat/>
    <w:uiPriority w:val="0"/>
    <w:pPr>
      <w:spacing w:before="360" w:after="360"/>
      <w:jc w:val="center"/>
    </w:pPr>
    <w:rPr>
      <w:rFonts w:ascii="华文中宋"/>
      <w:i/>
      <w:sz w:val="28"/>
    </w:rPr>
  </w:style>
  <w:style w:type="paragraph" w:customStyle="1" w:styleId="71">
    <w:name w:val="样式1"/>
    <w:next w:val="1"/>
    <w:autoRedefine/>
    <w:qFormat/>
    <w:uiPriority w:val="0"/>
    <w:pPr>
      <w:widowControl w:val="0"/>
      <w:spacing w:after="40" w:line="300" w:lineRule="atLeast"/>
      <w:jc w:val="center"/>
      <w:outlineLvl w:val="2"/>
    </w:pPr>
    <w:rPr>
      <w:rFonts w:ascii="Arial" w:hAnsi="Arial" w:eastAsia="楷体_GB2312" w:cs="Arial"/>
      <w:b/>
      <w:bCs/>
      <w:kern w:val="2"/>
      <w:sz w:val="21"/>
      <w:lang w:val="en-US" w:eastAsia="zh-CN" w:bidi="ar-SA"/>
    </w:rPr>
  </w:style>
  <w:style w:type="character" w:customStyle="1" w:styleId="72">
    <w:name w:val="表头 Char"/>
    <w:link w:val="73"/>
    <w:autoRedefine/>
    <w:qFormat/>
    <w:uiPriority w:val="99"/>
    <w:rPr>
      <w:rFonts w:ascii="Times New Roman" w:eastAsia="黑体"/>
    </w:rPr>
  </w:style>
  <w:style w:type="paragraph" w:customStyle="1" w:styleId="73">
    <w:name w:val="表头"/>
    <w:basedOn w:val="1"/>
    <w:next w:val="1"/>
    <w:link w:val="72"/>
    <w:autoRedefine/>
    <w:qFormat/>
    <w:uiPriority w:val="99"/>
    <w:pPr>
      <w:spacing w:line="360" w:lineRule="auto"/>
      <w:ind w:firstLine="300" w:firstLineChars="300"/>
    </w:pPr>
    <w:rPr>
      <w:rFonts w:eastAsia="黑体"/>
    </w:rPr>
  </w:style>
  <w:style w:type="paragraph" w:customStyle="1" w:styleId="74">
    <w:name w:val="HDY正文"/>
    <w:basedOn w:val="1"/>
    <w:autoRedefine/>
    <w:qFormat/>
    <w:uiPriority w:val="99"/>
    <w:pPr>
      <w:widowControl/>
      <w:spacing w:line="360" w:lineRule="auto"/>
      <w:ind w:firstLine="480" w:firstLineChars="200"/>
    </w:pPr>
    <w:rPr>
      <w:szCs w:val="22"/>
    </w:rPr>
  </w:style>
  <w:style w:type="paragraph" w:customStyle="1" w:styleId="75">
    <w:name w:val="样式2"/>
    <w:basedOn w:val="1"/>
    <w:autoRedefine/>
    <w:qFormat/>
    <w:uiPriority w:val="99"/>
    <w:pPr>
      <w:adjustRightInd w:val="0"/>
      <w:snapToGrid w:val="0"/>
      <w:spacing w:line="500" w:lineRule="exact"/>
      <w:ind w:firstLine="539"/>
    </w:pPr>
    <w:rPr>
      <w:rFonts w:eastAsia="仿宋_GB2312"/>
      <w:sz w:val="28"/>
    </w:rPr>
  </w:style>
  <w:style w:type="paragraph" w:customStyle="1" w:styleId="76">
    <w:name w:val="表格3"/>
    <w:autoRedefine/>
    <w:qFormat/>
    <w:uiPriority w:val="0"/>
    <w:pPr>
      <w:spacing w:line="240" w:lineRule="atLeast"/>
      <w:jc w:val="center"/>
    </w:pPr>
    <w:rPr>
      <w:rFonts w:ascii="Calibri" w:hAnsi="Calibri" w:eastAsia="宋体" w:cs="Times New Roman"/>
      <w:kern w:val="2"/>
      <w:sz w:val="21"/>
      <w:szCs w:val="21"/>
      <w:lang w:val="en-US" w:eastAsia="zh-CN" w:bidi="ar-SA"/>
    </w:rPr>
  </w:style>
  <w:style w:type="paragraph" w:customStyle="1" w:styleId="77">
    <w:name w:val="表格内容"/>
    <w:basedOn w:val="1"/>
    <w:autoRedefine/>
    <w:qFormat/>
    <w:uiPriority w:val="0"/>
    <w:pPr>
      <w:overflowPunct w:val="0"/>
      <w:adjustRightInd w:val="0"/>
      <w:spacing w:line="200" w:lineRule="atLeast"/>
      <w:textAlignment w:val="baseline"/>
    </w:pPr>
    <w:rPr>
      <w:rFonts w:ascii="Arial" w:hAnsi="Arial" w:eastAsia="仿宋_GB2312"/>
      <w:kern w:val="0"/>
    </w:rPr>
  </w:style>
  <w:style w:type="paragraph" w:customStyle="1" w:styleId="78">
    <w:name w:val="第一章表标头"/>
    <w:basedOn w:val="1"/>
    <w:autoRedefine/>
    <w:qFormat/>
    <w:uiPriority w:val="0"/>
    <w:pPr>
      <w:numPr>
        <w:ilvl w:val="0"/>
        <w:numId w:val="1"/>
      </w:numPr>
      <w:tabs>
        <w:tab w:val="left" w:pos="360"/>
        <w:tab w:val="left" w:pos="2269"/>
      </w:tabs>
      <w:adjustRightInd w:val="0"/>
      <w:snapToGrid w:val="0"/>
      <w:spacing w:line="480" w:lineRule="exact"/>
      <w:jc w:val="center"/>
    </w:pPr>
    <w:rPr>
      <w:rFonts w:ascii="黑体" w:eastAsia="黑体"/>
      <w:szCs w:val="21"/>
    </w:rPr>
  </w:style>
  <w:style w:type="paragraph" w:customStyle="1" w:styleId="79">
    <w:name w:val="0正文"/>
    <w:basedOn w:val="1"/>
    <w:autoRedefine/>
    <w:qFormat/>
    <w:uiPriority w:val="0"/>
    <w:pPr>
      <w:spacing w:line="360" w:lineRule="auto"/>
      <w:ind w:firstLine="480" w:firstLineChars="200"/>
    </w:pPr>
    <w:rPr>
      <w:rFonts w:ascii="Times New Roman" w:hAnsi="Times New Roman" w:eastAsia="宋体" w:cs="Times New Roman"/>
      <w:color w:val="0000FF"/>
      <w:kern w:val="0"/>
      <w:sz w:val="24"/>
      <w:szCs w:val="24"/>
      <w:lang w:val="zh-CN"/>
    </w:rPr>
  </w:style>
  <w:style w:type="paragraph" w:customStyle="1" w:styleId="80">
    <w:name w:val="表格文字"/>
    <w:basedOn w:val="73"/>
    <w:next w:val="1"/>
    <w:autoRedefine/>
    <w:qFormat/>
    <w:uiPriority w:val="0"/>
    <w:pPr>
      <w:spacing w:line="240" w:lineRule="auto"/>
      <w:ind w:firstLine="0" w:firstLineChars="0"/>
      <w:jc w:val="center"/>
    </w:pPr>
    <w:rPr>
      <w:rFonts w:ascii="Times New Roman" w:hAnsi="Times New Roman"/>
      <w:kern w:val="44"/>
      <w:sz w:val="21"/>
    </w:rPr>
  </w:style>
  <w:style w:type="paragraph" w:customStyle="1" w:styleId="81">
    <w:name w:val="Table Paragraph"/>
    <w:basedOn w:val="1"/>
    <w:autoRedefine/>
    <w:qFormat/>
    <w:uiPriority w:val="1"/>
    <w:pPr>
      <w:widowControl w:val="0"/>
      <w:jc w:val="both"/>
    </w:pPr>
    <w:rPr>
      <w:rFonts w:ascii="宋体" w:hAnsi="宋体" w:cs="宋体"/>
      <w:kern w:val="2"/>
      <w:sz w:val="21"/>
      <w:szCs w:val="24"/>
      <w:lang w:val="zh-CN" w:bidi="zh-CN"/>
    </w:rPr>
  </w:style>
  <w:style w:type="character" w:customStyle="1" w:styleId="82">
    <w:name w:val="font21"/>
    <w:basedOn w:val="34"/>
    <w:autoRedefine/>
    <w:qFormat/>
    <w:uiPriority w:val="0"/>
    <w:rPr>
      <w:rFonts w:hint="default" w:ascii="Calibri" w:hAnsi="Calibri" w:cs="Calibri"/>
      <w:color w:val="000000"/>
      <w:sz w:val="24"/>
      <w:szCs w:val="24"/>
      <w:u w:val="none"/>
    </w:rPr>
  </w:style>
  <w:style w:type="character" w:customStyle="1" w:styleId="83">
    <w:name w:val="font01"/>
    <w:basedOn w:val="34"/>
    <w:autoRedefine/>
    <w:qFormat/>
    <w:uiPriority w:val="0"/>
    <w:rPr>
      <w:rFonts w:hint="eastAsia" w:ascii="宋体" w:hAnsi="宋体" w:eastAsia="宋体" w:cs="宋体"/>
      <w:color w:val="000000"/>
      <w:sz w:val="24"/>
      <w:szCs w:val="24"/>
      <w:u w:val="none"/>
    </w:rPr>
  </w:style>
  <w:style w:type="paragraph" w:customStyle="1" w:styleId="84">
    <w:name w:val="2006正文"/>
    <w:basedOn w:val="1"/>
    <w:autoRedefine/>
    <w:qFormat/>
    <w:uiPriority w:val="0"/>
    <w:pPr>
      <w:spacing w:line="520" w:lineRule="exact"/>
      <w:ind w:firstLine="200" w:firstLineChars="200"/>
    </w:pPr>
    <w:rPr>
      <w:rFonts w:ascii="宋体" w:hAnsi="宋体"/>
      <w:sz w:val="24"/>
      <w:szCs w:val="20"/>
    </w:rPr>
  </w:style>
  <w:style w:type="character" w:customStyle="1" w:styleId="85">
    <w:name w:val="fontstyle01"/>
    <w:basedOn w:val="34"/>
    <w:autoRedefine/>
    <w:qFormat/>
    <w:uiPriority w:val="0"/>
    <w:rPr>
      <w:rFonts w:hint="eastAsia" w:ascii="宋体" w:hAnsi="宋体" w:eastAsia="宋体"/>
      <w:color w:val="000000"/>
      <w:sz w:val="24"/>
      <w:szCs w:val="24"/>
    </w:rPr>
  </w:style>
  <w:style w:type="character" w:customStyle="1" w:styleId="86">
    <w:name w:val="fontstyle11"/>
    <w:basedOn w:val="34"/>
    <w:autoRedefine/>
    <w:qFormat/>
    <w:uiPriority w:val="0"/>
    <w:rPr>
      <w:rFonts w:hint="default" w:ascii="Wingdings" w:hAnsi="Wingdings"/>
      <w:color w:val="000000"/>
      <w:sz w:val="24"/>
      <w:szCs w:val="24"/>
    </w:rPr>
  </w:style>
  <w:style w:type="character" w:customStyle="1" w:styleId="87">
    <w:name w:val="fontstyle21"/>
    <w:basedOn w:val="34"/>
    <w:autoRedefine/>
    <w:qFormat/>
    <w:uiPriority w:val="0"/>
    <w:rPr>
      <w:rFonts w:hint="default" w:ascii="Times New Roman" w:hAnsi="Times New Roman" w:cs="Times New Roman"/>
      <w:color w:val="000000"/>
      <w:sz w:val="24"/>
      <w:szCs w:val="24"/>
    </w:rPr>
  </w:style>
  <w:style w:type="paragraph" w:customStyle="1" w:styleId="88">
    <w:name w:val="1正文"/>
    <w:basedOn w:val="1"/>
    <w:autoRedefine/>
    <w:qFormat/>
    <w:uiPriority w:val="0"/>
    <w:pPr>
      <w:widowControl/>
      <w:spacing w:line="360" w:lineRule="auto"/>
      <w:ind w:firstLine="200" w:firstLineChars="200"/>
    </w:pPr>
    <w:rPr>
      <w:rFonts w:ascii="Calibri" w:hAnsi="Calibri"/>
      <w:kern w:val="0"/>
      <w:sz w:val="24"/>
      <w:szCs w:val="20"/>
      <w:lang w:val="en-GB"/>
    </w:rPr>
  </w:style>
  <w:style w:type="paragraph" w:customStyle="1" w:styleId="89">
    <w:name w:val="正文首行缩进 2 + Times New Roman"/>
    <w:basedOn w:val="1"/>
    <w:autoRedefine/>
    <w:qFormat/>
    <w:uiPriority w:val="0"/>
    <w:pPr>
      <w:tabs>
        <w:tab w:val="left" w:pos="0"/>
      </w:tabs>
      <w:autoSpaceDE w:val="0"/>
      <w:autoSpaceDN w:val="0"/>
      <w:spacing w:line="360" w:lineRule="auto"/>
      <w:ind w:right="5" w:rightChars="2" w:firstLine="480" w:firstLineChars="200"/>
      <w:jc w:val="left"/>
    </w:pPr>
    <w:rPr>
      <w:color w:val="000000"/>
      <w:kern w:val="0"/>
      <w:sz w:val="24"/>
      <w:szCs w:val="24"/>
    </w:rPr>
  </w:style>
  <w:style w:type="paragraph" w:customStyle="1" w:styleId="90">
    <w:name w:val="No Spacing"/>
    <w:basedOn w:val="1"/>
    <w:autoRedefine/>
    <w:qFormat/>
    <w:uiPriority w:val="0"/>
    <w:pPr>
      <w:keepNext w:val="0"/>
      <w:keepLines w:val="0"/>
      <w:widowControl w:val="0"/>
      <w:suppressLineNumbers w:val="0"/>
      <w:adjustRightInd w:val="0"/>
      <w:snapToGrid w:val="0"/>
      <w:spacing w:before="0" w:beforeAutospacing="0" w:after="0" w:afterAutospacing="0"/>
      <w:ind w:left="0" w:right="0"/>
      <w:jc w:val="center"/>
    </w:pPr>
    <w:rPr>
      <w:rFonts w:hint="default" w:ascii="Times New Roman" w:hAnsi="Times New Roman" w:eastAsia="宋体" w:cs="Times New Roman"/>
      <w:b/>
      <w:kern w:val="2"/>
      <w:sz w:val="21"/>
      <w:szCs w:val="21"/>
      <w:lang w:val="en-US" w:eastAsia="zh-CN" w:bidi="ar"/>
    </w:rPr>
  </w:style>
  <w:style w:type="paragraph" w:customStyle="1" w:styleId="91">
    <w:name w:val="Heading2"/>
    <w:basedOn w:val="1"/>
    <w:next w:val="1"/>
    <w:autoRedefine/>
    <w:qFormat/>
    <w:uiPriority w:val="0"/>
    <w:pPr>
      <w:keepNext/>
      <w:keepLines/>
      <w:spacing w:before="260" w:after="260" w:line="416" w:lineRule="auto"/>
      <w:jc w:val="both"/>
      <w:textAlignment w:val="baseline"/>
    </w:pPr>
    <w:rPr>
      <w:rFonts w:ascii="Arial" w:hAnsi="Arial" w:eastAsia="黑体" w:cs="Times New Roman"/>
      <w:b/>
      <w:bCs/>
      <w:kern w:val="2"/>
      <w:sz w:val="32"/>
      <w:szCs w:val="32"/>
      <w:lang w:val="en-US" w:eastAsia="zh-CN" w:bidi="ar-SA"/>
    </w:rPr>
  </w:style>
  <w:style w:type="table" w:customStyle="1" w:styleId="92">
    <w:name w:val="Table Normal"/>
    <w:autoRedefine/>
    <w:semiHidden/>
    <w:unhideWhenUsed/>
    <w:qFormat/>
    <w:uiPriority w:val="0"/>
    <w:tblPr>
      <w:tblCellMar>
        <w:top w:w="0" w:type="dxa"/>
        <w:left w:w="0" w:type="dxa"/>
        <w:bottom w:w="0" w:type="dxa"/>
        <w:right w:w="0" w:type="dxa"/>
      </w:tblCellMar>
    </w:tblPr>
  </w:style>
  <w:style w:type="paragraph" w:customStyle="1" w:styleId="93">
    <w:name w:val="表格-陈"/>
    <w:basedOn w:val="1"/>
    <w:autoRedefine/>
    <w:qFormat/>
    <w:uiPriority w:val="0"/>
    <w:pPr>
      <w:spacing w:line="320" w:lineRule="exact"/>
      <w:ind w:firstLine="0" w:firstLineChars="0"/>
      <w:jc w:val="center"/>
    </w:pPr>
    <w:rPr>
      <w:sz w:val="21"/>
    </w:rPr>
  </w:style>
  <w:style w:type="paragraph" w:customStyle="1" w:styleId="94">
    <w:name w:val="2表格内容"/>
    <w:basedOn w:val="88"/>
    <w:autoRedefine/>
    <w:qFormat/>
    <w:uiPriority w:val="0"/>
    <w:pPr>
      <w:spacing w:line="240" w:lineRule="auto"/>
      <w:ind w:firstLine="0" w:firstLineChars="0"/>
      <w:jc w:val="center"/>
    </w:pPr>
    <w:rPr>
      <w:kern w:val="24"/>
      <w:sz w:val="21"/>
    </w:rPr>
  </w:style>
  <w:style w:type="paragraph" w:customStyle="1" w:styleId="95">
    <w:name w:val="样式 样式 样式 样式 首行缩进:  1 字符 + 首行缩进:  2 字符2 + 首行缩进:  2 字符 +"/>
    <w:basedOn w:val="1"/>
    <w:autoRedefine/>
    <w:qFormat/>
    <w:uiPriority w:val="0"/>
    <w:pPr>
      <w:spacing w:line="360" w:lineRule="auto"/>
      <w:ind w:firstLine="480" w:firstLineChars="200"/>
    </w:pPr>
    <w:rPr>
      <w:rFonts w:cs="宋体"/>
      <w:kern w:val="0"/>
      <w:sz w:val="24"/>
    </w:rPr>
  </w:style>
  <w:style w:type="paragraph" w:customStyle="1" w:styleId="96">
    <w:name w:val="WPSOffice手动目录 1"/>
    <w:autoRedefine/>
    <w:qFormat/>
    <w:uiPriority w:val="0"/>
    <w:pPr>
      <w:ind w:leftChars="0"/>
    </w:pPr>
    <w:rPr>
      <w:rFonts w:ascii="Times New Roman" w:hAnsi="Times New Roman" w:eastAsia="宋体" w:cs="Times New Roman"/>
      <w:sz w:val="20"/>
      <w:szCs w:val="20"/>
    </w:rPr>
  </w:style>
  <w:style w:type="character" w:customStyle="1" w:styleId="97">
    <w:name w:val="正文缩进 Char"/>
    <w:link w:val="6"/>
    <w:autoRedefine/>
    <w:qFormat/>
    <w:uiPriority w:val="0"/>
  </w:style>
  <w:style w:type="paragraph" w:customStyle="1" w:styleId="98">
    <w:name w:val="小四正文"/>
    <w:basedOn w:val="1"/>
    <w:autoRedefine/>
    <w:qFormat/>
    <w:uiPriority w:val="0"/>
    <w:pPr>
      <w:adjustRightInd w:val="0"/>
      <w:snapToGrid w:val="0"/>
      <w:spacing w:line="360" w:lineRule="auto"/>
      <w:ind w:firstLine="200" w:firstLineChars="200"/>
    </w:pPr>
    <w:rPr>
      <w:rFonts w:ascii="宋体" w:hAnsi="宋体"/>
      <w:bCs/>
      <w:sz w:val="24"/>
      <w:szCs w:val="21"/>
    </w:rPr>
  </w:style>
  <w:style w:type="paragraph" w:customStyle="1" w:styleId="99">
    <w:name w:val="曹1.1"/>
    <w:basedOn w:val="1"/>
    <w:autoRedefine/>
    <w:qFormat/>
    <w:uiPriority w:val="0"/>
    <w:pPr>
      <w:spacing w:line="360" w:lineRule="auto"/>
    </w:pPr>
    <w:rPr>
      <w:b/>
      <w:sz w:val="24"/>
    </w:rPr>
  </w:style>
  <w:style w:type="paragraph" w:customStyle="1" w:styleId="100">
    <w:name w:val="_Style 1"/>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101">
    <w:name w:val="段落"/>
    <w:basedOn w:val="1"/>
    <w:autoRedefine/>
    <w:qFormat/>
    <w:uiPriority w:val="0"/>
    <w:pPr>
      <w:topLinePunct/>
      <w:ind w:firstLine="200" w:firstLineChars="200"/>
      <w:jc w:val="left"/>
    </w:pPr>
    <w:rPr>
      <w:spacing w:val="0"/>
      <w:sz w:val="24"/>
      <w:szCs w:val="24"/>
      <w:lang w:val="zh-CN"/>
    </w:rPr>
  </w:style>
  <w:style w:type="paragraph" w:customStyle="1" w:styleId="102">
    <w:name w:val="5号头"/>
    <w:next w:val="1"/>
    <w:autoRedefine/>
    <w:qFormat/>
    <w:uiPriority w:val="0"/>
    <w:pPr>
      <w:spacing w:line="360" w:lineRule="auto"/>
      <w:jc w:val="center"/>
    </w:pPr>
    <w:rPr>
      <w:rFonts w:ascii="Times New Roman" w:hAnsi="Times New Roman" w:eastAsia="宋体" w:cs="Times New Roman"/>
      <w:b/>
      <w:sz w:val="21"/>
      <w:lang w:val="en-US" w:eastAsia="zh-CN" w:bidi="ar-SA"/>
    </w:rPr>
  </w:style>
  <w:style w:type="paragraph" w:customStyle="1" w:styleId="103">
    <w:name w:val="表格名称-li"/>
    <w:basedOn w:val="1"/>
    <w:autoRedefine/>
    <w:qFormat/>
    <w:uiPriority w:val="0"/>
    <w:pPr>
      <w:ind w:firstLine="482"/>
      <w:jc w:val="left"/>
    </w:pPr>
    <w:rPr>
      <w:rFonts w:hAnsi="宋体"/>
      <w:b/>
    </w:rPr>
  </w:style>
  <w:style w:type="paragraph" w:customStyle="1" w:styleId="104">
    <w:name w:val="表格内容-1"/>
    <w:basedOn w:val="1"/>
    <w:autoRedefine/>
    <w:qFormat/>
    <w:uiPriority w:val="0"/>
    <w:pPr>
      <w:widowControl/>
      <w:adjustRightInd/>
      <w:snapToGrid/>
      <w:spacing w:line="360" w:lineRule="exact"/>
      <w:ind w:firstLine="0" w:firstLineChars="0"/>
      <w:jc w:val="center"/>
    </w:pPr>
    <w:rPr>
      <w:rFonts w:cs="宋体"/>
      <w:color w:val="000000"/>
      <w:sz w:val="21"/>
      <w:szCs w:val="21"/>
    </w:rPr>
  </w:style>
  <w:style w:type="paragraph" w:customStyle="1" w:styleId="105">
    <w:name w:val="图表文字"/>
    <w:qFormat/>
    <w:uiPriority w:val="0"/>
    <w:pPr>
      <w:widowControl w:val="0"/>
      <w:jc w:val="center"/>
    </w:pPr>
    <w:rPr>
      <w:rFonts w:ascii="Times New Roman" w:hAnsi="Times New Roman" w:eastAsia="宋体" w:cs="Times New Roman"/>
      <w:snapToGrid w:val="0"/>
      <w:kern w:val="2"/>
      <w:sz w:val="21"/>
      <w:szCs w:val="24"/>
      <w:lang w:val="en-US" w:eastAsia="zh-CN" w:bidi="ar-SA"/>
    </w:rPr>
  </w:style>
  <w:style w:type="paragraph" w:customStyle="1" w:styleId="106">
    <w:name w:val="正文文本首行缩进 21"/>
    <w:basedOn w:val="8"/>
    <w:next w:val="1"/>
    <w:qFormat/>
    <w:uiPriority w:val="0"/>
    <w:pPr>
      <w:ind w:firstLine="420" w:firstLineChars="200"/>
    </w:pPr>
  </w:style>
  <w:style w:type="paragraph" w:customStyle="1" w:styleId="107">
    <w:name w:val="表文字"/>
    <w:basedOn w:val="1"/>
    <w:qFormat/>
    <w:uiPriority w:val="0"/>
    <w:pPr>
      <w:overflowPunct w:val="0"/>
      <w:autoSpaceDE w:val="0"/>
      <w:autoSpaceDN w:val="0"/>
      <w:spacing w:line="240" w:lineRule="atLeast"/>
      <w:jc w:val="center"/>
      <w:textAlignment w:val="baseline"/>
    </w:pPr>
  </w:style>
  <w:style w:type="paragraph" w:customStyle="1" w:styleId="108">
    <w:name w:val="5号格"/>
    <w:next w:val="1"/>
    <w:qFormat/>
    <w:uiPriority w:val="0"/>
    <w:pPr>
      <w:spacing w:line="240" w:lineRule="auto"/>
      <w:jc w:val="center"/>
    </w:pPr>
    <w:rPr>
      <w:rFonts w:ascii="Times New Roman" w:hAnsi="Times New Roman" w:eastAsia="宋体" w:cs="Times New Roman"/>
      <w:sz w:val="21"/>
    </w:rPr>
  </w:style>
  <w:style w:type="character" w:customStyle="1" w:styleId="109">
    <w:name w:val="font31"/>
    <w:basedOn w:val="34"/>
    <w:qFormat/>
    <w:uiPriority w:val="0"/>
    <w:rPr>
      <w:rFonts w:hint="eastAsia" w:ascii="宋体" w:hAnsi="宋体" w:eastAsia="宋体" w:cs="宋体"/>
      <w:color w:val="000000"/>
      <w:sz w:val="24"/>
      <w:szCs w:val="24"/>
      <w:u w:val="none"/>
    </w:rPr>
  </w:style>
  <w:style w:type="paragraph" w:customStyle="1" w:styleId="110">
    <w:name w:val="深泽正文"/>
    <w:basedOn w:val="17"/>
    <w:qFormat/>
    <w:uiPriority w:val="0"/>
    <w:pPr>
      <w:spacing w:line="440" w:lineRule="exact"/>
      <w:ind w:firstLine="488" w:firstLineChars="200"/>
    </w:pPr>
    <w:rPr>
      <w:rFonts w:hAnsi="Times New Roman" w:eastAsia="等线" w:cs="Times New Roman"/>
      <w:spacing w:val="4"/>
      <w:kern w:val="0"/>
      <w:sz w:val="24"/>
      <w:szCs w:val="24"/>
      <w:lang w:val="zh-CN"/>
    </w:rPr>
  </w:style>
  <w:style w:type="paragraph" w:customStyle="1" w:styleId="111">
    <w:name w:val="p0"/>
    <w:basedOn w:val="1"/>
    <w:qFormat/>
    <w:uiPriority w:val="0"/>
    <w:pPr>
      <w:widowControl/>
      <w:spacing w:line="360" w:lineRule="auto"/>
      <w:jc w:val="left"/>
    </w:pPr>
    <w:rPr>
      <w:kern w:val="0"/>
      <w:sz w:val="24"/>
      <w:szCs w:val="20"/>
    </w:rPr>
  </w:style>
  <w:style w:type="paragraph" w:customStyle="1" w:styleId="112">
    <w:name w:val="样式 正文缩进正文缩进2正文缩进 Char Char正文缩进 Char Char Char Char正文缩进 Char ..."/>
    <w:basedOn w:val="6"/>
    <w:next w:val="1"/>
    <w:qFormat/>
    <w:uiPriority w:val="0"/>
    <w:pPr>
      <w:widowControl/>
      <w:adjustRightInd w:val="0"/>
      <w:spacing w:line="360" w:lineRule="auto"/>
      <w:ind w:firstLine="200" w:firstLineChars="0"/>
      <w:jc w:val="both"/>
      <w:textAlignment w:val="baseline"/>
    </w:pPr>
    <w:rPr>
      <w:rFonts w:ascii="Calibri" w:hAnsi="Calibri" w:eastAsia="宋体" w:cs="宋体"/>
      <w:kern w:val="2"/>
      <w:sz w:val="24"/>
      <w:szCs w:val="24"/>
      <w:lang w:val="en-US" w:eastAsia="zh-CN" w:bidi="ar-SA"/>
    </w:rPr>
  </w:style>
  <w:style w:type="paragraph" w:customStyle="1" w:styleId="113">
    <w:name w:val="正文 New"/>
    <w:qFormat/>
    <w:uiPriority w:val="0"/>
    <w:pPr>
      <w:widowControl w:val="0"/>
      <w:spacing w:line="360" w:lineRule="auto"/>
      <w:ind w:firstLine="200" w:firstLineChars="200"/>
      <w:jc w:val="both"/>
    </w:pPr>
    <w:rPr>
      <w:rFonts w:ascii="Calibri" w:hAnsi="Calibri" w:eastAsia="宋体" w:cs="Times New Roman"/>
      <w:kern w:val="2"/>
      <w:sz w:val="28"/>
      <w:szCs w:val="24"/>
      <w:lang w:val="en-US" w:eastAsia="zh-CN" w:bidi="ar-SA"/>
    </w:rPr>
  </w:style>
  <w:style w:type="paragraph" w:customStyle="1" w:styleId="114">
    <w:name w:val="【表中文字】"/>
    <w:basedOn w:val="1"/>
    <w:next w:val="1"/>
    <w:qFormat/>
    <w:uiPriority w:val="0"/>
    <w:pPr>
      <w:jc w:val="center"/>
    </w:pPr>
    <w:rPr>
      <w:szCs w:val="20"/>
    </w:rPr>
  </w:style>
  <w:style w:type="character" w:customStyle="1" w:styleId="115">
    <w:name w:val="样式 标题 2二级标题H21.11.1标题 2título 2hseHeading 2SeHead wsa2h... Char"/>
    <w:link w:val="116"/>
    <w:qFormat/>
    <w:uiPriority w:val="0"/>
    <w:rPr>
      <w:rFonts w:ascii="Arial" w:eastAsia="宋体"/>
    </w:rPr>
  </w:style>
  <w:style w:type="paragraph" w:customStyle="1" w:styleId="116">
    <w:name w:val="样式 标题 2二级标题H21.11.1标题 2título 2hseHeading 2SeHead wsa2h..."/>
    <w:basedOn w:val="3"/>
    <w:link w:val="115"/>
    <w:qFormat/>
    <w:uiPriority w:val="0"/>
    <w:pPr>
      <w:ind w:firstLine="0" w:firstLineChars="0"/>
    </w:pPr>
    <w:rPr>
      <w:rFonts w:ascii="Arial" w:eastAsia="宋体"/>
    </w:rPr>
  </w:style>
  <w:style w:type="paragraph" w:customStyle="1" w:styleId="117">
    <w:name w:val="表格内容居中"/>
    <w:qFormat/>
    <w:uiPriority w:val="0"/>
    <w:pPr>
      <w:adjustRightInd w:val="0"/>
      <w:snapToGrid w:val="0"/>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46</Pages>
  <Words>16727</Words>
  <Characters>17793</Characters>
  <Lines>258</Lines>
  <Paragraphs>72</Paragraphs>
  <TotalTime>5</TotalTime>
  <ScaleCrop>false</ScaleCrop>
  <LinksUpToDate>false</LinksUpToDate>
  <CharactersWithSpaces>18293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媛</cp:lastModifiedBy>
  <cp:lastPrinted>2023-05-06T02:39:00Z</cp:lastPrinted>
  <dcterms:modified xsi:type="dcterms:W3CDTF">2025-05-20T02:44:48Z</dcterms:modified>
  <dc:title>附件2</dc:title>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6841146C79134854904684D832A537ED_13</vt:lpwstr>
  </property>
  <property fmtid="{D5CDD505-2E9C-101B-9397-08002B2CF9AE}" pid="4" name="KSOTemplateDocerSaveRecord">
    <vt:lpwstr>eyJoZGlkIjoiNzhmYmMwOGM2OGRmZmRhNzhiZjE0MmI5NWFmOWNjM2UiLCJ1c2VySWQiOiIzMjgwNjMyMDcifQ==</vt:lpwstr>
  </property>
</Properties>
</file>